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2AA" w:rsidP="1ED23488" w:rsidRDefault="002A7534" w14:paraId="76FFFEF9" w14:textId="69439D2B" w14:noSpellErr="1">
      <w:pPr>
        <w:jc w:val="center"/>
        <w:rPr>
          <w:rFonts w:ascii="Calibri" w:hAnsi="Calibri" w:eastAsia="Calibri" w:cs="Calibri"/>
          <w:b w:val="1"/>
          <w:bCs w:val="1"/>
          <w:i w:val="1"/>
          <w:iCs w:val="1"/>
          <w:color w:val="444444"/>
          <w:shd w:val="clear" w:color="auto" w:fill="FFFFFF"/>
        </w:rPr>
      </w:pPr>
      <w:r w:rsidRPr="1ED23488" w:rsidR="002A7534">
        <w:rPr>
          <w:rFonts w:ascii="Calibri" w:hAnsi="Calibri" w:eastAsia="Calibri" w:cs="Calibri"/>
          <w:b w:val="1"/>
          <w:bCs w:val="1"/>
          <w:i w:val="1"/>
          <w:iCs w:val="1"/>
          <w:color w:val="444444"/>
          <w:shd w:val="clear" w:color="auto" w:fill="FFFFFF"/>
        </w:rPr>
        <w:t xml:space="preserve">NRCoP</w:t>
      </w:r>
      <w:r w:rsidRPr="1ED23488" w:rsidR="002A7534">
        <w:rPr>
          <w:rFonts w:ascii="Calibri" w:hAnsi="Calibri" w:eastAsia="Calibri" w:cs="Calibri"/>
          <w:b w:val="1"/>
          <w:bCs w:val="1"/>
          <w:i w:val="1"/>
          <w:iCs w:val="1"/>
          <w:color w:val="444444"/>
          <w:shd w:val="clear" w:color="auto" w:fill="FFFFFF"/>
        </w:rPr>
        <w:t xml:space="preserve"> &amp; ANZSOG present: Indigenous knowledge, </w:t>
      </w:r>
      <w:r w:rsidRPr="1ED23488" w:rsidR="002A7534">
        <w:rPr>
          <w:rFonts w:ascii="Calibri" w:hAnsi="Calibri" w:eastAsia="Calibri" w:cs="Calibri"/>
          <w:b w:val="1"/>
          <w:bCs w:val="1"/>
          <w:i w:val="1"/>
          <w:iCs w:val="1"/>
          <w:color w:val="444444"/>
          <w:shd w:val="clear" w:color="auto" w:fill="FFFFFF"/>
        </w:rPr>
        <w:t xml:space="preserve">partnerships</w:t>
      </w:r>
      <w:r w:rsidRPr="1ED23488" w:rsidR="002A7534">
        <w:rPr>
          <w:rFonts w:ascii="Calibri" w:hAnsi="Calibri" w:eastAsia="Calibri" w:cs="Calibri"/>
          <w:b w:val="1"/>
          <w:bCs w:val="1"/>
          <w:i w:val="1"/>
          <w:iCs w:val="1"/>
          <w:color w:val="444444"/>
          <w:shd w:val="clear" w:color="auto" w:fill="FFFFFF"/>
        </w:rPr>
        <w:t xml:space="preserve"> and shared decision </w:t>
      </w:r>
      <w:r w:rsidRPr="1ED23488" w:rsidR="002A7534">
        <w:rPr>
          <w:rFonts w:ascii="Calibri" w:hAnsi="Calibri" w:eastAsia="Calibri" w:cs="Calibri"/>
          <w:b w:val="1"/>
          <w:bCs w:val="1"/>
          <w:i w:val="1"/>
          <w:iCs w:val="1"/>
          <w:color w:val="444444"/>
          <w:shd w:val="clear" w:color="auto" w:fill="FFFFFF"/>
        </w:rPr>
        <w:t>making:</w:t>
      </w:r>
      <w:r w:rsidRPr="1ED23488" w:rsidR="002A7534">
        <w:rPr>
          <w:rFonts w:ascii="Calibri" w:hAnsi="Calibri" w:eastAsia="Calibri" w:cs="Calibri"/>
          <w:b w:val="1"/>
          <w:bCs w:val="1"/>
          <w:i w:val="1"/>
          <w:iCs w:val="1"/>
          <w:color w:val="444444"/>
          <w:shd w:val="clear" w:color="auto" w:fill="FFFFFF"/>
        </w:rPr>
        <w:t xml:space="preserve"> culturally responsive regulation in action</w:t>
      </w:r>
    </w:p>
    <w:p w:rsidR="50FD8D3D" w:rsidP="1ED23488" w:rsidRDefault="50FD8D3D" w14:paraId="4A059FFC" w14:textId="689848AC">
      <w:pPr>
        <w:spacing w:line="259" w:lineRule="auto"/>
        <w:jc w:val="center"/>
        <w:rPr>
          <w:rFonts w:ascii="Calibri" w:hAnsi="Calibri" w:eastAsia="Calibri" w:cs="Calibri"/>
          <w:b w:val="1"/>
          <w:bCs w:val="1"/>
          <w:i w:val="1"/>
          <w:iCs w:val="1"/>
          <w:noProof w:val="0"/>
          <w:color w:val="444444"/>
          <w:lang w:val="en-GB"/>
        </w:rPr>
      </w:pPr>
      <w:r w:rsidRPr="1ED23488" w:rsidR="50FD8D3D">
        <w:rPr>
          <w:rFonts w:ascii="Calibri" w:hAnsi="Calibri" w:eastAsia="Calibri" w:cs="Calibri"/>
          <w:b w:val="1"/>
          <w:bCs w:val="1"/>
          <w:i w:val="1"/>
          <w:iCs w:val="1"/>
          <w:noProof w:val="0"/>
          <w:color w:val="444444"/>
          <w:lang w:val="en-US"/>
        </w:rPr>
        <w:t>Tuesday, 28 February 2023</w:t>
      </w:r>
    </w:p>
    <w:p w:rsidR="002A7534" w:rsidP="1ED23488" w:rsidRDefault="002A7534" w14:textId="344C2ADD" w14:paraId="69153FE4">
      <w:pPr>
        <w:jc w:val="center"/>
        <w:rPr>
          <w:rFonts w:ascii="Calibri" w:hAnsi="Calibri" w:eastAsia="Calibri" w:cs="Calibri"/>
          <w:b w:val="1"/>
          <w:bCs w:val="1"/>
          <w:i w:val="1"/>
          <w:iCs w:val="1"/>
          <w:color w:val="444444"/>
        </w:rPr>
      </w:pPr>
      <w:r w:rsidRPr="1ED23488" w:rsidR="002A7534">
        <w:rPr>
          <w:rFonts w:ascii="Calibri" w:hAnsi="Calibri" w:eastAsia="Calibri" w:cs="Calibri"/>
          <w:b w:val="1"/>
          <w:bCs w:val="1"/>
          <w:i w:val="1"/>
          <w:iCs w:val="1"/>
          <w:color w:val="444444"/>
        </w:rPr>
        <w:t>Q&amp;A Session</w:t>
      </w:r>
    </w:p>
    <w:tbl>
      <w:tblPr>
        <w:tblStyle w:val="TableGrid"/>
        <w:tblW w:w="0" w:type="auto"/>
        <w:tblLook w:val="04A0" w:firstRow="1" w:lastRow="0" w:firstColumn="1" w:lastColumn="0" w:noHBand="0" w:noVBand="1"/>
      </w:tblPr>
      <w:tblGrid>
        <w:gridCol w:w="9016"/>
      </w:tblGrid>
      <w:tr w:rsidR="002A7534" w:rsidTr="1ED23488" w14:paraId="38CC5CD3" w14:textId="77777777">
        <w:tc>
          <w:tcPr>
            <w:tcW w:w="9016" w:type="dxa"/>
            <w:shd w:val="clear" w:color="auto" w:fill="E2EFD9" w:themeFill="accent6" w:themeFillTint="33"/>
            <w:tcMar/>
          </w:tcPr>
          <w:p w:rsidR="002A7534" w:rsidP="002A7534" w:rsidRDefault="002A7534" w14:paraId="441BB950" w14:textId="77777777">
            <w:pPr>
              <w:pStyle w:val="paragraph"/>
              <w:spacing w:before="0" w:beforeAutospacing="0" w:after="0" w:afterAutospacing="0"/>
              <w:textAlignment w:val="baseline"/>
              <w:rPr>
                <w:rFonts w:ascii="Segoe UI" w:hAnsi="Segoe UI" w:cs="Segoe UI"/>
                <w:sz w:val="18"/>
                <w:szCs w:val="18"/>
              </w:rPr>
            </w:pPr>
            <w:r w:rsidRPr="002A7534">
              <w:rPr>
                <w:rStyle w:val="normaltextrun"/>
                <w:rFonts w:ascii="Calibri" w:hAnsi="Calibri" w:cs="Calibri"/>
                <w:b/>
                <w:bCs/>
                <w:color w:val="000000"/>
                <w:sz w:val="22"/>
                <w:szCs w:val="22"/>
                <w:lang w:val="en-AU"/>
              </w:rPr>
              <w:t>Liz Costello</w:t>
            </w:r>
            <w:r>
              <w:rPr>
                <w:rStyle w:val="normaltextrun"/>
                <w:rFonts w:ascii="Calibri" w:hAnsi="Calibri" w:cs="Calibri"/>
                <w:color w:val="000000"/>
                <w:sz w:val="22"/>
                <w:szCs w:val="22"/>
                <w:lang w:val="en-AU"/>
              </w:rPr>
              <w:t>, Department of Justice and Attorney-General, QLD</w:t>
            </w:r>
            <w:r>
              <w:rPr>
                <w:rStyle w:val="eop"/>
                <w:rFonts w:ascii="Calibri" w:hAnsi="Calibri" w:cs="Calibri"/>
                <w:color w:val="000000"/>
                <w:sz w:val="22"/>
                <w:szCs w:val="22"/>
              </w:rPr>
              <w:t> </w:t>
            </w:r>
          </w:p>
          <w:p w:rsidR="002A7534" w:rsidP="002A7534" w:rsidRDefault="002A7534" w14:paraId="76A0F9D7" w14:textId="77777777">
            <w:pPr>
              <w:pStyle w:val="paragraph"/>
              <w:spacing w:before="0" w:beforeAutospacing="0" w:after="0" w:afterAutospacing="0"/>
              <w:textAlignment w:val="baseline"/>
              <w:rPr>
                <w:rFonts w:ascii="Segoe UI" w:hAnsi="Segoe UI" w:cs="Segoe UI"/>
                <w:sz w:val="18"/>
                <w:szCs w:val="18"/>
              </w:rPr>
            </w:pPr>
            <w:r w:rsidRPr="002A7534">
              <w:rPr>
                <w:rStyle w:val="normaltextrun"/>
                <w:rFonts w:ascii="Calibri" w:hAnsi="Calibri" w:cs="Calibri"/>
                <w:b/>
                <w:bCs/>
                <w:color w:val="000000"/>
                <w:sz w:val="22"/>
                <w:szCs w:val="22"/>
                <w:lang w:val="en-AU"/>
              </w:rPr>
              <w:t>Dr Amanda Moffatt</w:t>
            </w:r>
            <w:r>
              <w:rPr>
                <w:rStyle w:val="normaltextrun"/>
                <w:rFonts w:ascii="Calibri" w:hAnsi="Calibri" w:cs="Calibri"/>
                <w:color w:val="000000"/>
                <w:sz w:val="22"/>
                <w:szCs w:val="22"/>
                <w:lang w:val="en-AU"/>
              </w:rPr>
              <w:t>, Iscariot Media</w:t>
            </w:r>
            <w:r>
              <w:rPr>
                <w:rStyle w:val="eop"/>
                <w:rFonts w:ascii="Calibri" w:hAnsi="Calibri" w:cs="Calibri"/>
                <w:color w:val="000000"/>
                <w:sz w:val="22"/>
                <w:szCs w:val="22"/>
              </w:rPr>
              <w:t> </w:t>
            </w:r>
          </w:p>
          <w:p w:rsidR="002A7534" w:rsidRDefault="002A7534" w14:paraId="2DF20591" w14:textId="77777777">
            <w:pPr>
              <w:rPr>
                <w:rFonts w:ascii="Calibri" w:hAnsi="Calibri" w:cs="Calibri"/>
                <w:color w:val="444444"/>
                <w:shd w:val="clear" w:color="auto" w:fill="FFFFFF"/>
              </w:rPr>
            </w:pPr>
          </w:p>
        </w:tc>
      </w:tr>
      <w:tr w:rsidR="002A7534" w:rsidTr="1ED23488" w14:paraId="1581C9DD" w14:textId="77777777">
        <w:tc>
          <w:tcPr>
            <w:tcW w:w="9016" w:type="dxa"/>
            <w:tcMar/>
          </w:tcPr>
          <w:p w:rsidR="002A7534" w:rsidP="05E9475D" w:rsidRDefault="002A7534" w14:paraId="2281176D" w14:textId="0A8FCD98">
            <w:pPr>
              <w:rPr>
                <w:rFonts w:ascii="Calibri" w:hAnsi="Calibri" w:cs="Calibri"/>
                <w:b/>
                <w:bCs/>
                <w:color w:val="000000"/>
              </w:rPr>
            </w:pPr>
            <w:bookmarkStart w:name="_Hlk129780277" w:id="0"/>
            <w:r w:rsidRPr="05E9475D">
              <w:rPr>
                <w:rFonts w:ascii="Calibri" w:hAnsi="Calibri" w:cs="Calibri"/>
                <w:b/>
                <w:bCs/>
                <w:color w:val="000000" w:themeColor="text1"/>
              </w:rPr>
              <w:t>Gambling addiction is a serious problem in First Nations communities. What can governments do to control the predatory behaviour of clubs and pubs?</w:t>
            </w:r>
          </w:p>
          <w:bookmarkEnd w:id="0"/>
          <w:p w:rsidR="05E9475D" w:rsidP="05E9475D" w:rsidRDefault="05E9475D" w14:paraId="23AE5CDA" w14:textId="658B6138">
            <w:pPr>
              <w:rPr>
                <w:rFonts w:ascii="Calibri" w:hAnsi="Calibri" w:cs="Calibri"/>
                <w:color w:val="000000" w:themeColor="text1"/>
              </w:rPr>
            </w:pPr>
          </w:p>
          <w:p w:rsidR="0082005B" w:rsidP="54F707F1" w:rsidRDefault="0082005B" w14:paraId="245D5596" w14:textId="2E823068">
            <w:pPr>
              <w:rPr>
                <w:rFonts w:ascii="Calibri" w:hAnsi="Calibri" w:cs="Calibri"/>
                <w:color w:val="000000" w:themeColor="text1"/>
              </w:rPr>
            </w:pPr>
            <w:r w:rsidRPr="1ED23488" w:rsidR="72787851">
              <w:rPr>
                <w:rFonts w:ascii="Calibri" w:hAnsi="Calibri" w:cs="Calibri"/>
                <w:color w:val="000000" w:themeColor="text1" w:themeTint="FF" w:themeShade="FF"/>
              </w:rPr>
              <w:t xml:space="preserve">The </w:t>
            </w:r>
            <w:r w:rsidRPr="1ED23488" w:rsidR="61C44657">
              <w:rPr>
                <w:rFonts w:ascii="Calibri" w:hAnsi="Calibri" w:cs="Calibri"/>
                <w:color w:val="000000" w:themeColor="text1" w:themeTint="FF" w:themeShade="FF"/>
              </w:rPr>
              <w:t xml:space="preserve">Queensland </w:t>
            </w:r>
            <w:r w:rsidRPr="1ED23488" w:rsidR="72787851">
              <w:rPr>
                <w:rFonts w:ascii="Calibri" w:hAnsi="Calibri" w:cs="Calibri"/>
                <w:color w:val="000000" w:themeColor="text1" w:themeTint="FF" w:themeShade="FF"/>
              </w:rPr>
              <w:t xml:space="preserve">Office of Liquor and Gaming Regulation </w:t>
            </w:r>
            <w:r w:rsidRPr="1ED23488" w:rsidR="7EA18CF2">
              <w:rPr>
                <w:rFonts w:ascii="Calibri" w:hAnsi="Calibri" w:cs="Calibri"/>
                <w:color w:val="000000" w:themeColor="text1" w:themeTint="FF" w:themeShade="FF"/>
              </w:rPr>
              <w:t>(OLGR)</w:t>
            </w:r>
            <w:r w:rsidRPr="1ED23488" w:rsidR="00820143">
              <w:rPr>
                <w:rFonts w:ascii="Calibri" w:hAnsi="Calibri" w:cs="Calibri"/>
                <w:color w:val="000000" w:themeColor="text1" w:themeTint="FF" w:themeShade="FF"/>
              </w:rPr>
              <w:t xml:space="preserve"> </w:t>
            </w:r>
            <w:r w:rsidRPr="1ED23488" w:rsidR="00A823C5">
              <w:rPr>
                <w:rFonts w:ascii="Calibri" w:hAnsi="Calibri" w:cs="Calibri"/>
                <w:color w:val="000000" w:themeColor="text1" w:themeTint="FF" w:themeShade="FF"/>
              </w:rPr>
              <w:t xml:space="preserve">oversees </w:t>
            </w:r>
            <w:r w:rsidRPr="1ED23488" w:rsidR="00202E34">
              <w:rPr>
                <w:rFonts w:ascii="Calibri" w:hAnsi="Calibri" w:cs="Calibri"/>
                <w:color w:val="000000" w:themeColor="text1" w:themeTint="FF" w:themeShade="FF"/>
              </w:rPr>
              <w:t xml:space="preserve">the </w:t>
            </w:r>
            <w:r w:rsidRPr="1ED23488" w:rsidR="00A823C5">
              <w:rPr>
                <w:rFonts w:ascii="Calibri" w:hAnsi="Calibri" w:cs="Calibri"/>
                <w:color w:val="000000" w:themeColor="text1" w:themeTint="FF" w:themeShade="FF"/>
              </w:rPr>
              <w:t>licensing of premises and persons involved in gam</w:t>
            </w:r>
            <w:r w:rsidRPr="1ED23488" w:rsidR="003A1C95">
              <w:rPr>
                <w:rFonts w:ascii="Calibri" w:hAnsi="Calibri" w:cs="Calibri"/>
                <w:color w:val="000000" w:themeColor="text1" w:themeTint="FF" w:themeShade="FF"/>
              </w:rPr>
              <w:t>bl</w:t>
            </w:r>
            <w:r w:rsidRPr="1ED23488" w:rsidR="00A823C5">
              <w:rPr>
                <w:rFonts w:ascii="Calibri" w:hAnsi="Calibri" w:cs="Calibri"/>
                <w:color w:val="000000" w:themeColor="text1" w:themeTint="FF" w:themeShade="FF"/>
              </w:rPr>
              <w:t>ing activities and</w:t>
            </w:r>
            <w:r w:rsidRPr="1ED23488" w:rsidR="0095312E">
              <w:rPr>
                <w:rFonts w:ascii="Calibri" w:hAnsi="Calibri" w:cs="Calibri"/>
                <w:color w:val="000000" w:themeColor="text1" w:themeTint="FF" w:themeShade="FF"/>
              </w:rPr>
              <w:t xml:space="preserve"> undertakes compliance activities, including the investigation of </w:t>
            </w:r>
            <w:r w:rsidRPr="1ED23488" w:rsidR="000D5835">
              <w:rPr>
                <w:rFonts w:ascii="Calibri" w:hAnsi="Calibri" w:cs="Calibri"/>
                <w:color w:val="000000" w:themeColor="text1" w:themeTint="FF" w:themeShade="FF"/>
              </w:rPr>
              <w:t>complaints</w:t>
            </w:r>
            <w:r w:rsidRPr="1ED23488" w:rsidR="0095312E">
              <w:rPr>
                <w:rFonts w:ascii="Calibri" w:hAnsi="Calibri" w:cs="Calibri"/>
                <w:color w:val="000000" w:themeColor="text1" w:themeTint="FF" w:themeShade="FF"/>
              </w:rPr>
              <w:t xml:space="preserve"> about the conduct of venues</w:t>
            </w:r>
            <w:r w:rsidRPr="1ED23488" w:rsidR="0095312E">
              <w:rPr>
                <w:rFonts w:ascii="Calibri" w:hAnsi="Calibri" w:cs="Calibri"/>
                <w:color w:val="000000" w:themeColor="text1" w:themeTint="FF" w:themeShade="FF"/>
              </w:rPr>
              <w:t xml:space="preserve">. </w:t>
            </w:r>
            <w:r w:rsidRPr="1ED23488" w:rsidR="004247C6">
              <w:rPr>
                <w:rFonts w:ascii="Calibri" w:hAnsi="Calibri" w:cs="Calibri"/>
                <w:color w:val="000000" w:themeColor="text1" w:themeTint="FF" w:themeShade="FF"/>
              </w:rPr>
              <w:t xml:space="preserve"> </w:t>
            </w:r>
            <w:r w:rsidRPr="1ED23488" w:rsidR="00E73B30">
              <w:rPr>
                <w:rFonts w:ascii="Calibri" w:hAnsi="Calibri" w:cs="Calibri"/>
                <w:color w:val="000000" w:themeColor="text1" w:themeTint="FF" w:themeShade="FF"/>
              </w:rPr>
              <w:t>W</w:t>
            </w:r>
            <w:r w:rsidRPr="1ED23488" w:rsidR="00DD407C">
              <w:rPr>
                <w:rFonts w:ascii="Calibri" w:hAnsi="Calibri" w:cs="Calibri"/>
                <w:color w:val="000000" w:themeColor="text1" w:themeTint="FF" w:themeShade="FF"/>
              </w:rPr>
              <w:t>here</w:t>
            </w:r>
            <w:r w:rsidRPr="1ED23488" w:rsidR="00ED3B55">
              <w:rPr>
                <w:rFonts w:ascii="Calibri" w:hAnsi="Calibri" w:cs="Calibri"/>
                <w:color w:val="000000" w:themeColor="text1" w:themeTint="FF" w:themeShade="FF"/>
              </w:rPr>
              <w:t xml:space="preserve"> there are </w:t>
            </w:r>
            <w:r w:rsidRPr="1ED23488" w:rsidR="00DD407C">
              <w:rPr>
                <w:rFonts w:ascii="Calibri" w:hAnsi="Calibri" w:cs="Calibri"/>
                <w:color w:val="000000" w:themeColor="text1" w:themeTint="FF" w:themeShade="FF"/>
              </w:rPr>
              <w:t>concerns ab</w:t>
            </w:r>
            <w:r w:rsidRPr="1ED23488" w:rsidR="00ED3B55">
              <w:rPr>
                <w:rFonts w:ascii="Calibri" w:hAnsi="Calibri" w:cs="Calibri"/>
                <w:color w:val="000000" w:themeColor="text1" w:themeTint="FF" w:themeShade="FF"/>
              </w:rPr>
              <w:t xml:space="preserve">out the way a </w:t>
            </w:r>
            <w:r w:rsidRPr="1ED23488" w:rsidR="00027DD4">
              <w:rPr>
                <w:rFonts w:ascii="Calibri" w:hAnsi="Calibri" w:cs="Calibri"/>
                <w:color w:val="000000" w:themeColor="text1" w:themeTint="FF" w:themeShade="FF"/>
              </w:rPr>
              <w:t>club or hotel</w:t>
            </w:r>
            <w:r w:rsidRPr="1ED23488" w:rsidR="00ED3B55">
              <w:rPr>
                <w:rFonts w:ascii="Calibri" w:hAnsi="Calibri" w:cs="Calibri"/>
                <w:color w:val="000000" w:themeColor="text1" w:themeTint="FF" w:themeShade="FF"/>
              </w:rPr>
              <w:t xml:space="preserve"> </w:t>
            </w:r>
            <w:r w:rsidRPr="1ED23488" w:rsidR="00990E87">
              <w:rPr>
                <w:rFonts w:ascii="Calibri" w:hAnsi="Calibri" w:cs="Calibri"/>
                <w:color w:val="000000" w:themeColor="text1" w:themeTint="FF" w:themeShade="FF"/>
              </w:rPr>
              <w:t xml:space="preserve">is </w:t>
            </w:r>
            <w:r w:rsidRPr="1ED23488" w:rsidR="00ED3B55">
              <w:rPr>
                <w:rFonts w:ascii="Calibri" w:hAnsi="Calibri" w:cs="Calibri"/>
                <w:color w:val="000000" w:themeColor="text1" w:themeTint="FF" w:themeShade="FF"/>
              </w:rPr>
              <w:t>operating</w:t>
            </w:r>
            <w:r w:rsidRPr="1ED23488" w:rsidR="006A5AC2">
              <w:rPr>
                <w:rFonts w:ascii="Calibri" w:hAnsi="Calibri" w:cs="Calibri"/>
                <w:color w:val="000000" w:themeColor="text1" w:themeTint="FF" w:themeShade="FF"/>
              </w:rPr>
              <w:t xml:space="preserve"> (</w:t>
            </w:r>
            <w:r w:rsidRPr="1ED23488" w:rsidR="006A5AC2">
              <w:rPr>
                <w:rFonts w:ascii="Calibri" w:hAnsi="Calibri" w:cs="Calibri"/>
                <w:color w:val="000000" w:themeColor="text1" w:themeTint="FF" w:themeShade="FF"/>
              </w:rPr>
              <w:t>e.g.</w:t>
            </w:r>
            <w:r w:rsidRPr="1ED23488" w:rsidR="006A5AC2">
              <w:rPr>
                <w:rFonts w:ascii="Calibri" w:hAnsi="Calibri" w:cs="Calibri"/>
                <w:color w:val="000000" w:themeColor="text1" w:themeTint="FF" w:themeShade="FF"/>
              </w:rPr>
              <w:t xml:space="preserve"> predatory behaviours)</w:t>
            </w:r>
            <w:r w:rsidRPr="1ED23488" w:rsidR="00ED3B55">
              <w:rPr>
                <w:rFonts w:ascii="Calibri" w:hAnsi="Calibri" w:cs="Calibri"/>
                <w:color w:val="000000" w:themeColor="text1" w:themeTint="FF" w:themeShade="FF"/>
              </w:rPr>
              <w:t xml:space="preserve">, </w:t>
            </w:r>
            <w:r w:rsidRPr="1ED23488" w:rsidR="003F4FD6">
              <w:rPr>
                <w:rFonts w:ascii="Calibri" w:hAnsi="Calibri" w:cs="Calibri"/>
                <w:color w:val="000000" w:themeColor="text1" w:themeTint="FF" w:themeShade="FF"/>
              </w:rPr>
              <w:t xml:space="preserve">a complaint can be made to </w:t>
            </w:r>
            <w:r w:rsidRPr="1ED23488" w:rsidR="002F6A6B">
              <w:rPr>
                <w:rFonts w:ascii="Calibri" w:hAnsi="Calibri" w:cs="Calibri"/>
                <w:color w:val="000000" w:themeColor="text1" w:themeTint="FF" w:themeShade="FF"/>
              </w:rPr>
              <w:t xml:space="preserve">the </w:t>
            </w:r>
            <w:r w:rsidRPr="1ED23488" w:rsidR="00ED3B55">
              <w:rPr>
                <w:rFonts w:ascii="Calibri" w:hAnsi="Calibri" w:cs="Calibri"/>
                <w:color w:val="000000" w:themeColor="text1" w:themeTint="FF" w:themeShade="FF"/>
              </w:rPr>
              <w:t>OLGR</w:t>
            </w:r>
            <w:r w:rsidRPr="1ED23488" w:rsidR="00162A07">
              <w:rPr>
                <w:rFonts w:ascii="Calibri" w:hAnsi="Calibri" w:cs="Calibri"/>
                <w:color w:val="000000" w:themeColor="text1" w:themeTint="FF" w:themeShade="FF"/>
              </w:rPr>
              <w:t xml:space="preserve"> who will</w:t>
            </w:r>
            <w:r w:rsidRPr="1ED23488" w:rsidR="00ED3B55">
              <w:rPr>
                <w:rFonts w:ascii="Calibri" w:hAnsi="Calibri" w:cs="Calibri"/>
                <w:color w:val="000000" w:themeColor="text1" w:themeTint="FF" w:themeShade="FF"/>
              </w:rPr>
              <w:t xml:space="preserve"> investigate </w:t>
            </w:r>
            <w:r w:rsidRPr="1ED23488" w:rsidR="00B0514D">
              <w:rPr>
                <w:rFonts w:ascii="Calibri" w:hAnsi="Calibri" w:cs="Calibri"/>
                <w:color w:val="000000" w:themeColor="text1" w:themeTint="FF" w:themeShade="FF"/>
              </w:rPr>
              <w:t xml:space="preserve">where it is </w:t>
            </w:r>
            <w:r w:rsidRPr="1ED23488" w:rsidR="00FB3F0E">
              <w:rPr>
                <w:rFonts w:ascii="Calibri" w:hAnsi="Calibri" w:cs="Calibri"/>
                <w:color w:val="000000" w:themeColor="text1" w:themeTint="FF" w:themeShade="FF"/>
              </w:rPr>
              <w:t xml:space="preserve">not </w:t>
            </w:r>
            <w:r w:rsidRPr="1ED23488" w:rsidR="00FB3F0E">
              <w:rPr>
                <w:rFonts w:ascii="Calibri" w:hAnsi="Calibri" w:cs="Calibri"/>
                <w:color w:val="000000" w:themeColor="text1" w:themeTint="FF" w:themeShade="FF"/>
              </w:rPr>
              <w:t>operating</w:t>
            </w:r>
            <w:r w:rsidRPr="1ED23488" w:rsidR="00FB3F0E">
              <w:rPr>
                <w:rFonts w:ascii="Calibri" w:hAnsi="Calibri" w:cs="Calibri"/>
                <w:color w:val="000000" w:themeColor="text1" w:themeTint="FF" w:themeShade="FF"/>
              </w:rPr>
              <w:t xml:space="preserve"> </w:t>
            </w:r>
            <w:r w:rsidRPr="1ED23488" w:rsidR="00FB3F0E">
              <w:rPr>
                <w:rFonts w:ascii="Calibri" w:hAnsi="Calibri" w:cs="Calibri"/>
                <w:color w:val="000000" w:themeColor="text1" w:themeTint="FF" w:themeShade="FF"/>
              </w:rPr>
              <w:t>in accordance</w:t>
            </w:r>
            <w:r w:rsidRPr="1ED23488" w:rsidR="002D4710">
              <w:rPr>
                <w:rFonts w:ascii="Calibri" w:hAnsi="Calibri" w:cs="Calibri"/>
                <w:color w:val="000000" w:themeColor="text1" w:themeTint="FF" w:themeShade="FF"/>
              </w:rPr>
              <w:t xml:space="preserve"> with</w:t>
            </w:r>
            <w:r w:rsidRPr="1ED23488" w:rsidR="002D4710">
              <w:rPr>
                <w:rFonts w:ascii="Calibri" w:hAnsi="Calibri" w:cs="Calibri"/>
                <w:color w:val="000000" w:themeColor="text1" w:themeTint="FF" w:themeShade="FF"/>
              </w:rPr>
              <w:t xml:space="preserve"> </w:t>
            </w:r>
            <w:r w:rsidRPr="1ED23488" w:rsidR="00B87423">
              <w:rPr>
                <w:rFonts w:ascii="Calibri" w:hAnsi="Calibri" w:cs="Calibri"/>
                <w:color w:val="000000" w:themeColor="text1" w:themeTint="FF" w:themeShade="FF"/>
              </w:rPr>
              <w:t xml:space="preserve">the </w:t>
            </w:r>
            <w:r w:rsidRPr="1ED23488" w:rsidR="002D4710">
              <w:rPr>
                <w:rFonts w:ascii="Calibri" w:hAnsi="Calibri" w:cs="Calibri"/>
                <w:i w:val="1"/>
                <w:iCs w:val="1"/>
                <w:color w:val="000000" w:themeColor="text1" w:themeTint="FF" w:themeShade="FF"/>
              </w:rPr>
              <w:t>Gaming Machine Act 1991</w:t>
            </w:r>
            <w:r w:rsidRPr="1ED23488" w:rsidR="002D4710">
              <w:rPr>
                <w:rFonts w:ascii="Calibri" w:hAnsi="Calibri" w:cs="Calibri"/>
                <w:color w:val="000000" w:themeColor="text1" w:themeTint="FF" w:themeShade="FF"/>
              </w:rPr>
              <w:t xml:space="preserve"> and </w:t>
            </w:r>
            <w:r w:rsidRPr="1ED23488" w:rsidR="002D4710">
              <w:rPr>
                <w:rFonts w:ascii="Calibri" w:hAnsi="Calibri" w:cs="Calibri"/>
                <w:i w:val="1"/>
                <w:iCs w:val="1"/>
                <w:color w:val="000000" w:themeColor="text1" w:themeTint="FF" w:themeShade="FF"/>
              </w:rPr>
              <w:t>Queensland Responsible Gambling Code of Practice</w:t>
            </w:r>
            <w:r w:rsidRPr="1ED23488" w:rsidR="001144A9">
              <w:rPr>
                <w:rFonts w:ascii="Calibri" w:hAnsi="Calibri" w:cs="Calibri"/>
                <w:color w:val="000000" w:themeColor="text1" w:themeTint="FF" w:themeShade="FF"/>
              </w:rPr>
              <w:t>.</w:t>
            </w:r>
            <w:r w:rsidRPr="1ED23488" w:rsidR="00027DD4">
              <w:rPr>
                <w:rFonts w:ascii="Calibri" w:hAnsi="Calibri" w:cs="Calibri"/>
                <w:color w:val="000000" w:themeColor="text1" w:themeTint="FF" w:themeShade="FF"/>
              </w:rPr>
              <w:t xml:space="preserve"> </w:t>
            </w:r>
          </w:p>
          <w:p w:rsidR="00532F7D" w:rsidP="0082005B" w:rsidRDefault="00532F7D" w14:paraId="631035AA" w14:textId="610D8AE8">
            <w:pPr>
              <w:rPr>
                <w:rFonts w:ascii="Calibri" w:hAnsi="Calibri" w:cs="Calibri"/>
                <w:color w:val="000000" w:themeColor="text1"/>
              </w:rPr>
            </w:pPr>
            <w:r w:rsidRPr="1ED23488" w:rsidR="0082005B">
              <w:rPr>
                <w:rFonts w:ascii="Calibri" w:hAnsi="Calibri" w:cs="Calibri"/>
                <w:color w:val="000000" w:themeColor="text1" w:themeTint="FF" w:themeShade="FF"/>
              </w:rPr>
              <w:t>OLGR has</w:t>
            </w:r>
            <w:r w:rsidRPr="1ED23488" w:rsidR="0082005B">
              <w:rPr>
                <w:rFonts w:ascii="Calibri" w:hAnsi="Calibri" w:cs="Calibri"/>
                <w:color w:val="000000" w:themeColor="text1" w:themeTint="FF" w:themeShade="FF"/>
              </w:rPr>
              <w:t xml:space="preserve"> also </w:t>
            </w:r>
            <w:r w:rsidRPr="1ED23488" w:rsidR="0082005B">
              <w:rPr>
                <w:rFonts w:ascii="Calibri" w:hAnsi="Calibri" w:cs="Calibri"/>
                <w:color w:val="000000" w:themeColor="text1" w:themeTint="FF" w:themeShade="FF"/>
              </w:rPr>
              <w:t>implemented a</w:t>
            </w:r>
            <w:r w:rsidRPr="1ED23488" w:rsidR="0082005B">
              <w:rPr>
                <w:rFonts w:ascii="Calibri" w:hAnsi="Calibri" w:cs="Calibri"/>
                <w:color w:val="000000" w:themeColor="text1" w:themeTint="FF" w:themeShade="FF"/>
              </w:rPr>
              <w:t xml:space="preserve">n enhanced gaming machine audit </w:t>
            </w:r>
            <w:r w:rsidRPr="1ED23488" w:rsidR="0082005B">
              <w:rPr>
                <w:rFonts w:ascii="Calibri" w:hAnsi="Calibri" w:cs="Calibri"/>
                <w:color w:val="000000" w:themeColor="text1" w:themeTint="FF" w:themeShade="FF"/>
              </w:rPr>
              <w:t>program</w:t>
            </w:r>
            <w:r w:rsidRPr="1ED23488" w:rsidR="0082005B">
              <w:rPr>
                <w:rFonts w:ascii="Calibri" w:hAnsi="Calibri" w:cs="Calibri"/>
                <w:color w:val="000000" w:themeColor="text1" w:themeTint="FF" w:themeShade="FF"/>
              </w:rPr>
              <w:t xml:space="preserve"> to assess venues</w:t>
            </w:r>
            <w:r w:rsidRPr="1ED23488" w:rsidR="00A55F41">
              <w:rPr>
                <w:rFonts w:ascii="Calibri" w:hAnsi="Calibri" w:cs="Calibri"/>
                <w:color w:val="000000" w:themeColor="text1" w:themeTint="FF" w:themeShade="FF"/>
              </w:rPr>
              <w:t>’</w:t>
            </w:r>
            <w:r w:rsidRPr="1ED23488" w:rsidR="0082005B">
              <w:rPr>
                <w:rFonts w:ascii="Calibri" w:hAnsi="Calibri" w:cs="Calibri"/>
                <w:color w:val="000000" w:themeColor="text1" w:themeTint="FF" w:themeShade="FF"/>
              </w:rPr>
              <w:t xml:space="preserve"> compliance with their obligation</w:t>
            </w:r>
            <w:r w:rsidRPr="1ED23488" w:rsidR="00532F7D">
              <w:rPr>
                <w:rFonts w:ascii="Calibri" w:hAnsi="Calibri" w:cs="Calibri"/>
                <w:color w:val="000000" w:themeColor="text1" w:themeTint="FF" w:themeShade="FF"/>
              </w:rPr>
              <w:t>s</w:t>
            </w:r>
            <w:r w:rsidRPr="1ED23488" w:rsidR="0082005B">
              <w:rPr>
                <w:rFonts w:ascii="Calibri" w:hAnsi="Calibri" w:cs="Calibri"/>
                <w:color w:val="000000" w:themeColor="text1" w:themeTint="FF" w:themeShade="FF"/>
              </w:rPr>
              <w:t>, venue harm minimisation culture and measures in place to provide patrons with a safer gambling environment.</w:t>
            </w:r>
          </w:p>
          <w:p w:rsidR="00532F7D" w:rsidP="00532F7D" w:rsidRDefault="00532F7D" w14:paraId="5F145960" w14:textId="28269DBF">
            <w:pPr>
              <w:rPr>
                <w:rFonts w:ascii="Calibri" w:hAnsi="Calibri" w:cs="Calibri"/>
                <w:color w:val="000000" w:themeColor="text1"/>
              </w:rPr>
            </w:pPr>
            <w:r w:rsidR="00532F7D">
              <w:rPr>
                <w:rFonts w:ascii="Calibri" w:hAnsi="Calibri" w:cs="Calibri"/>
                <w:color w:val="000000" w:themeColor="text1"/>
              </w:rPr>
              <w:t xml:space="preserve">The Commissioner for Liquor and Gaming has the discretion to impose licence conditions on licensees in the public interest to minimise risk to an acceptable level. </w:t>
            </w:r>
            <w:r w:rsidRPr="004F7D0B" w:rsidR="00532F7D">
              <w:rPr>
                <w:rFonts w:ascii="Calibri" w:hAnsi="Calibri" w:cs="Calibri"/>
                <w:color w:val="000000" w:themeColor="text1"/>
              </w:rPr>
              <w:t xml:space="preserve">Further, </w:t>
            </w:r>
            <w:r w:rsidR="008F0D7D">
              <w:rPr>
                <w:rFonts w:ascii="Calibri" w:hAnsi="Calibri" w:cs="Calibri"/>
                <w:color w:val="000000" w:themeColor="text1"/>
              </w:rPr>
              <w:t>l</w:t>
            </w:r>
            <w:r w:rsidRPr="004F7D0B" w:rsidR="008F0D7D">
              <w:rPr>
                <w:rFonts w:ascii="Calibri" w:hAnsi="Calibri" w:cs="Calibri"/>
                <w:color w:val="000000" w:themeColor="text1"/>
              </w:rPr>
              <w:t xml:space="preserve">egislation passed in October 2022 </w:t>
            </w:r>
            <w:r w:rsidR="006D5A0E">
              <w:rPr>
                <w:rFonts w:ascii="Calibri" w:hAnsi="Calibri" w:cs="Calibri"/>
                <w:color w:val="000000" w:themeColor="text1"/>
              </w:rPr>
              <w:t>provides</w:t>
            </w:r>
            <w:r w:rsidR="006D5A0E">
              <w:rPr>
                <w:rFonts w:ascii="Calibri" w:hAnsi="Calibri" w:cs="Calibri"/>
                <w:color w:val="000000" w:themeColor="text1"/>
              </w:rPr>
              <w:t xml:space="preserve"> the ability to prescribe by regulation,</w:t>
            </w:r>
            <w:r w:rsidRPr="004F7D0B" w:rsidR="008F0D7D">
              <w:rPr>
                <w:rFonts w:ascii="Calibri" w:hAnsi="Calibri" w:cs="Calibri"/>
                <w:color w:val="000000" w:themeColor="text1"/>
              </w:rPr>
              <w:t xml:space="preserve"> harm minimisation measures that must be </w:t>
            </w:r>
            <w:r w:rsidRPr="004F7D0B" w:rsidR="008F0D7D">
              <w:rPr>
                <w:rFonts w:ascii="Calibri" w:hAnsi="Calibri" w:cs="Calibri"/>
                <w:color w:val="000000" w:themeColor="text1"/>
              </w:rPr>
              <w:t xml:space="preserve">observed</w:t>
            </w:r>
            <w:r w:rsidRPr="004F7D0B" w:rsidR="008F0D7D">
              <w:rPr>
                <w:rFonts w:ascii="Calibri" w:hAnsi="Calibri" w:cs="Calibri"/>
                <w:color w:val="000000" w:themeColor="text1"/>
              </w:rPr>
              <w:t xml:space="preserve"> by gambling providers. The amendments, which were duplicated across all 7 Queensland gambling Acts, are intended to provide the Government with a flexible, </w:t>
            </w:r>
            <w:r w:rsidRPr="004F7D0B" w:rsidR="008F0D7D">
              <w:rPr>
                <w:rFonts w:ascii="Calibri" w:hAnsi="Calibri" w:cs="Calibri"/>
                <w:color w:val="000000" w:themeColor="text1"/>
              </w:rPr>
              <w:t xml:space="preserve">responsive</w:t>
            </w:r>
            <w:r w:rsidRPr="004F7D0B" w:rsidR="008F0D7D">
              <w:rPr>
                <w:rFonts w:ascii="Calibri" w:hAnsi="Calibri" w:cs="Calibri"/>
                <w:color w:val="000000" w:themeColor="text1"/>
              </w:rPr>
              <w:t xml:space="preserve"> </w:t>
            </w:r>
            <w:r w:rsidRPr="004F7D0B" w:rsidR="008F0D7D">
              <w:rPr>
                <w:rFonts w:ascii="Calibri" w:hAnsi="Calibri" w:cs="Calibri"/>
                <w:color w:val="000000" w:themeColor="text1"/>
              </w:rPr>
              <w:lastRenderedPageBreak/>
              <w:t>and efficient means of implementing and</w:t>
            </w:r>
            <w:r w:rsidR="008F0D7D">
              <w:rPr>
                <w:rStyle w:val="normaltextrun"/>
                <w:rFonts w:ascii="Arial" w:hAnsi="Arial" w:cs="Arial"/>
                <w:color w:val="000000"/>
                <w:shd w:val="clear" w:color="auto" w:fill="FFFFFF"/>
              </w:rPr>
              <w:t xml:space="preserve"> </w:t>
            </w:r>
            <w:r w:rsidRPr="004F7D0B" w:rsidR="008F0D7D">
              <w:rPr>
                <w:rFonts w:ascii="Calibri" w:hAnsi="Calibri" w:cs="Calibri"/>
                <w:color w:val="000000" w:themeColor="text1"/>
              </w:rPr>
              <w:t>maintaining</w:t>
            </w:r>
            <w:r w:rsidRPr="004F7D0B" w:rsidR="008F0D7D">
              <w:rPr>
                <w:rFonts w:ascii="Calibri" w:hAnsi="Calibri" w:cs="Calibri"/>
                <w:color w:val="000000" w:themeColor="text1"/>
              </w:rPr>
              <w:t xml:space="preserve"> best practice</w:t>
            </w:r>
            <w:r w:rsidR="008F0D7D">
              <w:rPr>
                <w:rStyle w:val="normaltextrun"/>
                <w:rFonts w:ascii="Arial" w:hAnsi="Arial" w:cs="Arial"/>
                <w:color w:val="000000"/>
                <w:shd w:val="clear" w:color="auto" w:fill="FFFFFF"/>
              </w:rPr>
              <w:t xml:space="preserve"> </w:t>
            </w:r>
            <w:r w:rsidRPr="004F7D0B" w:rsidR="008F0D7D">
              <w:rPr>
                <w:rFonts w:ascii="Calibri" w:hAnsi="Calibri" w:cs="Calibri"/>
                <w:color w:val="000000" w:themeColor="text1"/>
              </w:rPr>
              <w:t xml:space="preserve">harm minimisation </w:t>
            </w:r>
            <w:r w:rsidRPr="004F7D0B" w:rsidR="008F0D7D">
              <w:rPr>
                <w:rFonts w:ascii="Calibri" w:hAnsi="Calibri" w:cs="Calibri"/>
                <w:color w:val="000000" w:themeColor="text1"/>
              </w:rPr>
              <w:t xml:space="preserve">with regard to</w:t>
            </w:r>
            <w:r w:rsidRPr="004F7D0B" w:rsidR="008F0D7D">
              <w:rPr>
                <w:rFonts w:ascii="Calibri" w:hAnsi="Calibri" w:cs="Calibri"/>
                <w:color w:val="000000" w:themeColor="text1"/>
              </w:rPr>
              <w:t xml:space="preserve"> emergent or unforeseen industry practices and technological development. </w:t>
            </w:r>
          </w:p>
          <w:p w:rsidR="002B5321" w:rsidP="004F7D0B" w:rsidRDefault="008D7A5C" w14:paraId="0D76EB96" w14:textId="47735344">
            <w:pPr>
              <w:spacing w:line="259" w:lineRule="auto"/>
              <w:rPr>
                <w:rFonts w:ascii="Calibri" w:hAnsi="Calibri" w:cs="Calibri"/>
                <w:color w:val="000000" w:themeColor="text1"/>
              </w:rPr>
            </w:pPr>
            <w:r w:rsidRPr="5BAA8311">
              <w:rPr>
                <w:rFonts w:ascii="Calibri" w:hAnsi="Calibri" w:cs="Calibri"/>
                <w:color w:val="000000" w:themeColor="text1"/>
              </w:rPr>
              <w:t>The</w:t>
            </w:r>
            <w:r w:rsidRPr="5BAA8311" w:rsidR="00C066AA">
              <w:rPr>
                <w:rFonts w:ascii="Calibri" w:hAnsi="Calibri" w:cs="Calibri"/>
                <w:color w:val="000000" w:themeColor="text1"/>
              </w:rPr>
              <w:t xml:space="preserve"> </w:t>
            </w:r>
            <w:r w:rsidRPr="5BAA8311" w:rsidR="002B5321">
              <w:rPr>
                <w:rFonts w:ascii="Calibri" w:hAnsi="Calibri" w:cs="Calibri"/>
                <w:i/>
                <w:iCs/>
                <w:color w:val="000000" w:themeColor="text1"/>
              </w:rPr>
              <w:t>Gambling Harm Minimisation Plan for Queensland 2021-25</w:t>
            </w:r>
            <w:r w:rsidRPr="5BAA8311" w:rsidR="00C066AA">
              <w:rPr>
                <w:rFonts w:ascii="Calibri" w:hAnsi="Calibri" w:cs="Calibri"/>
                <w:i/>
                <w:iCs/>
                <w:color w:val="000000" w:themeColor="text1"/>
              </w:rPr>
              <w:t xml:space="preserve"> </w:t>
            </w:r>
            <w:r w:rsidRPr="5BAA8311">
              <w:rPr>
                <w:rFonts w:ascii="Calibri" w:hAnsi="Calibri" w:cs="Calibri"/>
                <w:color w:val="000000" w:themeColor="text1"/>
              </w:rPr>
              <w:t>recognises</w:t>
            </w:r>
            <w:r w:rsidR="003A1C95">
              <w:rPr>
                <w:rFonts w:ascii="Calibri" w:hAnsi="Calibri" w:cs="Calibri"/>
                <w:color w:val="000000" w:themeColor="text1"/>
              </w:rPr>
              <w:t xml:space="preserve"> </w:t>
            </w:r>
            <w:r w:rsidR="00886457">
              <w:rPr>
                <w:rFonts w:ascii="Calibri" w:hAnsi="Calibri" w:cs="Calibri"/>
                <w:color w:val="000000" w:themeColor="text1"/>
              </w:rPr>
              <w:t>the need for a robust regulatory framework</w:t>
            </w:r>
            <w:r w:rsidRPr="5BAA8311">
              <w:rPr>
                <w:rFonts w:ascii="Calibri" w:hAnsi="Calibri" w:cs="Calibri"/>
                <w:color w:val="000000" w:themeColor="text1"/>
              </w:rPr>
              <w:t xml:space="preserve">, with one of the four strategic pillars of the plan being </w:t>
            </w:r>
            <w:r w:rsidR="00886457">
              <w:rPr>
                <w:rFonts w:ascii="Calibri" w:hAnsi="Calibri" w:cs="Calibri"/>
                <w:color w:val="000000" w:themeColor="text1"/>
              </w:rPr>
              <w:t>a modern and effective r</w:t>
            </w:r>
            <w:r w:rsidRPr="5BAA8311">
              <w:rPr>
                <w:rFonts w:ascii="Calibri" w:hAnsi="Calibri" w:cs="Calibri"/>
                <w:color w:val="000000" w:themeColor="text1"/>
              </w:rPr>
              <w:t xml:space="preserve">egulatory </w:t>
            </w:r>
            <w:r w:rsidR="00886457">
              <w:rPr>
                <w:rFonts w:ascii="Calibri" w:hAnsi="Calibri" w:cs="Calibri"/>
                <w:color w:val="000000" w:themeColor="text1"/>
              </w:rPr>
              <w:t>f</w:t>
            </w:r>
            <w:r w:rsidRPr="5BAA8311">
              <w:rPr>
                <w:rFonts w:ascii="Calibri" w:hAnsi="Calibri" w:cs="Calibri"/>
                <w:color w:val="000000" w:themeColor="text1"/>
              </w:rPr>
              <w:t>ramework</w:t>
            </w:r>
            <w:r w:rsidR="003A1C95">
              <w:rPr>
                <w:rFonts w:ascii="Calibri" w:hAnsi="Calibri" w:cs="Calibri"/>
                <w:color w:val="000000" w:themeColor="text1"/>
              </w:rPr>
              <w:t>. A</w:t>
            </w:r>
            <w:r w:rsidRPr="5BAA8311">
              <w:rPr>
                <w:rFonts w:ascii="Calibri" w:hAnsi="Calibri" w:cs="Calibri"/>
                <w:color w:val="000000" w:themeColor="text1"/>
              </w:rPr>
              <w:t xml:space="preserve"> key deliverable </w:t>
            </w:r>
            <w:r w:rsidR="003A1C95">
              <w:rPr>
                <w:rFonts w:ascii="Calibri" w:hAnsi="Calibri" w:cs="Calibri"/>
                <w:color w:val="000000" w:themeColor="text1"/>
              </w:rPr>
              <w:t xml:space="preserve">under this pillar is </w:t>
            </w:r>
            <w:r w:rsidRPr="5BAA8311" w:rsidR="00475B0D">
              <w:rPr>
                <w:rFonts w:ascii="Calibri" w:hAnsi="Calibri" w:cs="Calibri"/>
                <w:color w:val="000000" w:themeColor="text1"/>
              </w:rPr>
              <w:t xml:space="preserve">to undertake a review of the </w:t>
            </w:r>
            <w:r w:rsidR="00886457">
              <w:rPr>
                <w:rFonts w:ascii="Calibri" w:hAnsi="Calibri" w:cs="Calibri"/>
                <w:color w:val="000000" w:themeColor="text1"/>
              </w:rPr>
              <w:t xml:space="preserve">Responsible Gambling </w:t>
            </w:r>
            <w:r w:rsidRPr="5BAA8311" w:rsidR="00475B0D">
              <w:rPr>
                <w:rFonts w:ascii="Calibri" w:hAnsi="Calibri" w:cs="Calibri"/>
                <w:color w:val="000000" w:themeColor="text1"/>
              </w:rPr>
              <w:t>Code of Practice and mandatory requirements to strengthen and encourage effective harm minimisation outcomes</w:t>
            </w:r>
            <w:r w:rsidRPr="5BAA8311" w:rsidR="005C7204">
              <w:rPr>
                <w:rFonts w:ascii="Calibri" w:hAnsi="Calibri" w:cs="Calibri"/>
                <w:color w:val="000000" w:themeColor="text1"/>
              </w:rPr>
              <w:t xml:space="preserve"> and ensure patrons are being protected effectively</w:t>
            </w:r>
            <w:r w:rsidRPr="5BAA8311" w:rsidR="00475B0D">
              <w:rPr>
                <w:rFonts w:ascii="Calibri" w:hAnsi="Calibri" w:cs="Calibri"/>
                <w:color w:val="000000" w:themeColor="text1"/>
              </w:rPr>
              <w:t>.</w:t>
            </w:r>
            <w:r w:rsidR="006A5AC2">
              <w:rPr>
                <w:rFonts w:ascii="Calibri" w:hAnsi="Calibri" w:cs="Calibri"/>
                <w:color w:val="000000" w:themeColor="text1"/>
              </w:rPr>
              <w:t xml:space="preserve"> This includes ensuring that clubs and pubs are not engaging in predatory behaviours and </w:t>
            </w:r>
            <w:r w:rsidR="001919AB">
              <w:rPr>
                <w:rFonts w:ascii="Calibri" w:hAnsi="Calibri" w:cs="Calibri"/>
                <w:color w:val="000000" w:themeColor="text1"/>
              </w:rPr>
              <w:t>are providing safer gambling environments.</w:t>
            </w:r>
            <w:r w:rsidRPr="5BAA8311" w:rsidR="00475B0D">
              <w:rPr>
                <w:rFonts w:ascii="Calibri" w:hAnsi="Calibri" w:cs="Calibri"/>
                <w:color w:val="000000" w:themeColor="text1"/>
              </w:rPr>
              <w:t xml:space="preserve"> </w:t>
            </w:r>
            <w:r w:rsidR="000D07A9">
              <w:rPr>
                <w:rFonts w:ascii="Calibri" w:hAnsi="Calibri" w:cs="Calibri"/>
                <w:color w:val="000000" w:themeColor="text1"/>
              </w:rPr>
              <w:t xml:space="preserve">The Plan also </w:t>
            </w:r>
            <w:r w:rsidR="00BE26B4">
              <w:rPr>
                <w:rFonts w:ascii="Calibri" w:hAnsi="Calibri" w:cs="Calibri"/>
                <w:color w:val="000000" w:themeColor="text1"/>
              </w:rPr>
              <w:t>specifically includes Aboriginal and/or Torres Strait Is</w:t>
            </w:r>
            <w:r w:rsidR="006A5AC2">
              <w:rPr>
                <w:rFonts w:ascii="Calibri" w:hAnsi="Calibri" w:cs="Calibri"/>
                <w:color w:val="000000" w:themeColor="text1"/>
              </w:rPr>
              <w:t xml:space="preserve">lander communities as being at-risk </w:t>
            </w:r>
            <w:r w:rsidR="001919AB">
              <w:rPr>
                <w:rFonts w:ascii="Calibri" w:hAnsi="Calibri" w:cs="Calibri"/>
                <w:color w:val="000000" w:themeColor="text1"/>
              </w:rPr>
              <w:t>and vulnerable to the impacts of gambling harm.</w:t>
            </w:r>
          </w:p>
          <w:p w:rsidRPr="002A7534" w:rsidR="002A7534" w:rsidRDefault="002A7534" w14:paraId="56A866EF" w14:textId="77777777">
            <w:pPr>
              <w:rPr>
                <w:rStyle w:val="normaltextrun"/>
                <w:rFonts w:ascii="Calibri" w:hAnsi="Calibri" w:cs="Calibri"/>
                <w:b/>
                <w:bCs/>
                <w:color w:val="000000"/>
                <w:lang w:val="en-AU"/>
              </w:rPr>
            </w:pPr>
          </w:p>
        </w:tc>
      </w:tr>
      <w:tr w:rsidR="002A7534" w:rsidTr="1ED23488" w14:paraId="2ED6BA33" w14:textId="77777777">
        <w:tc>
          <w:tcPr>
            <w:tcW w:w="9016" w:type="dxa"/>
            <w:tcMar/>
          </w:tcPr>
          <w:p w:rsidR="00B028B9" w:rsidP="05E9475D" w:rsidRDefault="00B028B9" w14:paraId="6480F361" w14:textId="7A2E095B">
            <w:pPr>
              <w:rPr>
                <w:rFonts w:ascii="Calibri" w:hAnsi="Calibri" w:cs="Calibri"/>
                <w:b/>
                <w:bCs/>
                <w:color w:val="000000"/>
              </w:rPr>
            </w:pPr>
            <w:bookmarkStart w:name="_Hlk129780297" w:id="1"/>
            <w:r w:rsidRPr="05E9475D">
              <w:rPr>
                <w:rFonts w:ascii="Calibri" w:hAnsi="Calibri" w:cs="Calibri"/>
                <w:b/>
                <w:bCs/>
                <w:color w:val="000000" w:themeColor="text1"/>
              </w:rPr>
              <w:lastRenderedPageBreak/>
              <w:t>When you say successful, do you mean problem gambling was reduced or is it too early to tell?</w:t>
            </w:r>
          </w:p>
          <w:bookmarkEnd w:id="1"/>
          <w:p w:rsidR="00D07433" w:rsidP="00B028B9" w:rsidRDefault="00D07433" w14:paraId="3ABB33EC" w14:textId="513CFC03">
            <w:pPr>
              <w:rPr>
                <w:rFonts w:ascii="Calibri" w:hAnsi="Calibri" w:cs="Calibri"/>
                <w:color w:val="000000"/>
              </w:rPr>
            </w:pPr>
          </w:p>
          <w:p w:rsidR="002A7534" w:rsidP="05E9475D" w:rsidRDefault="002A7534" w14:paraId="0E39DC48" w14:textId="5F932441">
            <w:pPr>
              <w:rPr>
                <w:rFonts w:ascii="Calibri" w:hAnsi="Calibri" w:cs="Calibri"/>
              </w:rPr>
            </w:pPr>
            <w:r w:rsidRPr="1ED23488" w:rsidR="6B78537B">
              <w:rPr>
                <w:rFonts w:ascii="Calibri" w:hAnsi="Calibri" w:cs="Calibri"/>
              </w:rPr>
              <w:t xml:space="preserve">In short, it is too early to tell. The overall goal of the campaign was </w:t>
            </w:r>
            <w:r w:rsidRPr="1ED23488" w:rsidR="0AEBCC20">
              <w:rPr>
                <w:rFonts w:ascii="Calibri" w:hAnsi="Calibri" w:cs="Calibri"/>
              </w:rPr>
              <w:t>to</w:t>
            </w:r>
            <w:r w:rsidRPr="1ED23488" w:rsidR="6B78537B">
              <w:rPr>
                <w:rFonts w:ascii="Calibri" w:hAnsi="Calibri" w:cs="Calibri"/>
              </w:rPr>
              <w:t xml:space="preserve"> minimise gambling harm in Aboriginal and Torres Strait Islander communities. Iscariot Media’s </w:t>
            </w:r>
            <w:r w:rsidRPr="1ED23488" w:rsidR="71DEE9DF">
              <w:rPr>
                <w:rFonts w:ascii="Calibri" w:hAnsi="Calibri" w:cs="Calibri"/>
              </w:rPr>
              <w:t>stakeholder consultation and research found that an important first s</w:t>
            </w:r>
            <w:r w:rsidRPr="1ED23488" w:rsidR="53D958FB">
              <w:rPr>
                <w:rFonts w:ascii="Calibri" w:hAnsi="Calibri" w:cs="Calibri"/>
              </w:rPr>
              <w:t xml:space="preserve">tep is to start to break down stigma by starting a conversation about </w:t>
            </w:r>
            <w:r w:rsidRPr="1ED23488" w:rsidR="5C792338">
              <w:rPr>
                <w:rFonts w:ascii="Calibri" w:hAnsi="Calibri" w:cs="Calibri"/>
              </w:rPr>
              <w:t>gambling harm</w:t>
            </w:r>
            <w:r w:rsidRPr="1ED23488" w:rsidR="71F74157">
              <w:rPr>
                <w:rFonts w:ascii="Calibri" w:hAnsi="Calibri" w:cs="Calibri"/>
              </w:rPr>
              <w:t xml:space="preserve"> within communities</w:t>
            </w:r>
            <w:r w:rsidRPr="1ED23488" w:rsidR="5C792338">
              <w:rPr>
                <w:rFonts w:ascii="Calibri" w:hAnsi="Calibri" w:cs="Calibri"/>
              </w:rPr>
              <w:t>. To contribute towar</w:t>
            </w:r>
            <w:r w:rsidRPr="1ED23488" w:rsidR="42322C35">
              <w:rPr>
                <w:rFonts w:ascii="Calibri" w:hAnsi="Calibri" w:cs="Calibri"/>
              </w:rPr>
              <w:t>ds the overall goal</w:t>
            </w:r>
            <w:r w:rsidRPr="1ED23488" w:rsidR="15AA6CD2">
              <w:rPr>
                <w:rFonts w:ascii="Calibri" w:hAnsi="Calibri" w:cs="Calibri"/>
              </w:rPr>
              <w:t xml:space="preserve">, </w:t>
            </w:r>
            <w:r w:rsidRPr="1ED23488" w:rsidR="57AD20B7">
              <w:rPr>
                <w:rFonts w:ascii="Calibri" w:hAnsi="Calibri" w:cs="Calibri"/>
              </w:rPr>
              <w:t xml:space="preserve">we </w:t>
            </w:r>
            <w:r w:rsidRPr="1ED23488" w:rsidR="57AD20B7">
              <w:rPr>
                <w:rFonts w:ascii="Calibri" w:hAnsi="Calibri" w:cs="Calibri"/>
              </w:rPr>
              <w:t>established</w:t>
            </w:r>
            <w:r w:rsidRPr="1ED23488" w:rsidR="57AD20B7">
              <w:rPr>
                <w:rFonts w:ascii="Calibri" w:hAnsi="Calibri" w:cs="Calibri"/>
              </w:rPr>
              <w:t xml:space="preserve"> </w:t>
            </w:r>
            <w:r w:rsidRPr="1ED23488" w:rsidR="57AD20B7">
              <w:rPr>
                <w:rFonts w:ascii="Calibri" w:hAnsi="Calibri" w:cs="Calibri"/>
              </w:rPr>
              <w:t>a number of</w:t>
            </w:r>
            <w:r w:rsidRPr="1ED23488" w:rsidR="57AD20B7">
              <w:rPr>
                <w:rFonts w:ascii="Calibri" w:hAnsi="Calibri" w:cs="Calibri"/>
              </w:rPr>
              <w:t xml:space="preserve"> measures that, for the purposes of evaluation of the original run of the </w:t>
            </w:r>
            <w:r w:rsidRPr="1ED23488" w:rsidR="11526284">
              <w:rPr>
                <w:rFonts w:ascii="Calibri" w:hAnsi="Calibri" w:cs="Calibri"/>
              </w:rPr>
              <w:t>initial</w:t>
            </w:r>
            <w:r w:rsidRPr="1ED23488" w:rsidR="11526284">
              <w:rPr>
                <w:rFonts w:ascii="Calibri" w:hAnsi="Calibri" w:cs="Calibri"/>
              </w:rPr>
              <w:t xml:space="preserve"> run of the </w:t>
            </w:r>
            <w:r w:rsidRPr="1ED23488" w:rsidR="57AD20B7">
              <w:rPr>
                <w:rFonts w:ascii="Calibri" w:hAnsi="Calibri" w:cs="Calibri"/>
              </w:rPr>
              <w:t xml:space="preserve">campaign (July to Nov 2022), </w:t>
            </w:r>
            <w:r w:rsidRPr="1ED23488" w:rsidR="2BC9F0FC">
              <w:rPr>
                <w:rFonts w:ascii="Calibri" w:hAnsi="Calibri" w:cs="Calibri"/>
              </w:rPr>
              <w:t>could be</w:t>
            </w:r>
            <w:r w:rsidRPr="1ED23488" w:rsidR="57AD20B7">
              <w:rPr>
                <w:rFonts w:ascii="Calibri" w:hAnsi="Calibri" w:cs="Calibri"/>
              </w:rPr>
              <w:t xml:space="preserve"> measured by an audience </w:t>
            </w:r>
            <w:r w:rsidRPr="1ED23488" w:rsidR="6A5CB1C1">
              <w:rPr>
                <w:rFonts w:ascii="Calibri" w:hAnsi="Calibri" w:cs="Calibri"/>
              </w:rPr>
              <w:t xml:space="preserve">survey. </w:t>
            </w:r>
          </w:p>
          <w:p w:rsidR="001919AB" w:rsidP="05E9475D" w:rsidRDefault="001919AB" w14:paraId="31785A32" w14:textId="464EE59B">
            <w:pPr>
              <w:rPr>
                <w:rFonts w:ascii="Calibri" w:hAnsi="Calibri" w:cs="Calibri"/>
              </w:rPr>
            </w:pPr>
            <w:r w:rsidRPr="1ED23488" w:rsidR="4C5720DD">
              <w:rPr>
                <w:rFonts w:ascii="Calibri" w:hAnsi="Calibri" w:cs="Calibri"/>
              </w:rPr>
              <w:t xml:space="preserve">This evaluation found that the campaign was successful based on these measures, for example, </w:t>
            </w:r>
            <w:r w:rsidRPr="1ED23488" w:rsidR="197E348E">
              <w:rPr>
                <w:rFonts w:ascii="Calibri" w:hAnsi="Calibri" w:cs="Calibri"/>
              </w:rPr>
              <w:t>90% of people surveyed agreed that they would call the free Gambling Helpline if they needed help, and 81% said they understood gambling harm better because of the campaign. Also, 34% of viewers are thinking about having a conversation about gambling with someone they know as a direct result of the campaign.</w:t>
            </w:r>
            <w:r w:rsidRPr="1ED23488" w:rsidR="001919AB">
              <w:rPr>
                <w:rFonts w:ascii="Calibri" w:hAnsi="Calibri" w:cs="Calibri"/>
              </w:rPr>
              <w:t xml:space="preserve"> </w:t>
            </w:r>
          </w:p>
          <w:p w:rsidR="002A7534" w:rsidP="512BFBE4" w:rsidRDefault="001919AB" w14:paraId="05A4DEC6" w14:textId="3116D778">
            <w:pPr>
              <w:rPr>
                <w:rFonts w:ascii="Calibri" w:hAnsi="Calibri" w:cs="Calibri"/>
              </w:rPr>
            </w:pPr>
            <w:r>
              <w:rPr>
                <w:rFonts w:ascii="Calibri" w:hAnsi="Calibri" w:cs="Calibri"/>
              </w:rPr>
              <w:t xml:space="preserve">Further work around this issue will be done through the </w:t>
            </w:r>
            <w:r w:rsidRPr="004F7D0B">
              <w:rPr>
                <w:rFonts w:ascii="Calibri" w:hAnsi="Calibri" w:cs="Calibri"/>
                <w:i/>
                <w:iCs/>
              </w:rPr>
              <w:t>Gambling Harm Minimisation Plan for Queensland 2021-25</w:t>
            </w:r>
            <w:r>
              <w:rPr>
                <w:rFonts w:ascii="Calibri" w:hAnsi="Calibri" w:cs="Calibri"/>
              </w:rPr>
              <w:t xml:space="preserve"> e.g., research on young males’ engagement with online gambling and upskilling</w:t>
            </w:r>
            <w:r w:rsidRPr="512BFBE4">
              <w:rPr>
                <w:rFonts w:ascii="Calibri" w:hAnsi="Calibri" w:cs="Calibri"/>
                <w:lang w:val="en-AU"/>
              </w:rPr>
              <w:t xml:space="preserve"> Aboriginal and Torres Strait Islander frontline health and community support workers to recognise and address gambling harm</w:t>
            </w:r>
            <w:r>
              <w:rPr>
                <w:rFonts w:ascii="Calibri" w:hAnsi="Calibri" w:cs="Calibri"/>
                <w:lang w:val="en-AU"/>
              </w:rPr>
              <w:t>.</w:t>
            </w:r>
          </w:p>
          <w:p w:rsidR="002A7534" w:rsidP="05E9475D" w:rsidRDefault="002A7534" w14:paraId="1311D9A1" w14:textId="232A0DAF">
            <w:pPr>
              <w:rPr>
                <w:rFonts w:ascii="Calibri" w:hAnsi="Calibri" w:cs="Calibri"/>
                <w:color w:val="444444"/>
                <w:shd w:val="clear" w:color="auto" w:fill="FFFFFF"/>
              </w:rPr>
            </w:pPr>
          </w:p>
        </w:tc>
      </w:tr>
      <w:tr w:rsidR="002A7534" w:rsidTr="1ED23488" w14:paraId="0DA9B4AA" w14:textId="77777777">
        <w:tc>
          <w:tcPr>
            <w:tcW w:w="9016" w:type="dxa"/>
            <w:shd w:val="clear" w:color="auto" w:fill="E2EFD9" w:themeFill="accent6" w:themeFillTint="33"/>
            <w:tcMar/>
          </w:tcPr>
          <w:p w:rsidR="002A7534" w:rsidP="002A7534" w:rsidRDefault="002A7534" w14:paraId="6741B4C4" w14:textId="77777777">
            <w:pPr>
              <w:pStyle w:val="paragraph"/>
              <w:spacing w:before="0" w:beforeAutospacing="0" w:after="0" w:afterAutospacing="0"/>
              <w:textAlignment w:val="baseline"/>
              <w:rPr>
                <w:rFonts w:ascii="Segoe UI" w:hAnsi="Segoe UI" w:cs="Segoe UI"/>
                <w:sz w:val="18"/>
                <w:szCs w:val="18"/>
              </w:rPr>
            </w:pPr>
            <w:r w:rsidRPr="002A7534">
              <w:rPr>
                <w:rStyle w:val="normaltextrun"/>
                <w:rFonts w:ascii="Calibri" w:hAnsi="Calibri" w:cs="Calibri"/>
                <w:b/>
                <w:bCs/>
                <w:color w:val="000000"/>
                <w:sz w:val="22"/>
                <w:szCs w:val="22"/>
                <w:lang w:val="en-AU"/>
              </w:rPr>
              <w:t>Renee Henry</w:t>
            </w:r>
            <w:r>
              <w:rPr>
                <w:rStyle w:val="normaltextrun"/>
                <w:rFonts w:ascii="Calibri" w:hAnsi="Calibri" w:cs="Calibri"/>
                <w:color w:val="000000"/>
                <w:sz w:val="22"/>
                <w:szCs w:val="22"/>
                <w:lang w:val="en-AU"/>
              </w:rPr>
              <w:t>, Department of Regional Development, Manufacturing and Water, QLD</w:t>
            </w:r>
            <w:r>
              <w:rPr>
                <w:rStyle w:val="eop"/>
                <w:rFonts w:ascii="Calibri" w:hAnsi="Calibri" w:cs="Calibri"/>
                <w:color w:val="000000"/>
                <w:sz w:val="22"/>
                <w:szCs w:val="22"/>
              </w:rPr>
              <w:t> </w:t>
            </w:r>
          </w:p>
          <w:p w:rsidR="002A7534" w:rsidP="002A7534" w:rsidRDefault="002A7534" w14:paraId="5EC0B3AB" w14:textId="77777777">
            <w:pPr>
              <w:pStyle w:val="paragraph"/>
              <w:spacing w:before="0" w:beforeAutospacing="0" w:after="0" w:afterAutospacing="0"/>
              <w:textAlignment w:val="baseline"/>
              <w:rPr>
                <w:rFonts w:ascii="Segoe UI" w:hAnsi="Segoe UI" w:cs="Segoe UI"/>
                <w:sz w:val="18"/>
                <w:szCs w:val="18"/>
              </w:rPr>
            </w:pPr>
            <w:r w:rsidRPr="002A7534">
              <w:rPr>
                <w:rStyle w:val="normaltextrun"/>
                <w:rFonts w:ascii="Calibri" w:hAnsi="Calibri" w:cs="Calibri"/>
                <w:b/>
                <w:bCs/>
                <w:color w:val="000000"/>
                <w:sz w:val="22"/>
                <w:szCs w:val="22"/>
                <w:lang w:val="en-AU"/>
              </w:rPr>
              <w:t>Edward Swann</w:t>
            </w:r>
            <w:r>
              <w:rPr>
                <w:rStyle w:val="normaltextrun"/>
                <w:rFonts w:ascii="Calibri" w:hAnsi="Calibri" w:cs="Calibri"/>
                <w:color w:val="000000"/>
                <w:sz w:val="22"/>
                <w:szCs w:val="22"/>
                <w:lang w:val="en-AU"/>
              </w:rPr>
              <w:t>, Department of Regional Development, Manufacturing and Water, QLD</w:t>
            </w:r>
            <w:r>
              <w:rPr>
                <w:rStyle w:val="eop"/>
                <w:rFonts w:ascii="Calibri" w:hAnsi="Calibri" w:cs="Calibri"/>
                <w:color w:val="000000"/>
                <w:sz w:val="22"/>
                <w:szCs w:val="22"/>
              </w:rPr>
              <w:t> </w:t>
            </w:r>
          </w:p>
          <w:p w:rsidR="002A7534" w:rsidRDefault="002A7534" w14:paraId="7EB1FFA7" w14:textId="77777777">
            <w:pPr>
              <w:rPr>
                <w:rFonts w:ascii="Calibri" w:hAnsi="Calibri" w:cs="Calibri"/>
                <w:color w:val="444444"/>
                <w:shd w:val="clear" w:color="auto" w:fill="FFFFFF"/>
              </w:rPr>
            </w:pPr>
          </w:p>
        </w:tc>
      </w:tr>
      <w:tr w:rsidR="002A7534" w:rsidTr="1ED23488" w14:paraId="72740016" w14:textId="77777777">
        <w:tc>
          <w:tcPr>
            <w:tcW w:w="9016" w:type="dxa"/>
            <w:tcMar/>
          </w:tcPr>
          <w:p w:rsidR="002A7534" w:rsidP="1ED23488" w:rsidRDefault="002A7534" w14:paraId="7B2017C3" w14:textId="3AC3C7A4" w14:noSpellErr="1">
            <w:pPr>
              <w:rPr>
                <w:rFonts w:ascii="Calibri" w:hAnsi="Calibri" w:cs="Calibri"/>
                <w:b w:val="1"/>
                <w:bCs w:val="1"/>
                <w:color w:val="000000"/>
              </w:rPr>
            </w:pPr>
            <w:r w:rsidRPr="1ED23488" w:rsidR="002A7534">
              <w:rPr>
                <w:rFonts w:ascii="Calibri" w:hAnsi="Calibri" w:cs="Calibri"/>
                <w:b w:val="1"/>
                <w:bCs w:val="1"/>
                <w:color w:val="000000" w:themeColor="text1" w:themeTint="FF" w:themeShade="FF"/>
              </w:rPr>
              <w:t>What is the main water quality issue causing Water Alerts to be sent?</w:t>
            </w:r>
          </w:p>
          <w:p w:rsidR="002A7534" w:rsidP="1ED23488" w:rsidRDefault="002A7534" w14:paraId="0CD5A572" w14:textId="44E3B0D2">
            <w:pPr>
              <w:pStyle w:val="Normal"/>
              <w:rPr>
                <w:rFonts w:ascii="Calibri" w:hAnsi="Calibri" w:eastAsia="Calibri" w:cs="Calibri"/>
                <w:noProof w:val="0"/>
                <w:sz w:val="22"/>
                <w:szCs w:val="22"/>
                <w:lang w:val="en-GB"/>
              </w:rPr>
            </w:pPr>
          </w:p>
          <w:p w:rsidR="002A7534" w:rsidP="1ED23488" w:rsidRDefault="002A7534" w14:paraId="42848F23" w14:textId="5189D7C3">
            <w:pPr>
              <w:pStyle w:val="Normal"/>
            </w:pPr>
            <w:r w:rsidRPr="1ED23488" w:rsidR="5E859092">
              <w:rPr>
                <w:rFonts w:ascii="Calibri" w:hAnsi="Calibri" w:eastAsia="Calibri" w:cs="Calibri"/>
                <w:noProof w:val="0"/>
                <w:sz w:val="22"/>
                <w:szCs w:val="22"/>
                <w:lang w:val="en-GB"/>
              </w:rPr>
              <w:t xml:space="preserve">Detection of bacteria </w:t>
            </w:r>
            <w:r w:rsidRPr="1ED23488" w:rsidR="5E859092">
              <w:rPr>
                <w:rFonts w:ascii="Calibri" w:hAnsi="Calibri" w:eastAsia="Calibri" w:cs="Calibri"/>
                <w:noProof w:val="0"/>
                <w:sz w:val="22"/>
                <w:szCs w:val="22"/>
                <w:lang w:val="en-GB"/>
              </w:rPr>
              <w:t>e.coli</w:t>
            </w:r>
            <w:r w:rsidRPr="1ED23488" w:rsidR="5E859092">
              <w:rPr>
                <w:rFonts w:ascii="Calibri" w:hAnsi="Calibri" w:eastAsia="Calibri" w:cs="Calibri"/>
                <w:noProof w:val="0"/>
                <w:sz w:val="22"/>
                <w:szCs w:val="22"/>
                <w:lang w:val="en-GB"/>
              </w:rPr>
              <w:t xml:space="preserve"> which is the result of insufficient treatment processes, failed treatment processes or insufficient disinfection being achieved.</w:t>
            </w:r>
          </w:p>
        </w:tc>
      </w:tr>
      <w:tr w:rsidR="002A7534" w:rsidTr="1ED23488" w14:paraId="3225C267" w14:textId="77777777">
        <w:tc>
          <w:tcPr>
            <w:tcW w:w="9016" w:type="dxa"/>
            <w:tcMar/>
          </w:tcPr>
          <w:p w:rsidR="00B028B9" w:rsidP="1ED23488" w:rsidRDefault="00B028B9" w14:paraId="27D5C0CA" w14:textId="46F5E74A" w14:noSpellErr="1">
            <w:pPr>
              <w:rPr>
                <w:rFonts w:ascii="Calibri" w:hAnsi="Calibri" w:cs="Calibri"/>
                <w:b w:val="1"/>
                <w:bCs w:val="1"/>
                <w:color w:val="000000"/>
              </w:rPr>
            </w:pPr>
            <w:r w:rsidRPr="1ED23488" w:rsidR="00B028B9">
              <w:rPr>
                <w:rFonts w:ascii="Calibri" w:hAnsi="Calibri" w:cs="Calibri"/>
                <w:b w:val="1"/>
                <w:bCs w:val="1"/>
                <w:color w:val="000000" w:themeColor="text1" w:themeTint="FF" w:themeShade="FF"/>
              </w:rPr>
              <w:t xml:space="preserve">Did the water treatment regulator find that any cultural/custodianship values intertwined with the regulatory practice side of things? (I work at a public land </w:t>
            </w:r>
            <w:r w:rsidRPr="1ED23488" w:rsidR="00D07433">
              <w:rPr>
                <w:rFonts w:ascii="Calibri" w:hAnsi="Calibri" w:cs="Calibri"/>
                <w:b w:val="1"/>
                <w:bCs w:val="1"/>
                <w:color w:val="000000" w:themeColor="text1" w:themeTint="FF" w:themeShade="FF"/>
              </w:rPr>
              <w:t>regulator,</w:t>
            </w:r>
            <w:r w:rsidRPr="1ED23488" w:rsidR="00B028B9">
              <w:rPr>
                <w:rFonts w:ascii="Calibri" w:hAnsi="Calibri" w:cs="Calibri"/>
                <w:b w:val="1"/>
                <w:bCs w:val="1"/>
                <w:color w:val="000000" w:themeColor="text1" w:themeTint="FF" w:themeShade="FF"/>
              </w:rPr>
              <w:t xml:space="preserve"> and we're quite interested in exploring how these can be mutually supportive)</w:t>
            </w:r>
          </w:p>
          <w:p w:rsidR="1ED23488" w:rsidP="1ED23488" w:rsidRDefault="1ED23488" w14:noSpellErr="1" w14:paraId="32CA102C" w14:textId="04842FAC">
            <w:pPr>
              <w:pStyle w:val="Normal"/>
              <w:rPr>
                <w:rFonts w:ascii="Calibri" w:hAnsi="Calibri" w:cs="Calibri"/>
                <w:color w:val="000000" w:themeColor="text1" w:themeTint="FF" w:themeShade="FF"/>
              </w:rPr>
            </w:pPr>
          </w:p>
          <w:p w:rsidR="4A20FDD1" w:rsidP="1ED23488" w:rsidRDefault="4A20FDD1" w14:paraId="7730E88D" w14:textId="2F13EF1C">
            <w:pPr>
              <w:pStyle w:val="Normal"/>
            </w:pPr>
            <w:r w:rsidRPr="1ED23488" w:rsidR="4A20FDD1">
              <w:rPr>
                <w:rFonts w:ascii="Calibri" w:hAnsi="Calibri" w:eastAsia="Calibri" w:cs="Calibri"/>
                <w:noProof w:val="0"/>
                <w:sz w:val="22"/>
                <w:szCs w:val="22"/>
                <w:lang w:val="en-GB"/>
              </w:rPr>
              <w:t>Water Supply Regulator recognises and are aware of the cultural importance of water to Indigenous communities, surface water in particular sourced from rivers and streams for consumption have significant cultural and spiritual values, this is dependent on the health of the river system, with interdependencies between fish life, river flows, currents, sedimentation and health of riparian vegetation through their custodianship. All of these things are also important to the regulator as far as catchment management is concerned, which leads to the reduction of hazards and hazardous events for safer drinking water.</w:t>
            </w:r>
          </w:p>
          <w:p w:rsidR="002A7534" w:rsidRDefault="002A7534" w14:paraId="72FB6A31" w14:textId="77777777">
            <w:pPr>
              <w:rPr>
                <w:rFonts w:ascii="Calibri" w:hAnsi="Calibri" w:cs="Calibri"/>
                <w:color w:val="444444"/>
                <w:shd w:val="clear" w:color="auto" w:fill="FFFFFF"/>
              </w:rPr>
            </w:pPr>
          </w:p>
        </w:tc>
      </w:tr>
      <w:tr w:rsidR="002A7534" w:rsidTr="1ED23488" w14:paraId="498BA608" w14:textId="77777777">
        <w:tc>
          <w:tcPr>
            <w:tcW w:w="9016" w:type="dxa"/>
            <w:tcMar/>
          </w:tcPr>
          <w:p w:rsidR="00D07433" w:rsidP="1ED23488" w:rsidRDefault="00D07433" w14:paraId="116B4F45" w14:textId="62B6E828" w14:noSpellErr="1">
            <w:pPr>
              <w:rPr>
                <w:rFonts w:ascii="Calibri" w:hAnsi="Calibri" w:eastAsia="Times New Roman" w:cs="Calibri"/>
                <w:b w:val="1"/>
                <w:bCs w:val="1"/>
                <w:color w:val="000000"/>
                <w:lang w:eastAsia="en-GB"/>
              </w:rPr>
            </w:pPr>
            <w:r w:rsidRPr="1ED23488" w:rsidR="00D07433">
              <w:rPr>
                <w:rFonts w:ascii="Calibri" w:hAnsi="Calibri" w:eastAsia="Times New Roman" w:cs="Calibri"/>
                <w:b w:val="1"/>
                <w:bCs w:val="1"/>
                <w:color w:val="000000" w:themeColor="text1" w:themeTint="FF" w:themeShade="FF"/>
                <w:lang w:eastAsia="en-GB"/>
              </w:rPr>
              <w:t xml:space="preserve">Is it </w:t>
            </w:r>
            <w:r w:rsidRPr="1ED23488" w:rsidR="00D07433">
              <w:rPr>
                <w:rFonts w:ascii="Calibri" w:hAnsi="Calibri" w:eastAsia="Times New Roman" w:cs="Calibri"/>
                <w:b w:val="1"/>
                <w:bCs w:val="1"/>
                <w:color w:val="000000" w:themeColor="text1" w:themeTint="FF" w:themeShade="FF"/>
                <w:lang w:eastAsia="en-GB"/>
              </w:rPr>
              <w:t>appropriate to</w:t>
            </w:r>
            <w:r w:rsidRPr="1ED23488" w:rsidR="00D07433">
              <w:rPr>
                <w:rFonts w:ascii="Calibri" w:hAnsi="Calibri" w:eastAsia="Times New Roman" w:cs="Calibri"/>
                <w:b w:val="1"/>
                <w:bCs w:val="1"/>
                <w:color w:val="000000" w:themeColor="text1" w:themeTint="FF" w:themeShade="FF"/>
                <w:lang w:eastAsia="en-GB"/>
              </w:rPr>
              <w:t xml:space="preserve"> seek out other agencies or </w:t>
            </w:r>
            <w:r w:rsidRPr="1ED23488" w:rsidR="00D07433">
              <w:rPr>
                <w:rFonts w:ascii="Calibri" w:hAnsi="Calibri" w:eastAsia="Times New Roman" w:cs="Calibri"/>
                <w:b w:val="1"/>
                <w:bCs w:val="1"/>
                <w:color w:val="000000" w:themeColor="text1" w:themeTint="FF" w:themeShade="FF"/>
                <w:lang w:eastAsia="en-GB"/>
              </w:rPr>
              <w:t>jurisdictions</w:t>
            </w:r>
            <w:r w:rsidRPr="1ED23488" w:rsidR="00D07433">
              <w:rPr>
                <w:rFonts w:ascii="Calibri" w:hAnsi="Calibri" w:eastAsia="Times New Roman" w:cs="Calibri"/>
                <w:b w:val="1"/>
                <w:bCs w:val="1"/>
                <w:color w:val="000000" w:themeColor="text1" w:themeTint="FF" w:themeShade="FF"/>
                <w:lang w:eastAsia="en-GB"/>
              </w:rPr>
              <w:t xml:space="preserve"> who are consulting on similar issues and create a joint consultation program?</w:t>
            </w:r>
          </w:p>
          <w:p w:rsidR="1ED23488" w:rsidP="1ED23488" w:rsidRDefault="1ED23488" w14:noSpellErr="1" w14:paraId="22B52958" w14:textId="214D0E22">
            <w:pPr>
              <w:pStyle w:val="Normal"/>
              <w:rPr>
                <w:rFonts w:ascii="Calibri" w:hAnsi="Calibri" w:eastAsia="Times New Roman" w:cs="Calibri"/>
                <w:color w:val="000000" w:themeColor="text1" w:themeTint="FF" w:themeShade="FF"/>
                <w:lang w:eastAsia="en-GB"/>
              </w:rPr>
            </w:pPr>
          </w:p>
          <w:p w:rsidR="53B3C2DA" w:rsidP="1ED23488" w:rsidRDefault="53B3C2DA" w14:paraId="7872635F" w14:textId="18A87C8B">
            <w:pPr>
              <w:pStyle w:val="Normal"/>
            </w:pPr>
            <w:r w:rsidRPr="1ED23488" w:rsidR="53B3C2DA">
              <w:rPr>
                <w:rFonts w:ascii="Calibri" w:hAnsi="Calibri" w:eastAsia="Calibri" w:cs="Calibri"/>
                <w:noProof w:val="0"/>
                <w:sz w:val="22"/>
                <w:szCs w:val="22"/>
                <w:lang w:val="en-GB"/>
              </w:rPr>
              <w:t>Ye</w:t>
            </w:r>
            <w:r w:rsidRPr="1ED23488" w:rsidR="53B3C2DA">
              <w:rPr>
                <w:rFonts w:ascii="Calibri" w:hAnsi="Calibri" w:eastAsia="Calibri" w:cs="Calibri"/>
                <w:noProof w:val="0"/>
                <w:sz w:val="22"/>
                <w:szCs w:val="22"/>
                <w:lang w:val="en-GB"/>
              </w:rPr>
              <w:t>s,</w:t>
            </w:r>
            <w:r w:rsidRPr="1ED23488" w:rsidR="761651F8">
              <w:rPr>
                <w:rFonts w:ascii="Calibri" w:hAnsi="Calibri" w:eastAsia="Calibri" w:cs="Calibri"/>
                <w:noProof w:val="0"/>
                <w:sz w:val="22"/>
                <w:szCs w:val="22"/>
                <w:lang w:val="en-GB"/>
              </w:rPr>
              <w:t xml:space="preserve"> a</w:t>
            </w:r>
            <w:r w:rsidRPr="1ED23488" w:rsidR="761651F8">
              <w:rPr>
                <w:rFonts w:ascii="Calibri" w:hAnsi="Calibri" w:eastAsia="Calibri" w:cs="Calibri"/>
                <w:noProof w:val="0"/>
                <w:sz w:val="22"/>
                <w:szCs w:val="22"/>
                <w:lang w:val="en-GB"/>
              </w:rPr>
              <w:t xml:space="preserve">nd we do this regularly reaching out to public health units and even other government departments that have any involvement in the work, for example, agencies </w:t>
            </w:r>
            <w:r w:rsidRPr="1ED23488" w:rsidR="761651F8">
              <w:rPr>
                <w:rFonts w:ascii="Calibri" w:hAnsi="Calibri" w:eastAsia="Calibri" w:cs="Calibri"/>
                <w:noProof w:val="0"/>
                <w:sz w:val="22"/>
                <w:szCs w:val="22"/>
                <w:lang w:val="en-GB"/>
              </w:rPr>
              <w:t>providing</w:t>
            </w:r>
            <w:r w:rsidRPr="1ED23488" w:rsidR="761651F8">
              <w:rPr>
                <w:rFonts w:ascii="Calibri" w:hAnsi="Calibri" w:eastAsia="Calibri" w:cs="Calibri"/>
                <w:noProof w:val="0"/>
                <w:sz w:val="22"/>
                <w:szCs w:val="22"/>
                <w:lang w:val="en-GB"/>
              </w:rPr>
              <w:t xml:space="preserve"> grants programs, Department of Environment and Science and Aboriginal and Torres Strait Islander Partnerships. We also try to combine our site visits so that they are more beneficial for all parties.</w:t>
            </w:r>
          </w:p>
          <w:p w:rsidR="002A7534" w:rsidRDefault="002A7534" w14:paraId="678DE4B3" w14:textId="77777777">
            <w:pPr>
              <w:rPr>
                <w:rFonts w:ascii="Calibri" w:hAnsi="Calibri" w:cs="Calibri"/>
                <w:color w:val="444444"/>
                <w:shd w:val="clear" w:color="auto" w:fill="FFFFFF"/>
              </w:rPr>
            </w:pPr>
          </w:p>
        </w:tc>
      </w:tr>
      <w:tr w:rsidR="002A7534" w:rsidTr="1ED23488" w14:paraId="779A4401" w14:textId="77777777">
        <w:tc>
          <w:tcPr>
            <w:tcW w:w="9016" w:type="dxa"/>
            <w:shd w:val="clear" w:color="auto" w:fill="E2EFD9" w:themeFill="accent6" w:themeFillTint="33"/>
            <w:tcMar/>
          </w:tcPr>
          <w:p w:rsidR="002A7534" w:rsidP="002A7534" w:rsidRDefault="002A7534" w14:paraId="4F99209D" w14:textId="77777777">
            <w:pPr>
              <w:pStyle w:val="paragraph"/>
              <w:spacing w:before="0" w:beforeAutospacing="0" w:after="0" w:afterAutospacing="0"/>
              <w:textAlignment w:val="baseline"/>
              <w:rPr>
                <w:rFonts w:ascii="Segoe UI" w:hAnsi="Segoe UI" w:cs="Segoe UI"/>
                <w:sz w:val="18"/>
                <w:szCs w:val="18"/>
              </w:rPr>
            </w:pPr>
            <w:r w:rsidRPr="002A7534">
              <w:rPr>
                <w:rStyle w:val="normaltextrun"/>
                <w:rFonts w:ascii="Calibri" w:hAnsi="Calibri" w:cs="Calibri"/>
                <w:b/>
                <w:bCs/>
                <w:color w:val="000000"/>
                <w:sz w:val="22"/>
                <w:szCs w:val="22"/>
                <w:lang w:val="en-AU"/>
              </w:rPr>
              <w:t>Katrina Sanderson</w:t>
            </w:r>
            <w:r>
              <w:rPr>
                <w:rStyle w:val="normaltextrun"/>
                <w:rFonts w:ascii="Calibri" w:hAnsi="Calibri" w:cs="Calibri"/>
                <w:color w:val="000000"/>
                <w:sz w:val="22"/>
                <w:szCs w:val="22"/>
                <w:lang w:val="en-AU"/>
              </w:rPr>
              <w:t>, Department of Environment and Science, QLD</w:t>
            </w:r>
            <w:r>
              <w:rPr>
                <w:rStyle w:val="eop"/>
                <w:rFonts w:ascii="Calibri" w:hAnsi="Calibri" w:cs="Calibri"/>
                <w:color w:val="000000"/>
                <w:sz w:val="22"/>
                <w:szCs w:val="22"/>
              </w:rPr>
              <w:t> </w:t>
            </w:r>
          </w:p>
          <w:p w:rsidR="002A7534" w:rsidRDefault="002A7534" w14:paraId="3925BB96" w14:textId="77777777">
            <w:pPr>
              <w:rPr>
                <w:rFonts w:ascii="Calibri" w:hAnsi="Calibri" w:cs="Calibri"/>
                <w:color w:val="444444"/>
                <w:shd w:val="clear" w:color="auto" w:fill="FFFFFF"/>
              </w:rPr>
            </w:pPr>
          </w:p>
        </w:tc>
      </w:tr>
      <w:tr w:rsidR="002A7534" w:rsidTr="1ED23488" w14:paraId="7D878AD5" w14:textId="77777777">
        <w:tc>
          <w:tcPr>
            <w:tcW w:w="9016" w:type="dxa"/>
            <w:tcMar/>
          </w:tcPr>
          <w:p w:rsidR="002A7534" w:rsidP="1ED23488" w:rsidRDefault="002A7534" w14:paraId="6D9E6DB2" w14:textId="654E4FFA" w14:noSpellErr="1">
            <w:pPr>
              <w:rPr>
                <w:rFonts w:ascii="Calibri" w:hAnsi="Calibri" w:cs="Calibri"/>
                <w:b w:val="1"/>
                <w:bCs w:val="1"/>
                <w:color w:val="000000"/>
              </w:rPr>
            </w:pPr>
            <w:r w:rsidRPr="1ED23488" w:rsidR="002A7534">
              <w:rPr>
                <w:rFonts w:ascii="Calibri" w:hAnsi="Calibri" w:cs="Calibri"/>
                <w:b w:val="1"/>
                <w:bCs w:val="1"/>
                <w:color w:val="000000" w:themeColor="text1" w:themeTint="FF" w:themeShade="FF"/>
              </w:rPr>
              <w:t>Is there an equal playing field between Traditional Owners and biodiscovery entity? re: who funds 'professionals' to negotiate on the Agreement</w:t>
            </w:r>
            <w:r w:rsidRPr="1ED23488" w:rsidR="00B028B9">
              <w:rPr>
                <w:rFonts w:ascii="Calibri" w:hAnsi="Calibri" w:cs="Calibri"/>
                <w:b w:val="1"/>
                <w:bCs w:val="1"/>
                <w:color w:val="000000" w:themeColor="text1" w:themeTint="FF" w:themeShade="FF"/>
              </w:rPr>
              <w:t>?</w:t>
            </w:r>
          </w:p>
          <w:p w:rsidR="1ED23488" w:rsidP="1ED23488" w:rsidRDefault="1ED23488" w14:noSpellErr="1" w14:paraId="3848BCEE" w14:textId="09F37185">
            <w:pPr>
              <w:pStyle w:val="Normal"/>
              <w:rPr>
                <w:rFonts w:ascii="Calibri" w:hAnsi="Calibri" w:cs="Calibri"/>
                <w:color w:val="000000" w:themeColor="text1" w:themeTint="FF" w:themeShade="FF"/>
              </w:rPr>
            </w:pPr>
          </w:p>
          <w:p w:rsidR="5568C491" w:rsidRDefault="5568C491" w14:paraId="78B91CA2" w14:textId="776EC3CA">
            <w:r w:rsidRPr="1ED23488" w:rsidR="5568C491">
              <w:rPr>
                <w:rFonts w:ascii="Calibri" w:hAnsi="Calibri" w:eastAsia="Calibri" w:cs="Calibri"/>
                <w:noProof w:val="0"/>
                <w:color w:val="444444"/>
                <w:sz w:val="22"/>
                <w:szCs w:val="22"/>
                <w:lang w:val="en-GB"/>
              </w:rPr>
              <w:t xml:space="preserve">Partners in our biodiscovery reforms, from both First Nations and biodiscovery entity backgrounds, highlighted that there is not an even playing field. We are working on a range of mechanisms to reduce the impact of this power dynamic. All of our documents are designed to encourage and facilitate genuine, trusting partnerships. Our </w:t>
            </w:r>
            <w:hyperlink r:id="R193458bec3694542">
              <w:r w:rsidRPr="1ED23488" w:rsidR="5568C491">
                <w:rPr>
                  <w:rStyle w:val="Hyperlink"/>
                  <w:rFonts w:ascii="Calibri" w:hAnsi="Calibri" w:eastAsia="Calibri" w:cs="Calibri"/>
                  <w:strike w:val="0"/>
                  <w:dstrike w:val="0"/>
                  <w:noProof w:val="0"/>
                  <w:sz w:val="22"/>
                  <w:szCs w:val="22"/>
                  <w:lang w:val="en-GB"/>
                </w:rPr>
                <w:t>Traditional Knowledge Guidelines</w:t>
              </w:r>
            </w:hyperlink>
            <w:r w:rsidRPr="1ED23488" w:rsidR="5568C491">
              <w:rPr>
                <w:rFonts w:ascii="Calibri" w:hAnsi="Calibri" w:eastAsia="Calibri" w:cs="Calibri"/>
                <w:noProof w:val="0"/>
                <w:color w:val="444444"/>
                <w:sz w:val="22"/>
                <w:szCs w:val="22"/>
                <w:lang w:val="en-GB"/>
              </w:rPr>
              <w:t xml:space="preserve"> also suggest that biodiscovery entities:</w:t>
            </w:r>
          </w:p>
          <w:p w:rsidR="5568C491" w:rsidP="1ED23488" w:rsidRDefault="5568C491" w14:paraId="75104772" w14:textId="1E7FFC89">
            <w:pPr>
              <w:pStyle w:val="ListParagraph"/>
              <w:numPr>
                <w:ilvl w:val="0"/>
                <w:numId w:val="1"/>
              </w:numPr>
              <w:rPr>
                <w:rFonts w:ascii="Calibri" w:hAnsi="Calibri" w:eastAsia="Calibri" w:cs="Calibri"/>
                <w:noProof w:val="0"/>
                <w:color w:val="444444"/>
                <w:sz w:val="22"/>
                <w:szCs w:val="22"/>
                <w:lang w:val="en-GB"/>
              </w:rPr>
            </w:pPr>
            <w:r w:rsidRPr="1ED23488" w:rsidR="5568C491">
              <w:rPr>
                <w:rFonts w:ascii="Calibri" w:hAnsi="Calibri" w:eastAsia="Calibri" w:cs="Calibri"/>
                <w:noProof w:val="0"/>
                <w:color w:val="444444"/>
                <w:sz w:val="22"/>
                <w:szCs w:val="22"/>
                <w:lang w:val="en-GB"/>
              </w:rPr>
              <w:t>provide resources to support custodians to participate in decisions-making processes – for example, by funding or providing logistical support for the custodians to meet and for the preparation of culturally appropriate and easy to understand material, and</w:t>
            </w:r>
          </w:p>
          <w:p w:rsidR="5568C491" w:rsidP="1ED23488" w:rsidRDefault="5568C491" w14:paraId="21513EFB" w14:textId="7D7FC8B1">
            <w:pPr>
              <w:pStyle w:val="ListParagraph"/>
              <w:numPr>
                <w:ilvl w:val="0"/>
                <w:numId w:val="1"/>
              </w:numPr>
              <w:rPr>
                <w:rFonts w:ascii="Calibri" w:hAnsi="Calibri" w:eastAsia="Calibri" w:cs="Calibri"/>
                <w:noProof w:val="0"/>
                <w:color w:val="444444"/>
                <w:sz w:val="22"/>
                <w:szCs w:val="22"/>
                <w:lang w:val="en-GB"/>
              </w:rPr>
            </w:pPr>
            <w:r w:rsidRPr="1ED23488" w:rsidR="5568C491">
              <w:rPr>
                <w:rFonts w:ascii="Calibri" w:hAnsi="Calibri" w:eastAsia="Calibri" w:cs="Calibri"/>
                <w:noProof w:val="0"/>
                <w:color w:val="444444"/>
                <w:sz w:val="22"/>
                <w:szCs w:val="22"/>
                <w:lang w:val="en-GB"/>
              </w:rPr>
              <w:t xml:space="preserve">support First Nations partners to access independent advice – for example, this may be by directly funding the procurement of independent advice or by helping the community find advisors (such as law firms willing to undertake pro bono work). </w:t>
            </w:r>
          </w:p>
          <w:p w:rsidR="5568C491" w:rsidP="1ED23488" w:rsidRDefault="5568C491" w14:paraId="1D375BA7" w14:textId="0B1E5BEC">
            <w:pPr>
              <w:pStyle w:val="Normal"/>
              <w:rPr>
                <w:rFonts w:ascii="Calibri" w:hAnsi="Calibri" w:eastAsia="Calibri" w:cs="Calibri"/>
                <w:noProof w:val="0"/>
                <w:sz w:val="22"/>
                <w:szCs w:val="22"/>
                <w:lang w:val="en-GB"/>
              </w:rPr>
            </w:pPr>
            <w:r w:rsidRPr="1ED23488" w:rsidR="5568C491">
              <w:rPr>
                <w:rFonts w:ascii="Calibri" w:hAnsi="Calibri" w:eastAsia="Calibri" w:cs="Calibri"/>
                <w:noProof w:val="0"/>
                <w:color w:val="444444"/>
                <w:sz w:val="22"/>
                <w:szCs w:val="22"/>
                <w:lang w:val="en-GB"/>
              </w:rPr>
              <w:t>We are also undertaking work to support First Nations peoples to know and utilise their rights and to build biodiscovery entities’ cultural capability. To raise awareness, we are giving presentations and have made written materials available on what First Nations peoples’ rights. We are also developing templates for documents needed throughout a project cycle, such as for recording free, prior and informed consent and negotiating benefit sharing. We acknowledge this will not go all the way to resolving the power imbalance.</w:t>
            </w:r>
          </w:p>
          <w:p w:rsidR="002A7534" w:rsidP="00B028B9" w:rsidRDefault="002A7534" w14:paraId="61D32D8E" w14:textId="77777777">
            <w:pPr>
              <w:rPr>
                <w:rFonts w:ascii="Calibri" w:hAnsi="Calibri" w:cs="Calibri"/>
                <w:color w:val="444444"/>
                <w:shd w:val="clear" w:color="auto" w:fill="FFFFFF"/>
              </w:rPr>
            </w:pPr>
          </w:p>
        </w:tc>
      </w:tr>
      <w:tr w:rsidR="002A7534" w:rsidTr="1ED23488" w14:paraId="796D140A" w14:textId="77777777">
        <w:tc>
          <w:tcPr>
            <w:tcW w:w="9016" w:type="dxa"/>
            <w:tcMar/>
          </w:tcPr>
          <w:p w:rsidR="00B028B9" w:rsidP="1ED23488" w:rsidRDefault="00B028B9" w14:paraId="2C08BE9A" w14:textId="41F0C6FD" w14:noSpellErr="1">
            <w:pPr>
              <w:rPr>
                <w:rFonts w:ascii="Calibri" w:hAnsi="Calibri" w:cs="Calibri"/>
                <w:b w:val="1"/>
                <w:bCs w:val="1"/>
                <w:color w:val="000000"/>
              </w:rPr>
            </w:pPr>
            <w:r w:rsidRPr="1ED23488" w:rsidR="00B028B9">
              <w:rPr>
                <w:rFonts w:ascii="Calibri" w:hAnsi="Calibri" w:cs="Calibri"/>
                <w:b w:val="1"/>
                <w:bCs w:val="1"/>
                <w:color w:val="000000" w:themeColor="text1" w:themeTint="FF" w:themeShade="FF"/>
              </w:rPr>
              <w:t>Social licence and development – how can you manage to achieve sustainable development from a single position, do you think that ‘no’ from first nations is final and no development should be done?</w:t>
            </w:r>
          </w:p>
          <w:p w:rsidR="1ED23488" w:rsidP="1ED23488" w:rsidRDefault="1ED23488" w14:noSpellErr="1" w14:paraId="04AC8188" w14:textId="7CBAE46B">
            <w:pPr>
              <w:pStyle w:val="Normal"/>
              <w:rPr>
                <w:rFonts w:ascii="Calibri" w:hAnsi="Calibri" w:cs="Calibri"/>
                <w:color w:val="000000" w:themeColor="text1" w:themeTint="FF" w:themeShade="FF"/>
              </w:rPr>
            </w:pPr>
          </w:p>
          <w:p w:rsidR="5BCF5AF5" w:rsidP="1ED23488" w:rsidRDefault="5BCF5AF5" w14:paraId="6625507D" w14:textId="6CA64B39">
            <w:pPr>
              <w:pStyle w:val="Normal"/>
            </w:pPr>
            <w:r w:rsidRPr="1ED23488" w:rsidR="5BCF5AF5">
              <w:rPr>
                <w:rFonts w:ascii="Calibri" w:hAnsi="Calibri" w:eastAsia="Calibri" w:cs="Calibri"/>
                <w:noProof w:val="0"/>
                <w:color w:val="444444"/>
                <w:sz w:val="22"/>
                <w:szCs w:val="22"/>
                <w:lang w:val="en-GB"/>
              </w:rPr>
              <w:t xml:space="preserve">In the biodiscovery context, we have been very clear that any entity wanting to use First Nations peoples’ knowledge can only do so with the consent of the appropriate custodian(s). That means that a ‘no’ from First Nations peoples is final and the project cannot use the knowledge. This is an important aspect of supporting First Nations peoples’ self-determination and recognising their cultural and intellectual property rights in accordance with the UN Declaration on the Rights of Indigenous Peoples and the </w:t>
            </w:r>
            <w:r w:rsidRPr="1ED23488" w:rsidR="5BCF5AF5">
              <w:rPr>
                <w:rFonts w:ascii="Calibri" w:hAnsi="Calibri" w:eastAsia="Calibri" w:cs="Calibri"/>
                <w:i w:val="1"/>
                <w:iCs w:val="1"/>
                <w:noProof w:val="0"/>
                <w:color w:val="444444"/>
                <w:sz w:val="22"/>
                <w:szCs w:val="22"/>
                <w:lang w:val="en-GB"/>
              </w:rPr>
              <w:t xml:space="preserve">Human Rights Act 2019 </w:t>
            </w:r>
            <w:r w:rsidRPr="1ED23488" w:rsidR="5BCF5AF5">
              <w:rPr>
                <w:rFonts w:ascii="Calibri" w:hAnsi="Calibri" w:eastAsia="Calibri" w:cs="Calibri"/>
                <w:noProof w:val="0"/>
                <w:color w:val="444444"/>
                <w:sz w:val="22"/>
                <w:szCs w:val="22"/>
                <w:lang w:val="en-GB"/>
              </w:rPr>
              <w:t xml:space="preserve">(Qld).  </w:t>
            </w:r>
            <w:r w:rsidRPr="1ED23488" w:rsidR="5BCF5AF5">
              <w:rPr>
                <w:rFonts w:ascii="Calibri" w:hAnsi="Calibri" w:eastAsia="Calibri" w:cs="Calibri"/>
                <w:noProof w:val="0"/>
                <w:sz w:val="22"/>
                <w:szCs w:val="22"/>
                <w:lang w:val="en-GB"/>
              </w:rPr>
              <w:t xml:space="preserve"> </w:t>
            </w:r>
          </w:p>
          <w:p w:rsidR="002A7534" w:rsidRDefault="002A7534" w14:paraId="7A1E59EF" w14:textId="77777777">
            <w:pPr>
              <w:rPr>
                <w:rFonts w:ascii="Calibri" w:hAnsi="Calibri" w:cs="Calibri"/>
                <w:color w:val="444444"/>
                <w:shd w:val="clear" w:color="auto" w:fill="FFFFFF"/>
              </w:rPr>
            </w:pPr>
          </w:p>
        </w:tc>
      </w:tr>
    </w:tbl>
    <w:p w:rsidR="002A7534" w:rsidP="007F4A66" w:rsidRDefault="002A7534" w14:paraId="2C76A995" w14:textId="3B7C259B">
      <w:pPr>
        <w:rPr>
          <w:rFonts w:ascii="Calibri" w:hAnsi="Calibri" w:cs="Calibri"/>
          <w:color w:val="444444"/>
          <w:shd w:val="clear" w:color="auto" w:fill="FFFFFF"/>
        </w:rPr>
      </w:pPr>
    </w:p>
    <w:sectPr w:rsidR="002A753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25676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34"/>
    <w:rsid w:val="0000738B"/>
    <w:rsid w:val="00010410"/>
    <w:rsid w:val="00020936"/>
    <w:rsid w:val="00027DD4"/>
    <w:rsid w:val="00032E40"/>
    <w:rsid w:val="000832AA"/>
    <w:rsid w:val="000928D9"/>
    <w:rsid w:val="000973C0"/>
    <w:rsid w:val="000A5B17"/>
    <w:rsid w:val="000C6DDE"/>
    <w:rsid w:val="000D07A9"/>
    <w:rsid w:val="000D5835"/>
    <w:rsid w:val="0010633D"/>
    <w:rsid w:val="001144A9"/>
    <w:rsid w:val="00140E73"/>
    <w:rsid w:val="00160E45"/>
    <w:rsid w:val="0016241A"/>
    <w:rsid w:val="00162A07"/>
    <w:rsid w:val="001754AD"/>
    <w:rsid w:val="001919AB"/>
    <w:rsid w:val="001D3C30"/>
    <w:rsid w:val="001E1B45"/>
    <w:rsid w:val="00202E34"/>
    <w:rsid w:val="0022283F"/>
    <w:rsid w:val="0022581F"/>
    <w:rsid w:val="00247A98"/>
    <w:rsid w:val="00250C63"/>
    <w:rsid w:val="00262A93"/>
    <w:rsid w:val="002730A9"/>
    <w:rsid w:val="00282279"/>
    <w:rsid w:val="002A7534"/>
    <w:rsid w:val="002A7807"/>
    <w:rsid w:val="002B5321"/>
    <w:rsid w:val="002C7A6C"/>
    <w:rsid w:val="002D4710"/>
    <w:rsid w:val="002F6A6B"/>
    <w:rsid w:val="0030327D"/>
    <w:rsid w:val="0033139C"/>
    <w:rsid w:val="00393026"/>
    <w:rsid w:val="003A1C95"/>
    <w:rsid w:val="003C0028"/>
    <w:rsid w:val="003E0DBA"/>
    <w:rsid w:val="003F4FD6"/>
    <w:rsid w:val="004247C6"/>
    <w:rsid w:val="00431D55"/>
    <w:rsid w:val="00475B0D"/>
    <w:rsid w:val="004D2530"/>
    <w:rsid w:val="004F7D0B"/>
    <w:rsid w:val="0053196F"/>
    <w:rsid w:val="00532F7D"/>
    <w:rsid w:val="00536AA0"/>
    <w:rsid w:val="00544EA2"/>
    <w:rsid w:val="00575BD7"/>
    <w:rsid w:val="00590B67"/>
    <w:rsid w:val="005C7204"/>
    <w:rsid w:val="00650EA6"/>
    <w:rsid w:val="00660AD9"/>
    <w:rsid w:val="00666EB2"/>
    <w:rsid w:val="00670D14"/>
    <w:rsid w:val="00673247"/>
    <w:rsid w:val="006A5AC2"/>
    <w:rsid w:val="006B6DD0"/>
    <w:rsid w:val="006D5A0E"/>
    <w:rsid w:val="00753EAE"/>
    <w:rsid w:val="007E55BD"/>
    <w:rsid w:val="007F3852"/>
    <w:rsid w:val="007F494C"/>
    <w:rsid w:val="007F4A66"/>
    <w:rsid w:val="00817158"/>
    <w:rsid w:val="0082005B"/>
    <w:rsid w:val="00820143"/>
    <w:rsid w:val="008266C9"/>
    <w:rsid w:val="00885B80"/>
    <w:rsid w:val="00886457"/>
    <w:rsid w:val="008C48CE"/>
    <w:rsid w:val="008D7A5C"/>
    <w:rsid w:val="008F0D7D"/>
    <w:rsid w:val="0090686A"/>
    <w:rsid w:val="00942BB0"/>
    <w:rsid w:val="00950168"/>
    <w:rsid w:val="0095312E"/>
    <w:rsid w:val="00956C57"/>
    <w:rsid w:val="00966A12"/>
    <w:rsid w:val="00985073"/>
    <w:rsid w:val="00990E87"/>
    <w:rsid w:val="009B000C"/>
    <w:rsid w:val="009B1E2D"/>
    <w:rsid w:val="009B61A6"/>
    <w:rsid w:val="009C6918"/>
    <w:rsid w:val="009D4B92"/>
    <w:rsid w:val="00A00C0D"/>
    <w:rsid w:val="00A13629"/>
    <w:rsid w:val="00A20497"/>
    <w:rsid w:val="00A36832"/>
    <w:rsid w:val="00A50F5A"/>
    <w:rsid w:val="00A55F41"/>
    <w:rsid w:val="00A578CE"/>
    <w:rsid w:val="00A823C5"/>
    <w:rsid w:val="00A952FE"/>
    <w:rsid w:val="00AF4184"/>
    <w:rsid w:val="00B028B9"/>
    <w:rsid w:val="00B0514D"/>
    <w:rsid w:val="00B31BCF"/>
    <w:rsid w:val="00B53822"/>
    <w:rsid w:val="00B6285E"/>
    <w:rsid w:val="00B87423"/>
    <w:rsid w:val="00BB387B"/>
    <w:rsid w:val="00BD6866"/>
    <w:rsid w:val="00BE26B4"/>
    <w:rsid w:val="00BF6C99"/>
    <w:rsid w:val="00BF7815"/>
    <w:rsid w:val="00C066AA"/>
    <w:rsid w:val="00C11395"/>
    <w:rsid w:val="00C268C9"/>
    <w:rsid w:val="00C4406E"/>
    <w:rsid w:val="00C44333"/>
    <w:rsid w:val="00C80A23"/>
    <w:rsid w:val="00C935C3"/>
    <w:rsid w:val="00CE738B"/>
    <w:rsid w:val="00CF733E"/>
    <w:rsid w:val="00D032BB"/>
    <w:rsid w:val="00D07433"/>
    <w:rsid w:val="00D16828"/>
    <w:rsid w:val="00D3239F"/>
    <w:rsid w:val="00D90271"/>
    <w:rsid w:val="00D92605"/>
    <w:rsid w:val="00DA7EBB"/>
    <w:rsid w:val="00DD407C"/>
    <w:rsid w:val="00E11E58"/>
    <w:rsid w:val="00E66363"/>
    <w:rsid w:val="00E66F93"/>
    <w:rsid w:val="00E73B30"/>
    <w:rsid w:val="00EB63A7"/>
    <w:rsid w:val="00EC78C5"/>
    <w:rsid w:val="00ED3B55"/>
    <w:rsid w:val="00F3087D"/>
    <w:rsid w:val="00F45788"/>
    <w:rsid w:val="00F53349"/>
    <w:rsid w:val="00F64A75"/>
    <w:rsid w:val="00FB3F0E"/>
    <w:rsid w:val="00FC4A52"/>
    <w:rsid w:val="00FD6B2A"/>
    <w:rsid w:val="016029FE"/>
    <w:rsid w:val="018687EC"/>
    <w:rsid w:val="027F4D92"/>
    <w:rsid w:val="02BFBB42"/>
    <w:rsid w:val="048825DE"/>
    <w:rsid w:val="05E9475D"/>
    <w:rsid w:val="061EF3AE"/>
    <w:rsid w:val="063FB309"/>
    <w:rsid w:val="06D7E0B9"/>
    <w:rsid w:val="0762A373"/>
    <w:rsid w:val="082C267C"/>
    <w:rsid w:val="08A70886"/>
    <w:rsid w:val="0A66F857"/>
    <w:rsid w:val="0A9A4435"/>
    <w:rsid w:val="0AEBCC20"/>
    <w:rsid w:val="0B1BE0E1"/>
    <w:rsid w:val="0BE07799"/>
    <w:rsid w:val="0D629749"/>
    <w:rsid w:val="0E62056D"/>
    <w:rsid w:val="0ED5391B"/>
    <w:rsid w:val="0F85340F"/>
    <w:rsid w:val="0F89C096"/>
    <w:rsid w:val="0FFDD5CE"/>
    <w:rsid w:val="109B9F60"/>
    <w:rsid w:val="10A9DF4B"/>
    <w:rsid w:val="11210470"/>
    <w:rsid w:val="11526284"/>
    <w:rsid w:val="1171FA08"/>
    <w:rsid w:val="1405E11C"/>
    <w:rsid w:val="1546D1CF"/>
    <w:rsid w:val="1551222F"/>
    <w:rsid w:val="15AA6CD2"/>
    <w:rsid w:val="16A26930"/>
    <w:rsid w:val="16DDCEFB"/>
    <w:rsid w:val="1862F304"/>
    <w:rsid w:val="192C1655"/>
    <w:rsid w:val="195922BF"/>
    <w:rsid w:val="197E348E"/>
    <w:rsid w:val="1A4C5561"/>
    <w:rsid w:val="1A7BBB5B"/>
    <w:rsid w:val="1A84CC3E"/>
    <w:rsid w:val="1B4BC812"/>
    <w:rsid w:val="1C0C9F41"/>
    <w:rsid w:val="1CEF5EBD"/>
    <w:rsid w:val="1DA86FA2"/>
    <w:rsid w:val="1DE7A055"/>
    <w:rsid w:val="1E0819E5"/>
    <w:rsid w:val="1ED23488"/>
    <w:rsid w:val="1FAA23A1"/>
    <w:rsid w:val="2025C9B8"/>
    <w:rsid w:val="20411A04"/>
    <w:rsid w:val="20E01064"/>
    <w:rsid w:val="22AD24FB"/>
    <w:rsid w:val="22C3676A"/>
    <w:rsid w:val="231F6126"/>
    <w:rsid w:val="245F37CB"/>
    <w:rsid w:val="24728579"/>
    <w:rsid w:val="24DF3D87"/>
    <w:rsid w:val="258F387B"/>
    <w:rsid w:val="25FB082C"/>
    <w:rsid w:val="265D85C2"/>
    <w:rsid w:val="27E3EC7A"/>
    <w:rsid w:val="284314DB"/>
    <w:rsid w:val="289C83E1"/>
    <w:rsid w:val="28C27735"/>
    <w:rsid w:val="2A04F43B"/>
    <w:rsid w:val="2ACC24DD"/>
    <w:rsid w:val="2BC9F0FC"/>
    <w:rsid w:val="2C05E288"/>
    <w:rsid w:val="2DA56B0F"/>
    <w:rsid w:val="2DFA95C6"/>
    <w:rsid w:val="33B425CA"/>
    <w:rsid w:val="33C98139"/>
    <w:rsid w:val="3414AC93"/>
    <w:rsid w:val="34498C28"/>
    <w:rsid w:val="34F88ADD"/>
    <w:rsid w:val="35B07CF4"/>
    <w:rsid w:val="36209299"/>
    <w:rsid w:val="39A66A9E"/>
    <w:rsid w:val="3AFB1092"/>
    <w:rsid w:val="3B5367FE"/>
    <w:rsid w:val="3BC033CE"/>
    <w:rsid w:val="3C530717"/>
    <w:rsid w:val="3CF41BFE"/>
    <w:rsid w:val="400DB0C4"/>
    <w:rsid w:val="4045F72E"/>
    <w:rsid w:val="416AA3C2"/>
    <w:rsid w:val="42322C35"/>
    <w:rsid w:val="42BF0445"/>
    <w:rsid w:val="42D74D3A"/>
    <w:rsid w:val="441DE946"/>
    <w:rsid w:val="44E121E7"/>
    <w:rsid w:val="45020757"/>
    <w:rsid w:val="45B9B9A7"/>
    <w:rsid w:val="469DD7B8"/>
    <w:rsid w:val="476A5EA5"/>
    <w:rsid w:val="479ACDD7"/>
    <w:rsid w:val="4818C2A9"/>
    <w:rsid w:val="4A20FDD1"/>
    <w:rsid w:val="4A71433F"/>
    <w:rsid w:val="4B3699F9"/>
    <w:rsid w:val="4B50636B"/>
    <w:rsid w:val="4C5720DD"/>
    <w:rsid w:val="4E8D645B"/>
    <w:rsid w:val="4EA8E99D"/>
    <w:rsid w:val="50B799D8"/>
    <w:rsid w:val="50C7F578"/>
    <w:rsid w:val="50FD8D3D"/>
    <w:rsid w:val="512BFBE4"/>
    <w:rsid w:val="51BFA4EF"/>
    <w:rsid w:val="51EBDB81"/>
    <w:rsid w:val="5256CC05"/>
    <w:rsid w:val="53AF5809"/>
    <w:rsid w:val="53B3C2DA"/>
    <w:rsid w:val="53D958FB"/>
    <w:rsid w:val="54C453E2"/>
    <w:rsid w:val="54F707F1"/>
    <w:rsid w:val="55090F86"/>
    <w:rsid w:val="550EA7A6"/>
    <w:rsid w:val="5568C491"/>
    <w:rsid w:val="55D9ABF7"/>
    <w:rsid w:val="569B0398"/>
    <w:rsid w:val="56AA7807"/>
    <w:rsid w:val="57AD20B7"/>
    <w:rsid w:val="581B00E6"/>
    <w:rsid w:val="5B586A08"/>
    <w:rsid w:val="5B7DE92A"/>
    <w:rsid w:val="5BAA8311"/>
    <w:rsid w:val="5BCF5AF5"/>
    <w:rsid w:val="5C792338"/>
    <w:rsid w:val="5DCEB755"/>
    <w:rsid w:val="5E604094"/>
    <w:rsid w:val="5E859092"/>
    <w:rsid w:val="5EB9A434"/>
    <w:rsid w:val="5ECA5E89"/>
    <w:rsid w:val="601DE976"/>
    <w:rsid w:val="603D83D6"/>
    <w:rsid w:val="605D93DD"/>
    <w:rsid w:val="61C44657"/>
    <w:rsid w:val="61DDB63F"/>
    <w:rsid w:val="62A7E8AA"/>
    <w:rsid w:val="62D148BF"/>
    <w:rsid w:val="62FA15FE"/>
    <w:rsid w:val="637986A0"/>
    <w:rsid w:val="643B531E"/>
    <w:rsid w:val="647A7BF4"/>
    <w:rsid w:val="647E5078"/>
    <w:rsid w:val="64CF8218"/>
    <w:rsid w:val="6539A00D"/>
    <w:rsid w:val="678B9185"/>
    <w:rsid w:val="67B8A090"/>
    <w:rsid w:val="6878C43E"/>
    <w:rsid w:val="68ECB304"/>
    <w:rsid w:val="690A4FE4"/>
    <w:rsid w:val="6A5CB1C1"/>
    <w:rsid w:val="6B2EF9DB"/>
    <w:rsid w:val="6B448DDA"/>
    <w:rsid w:val="6B78537B"/>
    <w:rsid w:val="6C51910F"/>
    <w:rsid w:val="6D0C0D17"/>
    <w:rsid w:val="6E7C2E9C"/>
    <w:rsid w:val="6E9942E6"/>
    <w:rsid w:val="6ED39B3C"/>
    <w:rsid w:val="6EE35AEC"/>
    <w:rsid w:val="6FCFBC87"/>
    <w:rsid w:val="7002A38E"/>
    <w:rsid w:val="713273CB"/>
    <w:rsid w:val="7132A43E"/>
    <w:rsid w:val="71DEE9DF"/>
    <w:rsid w:val="71F74157"/>
    <w:rsid w:val="72787851"/>
    <w:rsid w:val="733A4450"/>
    <w:rsid w:val="746A148D"/>
    <w:rsid w:val="761651F8"/>
    <w:rsid w:val="77478B81"/>
    <w:rsid w:val="7757E721"/>
    <w:rsid w:val="77753936"/>
    <w:rsid w:val="788806A9"/>
    <w:rsid w:val="78F7E13A"/>
    <w:rsid w:val="7C426516"/>
    <w:rsid w:val="7C5924DD"/>
    <w:rsid w:val="7D17C0CC"/>
    <w:rsid w:val="7DA19DAB"/>
    <w:rsid w:val="7EA18CF2"/>
    <w:rsid w:val="7F7A05D8"/>
    <w:rsid w:val="7FD1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918D"/>
  <w15:chartTrackingRefBased/>
  <w15:docId w15:val="{A2569336-EFC6-411B-A603-41E7AFFE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A753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A7534"/>
  </w:style>
  <w:style w:type="character" w:styleId="eop" w:customStyle="1">
    <w:name w:val="eop"/>
    <w:basedOn w:val="DefaultParagraphFont"/>
    <w:rsid w:val="002A7534"/>
  </w:style>
  <w:style w:type="table" w:styleId="TableGrid">
    <w:name w:val="Table Grid"/>
    <w:basedOn w:val="TableNormal"/>
    <w:uiPriority w:val="39"/>
    <w:rsid w:val="002A75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0300">
      <w:bodyDiv w:val="1"/>
      <w:marLeft w:val="0"/>
      <w:marRight w:val="0"/>
      <w:marTop w:val="0"/>
      <w:marBottom w:val="0"/>
      <w:divBdr>
        <w:top w:val="none" w:sz="0" w:space="0" w:color="auto"/>
        <w:left w:val="none" w:sz="0" w:space="0" w:color="auto"/>
        <w:bottom w:val="none" w:sz="0" w:space="0" w:color="auto"/>
        <w:right w:val="none" w:sz="0" w:space="0" w:color="auto"/>
      </w:divBdr>
      <w:divsChild>
        <w:div w:id="1996838341">
          <w:marLeft w:val="0"/>
          <w:marRight w:val="0"/>
          <w:marTop w:val="0"/>
          <w:marBottom w:val="0"/>
          <w:divBdr>
            <w:top w:val="none" w:sz="0" w:space="0" w:color="auto"/>
            <w:left w:val="none" w:sz="0" w:space="0" w:color="auto"/>
            <w:bottom w:val="none" w:sz="0" w:space="0" w:color="auto"/>
            <w:right w:val="none" w:sz="0" w:space="0" w:color="auto"/>
          </w:divBdr>
        </w:div>
      </w:divsChild>
    </w:div>
    <w:div w:id="186988519">
      <w:bodyDiv w:val="1"/>
      <w:marLeft w:val="0"/>
      <w:marRight w:val="0"/>
      <w:marTop w:val="0"/>
      <w:marBottom w:val="0"/>
      <w:divBdr>
        <w:top w:val="none" w:sz="0" w:space="0" w:color="auto"/>
        <w:left w:val="none" w:sz="0" w:space="0" w:color="auto"/>
        <w:bottom w:val="none" w:sz="0" w:space="0" w:color="auto"/>
        <w:right w:val="none" w:sz="0" w:space="0" w:color="auto"/>
      </w:divBdr>
      <w:divsChild>
        <w:div w:id="1955014963">
          <w:marLeft w:val="0"/>
          <w:marRight w:val="0"/>
          <w:marTop w:val="0"/>
          <w:marBottom w:val="0"/>
          <w:divBdr>
            <w:top w:val="none" w:sz="0" w:space="0" w:color="auto"/>
            <w:left w:val="none" w:sz="0" w:space="0" w:color="auto"/>
            <w:bottom w:val="none" w:sz="0" w:space="0" w:color="auto"/>
            <w:right w:val="none" w:sz="0" w:space="0" w:color="auto"/>
          </w:divBdr>
        </w:div>
      </w:divsChild>
    </w:div>
    <w:div w:id="463232588">
      <w:bodyDiv w:val="1"/>
      <w:marLeft w:val="0"/>
      <w:marRight w:val="0"/>
      <w:marTop w:val="0"/>
      <w:marBottom w:val="0"/>
      <w:divBdr>
        <w:top w:val="none" w:sz="0" w:space="0" w:color="auto"/>
        <w:left w:val="none" w:sz="0" w:space="0" w:color="auto"/>
        <w:bottom w:val="none" w:sz="0" w:space="0" w:color="auto"/>
        <w:right w:val="none" w:sz="0" w:space="0" w:color="auto"/>
      </w:divBdr>
      <w:divsChild>
        <w:div w:id="1188133624">
          <w:marLeft w:val="0"/>
          <w:marRight w:val="0"/>
          <w:marTop w:val="0"/>
          <w:marBottom w:val="0"/>
          <w:divBdr>
            <w:top w:val="none" w:sz="0" w:space="0" w:color="auto"/>
            <w:left w:val="none" w:sz="0" w:space="0" w:color="auto"/>
            <w:bottom w:val="none" w:sz="0" w:space="0" w:color="auto"/>
            <w:right w:val="none" w:sz="0" w:space="0" w:color="auto"/>
          </w:divBdr>
        </w:div>
      </w:divsChild>
    </w:div>
    <w:div w:id="480076560">
      <w:bodyDiv w:val="1"/>
      <w:marLeft w:val="0"/>
      <w:marRight w:val="0"/>
      <w:marTop w:val="0"/>
      <w:marBottom w:val="0"/>
      <w:divBdr>
        <w:top w:val="none" w:sz="0" w:space="0" w:color="auto"/>
        <w:left w:val="none" w:sz="0" w:space="0" w:color="auto"/>
        <w:bottom w:val="none" w:sz="0" w:space="0" w:color="auto"/>
        <w:right w:val="none" w:sz="0" w:space="0" w:color="auto"/>
      </w:divBdr>
      <w:divsChild>
        <w:div w:id="265818268">
          <w:marLeft w:val="0"/>
          <w:marRight w:val="0"/>
          <w:marTop w:val="0"/>
          <w:marBottom w:val="0"/>
          <w:divBdr>
            <w:top w:val="none" w:sz="0" w:space="0" w:color="auto"/>
            <w:left w:val="none" w:sz="0" w:space="0" w:color="auto"/>
            <w:bottom w:val="none" w:sz="0" w:space="0" w:color="auto"/>
            <w:right w:val="none" w:sz="0" w:space="0" w:color="auto"/>
          </w:divBdr>
        </w:div>
        <w:div w:id="1305744492">
          <w:marLeft w:val="0"/>
          <w:marRight w:val="0"/>
          <w:marTop w:val="0"/>
          <w:marBottom w:val="0"/>
          <w:divBdr>
            <w:top w:val="none" w:sz="0" w:space="0" w:color="auto"/>
            <w:left w:val="none" w:sz="0" w:space="0" w:color="auto"/>
            <w:bottom w:val="none" w:sz="0" w:space="0" w:color="auto"/>
            <w:right w:val="none" w:sz="0" w:space="0" w:color="auto"/>
          </w:divBdr>
        </w:div>
        <w:div w:id="82578153">
          <w:marLeft w:val="0"/>
          <w:marRight w:val="0"/>
          <w:marTop w:val="0"/>
          <w:marBottom w:val="0"/>
          <w:divBdr>
            <w:top w:val="none" w:sz="0" w:space="0" w:color="auto"/>
            <w:left w:val="none" w:sz="0" w:space="0" w:color="auto"/>
            <w:bottom w:val="none" w:sz="0" w:space="0" w:color="auto"/>
            <w:right w:val="none" w:sz="0" w:space="0" w:color="auto"/>
          </w:divBdr>
        </w:div>
        <w:div w:id="243345229">
          <w:marLeft w:val="0"/>
          <w:marRight w:val="0"/>
          <w:marTop w:val="0"/>
          <w:marBottom w:val="0"/>
          <w:divBdr>
            <w:top w:val="none" w:sz="0" w:space="0" w:color="auto"/>
            <w:left w:val="none" w:sz="0" w:space="0" w:color="auto"/>
            <w:bottom w:val="none" w:sz="0" w:space="0" w:color="auto"/>
            <w:right w:val="none" w:sz="0" w:space="0" w:color="auto"/>
          </w:divBdr>
        </w:div>
        <w:div w:id="1136334842">
          <w:marLeft w:val="0"/>
          <w:marRight w:val="0"/>
          <w:marTop w:val="0"/>
          <w:marBottom w:val="0"/>
          <w:divBdr>
            <w:top w:val="none" w:sz="0" w:space="0" w:color="auto"/>
            <w:left w:val="none" w:sz="0" w:space="0" w:color="auto"/>
            <w:bottom w:val="none" w:sz="0" w:space="0" w:color="auto"/>
            <w:right w:val="none" w:sz="0" w:space="0" w:color="auto"/>
          </w:divBdr>
        </w:div>
        <w:div w:id="1347563063">
          <w:marLeft w:val="0"/>
          <w:marRight w:val="0"/>
          <w:marTop w:val="0"/>
          <w:marBottom w:val="0"/>
          <w:divBdr>
            <w:top w:val="none" w:sz="0" w:space="0" w:color="auto"/>
            <w:left w:val="none" w:sz="0" w:space="0" w:color="auto"/>
            <w:bottom w:val="none" w:sz="0" w:space="0" w:color="auto"/>
            <w:right w:val="none" w:sz="0" w:space="0" w:color="auto"/>
          </w:divBdr>
        </w:div>
        <w:div w:id="2049718797">
          <w:marLeft w:val="0"/>
          <w:marRight w:val="0"/>
          <w:marTop w:val="0"/>
          <w:marBottom w:val="0"/>
          <w:divBdr>
            <w:top w:val="none" w:sz="0" w:space="0" w:color="auto"/>
            <w:left w:val="none" w:sz="0" w:space="0" w:color="auto"/>
            <w:bottom w:val="none" w:sz="0" w:space="0" w:color="auto"/>
            <w:right w:val="none" w:sz="0" w:space="0" w:color="auto"/>
          </w:divBdr>
        </w:div>
      </w:divsChild>
    </w:div>
    <w:div w:id="817187006">
      <w:bodyDiv w:val="1"/>
      <w:marLeft w:val="0"/>
      <w:marRight w:val="0"/>
      <w:marTop w:val="0"/>
      <w:marBottom w:val="0"/>
      <w:divBdr>
        <w:top w:val="none" w:sz="0" w:space="0" w:color="auto"/>
        <w:left w:val="none" w:sz="0" w:space="0" w:color="auto"/>
        <w:bottom w:val="none" w:sz="0" w:space="0" w:color="auto"/>
        <w:right w:val="none" w:sz="0" w:space="0" w:color="auto"/>
      </w:divBdr>
      <w:divsChild>
        <w:div w:id="839346094">
          <w:marLeft w:val="0"/>
          <w:marRight w:val="0"/>
          <w:marTop w:val="0"/>
          <w:marBottom w:val="0"/>
          <w:divBdr>
            <w:top w:val="none" w:sz="0" w:space="0" w:color="auto"/>
            <w:left w:val="none" w:sz="0" w:space="0" w:color="auto"/>
            <w:bottom w:val="none" w:sz="0" w:space="0" w:color="auto"/>
            <w:right w:val="none" w:sz="0" w:space="0" w:color="auto"/>
          </w:divBdr>
        </w:div>
      </w:divsChild>
    </w:div>
    <w:div w:id="846865473">
      <w:bodyDiv w:val="1"/>
      <w:marLeft w:val="0"/>
      <w:marRight w:val="0"/>
      <w:marTop w:val="0"/>
      <w:marBottom w:val="0"/>
      <w:divBdr>
        <w:top w:val="none" w:sz="0" w:space="0" w:color="auto"/>
        <w:left w:val="none" w:sz="0" w:space="0" w:color="auto"/>
        <w:bottom w:val="none" w:sz="0" w:space="0" w:color="auto"/>
        <w:right w:val="none" w:sz="0" w:space="0" w:color="auto"/>
      </w:divBdr>
      <w:divsChild>
        <w:div w:id="1047485021">
          <w:marLeft w:val="0"/>
          <w:marRight w:val="0"/>
          <w:marTop w:val="0"/>
          <w:marBottom w:val="0"/>
          <w:divBdr>
            <w:top w:val="none" w:sz="0" w:space="0" w:color="auto"/>
            <w:left w:val="none" w:sz="0" w:space="0" w:color="auto"/>
            <w:bottom w:val="none" w:sz="0" w:space="0" w:color="auto"/>
            <w:right w:val="none" w:sz="0" w:space="0" w:color="auto"/>
          </w:divBdr>
        </w:div>
      </w:divsChild>
    </w:div>
    <w:div w:id="1102535246">
      <w:bodyDiv w:val="1"/>
      <w:marLeft w:val="0"/>
      <w:marRight w:val="0"/>
      <w:marTop w:val="0"/>
      <w:marBottom w:val="0"/>
      <w:divBdr>
        <w:top w:val="none" w:sz="0" w:space="0" w:color="auto"/>
        <w:left w:val="none" w:sz="0" w:space="0" w:color="auto"/>
        <w:bottom w:val="none" w:sz="0" w:space="0" w:color="auto"/>
        <w:right w:val="none" w:sz="0" w:space="0" w:color="auto"/>
      </w:divBdr>
      <w:divsChild>
        <w:div w:id="23479002">
          <w:marLeft w:val="0"/>
          <w:marRight w:val="0"/>
          <w:marTop w:val="0"/>
          <w:marBottom w:val="0"/>
          <w:divBdr>
            <w:top w:val="none" w:sz="0" w:space="0" w:color="auto"/>
            <w:left w:val="none" w:sz="0" w:space="0" w:color="auto"/>
            <w:bottom w:val="none" w:sz="0" w:space="0" w:color="auto"/>
            <w:right w:val="none" w:sz="0" w:space="0" w:color="auto"/>
          </w:divBdr>
        </w:div>
      </w:divsChild>
    </w:div>
    <w:div w:id="1191339293">
      <w:bodyDiv w:val="1"/>
      <w:marLeft w:val="0"/>
      <w:marRight w:val="0"/>
      <w:marTop w:val="0"/>
      <w:marBottom w:val="0"/>
      <w:divBdr>
        <w:top w:val="none" w:sz="0" w:space="0" w:color="auto"/>
        <w:left w:val="none" w:sz="0" w:space="0" w:color="auto"/>
        <w:bottom w:val="none" w:sz="0" w:space="0" w:color="auto"/>
        <w:right w:val="none" w:sz="0" w:space="0" w:color="auto"/>
      </w:divBdr>
      <w:divsChild>
        <w:div w:id="2119596279">
          <w:marLeft w:val="0"/>
          <w:marRight w:val="0"/>
          <w:marTop w:val="0"/>
          <w:marBottom w:val="0"/>
          <w:divBdr>
            <w:top w:val="none" w:sz="0" w:space="0" w:color="auto"/>
            <w:left w:val="none" w:sz="0" w:space="0" w:color="auto"/>
            <w:bottom w:val="none" w:sz="0" w:space="0" w:color="auto"/>
            <w:right w:val="none" w:sz="0" w:space="0" w:color="auto"/>
          </w:divBdr>
        </w:div>
      </w:divsChild>
    </w:div>
    <w:div w:id="1199273934">
      <w:bodyDiv w:val="1"/>
      <w:marLeft w:val="0"/>
      <w:marRight w:val="0"/>
      <w:marTop w:val="0"/>
      <w:marBottom w:val="0"/>
      <w:divBdr>
        <w:top w:val="none" w:sz="0" w:space="0" w:color="auto"/>
        <w:left w:val="none" w:sz="0" w:space="0" w:color="auto"/>
        <w:bottom w:val="none" w:sz="0" w:space="0" w:color="auto"/>
        <w:right w:val="none" w:sz="0" w:space="0" w:color="auto"/>
      </w:divBdr>
      <w:divsChild>
        <w:div w:id="1349984136">
          <w:marLeft w:val="0"/>
          <w:marRight w:val="0"/>
          <w:marTop w:val="0"/>
          <w:marBottom w:val="0"/>
          <w:divBdr>
            <w:top w:val="none" w:sz="0" w:space="0" w:color="auto"/>
            <w:left w:val="none" w:sz="0" w:space="0" w:color="auto"/>
            <w:bottom w:val="none" w:sz="0" w:space="0" w:color="auto"/>
            <w:right w:val="none" w:sz="0" w:space="0" w:color="auto"/>
          </w:divBdr>
        </w:div>
      </w:divsChild>
    </w:div>
    <w:div w:id="1211189741">
      <w:bodyDiv w:val="1"/>
      <w:marLeft w:val="0"/>
      <w:marRight w:val="0"/>
      <w:marTop w:val="0"/>
      <w:marBottom w:val="0"/>
      <w:divBdr>
        <w:top w:val="none" w:sz="0" w:space="0" w:color="auto"/>
        <w:left w:val="none" w:sz="0" w:space="0" w:color="auto"/>
        <w:bottom w:val="none" w:sz="0" w:space="0" w:color="auto"/>
        <w:right w:val="none" w:sz="0" w:space="0" w:color="auto"/>
      </w:divBdr>
      <w:divsChild>
        <w:div w:id="164371106">
          <w:marLeft w:val="0"/>
          <w:marRight w:val="0"/>
          <w:marTop w:val="0"/>
          <w:marBottom w:val="0"/>
          <w:divBdr>
            <w:top w:val="none" w:sz="0" w:space="0" w:color="auto"/>
            <w:left w:val="none" w:sz="0" w:space="0" w:color="auto"/>
            <w:bottom w:val="none" w:sz="0" w:space="0" w:color="auto"/>
            <w:right w:val="none" w:sz="0" w:space="0" w:color="auto"/>
          </w:divBdr>
        </w:div>
      </w:divsChild>
    </w:div>
    <w:div w:id="1411150802">
      <w:bodyDiv w:val="1"/>
      <w:marLeft w:val="0"/>
      <w:marRight w:val="0"/>
      <w:marTop w:val="0"/>
      <w:marBottom w:val="0"/>
      <w:divBdr>
        <w:top w:val="none" w:sz="0" w:space="0" w:color="auto"/>
        <w:left w:val="none" w:sz="0" w:space="0" w:color="auto"/>
        <w:bottom w:val="none" w:sz="0" w:space="0" w:color="auto"/>
        <w:right w:val="none" w:sz="0" w:space="0" w:color="auto"/>
      </w:divBdr>
      <w:divsChild>
        <w:div w:id="271010246">
          <w:marLeft w:val="0"/>
          <w:marRight w:val="0"/>
          <w:marTop w:val="0"/>
          <w:marBottom w:val="0"/>
          <w:divBdr>
            <w:top w:val="none" w:sz="0" w:space="0" w:color="auto"/>
            <w:left w:val="none" w:sz="0" w:space="0" w:color="auto"/>
            <w:bottom w:val="none" w:sz="0" w:space="0" w:color="auto"/>
            <w:right w:val="none" w:sz="0" w:space="0" w:color="auto"/>
          </w:divBdr>
        </w:div>
      </w:divsChild>
    </w:div>
    <w:div w:id="1443068502">
      <w:bodyDiv w:val="1"/>
      <w:marLeft w:val="0"/>
      <w:marRight w:val="0"/>
      <w:marTop w:val="0"/>
      <w:marBottom w:val="0"/>
      <w:divBdr>
        <w:top w:val="none" w:sz="0" w:space="0" w:color="auto"/>
        <w:left w:val="none" w:sz="0" w:space="0" w:color="auto"/>
        <w:bottom w:val="none" w:sz="0" w:space="0" w:color="auto"/>
        <w:right w:val="none" w:sz="0" w:space="0" w:color="auto"/>
      </w:divBdr>
      <w:divsChild>
        <w:div w:id="758259686">
          <w:marLeft w:val="0"/>
          <w:marRight w:val="0"/>
          <w:marTop w:val="0"/>
          <w:marBottom w:val="0"/>
          <w:divBdr>
            <w:top w:val="none" w:sz="0" w:space="0" w:color="auto"/>
            <w:left w:val="none" w:sz="0" w:space="0" w:color="auto"/>
            <w:bottom w:val="none" w:sz="0" w:space="0" w:color="auto"/>
            <w:right w:val="none" w:sz="0" w:space="0" w:color="auto"/>
          </w:divBdr>
        </w:div>
      </w:divsChild>
    </w:div>
    <w:div w:id="1506703993">
      <w:bodyDiv w:val="1"/>
      <w:marLeft w:val="0"/>
      <w:marRight w:val="0"/>
      <w:marTop w:val="0"/>
      <w:marBottom w:val="0"/>
      <w:divBdr>
        <w:top w:val="none" w:sz="0" w:space="0" w:color="auto"/>
        <w:left w:val="none" w:sz="0" w:space="0" w:color="auto"/>
        <w:bottom w:val="none" w:sz="0" w:space="0" w:color="auto"/>
        <w:right w:val="none" w:sz="0" w:space="0" w:color="auto"/>
      </w:divBdr>
      <w:divsChild>
        <w:div w:id="1294022422">
          <w:marLeft w:val="0"/>
          <w:marRight w:val="0"/>
          <w:marTop w:val="0"/>
          <w:marBottom w:val="0"/>
          <w:divBdr>
            <w:top w:val="none" w:sz="0" w:space="0" w:color="auto"/>
            <w:left w:val="none" w:sz="0" w:space="0" w:color="auto"/>
            <w:bottom w:val="none" w:sz="0" w:space="0" w:color="auto"/>
            <w:right w:val="none" w:sz="0" w:space="0" w:color="auto"/>
          </w:divBdr>
        </w:div>
      </w:divsChild>
    </w:div>
    <w:div w:id="1526021246">
      <w:bodyDiv w:val="1"/>
      <w:marLeft w:val="0"/>
      <w:marRight w:val="0"/>
      <w:marTop w:val="0"/>
      <w:marBottom w:val="0"/>
      <w:divBdr>
        <w:top w:val="none" w:sz="0" w:space="0" w:color="auto"/>
        <w:left w:val="none" w:sz="0" w:space="0" w:color="auto"/>
        <w:bottom w:val="none" w:sz="0" w:space="0" w:color="auto"/>
        <w:right w:val="none" w:sz="0" w:space="0" w:color="auto"/>
      </w:divBdr>
      <w:divsChild>
        <w:div w:id="1560902840">
          <w:marLeft w:val="0"/>
          <w:marRight w:val="0"/>
          <w:marTop w:val="0"/>
          <w:marBottom w:val="0"/>
          <w:divBdr>
            <w:top w:val="none" w:sz="0" w:space="0" w:color="auto"/>
            <w:left w:val="none" w:sz="0" w:space="0" w:color="auto"/>
            <w:bottom w:val="none" w:sz="0" w:space="0" w:color="auto"/>
            <w:right w:val="none" w:sz="0" w:space="0" w:color="auto"/>
          </w:divBdr>
        </w:div>
      </w:divsChild>
    </w:div>
    <w:div w:id="1651981339">
      <w:bodyDiv w:val="1"/>
      <w:marLeft w:val="0"/>
      <w:marRight w:val="0"/>
      <w:marTop w:val="0"/>
      <w:marBottom w:val="0"/>
      <w:divBdr>
        <w:top w:val="none" w:sz="0" w:space="0" w:color="auto"/>
        <w:left w:val="none" w:sz="0" w:space="0" w:color="auto"/>
        <w:bottom w:val="none" w:sz="0" w:space="0" w:color="auto"/>
        <w:right w:val="none" w:sz="0" w:space="0" w:color="auto"/>
      </w:divBdr>
      <w:divsChild>
        <w:div w:id="921378881">
          <w:marLeft w:val="0"/>
          <w:marRight w:val="0"/>
          <w:marTop w:val="0"/>
          <w:marBottom w:val="0"/>
          <w:divBdr>
            <w:top w:val="none" w:sz="0" w:space="0" w:color="auto"/>
            <w:left w:val="none" w:sz="0" w:space="0" w:color="auto"/>
            <w:bottom w:val="none" w:sz="0" w:space="0" w:color="auto"/>
            <w:right w:val="none" w:sz="0" w:space="0" w:color="auto"/>
          </w:divBdr>
        </w:div>
      </w:divsChild>
    </w:div>
    <w:div w:id="1698504334">
      <w:bodyDiv w:val="1"/>
      <w:marLeft w:val="0"/>
      <w:marRight w:val="0"/>
      <w:marTop w:val="0"/>
      <w:marBottom w:val="0"/>
      <w:divBdr>
        <w:top w:val="none" w:sz="0" w:space="0" w:color="auto"/>
        <w:left w:val="none" w:sz="0" w:space="0" w:color="auto"/>
        <w:bottom w:val="none" w:sz="0" w:space="0" w:color="auto"/>
        <w:right w:val="none" w:sz="0" w:space="0" w:color="auto"/>
      </w:divBdr>
      <w:divsChild>
        <w:div w:id="1704210034">
          <w:marLeft w:val="0"/>
          <w:marRight w:val="0"/>
          <w:marTop w:val="0"/>
          <w:marBottom w:val="0"/>
          <w:divBdr>
            <w:top w:val="none" w:sz="0" w:space="0" w:color="auto"/>
            <w:left w:val="none" w:sz="0" w:space="0" w:color="auto"/>
            <w:bottom w:val="none" w:sz="0" w:space="0" w:color="auto"/>
            <w:right w:val="none" w:sz="0" w:space="0" w:color="auto"/>
          </w:divBdr>
        </w:div>
      </w:divsChild>
    </w:div>
    <w:div w:id="1746995844">
      <w:bodyDiv w:val="1"/>
      <w:marLeft w:val="0"/>
      <w:marRight w:val="0"/>
      <w:marTop w:val="0"/>
      <w:marBottom w:val="0"/>
      <w:divBdr>
        <w:top w:val="none" w:sz="0" w:space="0" w:color="auto"/>
        <w:left w:val="none" w:sz="0" w:space="0" w:color="auto"/>
        <w:bottom w:val="none" w:sz="0" w:space="0" w:color="auto"/>
        <w:right w:val="none" w:sz="0" w:space="0" w:color="auto"/>
      </w:divBdr>
      <w:divsChild>
        <w:div w:id="2080594122">
          <w:marLeft w:val="0"/>
          <w:marRight w:val="0"/>
          <w:marTop w:val="0"/>
          <w:marBottom w:val="0"/>
          <w:divBdr>
            <w:top w:val="none" w:sz="0" w:space="0" w:color="auto"/>
            <w:left w:val="none" w:sz="0" w:space="0" w:color="auto"/>
            <w:bottom w:val="none" w:sz="0" w:space="0" w:color="auto"/>
            <w:right w:val="none" w:sz="0" w:space="0" w:color="auto"/>
          </w:divBdr>
        </w:div>
      </w:divsChild>
    </w:div>
    <w:div w:id="1782993761">
      <w:bodyDiv w:val="1"/>
      <w:marLeft w:val="0"/>
      <w:marRight w:val="0"/>
      <w:marTop w:val="0"/>
      <w:marBottom w:val="0"/>
      <w:divBdr>
        <w:top w:val="none" w:sz="0" w:space="0" w:color="auto"/>
        <w:left w:val="none" w:sz="0" w:space="0" w:color="auto"/>
        <w:bottom w:val="none" w:sz="0" w:space="0" w:color="auto"/>
        <w:right w:val="none" w:sz="0" w:space="0" w:color="auto"/>
      </w:divBdr>
      <w:divsChild>
        <w:div w:id="1097482441">
          <w:marLeft w:val="0"/>
          <w:marRight w:val="0"/>
          <w:marTop w:val="0"/>
          <w:marBottom w:val="0"/>
          <w:divBdr>
            <w:top w:val="none" w:sz="0" w:space="0" w:color="auto"/>
            <w:left w:val="none" w:sz="0" w:space="0" w:color="auto"/>
            <w:bottom w:val="none" w:sz="0" w:space="0" w:color="auto"/>
            <w:right w:val="none" w:sz="0" w:space="0" w:color="auto"/>
          </w:divBdr>
        </w:div>
      </w:divsChild>
    </w:div>
    <w:div w:id="1866409446">
      <w:bodyDiv w:val="1"/>
      <w:marLeft w:val="0"/>
      <w:marRight w:val="0"/>
      <w:marTop w:val="0"/>
      <w:marBottom w:val="0"/>
      <w:divBdr>
        <w:top w:val="none" w:sz="0" w:space="0" w:color="auto"/>
        <w:left w:val="none" w:sz="0" w:space="0" w:color="auto"/>
        <w:bottom w:val="none" w:sz="0" w:space="0" w:color="auto"/>
        <w:right w:val="none" w:sz="0" w:space="0" w:color="auto"/>
      </w:divBdr>
      <w:divsChild>
        <w:div w:id="1104493004">
          <w:marLeft w:val="0"/>
          <w:marRight w:val="0"/>
          <w:marTop w:val="0"/>
          <w:marBottom w:val="0"/>
          <w:divBdr>
            <w:top w:val="none" w:sz="0" w:space="0" w:color="auto"/>
            <w:left w:val="none" w:sz="0" w:space="0" w:color="auto"/>
            <w:bottom w:val="none" w:sz="0" w:space="0" w:color="auto"/>
            <w:right w:val="none" w:sz="0" w:space="0" w:color="auto"/>
          </w:divBdr>
        </w:div>
      </w:divsChild>
    </w:div>
    <w:div w:id="1952784726">
      <w:bodyDiv w:val="1"/>
      <w:marLeft w:val="0"/>
      <w:marRight w:val="0"/>
      <w:marTop w:val="0"/>
      <w:marBottom w:val="0"/>
      <w:divBdr>
        <w:top w:val="none" w:sz="0" w:space="0" w:color="auto"/>
        <w:left w:val="none" w:sz="0" w:space="0" w:color="auto"/>
        <w:bottom w:val="none" w:sz="0" w:space="0" w:color="auto"/>
        <w:right w:val="none" w:sz="0" w:space="0" w:color="auto"/>
      </w:divBdr>
      <w:divsChild>
        <w:div w:id="1796944178">
          <w:marLeft w:val="0"/>
          <w:marRight w:val="0"/>
          <w:marTop w:val="0"/>
          <w:marBottom w:val="0"/>
          <w:divBdr>
            <w:top w:val="none" w:sz="0" w:space="0" w:color="auto"/>
            <w:left w:val="none" w:sz="0" w:space="0" w:color="auto"/>
            <w:bottom w:val="none" w:sz="0" w:space="0" w:color="auto"/>
            <w:right w:val="none" w:sz="0" w:space="0" w:color="auto"/>
          </w:divBdr>
        </w:div>
      </w:divsChild>
    </w:div>
    <w:div w:id="1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997616537">
          <w:marLeft w:val="0"/>
          <w:marRight w:val="0"/>
          <w:marTop w:val="0"/>
          <w:marBottom w:val="0"/>
          <w:divBdr>
            <w:top w:val="none" w:sz="0" w:space="0" w:color="auto"/>
            <w:left w:val="none" w:sz="0" w:space="0" w:color="auto"/>
            <w:bottom w:val="none" w:sz="0" w:space="0" w:color="auto"/>
            <w:right w:val="none" w:sz="0" w:space="0" w:color="auto"/>
          </w:divBdr>
        </w:div>
      </w:divsChild>
    </w:div>
    <w:div w:id="2014140203">
      <w:bodyDiv w:val="1"/>
      <w:marLeft w:val="0"/>
      <w:marRight w:val="0"/>
      <w:marTop w:val="0"/>
      <w:marBottom w:val="0"/>
      <w:divBdr>
        <w:top w:val="none" w:sz="0" w:space="0" w:color="auto"/>
        <w:left w:val="none" w:sz="0" w:space="0" w:color="auto"/>
        <w:bottom w:val="none" w:sz="0" w:space="0" w:color="auto"/>
        <w:right w:val="none" w:sz="0" w:space="0" w:color="auto"/>
      </w:divBdr>
      <w:divsChild>
        <w:div w:id="142634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aus01.safelinks.protection.outlook.com/?url=https%3A%2F%2Fenvironment.des.qld.gov.au%2F__data%2Fassets%2Fpdf_file%2F0028%2F246916%2Ftraditional-knowledge-guidelines.pdf&amp;data=05%7C01%7CL.Cherney%40anzsog.edu.au%7Cad01c54fd87b4c3f54ba08db2116e3fc%7C321f11951a8d41999b416d1896af4006%7C0%7C0%7C638140154599126328%7CUnknown%7CTWFpbGZsb3d8eyJWIjoiMC4wLjAwMDAiLCJQIjoiV2luMzIiLCJBTiI6Ik1haWwiLCJXVCI6Mn0%3D%7C3000%7C%7C%7C&amp;sdata=yIy15lt%2FNgvS3u6EwjE90GnqzGvZLGpVp7Gv0cP3sAo%3D&amp;reserved=0" TargetMode="External" Id="R193458bec3694542" /><Relationship Type="http://schemas.openxmlformats.org/officeDocument/2006/relationships/numbering" Target="numbering.xml" Id="Racac88602c6741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4dfbb6-b8b8-4576-b07c-554943f10550">
      <Terms xmlns="http://schemas.microsoft.com/office/infopath/2007/PartnerControls"/>
    </lcf76f155ced4ddcb4097134ff3c332f>
    <TaxCatchAll xmlns="ea3da3a8-7d9f-4b13-ba38-df5afc181b2a" xsi:nil="true"/>
    <_ip_UnifiedCompliancePolicyUIAction xmlns="http://schemas.microsoft.com/sharepoint/v3" xsi:nil="true"/>
    <followup xmlns="d74dfbb6-b8b8-4576-b07c-554943f10550">true</followup>
    <_ip_UnifiedCompliancePolicyProperties xmlns="http://schemas.microsoft.com/sharepoint/v3" xsi:nil="true"/>
    <comments xmlns="d74dfbb6-b8b8-4576-b07c-554943f105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E19E2D2D060458DF76154E5156AC1" ma:contentTypeVersion="22" ma:contentTypeDescription="Create a new document." ma:contentTypeScope="" ma:versionID="966e3596e6485039c31b97c4caef4b4e">
  <xsd:schema xmlns:xsd="http://www.w3.org/2001/XMLSchema" xmlns:xs="http://www.w3.org/2001/XMLSchema" xmlns:p="http://schemas.microsoft.com/office/2006/metadata/properties" xmlns:ns1="http://schemas.microsoft.com/sharepoint/v3" xmlns:ns2="ea3da3a8-7d9f-4b13-ba38-df5afc181b2a" xmlns:ns3="d74dfbb6-b8b8-4576-b07c-554943f10550" targetNamespace="http://schemas.microsoft.com/office/2006/metadata/properties" ma:root="true" ma:fieldsID="6b1812c6d50db166fa3f50cec491bba0" ns1:_="" ns2:_="" ns3:_="">
    <xsd:import namespace="http://schemas.microsoft.com/sharepoint/v3"/>
    <xsd:import namespace="ea3da3a8-7d9f-4b13-ba38-df5afc181b2a"/>
    <xsd:import namespace="d74dfbb6-b8b8-4576-b07c-554943f105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1:_ip_UnifiedCompliancePolicyProperties" minOccurs="0"/>
                <xsd:element ref="ns1:_ip_UnifiedCompliancePolicyUIAction" minOccurs="0"/>
                <xsd:element ref="ns3:comments" minOccurs="0"/>
                <xsd:element ref="ns3:follow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da3a8-7d9f-4b13-ba38-df5afc181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dae37d-9cc6-4be6-b4a8-56ae5b41f3ce}" ma:internalName="TaxCatchAll" ma:showField="CatchAllData" ma:web="ea3da3a8-7d9f-4b13-ba38-df5afc181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4dfbb6-b8b8-4576-b07c-554943f105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69956d-e2dd-49b5-a39b-a9fe3f4b9c5f" ma:termSetId="09814cd3-568e-fe90-9814-8d621ff8fb84" ma:anchorId="fba54fb3-c3e1-fe81-a776-ca4b69148c4d" ma:open="true" ma:isKeyword="false">
      <xsd:complexType>
        <xsd:sequence>
          <xsd:element ref="pc:Terms" minOccurs="0" maxOccurs="1"/>
        </xsd:sequence>
      </xsd:complexType>
    </xsd:element>
    <xsd:element name="comments" ma:index="26" nillable="true" ma:displayName="comments" ma:description="Follow up" ma:internalName="comments">
      <xsd:simpleType>
        <xsd:restriction base="dms:Text">
          <xsd:maxLength value="255"/>
        </xsd:restriction>
      </xsd:simpleType>
    </xsd:element>
    <xsd:element name="followup" ma:index="27" nillable="true" ma:displayName="follow up" ma:default="1" ma:format="Dropdown" ma:internalName="follow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1C54C-2D78-431E-A9DD-DBC8F7CD5FD7}">
  <ds:schemaRefs>
    <ds:schemaRef ds:uri="http://schemas.microsoft.com/office/2006/metadata/properties"/>
    <ds:schemaRef ds:uri="http://schemas.microsoft.com/office/infopath/2007/PartnerControls"/>
    <ds:schemaRef ds:uri="558c946d-ee25-4941-8a7f-e2473d3b0c31"/>
    <ds:schemaRef ds:uri="49388460-2b74-4ed5-aedc-a9c9dc8864f8"/>
  </ds:schemaRefs>
</ds:datastoreItem>
</file>

<file path=customXml/itemProps2.xml><?xml version="1.0" encoding="utf-8"?>
<ds:datastoreItem xmlns:ds="http://schemas.openxmlformats.org/officeDocument/2006/customXml" ds:itemID="{D728CE7B-F519-419B-8BD2-BB259096C6A9}">
  <ds:schemaRefs>
    <ds:schemaRef ds:uri="http://schemas.microsoft.com/sharepoint/v3/contenttype/forms"/>
  </ds:schemaRefs>
</ds:datastoreItem>
</file>

<file path=customXml/itemProps3.xml><?xml version="1.0" encoding="utf-8"?>
<ds:datastoreItem xmlns:ds="http://schemas.openxmlformats.org/officeDocument/2006/customXml" ds:itemID="{37E5CFB0-5328-4652-B136-3D08A7C45B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Lorraine Cherney</dc:creator>
  <keywords/>
  <dc:description/>
  <lastModifiedBy>Lorraine Cherney</lastModifiedBy>
  <revision>3</revision>
  <dcterms:created xsi:type="dcterms:W3CDTF">2023-03-21T05:06:00.0000000Z</dcterms:created>
  <dcterms:modified xsi:type="dcterms:W3CDTF">2023-03-21T05:15:55.7089825Z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0x01010070BE19E2D2D060458DF76154E5156AC1</vt:lpwstr>
  </property>
  <property fmtid="{D5CDD505-2E9C-101B-9397-08002B2CF9AE}" pid="3" name="MediaServiceImageTags">
    <vt:lpwstr/>
  </property>
</Properties>
</file>