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FF" w:rsidRPr="00F75DBD" w:rsidRDefault="00412FFF" w:rsidP="00732DB1">
      <w:pPr>
        <w:jc w:val="both"/>
        <w:rPr>
          <w:rFonts w:ascii="Century Gothic" w:hAnsi="Century Gothic"/>
        </w:rPr>
      </w:pPr>
    </w:p>
    <w:p w:rsidR="00412FFF" w:rsidRPr="00F75DBD" w:rsidRDefault="00412FFF" w:rsidP="00732DB1">
      <w:pPr>
        <w:jc w:val="both"/>
        <w:rPr>
          <w:rFonts w:ascii="Century Gothic" w:hAnsi="Century Gothic"/>
        </w:rPr>
      </w:pPr>
    </w:p>
    <w:p w:rsidR="00D91EAE" w:rsidRPr="00F75DBD" w:rsidRDefault="00D91EAE" w:rsidP="00732DB1">
      <w:pPr>
        <w:jc w:val="both"/>
        <w:rPr>
          <w:rFonts w:ascii="Century Gothic" w:hAnsi="Century Gothic"/>
          <w:b/>
          <w:sz w:val="28"/>
          <w:szCs w:val="28"/>
        </w:rPr>
      </w:pPr>
    </w:p>
    <w:p w:rsidR="00D91EAE" w:rsidRPr="00F75DBD" w:rsidRDefault="00D91EAE" w:rsidP="00732DB1">
      <w:pPr>
        <w:jc w:val="center"/>
        <w:rPr>
          <w:rFonts w:ascii="Century Gothic" w:hAnsi="Century Gothic"/>
          <w:b/>
          <w:sz w:val="24"/>
          <w:szCs w:val="24"/>
        </w:rPr>
      </w:pPr>
      <w:r w:rsidRPr="00F75DBD">
        <w:rPr>
          <w:rFonts w:ascii="Century Gothic" w:hAnsi="Century Gothic"/>
          <w:b/>
          <w:sz w:val="28"/>
          <w:szCs w:val="28"/>
        </w:rPr>
        <w:t xml:space="preserve">Submission to </w:t>
      </w:r>
      <w:r w:rsidR="00480B93" w:rsidRPr="00F75DBD">
        <w:rPr>
          <w:rFonts w:ascii="Century Gothic" w:hAnsi="Century Gothic"/>
          <w:b/>
          <w:sz w:val="28"/>
          <w:szCs w:val="28"/>
        </w:rPr>
        <w:t>Robodebt Royal Commission</w:t>
      </w:r>
      <w:r w:rsidRPr="00F75DBD">
        <w:rPr>
          <w:rFonts w:ascii="Century Gothic" w:hAnsi="Century Gothic"/>
          <w:b/>
          <w:sz w:val="28"/>
          <w:szCs w:val="28"/>
        </w:rPr>
        <w:br/>
      </w:r>
      <w:r w:rsidRPr="00F75DBD">
        <w:rPr>
          <w:rFonts w:ascii="Century Gothic" w:hAnsi="Century Gothic"/>
          <w:b/>
          <w:sz w:val="24"/>
          <w:szCs w:val="24"/>
        </w:rPr>
        <w:t>Professor Elise Bant</w:t>
      </w:r>
      <w:r w:rsidRPr="00F75DBD">
        <w:rPr>
          <w:rFonts w:ascii="Century Gothic" w:hAnsi="Century Gothic"/>
          <w:b/>
          <w:sz w:val="24"/>
          <w:szCs w:val="24"/>
        </w:rPr>
        <w:br/>
        <w:t>The University of Western Australia</w:t>
      </w:r>
    </w:p>
    <w:p w:rsidR="00D91EAE" w:rsidRPr="00F75DBD" w:rsidRDefault="001B19C2" w:rsidP="00732DB1">
      <w:pPr>
        <w:jc w:val="center"/>
        <w:rPr>
          <w:rFonts w:ascii="Century Gothic" w:hAnsi="Century Gothic"/>
        </w:rPr>
      </w:pPr>
      <w:r>
        <w:rPr>
          <w:rFonts w:ascii="Century Gothic" w:hAnsi="Century Gothic"/>
          <w:b/>
          <w:sz w:val="24"/>
          <w:szCs w:val="24"/>
        </w:rPr>
        <w:t xml:space="preserve">12 </w:t>
      </w:r>
      <w:r w:rsidR="00480B93" w:rsidRPr="00F75DBD">
        <w:rPr>
          <w:rFonts w:ascii="Century Gothic" w:hAnsi="Century Gothic"/>
          <w:b/>
          <w:sz w:val="24"/>
          <w:szCs w:val="24"/>
        </w:rPr>
        <w:t>October</w:t>
      </w:r>
      <w:r w:rsidR="00D91EAE" w:rsidRPr="00F75DBD">
        <w:rPr>
          <w:rFonts w:ascii="Century Gothic" w:hAnsi="Century Gothic"/>
          <w:b/>
          <w:sz w:val="24"/>
          <w:szCs w:val="24"/>
        </w:rPr>
        <w:t xml:space="preserve"> 2022</w:t>
      </w:r>
      <w:r w:rsidR="00D91EAE" w:rsidRPr="00F75DBD">
        <w:rPr>
          <w:rFonts w:ascii="Century Gothic" w:hAnsi="Century Gothic"/>
          <w:b/>
          <w:sz w:val="24"/>
          <w:szCs w:val="24"/>
        </w:rPr>
        <w:br/>
      </w:r>
    </w:p>
    <w:p w:rsidR="001D6B17" w:rsidRPr="00F75DBD" w:rsidRDefault="001B19C2" w:rsidP="001B19C2">
      <w:pPr>
        <w:spacing w:before="240" w:after="240" w:line="264" w:lineRule="auto"/>
        <w:ind w:right="-1"/>
        <w:jc w:val="both"/>
        <w:rPr>
          <w:rFonts w:ascii="Century Gothic" w:eastAsia="Times New Roman" w:hAnsi="Century Gothic" w:cs="Segoe UI"/>
          <w:color w:val="313131"/>
          <w:lang w:eastAsia="en-AU"/>
        </w:rPr>
      </w:pPr>
      <w:r w:rsidRPr="00F75DBD">
        <w:rPr>
          <w:rFonts w:ascii="Century Gothic" w:eastAsiaTheme="minorEastAsia" w:hAnsi="Century Gothic" w:cs="Arial"/>
          <w:color w:val="000000" w:themeColor="text1"/>
        </w:rPr>
        <w:t xml:space="preserve">I welcome the opportunity to make a submission to the Robodebt Royal Commission. </w:t>
      </w:r>
      <w:r w:rsidR="001D6B17" w:rsidRPr="00F75DBD">
        <w:rPr>
          <w:rFonts w:ascii="Century Gothic" w:eastAsia="Times New Roman" w:hAnsi="Century Gothic" w:cs="Segoe UI"/>
          <w:color w:val="313131"/>
          <w:lang w:eastAsia="en-AU"/>
        </w:rPr>
        <w:t xml:space="preserve">This submission has a </w:t>
      </w:r>
      <w:r w:rsidR="001D6B17" w:rsidRPr="001B19C2">
        <w:rPr>
          <w:rFonts w:ascii="Century Gothic" w:eastAsiaTheme="minorEastAsia" w:hAnsi="Century Gothic" w:cs="Arial"/>
          <w:color w:val="000000" w:themeColor="text1"/>
        </w:rPr>
        <w:t>particular</w:t>
      </w:r>
      <w:r w:rsidR="001D6B17" w:rsidRPr="00F75DBD">
        <w:rPr>
          <w:rFonts w:ascii="Century Gothic" w:eastAsia="Times New Roman" w:hAnsi="Century Gothic" w:cs="Segoe UI"/>
          <w:color w:val="313131"/>
          <w:lang w:eastAsia="en-AU"/>
        </w:rPr>
        <w:t xml:space="preserve"> </w:t>
      </w:r>
      <w:r w:rsidR="00803F9D" w:rsidRPr="00F75DBD">
        <w:rPr>
          <w:rFonts w:ascii="Century Gothic" w:eastAsia="Times New Roman" w:hAnsi="Century Gothic" w:cs="Segoe UI"/>
          <w:color w:val="313131"/>
          <w:lang w:eastAsia="en-AU"/>
        </w:rPr>
        <w:t xml:space="preserve">(though not sole) </w:t>
      </w:r>
      <w:r w:rsidR="001D6B17" w:rsidRPr="00F75DBD">
        <w:rPr>
          <w:rFonts w:ascii="Century Gothic" w:eastAsia="Times New Roman" w:hAnsi="Century Gothic" w:cs="Segoe UI"/>
          <w:color w:val="313131"/>
          <w:lang w:eastAsia="en-AU"/>
        </w:rPr>
        <w:t xml:space="preserve">focus on the following </w:t>
      </w:r>
      <w:r w:rsidR="00746B0E">
        <w:rPr>
          <w:rFonts w:ascii="Century Gothic" w:eastAsia="Times New Roman" w:hAnsi="Century Gothic" w:cs="Segoe UI"/>
          <w:color w:val="313131"/>
          <w:lang w:eastAsia="en-AU"/>
        </w:rPr>
        <w:t>Terms of Reference</w:t>
      </w:r>
      <w:r w:rsidR="001D6B17" w:rsidRPr="00F75DBD">
        <w:rPr>
          <w:rFonts w:ascii="Century Gothic" w:eastAsia="Times New Roman" w:hAnsi="Century Gothic" w:cs="Segoe UI"/>
          <w:color w:val="313131"/>
          <w:lang w:eastAsia="en-AU"/>
        </w:rPr>
        <w:t xml:space="preserve"> the subject of the </w:t>
      </w:r>
      <w:hyperlink r:id="rId8" w:history="1">
        <w:r w:rsidR="001D6B17" w:rsidRPr="00F75DBD">
          <w:rPr>
            <w:rStyle w:val="Hyperlink"/>
            <w:rFonts w:ascii="Century Gothic" w:eastAsia="Times New Roman" w:hAnsi="Century Gothic" w:cs="Segoe UI"/>
            <w:lang w:eastAsia="en-AU"/>
          </w:rPr>
          <w:t>Letters Patent</w:t>
        </w:r>
      </w:hyperlink>
      <w:r w:rsidR="001D6B17" w:rsidRPr="00F75DBD">
        <w:rPr>
          <w:rFonts w:ascii="Century Gothic" w:eastAsia="Times New Roman" w:hAnsi="Century Gothic" w:cs="Segoe UI"/>
          <w:color w:val="313131"/>
          <w:lang w:eastAsia="en-AU"/>
        </w:rPr>
        <w:t xml:space="preserve"> establishing the Robodebt Royal Commission:</w:t>
      </w:r>
    </w:p>
    <w:p w:rsidR="001D6B17" w:rsidRPr="00F75DBD" w:rsidRDefault="001D6B17" w:rsidP="001D6B17">
      <w:pPr>
        <w:pStyle w:val="ListParagraph"/>
        <w:shd w:val="clear" w:color="auto" w:fill="FFFFFF"/>
        <w:spacing w:before="100" w:beforeAutospacing="1" w:after="100" w:afterAutospacing="1" w:line="240" w:lineRule="auto"/>
        <w:ind w:left="1800" w:hanging="1080"/>
        <w:rPr>
          <w:rFonts w:ascii="Century Gothic" w:eastAsia="Times New Roman" w:hAnsi="Century Gothic" w:cs="Segoe UI"/>
          <w:b/>
          <w:color w:val="313131"/>
          <w:lang w:eastAsia="en-AU"/>
        </w:rPr>
      </w:pPr>
      <w:r w:rsidRPr="00F75DBD">
        <w:rPr>
          <w:rFonts w:ascii="Century Gothic" w:eastAsia="Times New Roman" w:hAnsi="Century Gothic" w:cs="Segoe UI"/>
          <w:b/>
          <w:color w:val="313131"/>
          <w:lang w:eastAsia="en-AU"/>
        </w:rPr>
        <w:t>i(vi)</w:t>
      </w:r>
      <w:r w:rsidR="005D121D" w:rsidRPr="00F75DBD">
        <w:rPr>
          <w:rFonts w:ascii="Century Gothic" w:eastAsia="Times New Roman" w:hAnsi="Century Gothic" w:cs="Segoe UI"/>
          <w:b/>
          <w:color w:val="313131"/>
          <w:lang w:eastAsia="en-AU"/>
        </w:rPr>
        <w:tab/>
      </w:r>
      <w:r w:rsidRPr="00F75DBD">
        <w:rPr>
          <w:rFonts w:ascii="Century Gothic" w:eastAsia="Times New Roman" w:hAnsi="Century Gothic" w:cs="Segoe UI"/>
          <w:b/>
          <w:color w:val="313131"/>
          <w:lang w:eastAsia="en-AU"/>
        </w:rPr>
        <w:t>approximately when the Australian Government knew or ought to have known that debts were not, or may not have been, validly raised; and</w:t>
      </w:r>
    </w:p>
    <w:p w:rsidR="001D6B17" w:rsidRPr="00F75DBD" w:rsidRDefault="001D6B17" w:rsidP="005D121D">
      <w:pPr>
        <w:pStyle w:val="ListParagraph"/>
        <w:shd w:val="clear" w:color="auto" w:fill="FFFFFF"/>
        <w:spacing w:before="100" w:beforeAutospacing="1" w:after="100" w:afterAutospacing="1" w:line="240" w:lineRule="auto"/>
        <w:ind w:left="1800" w:hanging="1080"/>
        <w:rPr>
          <w:rFonts w:ascii="Century Gothic" w:eastAsia="Times New Roman" w:hAnsi="Century Gothic" w:cs="Segoe UI"/>
          <w:b/>
          <w:color w:val="313131"/>
          <w:lang w:eastAsia="en-AU"/>
        </w:rPr>
      </w:pPr>
      <w:r w:rsidRPr="00F75DBD">
        <w:rPr>
          <w:rFonts w:ascii="Century Gothic" w:hAnsi="Century Gothic" w:cs="Segoe UI"/>
          <w:b/>
          <w:color w:val="313131"/>
          <w:shd w:val="clear" w:color="auto" w:fill="FFFFFF"/>
        </w:rPr>
        <w:t xml:space="preserve">(j) </w:t>
      </w:r>
      <w:r w:rsidRPr="00F75DBD">
        <w:rPr>
          <w:rFonts w:ascii="Century Gothic" w:hAnsi="Century Gothic" w:cs="Segoe UI"/>
          <w:b/>
          <w:color w:val="313131"/>
          <w:shd w:val="clear" w:color="auto" w:fill="FFFFFF"/>
        </w:rPr>
        <w:tab/>
        <w:t>the intended and actual outcomes of the Robodebt scheme</w:t>
      </w:r>
      <w:r w:rsidR="005D121D" w:rsidRPr="00F75DBD">
        <w:rPr>
          <w:rFonts w:ascii="Century Gothic" w:hAnsi="Century Gothic" w:cs="Segoe UI"/>
          <w:b/>
          <w:color w:val="313131"/>
          <w:shd w:val="clear" w:color="auto" w:fill="FFFFFF"/>
        </w:rPr>
        <w:t>.</w:t>
      </w:r>
    </w:p>
    <w:p w:rsidR="00FE12BB" w:rsidRPr="00F75DBD" w:rsidRDefault="00D91EAE"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In the following</w:t>
      </w:r>
      <w:r w:rsidR="00480B93" w:rsidRPr="00F75DBD">
        <w:rPr>
          <w:rFonts w:ascii="Century Gothic" w:eastAsiaTheme="minorEastAsia" w:hAnsi="Century Gothic" w:cs="Arial"/>
          <w:color w:val="000000" w:themeColor="text1"/>
        </w:rPr>
        <w:t>, I draw</w:t>
      </w:r>
      <w:r w:rsidRPr="00F75DBD">
        <w:rPr>
          <w:rFonts w:ascii="Century Gothic" w:eastAsiaTheme="minorEastAsia" w:hAnsi="Century Gothic" w:cs="Arial"/>
          <w:color w:val="000000" w:themeColor="text1"/>
        </w:rPr>
        <w:t xml:space="preserve"> upon </w:t>
      </w:r>
      <w:r w:rsidR="00B35B29" w:rsidRPr="00F75DBD">
        <w:rPr>
          <w:rFonts w:ascii="Century Gothic" w:eastAsiaTheme="minorEastAsia" w:hAnsi="Century Gothic" w:cs="Arial"/>
          <w:color w:val="000000" w:themeColor="text1"/>
        </w:rPr>
        <w:t>two main research projects. The first is work undertaken with Professor Jeannie Marie Paterson (Melbourne Law School) pursuant to Australian Research Council Discovery Grant project DP18010093, into the laws regulating misleading and unconscionable conduct. The second is research</w:t>
      </w:r>
      <w:r w:rsidRPr="00F75DBD">
        <w:rPr>
          <w:rFonts w:ascii="Century Gothic" w:eastAsiaTheme="minorEastAsia" w:hAnsi="Century Gothic" w:cs="Arial"/>
          <w:color w:val="000000" w:themeColor="text1"/>
        </w:rPr>
        <w:t xml:space="preserve"> undertaken pursuant to my </w:t>
      </w:r>
      <w:r w:rsidR="002661AE" w:rsidRPr="00F75DBD">
        <w:rPr>
          <w:rFonts w:ascii="Century Gothic" w:eastAsiaTheme="minorEastAsia" w:hAnsi="Century Gothic" w:cs="Arial"/>
          <w:color w:val="000000" w:themeColor="text1"/>
        </w:rPr>
        <w:t xml:space="preserve">Australian Research Council </w:t>
      </w:r>
      <w:r w:rsidR="00B35B29" w:rsidRPr="00F75DBD">
        <w:rPr>
          <w:rFonts w:ascii="Century Gothic" w:eastAsiaTheme="minorEastAsia" w:hAnsi="Century Gothic" w:cs="Arial"/>
          <w:color w:val="000000" w:themeColor="text1"/>
        </w:rPr>
        <w:t>Future Fellowship FT190100475</w:t>
      </w:r>
      <w:r w:rsidRPr="00F75DBD">
        <w:rPr>
          <w:rFonts w:ascii="Century Gothic" w:eastAsiaTheme="minorEastAsia" w:hAnsi="Century Gothic" w:cs="Arial"/>
          <w:color w:val="000000" w:themeColor="text1"/>
        </w:rPr>
        <w:t>. This project aims to examine and model reforms of the laws that currently inhibit corporate responsibility</w:t>
      </w:r>
      <w:r w:rsidR="0056375F" w:rsidRPr="00F75DBD">
        <w:rPr>
          <w:rFonts w:ascii="Century Gothic" w:eastAsiaTheme="minorEastAsia" w:hAnsi="Century Gothic" w:cs="Arial"/>
          <w:color w:val="000000" w:themeColor="text1"/>
        </w:rPr>
        <w:t xml:space="preserve"> for serious civil misconduct: see further</w:t>
      </w:r>
      <w:r w:rsidRPr="00F75DBD">
        <w:rPr>
          <w:rFonts w:ascii="Century Gothic" w:eastAsiaTheme="minorEastAsia" w:hAnsi="Century Gothic" w:cs="Arial"/>
          <w:color w:val="000000" w:themeColor="text1"/>
        </w:rPr>
        <w:t xml:space="preserve"> </w:t>
      </w:r>
      <w:hyperlink r:id="rId9" w:history="1">
        <w:r w:rsidRPr="00F75DBD">
          <w:rPr>
            <w:rStyle w:val="Hyperlink"/>
            <w:rFonts w:ascii="Century Gothic" w:eastAsiaTheme="minorEastAsia" w:hAnsi="Century Gothic" w:cs="Arial"/>
          </w:rPr>
          <w:t>https://www.uwa.edu.au/schools/research/unravelling-corporate-fraud-re-purposing-ancient-doctrines-for-modern-times</w:t>
        </w:r>
      </w:hyperlink>
      <w:r w:rsidRPr="00F75DBD">
        <w:rPr>
          <w:rFonts w:ascii="Century Gothic" w:eastAsiaTheme="minorEastAsia" w:hAnsi="Century Gothic" w:cs="Arial"/>
          <w:color w:val="000000" w:themeColor="text1"/>
        </w:rPr>
        <w:t xml:space="preserve"> .</w:t>
      </w:r>
      <w:r w:rsidR="00480B93" w:rsidRPr="00F75DBD">
        <w:rPr>
          <w:rFonts w:ascii="Century Gothic" w:eastAsiaTheme="minorEastAsia" w:hAnsi="Century Gothic" w:cs="Arial"/>
          <w:color w:val="000000" w:themeColor="text1"/>
        </w:rPr>
        <w:t xml:space="preserve"> </w:t>
      </w:r>
    </w:p>
    <w:p w:rsidR="005C3808" w:rsidRDefault="00B35B29"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 xml:space="preserve">Building on this research, I have </w:t>
      </w:r>
      <w:r w:rsidR="006678A8" w:rsidRPr="00F75DBD">
        <w:rPr>
          <w:rFonts w:ascii="Century Gothic" w:eastAsiaTheme="minorEastAsia" w:hAnsi="Century Gothic" w:cs="Arial"/>
          <w:color w:val="000000" w:themeColor="text1"/>
        </w:rPr>
        <w:t>developed a novel model of organisational blameworthiness entitled ‘Systems Intentionality’.</w:t>
      </w:r>
      <w:r w:rsidR="0095371F" w:rsidRPr="00F75DBD">
        <w:rPr>
          <w:rStyle w:val="FootnoteReference"/>
          <w:rFonts w:ascii="Century Gothic" w:eastAsiaTheme="minorEastAsia" w:hAnsi="Century Gothic" w:cs="Arial"/>
          <w:color w:val="000000" w:themeColor="text1"/>
        </w:rPr>
        <w:footnoteReference w:id="1"/>
      </w:r>
      <w:r w:rsidR="006678A8" w:rsidRPr="00F75DBD">
        <w:rPr>
          <w:rFonts w:ascii="Century Gothic" w:eastAsiaTheme="minorEastAsia" w:hAnsi="Century Gothic" w:cs="Arial"/>
          <w:color w:val="000000" w:themeColor="text1"/>
        </w:rPr>
        <w:t xml:space="preserve"> </w:t>
      </w:r>
      <w:r w:rsidR="002661AE" w:rsidRPr="00F75DBD">
        <w:rPr>
          <w:rFonts w:ascii="Century Gothic" w:eastAsiaTheme="minorEastAsia" w:hAnsi="Century Gothic" w:cs="Arial"/>
          <w:color w:val="000000" w:themeColor="text1"/>
        </w:rPr>
        <w:t>The</w:t>
      </w:r>
      <w:r w:rsidR="006678A8" w:rsidRPr="00F75DBD">
        <w:rPr>
          <w:rFonts w:ascii="Century Gothic" w:eastAsiaTheme="minorEastAsia" w:hAnsi="Century Gothic" w:cs="Arial"/>
          <w:color w:val="000000" w:themeColor="text1"/>
        </w:rPr>
        <w:t xml:space="preserve"> model was discussed extensively, and endorsed, by Commissioner Finkelstein in the</w:t>
      </w:r>
      <w:r w:rsidR="002661AE" w:rsidRPr="00F75DBD">
        <w:rPr>
          <w:rFonts w:ascii="Century Gothic" w:eastAsiaTheme="minorEastAsia" w:hAnsi="Century Gothic" w:cs="Arial"/>
          <w:color w:val="000000" w:themeColor="text1"/>
        </w:rPr>
        <w:t xml:space="preserve"> report of the</w:t>
      </w:r>
      <w:r w:rsidR="006678A8" w:rsidRPr="00F75DBD">
        <w:rPr>
          <w:rFonts w:ascii="Century Gothic" w:eastAsiaTheme="minorEastAsia" w:hAnsi="Century Gothic" w:cs="Arial"/>
          <w:color w:val="000000" w:themeColor="text1"/>
        </w:rPr>
        <w:t xml:space="preserve"> Victorian Royal Commission into the Casino Operator </w:t>
      </w:r>
      <w:r w:rsidR="006678A8" w:rsidRPr="00F75DBD">
        <w:rPr>
          <w:rFonts w:ascii="Century Gothic" w:eastAsiaTheme="minorEastAsia" w:hAnsi="Century Gothic" w:cs="Arial"/>
          <w:color w:val="000000" w:themeColor="text1"/>
        </w:rPr>
        <w:lastRenderedPageBreak/>
        <w:t>and Licence.</w:t>
      </w:r>
      <w:r w:rsidR="0056375F" w:rsidRPr="00F75DBD">
        <w:rPr>
          <w:rStyle w:val="FootnoteReference"/>
          <w:rFonts w:ascii="Century Gothic" w:eastAsiaTheme="minorEastAsia" w:hAnsi="Century Gothic" w:cs="Arial"/>
          <w:color w:val="000000" w:themeColor="text1"/>
        </w:rPr>
        <w:footnoteReference w:id="2"/>
      </w:r>
      <w:r w:rsidR="006678A8" w:rsidRPr="00F75DBD">
        <w:rPr>
          <w:rFonts w:ascii="Century Gothic" w:eastAsiaTheme="minorEastAsia" w:hAnsi="Century Gothic" w:cs="Arial"/>
          <w:color w:val="000000" w:themeColor="text1"/>
        </w:rPr>
        <w:t xml:space="preserve"> It has similarly been accepted as shedding important, additional light on </w:t>
      </w:r>
      <w:r w:rsidR="00FE12BB" w:rsidRPr="00F75DBD">
        <w:rPr>
          <w:rFonts w:ascii="Century Gothic" w:eastAsiaTheme="minorEastAsia" w:hAnsi="Century Gothic" w:cs="Arial"/>
          <w:color w:val="000000" w:themeColor="text1"/>
        </w:rPr>
        <w:t xml:space="preserve">issues </w:t>
      </w:r>
      <w:r w:rsidR="006678A8" w:rsidRPr="00F75DBD">
        <w:rPr>
          <w:rFonts w:ascii="Century Gothic" w:eastAsiaTheme="minorEastAsia" w:hAnsi="Century Gothic" w:cs="Arial"/>
          <w:color w:val="000000" w:themeColor="text1"/>
        </w:rPr>
        <w:t>corporate responsibility and governance in the Perth Casino Royal Commission</w:t>
      </w:r>
      <w:r w:rsidR="0056375F" w:rsidRPr="00F75DBD">
        <w:rPr>
          <w:rStyle w:val="FootnoteReference"/>
          <w:rFonts w:ascii="Century Gothic" w:eastAsiaTheme="minorEastAsia" w:hAnsi="Century Gothic" w:cs="Arial"/>
          <w:color w:val="000000" w:themeColor="text1"/>
        </w:rPr>
        <w:footnoteReference w:id="3"/>
      </w:r>
      <w:r w:rsidR="006678A8" w:rsidRPr="00F75DBD">
        <w:rPr>
          <w:rFonts w:ascii="Century Gothic" w:eastAsiaTheme="minorEastAsia" w:hAnsi="Century Gothic" w:cs="Arial"/>
          <w:color w:val="000000" w:themeColor="text1"/>
        </w:rPr>
        <w:t xml:space="preserve"> and in the Star Casino report.</w:t>
      </w:r>
      <w:r w:rsidR="0056375F" w:rsidRPr="00F75DBD">
        <w:rPr>
          <w:rStyle w:val="FootnoteReference"/>
          <w:rFonts w:ascii="Century Gothic" w:eastAsiaTheme="minorEastAsia" w:hAnsi="Century Gothic" w:cs="Arial"/>
          <w:color w:val="000000" w:themeColor="text1"/>
        </w:rPr>
        <w:footnoteReference w:id="4"/>
      </w:r>
      <w:r w:rsidR="006678A8" w:rsidRPr="00F75DBD">
        <w:rPr>
          <w:rFonts w:ascii="Century Gothic" w:eastAsiaTheme="minorEastAsia" w:hAnsi="Century Gothic" w:cs="Arial"/>
          <w:color w:val="000000" w:themeColor="text1"/>
        </w:rPr>
        <w:t xml:space="preserve"> </w:t>
      </w:r>
      <w:r w:rsidR="00FE12BB" w:rsidRPr="00F75DBD">
        <w:rPr>
          <w:rFonts w:ascii="Century Gothic" w:eastAsiaTheme="minorEastAsia" w:hAnsi="Century Gothic" w:cs="Arial"/>
          <w:color w:val="000000" w:themeColor="text1"/>
        </w:rPr>
        <w:t xml:space="preserve">Although </w:t>
      </w:r>
      <w:r w:rsidR="002661AE" w:rsidRPr="00F75DBD">
        <w:rPr>
          <w:rFonts w:ascii="Century Gothic" w:eastAsiaTheme="minorEastAsia" w:hAnsi="Century Gothic" w:cs="Arial"/>
          <w:color w:val="000000" w:themeColor="text1"/>
        </w:rPr>
        <w:t>my</w:t>
      </w:r>
      <w:r w:rsidR="00FE12BB" w:rsidRPr="00F75DBD">
        <w:rPr>
          <w:rFonts w:ascii="Century Gothic" w:eastAsiaTheme="minorEastAsia" w:hAnsi="Century Gothic" w:cs="Arial"/>
          <w:color w:val="000000" w:themeColor="text1"/>
        </w:rPr>
        <w:t xml:space="preserve"> work has focussed on corporate responsibility, it is founded on moral, and legal, understandings of organisational blameworthiness.</w:t>
      </w:r>
      <w:r w:rsidR="0095371F" w:rsidRPr="00F75DBD">
        <w:rPr>
          <w:rStyle w:val="FootnoteReference"/>
          <w:rFonts w:ascii="Century Gothic" w:eastAsiaTheme="minorEastAsia" w:hAnsi="Century Gothic" w:cs="Arial"/>
          <w:color w:val="000000" w:themeColor="text1"/>
        </w:rPr>
        <w:footnoteReference w:id="5"/>
      </w:r>
      <w:r w:rsidR="00FE12BB" w:rsidRPr="00F75DBD">
        <w:rPr>
          <w:rFonts w:ascii="Century Gothic" w:eastAsiaTheme="minorEastAsia" w:hAnsi="Century Gothic" w:cs="Arial"/>
          <w:color w:val="000000" w:themeColor="text1"/>
        </w:rPr>
        <w:t xml:space="preserve"> </w:t>
      </w:r>
      <w:r w:rsidR="0095371F" w:rsidRPr="00F75DBD">
        <w:rPr>
          <w:rFonts w:ascii="Century Gothic" w:eastAsiaTheme="minorEastAsia" w:hAnsi="Century Gothic" w:cs="Arial"/>
          <w:color w:val="000000" w:themeColor="text1"/>
        </w:rPr>
        <w:t xml:space="preserve">It </w:t>
      </w:r>
      <w:r w:rsidR="001C748D" w:rsidRPr="00F75DBD">
        <w:rPr>
          <w:rFonts w:ascii="Century Gothic" w:eastAsiaTheme="minorEastAsia" w:hAnsi="Century Gothic" w:cs="Arial"/>
          <w:color w:val="000000" w:themeColor="text1"/>
        </w:rPr>
        <w:t xml:space="preserve">therefore has broader applications, as a means of understanding the group ‘states of mind’ held by organisations or associations of individuals, including where these groups utilise automated processes to carry out key group functions. </w:t>
      </w:r>
    </w:p>
    <w:p w:rsidR="00D91EAE" w:rsidRDefault="001C748D"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 xml:space="preserve">This submission proceeds on the basis that, consistently, the model is highly </w:t>
      </w:r>
      <w:r w:rsidR="00FE12BB" w:rsidRPr="00F75DBD">
        <w:rPr>
          <w:rFonts w:ascii="Century Gothic" w:eastAsiaTheme="minorEastAsia" w:hAnsi="Century Gothic" w:cs="Arial"/>
          <w:color w:val="000000" w:themeColor="text1"/>
        </w:rPr>
        <w:t>i</w:t>
      </w:r>
      <w:r w:rsidR="00480B93" w:rsidRPr="00F75DBD">
        <w:rPr>
          <w:rFonts w:ascii="Century Gothic" w:eastAsiaTheme="minorEastAsia" w:hAnsi="Century Gothic" w:cs="Arial"/>
          <w:color w:val="000000" w:themeColor="text1"/>
        </w:rPr>
        <w:t xml:space="preserve">lluminating for understanding key questions posed to the </w:t>
      </w:r>
      <w:r w:rsidR="00FE12BB" w:rsidRPr="00F75DBD">
        <w:rPr>
          <w:rFonts w:ascii="Century Gothic" w:eastAsiaTheme="minorEastAsia" w:hAnsi="Century Gothic" w:cs="Arial"/>
          <w:color w:val="000000" w:themeColor="text1"/>
        </w:rPr>
        <w:t xml:space="preserve">Robodebt </w:t>
      </w:r>
      <w:r w:rsidRPr="00F75DBD">
        <w:rPr>
          <w:rFonts w:ascii="Century Gothic" w:eastAsiaTheme="minorEastAsia" w:hAnsi="Century Gothic" w:cs="Arial"/>
          <w:color w:val="000000" w:themeColor="text1"/>
        </w:rPr>
        <w:t xml:space="preserve">Royal Commission. In particular, it provides </w:t>
      </w:r>
      <w:r w:rsidR="003C1ABD" w:rsidRPr="00F75DBD">
        <w:rPr>
          <w:rFonts w:ascii="Century Gothic" w:eastAsiaTheme="minorEastAsia" w:hAnsi="Century Gothic" w:cs="Arial"/>
          <w:color w:val="000000" w:themeColor="text1"/>
        </w:rPr>
        <w:t xml:space="preserve">significant </w:t>
      </w:r>
      <w:r w:rsidRPr="00F75DBD">
        <w:rPr>
          <w:rFonts w:ascii="Century Gothic" w:eastAsiaTheme="minorEastAsia" w:hAnsi="Century Gothic" w:cs="Arial"/>
          <w:color w:val="000000" w:themeColor="text1"/>
        </w:rPr>
        <w:t>guidance on how to determine what kn</w:t>
      </w:r>
      <w:r w:rsidR="00480B93" w:rsidRPr="00F75DBD">
        <w:rPr>
          <w:rFonts w:ascii="Century Gothic" w:eastAsiaTheme="minorEastAsia" w:hAnsi="Century Gothic" w:cs="Arial"/>
          <w:color w:val="000000" w:themeColor="text1"/>
        </w:rPr>
        <w:t xml:space="preserve">owledge the </w:t>
      </w:r>
      <w:r w:rsidR="00FE12BB" w:rsidRPr="00F75DBD">
        <w:rPr>
          <w:rFonts w:ascii="Century Gothic" w:eastAsiaTheme="minorEastAsia" w:hAnsi="Century Gothic" w:cs="Arial"/>
          <w:color w:val="000000" w:themeColor="text1"/>
        </w:rPr>
        <w:t xml:space="preserve">Commonwealth </w:t>
      </w:r>
      <w:r w:rsidR="00480B93" w:rsidRPr="00F75DBD">
        <w:rPr>
          <w:rFonts w:ascii="Century Gothic" w:eastAsiaTheme="minorEastAsia" w:hAnsi="Century Gothic" w:cs="Arial"/>
          <w:color w:val="000000" w:themeColor="text1"/>
        </w:rPr>
        <w:t>Government</w:t>
      </w:r>
      <w:r w:rsidR="0079241F" w:rsidRPr="00F75DBD">
        <w:rPr>
          <w:rFonts w:ascii="Century Gothic" w:eastAsiaTheme="minorEastAsia" w:hAnsi="Century Gothic" w:cs="Arial"/>
          <w:color w:val="000000" w:themeColor="text1"/>
        </w:rPr>
        <w:t xml:space="preserve"> of the time (the Government)</w:t>
      </w:r>
      <w:r w:rsidR="00480B93" w:rsidRPr="00F75DBD">
        <w:rPr>
          <w:rFonts w:ascii="Century Gothic" w:eastAsiaTheme="minorEastAsia" w:hAnsi="Century Gothic" w:cs="Arial"/>
          <w:color w:val="000000" w:themeColor="text1"/>
        </w:rPr>
        <w:t xml:space="preserve"> </w:t>
      </w:r>
      <w:r w:rsidRPr="00F75DBD">
        <w:rPr>
          <w:rFonts w:ascii="Century Gothic" w:eastAsiaTheme="minorEastAsia" w:hAnsi="Century Gothic" w:cs="Arial"/>
          <w:color w:val="000000" w:themeColor="text1"/>
        </w:rPr>
        <w:t>held</w:t>
      </w:r>
      <w:r w:rsidR="00480B93" w:rsidRPr="00F75DBD">
        <w:rPr>
          <w:rFonts w:ascii="Century Gothic" w:eastAsiaTheme="minorEastAsia" w:hAnsi="Century Gothic" w:cs="Arial"/>
          <w:color w:val="000000" w:themeColor="text1"/>
        </w:rPr>
        <w:t xml:space="preserve"> concerning the </w:t>
      </w:r>
      <w:r w:rsidRPr="00F75DBD">
        <w:rPr>
          <w:rFonts w:ascii="Century Gothic" w:eastAsiaTheme="minorEastAsia" w:hAnsi="Century Gothic" w:cs="Arial"/>
          <w:color w:val="000000" w:themeColor="text1"/>
        </w:rPr>
        <w:t>Robodebt scheme</w:t>
      </w:r>
      <w:r w:rsidR="00480B93" w:rsidRPr="00F75DBD">
        <w:rPr>
          <w:rFonts w:ascii="Century Gothic" w:eastAsiaTheme="minorEastAsia" w:hAnsi="Century Gothic" w:cs="Arial"/>
          <w:color w:val="000000" w:themeColor="text1"/>
        </w:rPr>
        <w:t>, its intentions in deploying the prog</w:t>
      </w:r>
      <w:r w:rsidRPr="00F75DBD">
        <w:rPr>
          <w:rFonts w:ascii="Century Gothic" w:eastAsiaTheme="minorEastAsia" w:hAnsi="Century Gothic" w:cs="Arial"/>
          <w:color w:val="000000" w:themeColor="text1"/>
        </w:rPr>
        <w:t>ram and</w:t>
      </w:r>
      <w:r w:rsidR="00803F9D" w:rsidRPr="00F75DBD">
        <w:rPr>
          <w:rFonts w:ascii="Century Gothic" w:eastAsiaTheme="minorEastAsia" w:hAnsi="Century Gothic" w:cs="Arial"/>
          <w:color w:val="000000" w:themeColor="text1"/>
        </w:rPr>
        <w:t>, hence,</w:t>
      </w:r>
      <w:r w:rsidRPr="00F75DBD">
        <w:rPr>
          <w:rFonts w:ascii="Century Gothic" w:eastAsiaTheme="minorEastAsia" w:hAnsi="Century Gothic" w:cs="Arial"/>
          <w:color w:val="000000" w:themeColor="text1"/>
        </w:rPr>
        <w:t xml:space="preserve"> the overall nature of Government</w:t>
      </w:r>
      <w:r w:rsidR="00480B93" w:rsidRPr="00F75DBD">
        <w:rPr>
          <w:rFonts w:ascii="Century Gothic" w:eastAsiaTheme="minorEastAsia" w:hAnsi="Century Gothic" w:cs="Arial"/>
          <w:color w:val="000000" w:themeColor="text1"/>
        </w:rPr>
        <w:t xml:space="preserve"> </w:t>
      </w:r>
      <w:r w:rsidR="003C1ABD" w:rsidRPr="00F75DBD">
        <w:rPr>
          <w:rFonts w:ascii="Century Gothic" w:eastAsiaTheme="minorEastAsia" w:hAnsi="Century Gothic" w:cs="Arial"/>
          <w:color w:val="000000" w:themeColor="text1"/>
        </w:rPr>
        <w:t>blameworthiness</w:t>
      </w:r>
      <w:r w:rsidR="00480B93" w:rsidRPr="00F75DBD">
        <w:rPr>
          <w:rFonts w:ascii="Century Gothic" w:eastAsiaTheme="minorEastAsia" w:hAnsi="Century Gothic" w:cs="Arial"/>
          <w:color w:val="000000" w:themeColor="text1"/>
        </w:rPr>
        <w:t xml:space="preserve"> manifested through this system of conduct.</w:t>
      </w:r>
      <w:r w:rsidR="00E94993" w:rsidRPr="00F75DBD">
        <w:rPr>
          <w:rFonts w:ascii="Century Gothic" w:eastAsiaTheme="minorEastAsia" w:hAnsi="Century Gothic" w:cs="Arial"/>
          <w:color w:val="000000" w:themeColor="text1"/>
        </w:rPr>
        <w:t xml:space="preserve"> </w:t>
      </w:r>
      <w:r w:rsidR="00DE0A84">
        <w:rPr>
          <w:rFonts w:ascii="Century Gothic" w:eastAsiaTheme="minorEastAsia" w:hAnsi="Century Gothic" w:cs="Arial"/>
          <w:color w:val="000000" w:themeColor="text1"/>
        </w:rPr>
        <w:t xml:space="preserve">It also provides a </w:t>
      </w:r>
      <w:r w:rsidR="00746B0E">
        <w:rPr>
          <w:rFonts w:ascii="Century Gothic" w:eastAsiaTheme="minorEastAsia" w:hAnsi="Century Gothic" w:cs="Arial"/>
          <w:color w:val="000000" w:themeColor="text1"/>
        </w:rPr>
        <w:t>principled lens through which</w:t>
      </w:r>
      <w:r w:rsidR="00DE0A84">
        <w:rPr>
          <w:rFonts w:ascii="Century Gothic" w:eastAsiaTheme="minorEastAsia" w:hAnsi="Century Gothic" w:cs="Arial"/>
          <w:color w:val="000000" w:themeColor="text1"/>
        </w:rPr>
        <w:t xml:space="preserve"> to probe senior individuals</w:t>
      </w:r>
      <w:r w:rsidR="00746B0E">
        <w:rPr>
          <w:rFonts w:ascii="Century Gothic" w:eastAsiaTheme="minorEastAsia" w:hAnsi="Century Gothic" w:cs="Arial"/>
          <w:color w:val="000000" w:themeColor="text1"/>
        </w:rPr>
        <w:t>’</w:t>
      </w:r>
      <w:r w:rsidR="00DE0A84">
        <w:rPr>
          <w:rFonts w:ascii="Century Gothic" w:eastAsiaTheme="minorEastAsia" w:hAnsi="Century Gothic" w:cs="Arial"/>
          <w:color w:val="000000" w:themeColor="text1"/>
        </w:rPr>
        <w:t xml:space="preserve"> accounts of their responsibility for </w:t>
      </w:r>
      <w:r w:rsidR="00746B0E">
        <w:rPr>
          <w:rFonts w:ascii="Century Gothic" w:eastAsiaTheme="minorEastAsia" w:hAnsi="Century Gothic" w:cs="Arial"/>
          <w:color w:val="000000" w:themeColor="text1"/>
        </w:rPr>
        <w:t>‘</w:t>
      </w:r>
      <w:r w:rsidR="00DE0A84" w:rsidRPr="00DE0A84">
        <w:rPr>
          <w:rFonts w:ascii="Century Gothic" w:eastAsiaTheme="minorEastAsia" w:hAnsi="Century Gothic" w:cs="Arial"/>
          <w:color w:val="000000" w:themeColor="text1"/>
        </w:rPr>
        <w:t>the establishment, design and implementation of the Robodebt scheme</w:t>
      </w:r>
      <w:r w:rsidR="00746B0E">
        <w:rPr>
          <w:rFonts w:ascii="Century Gothic" w:eastAsiaTheme="minorEastAsia" w:hAnsi="Century Gothic" w:cs="Arial"/>
          <w:color w:val="000000" w:themeColor="text1"/>
        </w:rPr>
        <w:t>’</w:t>
      </w:r>
      <w:r w:rsidR="00DE0A84">
        <w:rPr>
          <w:rFonts w:ascii="Century Gothic" w:eastAsiaTheme="minorEastAsia" w:hAnsi="Century Gothic" w:cs="Arial"/>
          <w:color w:val="000000" w:themeColor="text1"/>
        </w:rPr>
        <w:t xml:space="preserve"> (relevant to </w:t>
      </w:r>
      <w:r w:rsidR="00746B0E">
        <w:rPr>
          <w:rFonts w:ascii="Century Gothic" w:eastAsiaTheme="minorEastAsia" w:hAnsi="Century Gothic" w:cs="Arial"/>
          <w:color w:val="000000" w:themeColor="text1"/>
        </w:rPr>
        <w:t>Term of R</w:t>
      </w:r>
      <w:r w:rsidR="00DE0A84">
        <w:rPr>
          <w:rFonts w:ascii="Century Gothic" w:eastAsiaTheme="minorEastAsia" w:hAnsi="Century Gothic" w:cs="Arial"/>
          <w:color w:val="000000" w:themeColor="text1"/>
        </w:rPr>
        <w:t>eference (g), among others). Finally, it</w:t>
      </w:r>
      <w:r w:rsidR="003C1ABD" w:rsidRPr="00F75DBD">
        <w:rPr>
          <w:rFonts w:ascii="Century Gothic" w:eastAsiaTheme="minorEastAsia" w:hAnsi="Century Gothic" w:cs="Arial"/>
          <w:color w:val="000000" w:themeColor="text1"/>
        </w:rPr>
        <w:t xml:space="preserve"> suggests what sort</w:t>
      </w:r>
      <w:r w:rsidR="009754BD" w:rsidRPr="00F75DBD">
        <w:rPr>
          <w:rFonts w:ascii="Century Gothic" w:eastAsiaTheme="minorEastAsia" w:hAnsi="Century Gothic" w:cs="Arial"/>
          <w:color w:val="000000" w:themeColor="text1"/>
        </w:rPr>
        <w:t>s</w:t>
      </w:r>
      <w:r w:rsidR="003C1ABD" w:rsidRPr="00F75DBD">
        <w:rPr>
          <w:rFonts w:ascii="Century Gothic" w:eastAsiaTheme="minorEastAsia" w:hAnsi="Century Gothic" w:cs="Arial"/>
          <w:color w:val="000000" w:themeColor="text1"/>
        </w:rPr>
        <w:t xml:space="preserve"> of steps are required in order to ensure that this shameful</w:t>
      </w:r>
      <w:r w:rsidR="003D06AF" w:rsidRPr="00F75DBD">
        <w:rPr>
          <w:rStyle w:val="FootnoteReference"/>
          <w:rFonts w:ascii="Century Gothic" w:eastAsiaTheme="minorEastAsia" w:hAnsi="Century Gothic" w:cs="Arial"/>
          <w:color w:val="000000" w:themeColor="text1"/>
        </w:rPr>
        <w:footnoteReference w:id="6"/>
      </w:r>
      <w:r w:rsidR="003C1ABD" w:rsidRPr="00F75DBD">
        <w:rPr>
          <w:rFonts w:ascii="Century Gothic" w:eastAsiaTheme="minorEastAsia" w:hAnsi="Century Gothic" w:cs="Arial"/>
          <w:color w:val="000000" w:themeColor="text1"/>
        </w:rPr>
        <w:t xml:space="preserve"> chapter in our nation’s</w:t>
      </w:r>
      <w:r w:rsidR="005D121D" w:rsidRPr="00F75DBD">
        <w:rPr>
          <w:rFonts w:ascii="Century Gothic" w:eastAsiaTheme="minorEastAsia" w:hAnsi="Century Gothic" w:cs="Arial"/>
          <w:color w:val="000000" w:themeColor="text1"/>
        </w:rPr>
        <w:t xml:space="preserve"> history is never repeated, relevant to the direction in the Letters Patent to make recommendations to ‘prevent a recurrence of any failures of public administration you identify.’</w:t>
      </w:r>
    </w:p>
    <w:p w:rsidR="00746B0E" w:rsidRDefault="00746B0E">
      <w:pPr>
        <w:rPr>
          <w:rFonts w:ascii="Century Gothic" w:eastAsiaTheme="minorEastAsia" w:hAnsi="Century Gothic" w:cs="Arial"/>
          <w:color w:val="000000" w:themeColor="text1"/>
        </w:rPr>
      </w:pPr>
      <w:r>
        <w:rPr>
          <w:rFonts w:ascii="Century Gothic" w:eastAsiaTheme="minorEastAsia" w:hAnsi="Century Gothic" w:cs="Arial"/>
          <w:color w:val="000000" w:themeColor="text1"/>
        </w:rPr>
        <w:br w:type="page"/>
      </w:r>
    </w:p>
    <w:sdt>
      <w:sdtPr>
        <w:rPr>
          <w:rFonts w:ascii="Century Gothic" w:hAnsi="Century Gothic"/>
        </w:rPr>
        <w:id w:val="472414704"/>
        <w:docPartObj>
          <w:docPartGallery w:val="Table of Contents"/>
          <w:docPartUnique/>
        </w:docPartObj>
      </w:sdtPr>
      <w:sdtEndPr>
        <w:rPr>
          <w:rFonts w:eastAsiaTheme="minorHAnsi" w:cstheme="minorBidi"/>
          <w:b/>
          <w:bCs/>
          <w:noProof/>
          <w:color w:val="auto"/>
          <w:sz w:val="22"/>
          <w:szCs w:val="22"/>
          <w:lang w:val="en-AU"/>
        </w:rPr>
      </w:sdtEndPr>
      <w:sdtContent>
        <w:p w:rsidR="00F75DBD" w:rsidRPr="00F75DBD" w:rsidRDefault="00F75DBD">
          <w:pPr>
            <w:pStyle w:val="TOCHeading"/>
            <w:rPr>
              <w:rFonts w:ascii="Century Gothic" w:hAnsi="Century Gothic"/>
            </w:rPr>
          </w:pPr>
          <w:r w:rsidRPr="00F75DBD">
            <w:rPr>
              <w:rFonts w:ascii="Century Gothic" w:hAnsi="Century Gothic"/>
            </w:rPr>
            <w:t>Table of Contents</w:t>
          </w:r>
        </w:p>
        <w:p w:rsidR="00746B0E" w:rsidRDefault="00F75DBD">
          <w:pPr>
            <w:pStyle w:val="TOC1"/>
            <w:tabs>
              <w:tab w:val="left" w:pos="440"/>
              <w:tab w:val="right" w:leader="dot" w:pos="8919"/>
            </w:tabs>
            <w:rPr>
              <w:rFonts w:eastAsiaTheme="minorEastAsia"/>
              <w:noProof/>
              <w:lang w:eastAsia="en-AU"/>
            </w:rPr>
          </w:pPr>
          <w:r w:rsidRPr="00F75DBD">
            <w:rPr>
              <w:rFonts w:ascii="Century Gothic" w:hAnsi="Century Gothic"/>
            </w:rPr>
            <w:fldChar w:fldCharType="begin"/>
          </w:r>
          <w:r w:rsidRPr="00F75DBD">
            <w:rPr>
              <w:rFonts w:ascii="Century Gothic" w:hAnsi="Century Gothic"/>
            </w:rPr>
            <w:instrText xml:space="preserve"> TOC \o "1-3" \h \z \u </w:instrText>
          </w:r>
          <w:r w:rsidRPr="00F75DBD">
            <w:rPr>
              <w:rFonts w:ascii="Century Gothic" w:hAnsi="Century Gothic"/>
            </w:rPr>
            <w:fldChar w:fldCharType="separate"/>
          </w:r>
          <w:hyperlink w:anchor="_Toc116481923" w:history="1">
            <w:r w:rsidR="00746B0E" w:rsidRPr="00720BD8">
              <w:rPr>
                <w:rStyle w:val="Hyperlink"/>
                <w:rFonts w:ascii="Century Gothic" w:hAnsi="Century Gothic"/>
                <w:b/>
                <w:noProof/>
              </w:rPr>
              <w:t>1.</w:t>
            </w:r>
            <w:r w:rsidR="00746B0E">
              <w:rPr>
                <w:rFonts w:eastAsiaTheme="minorEastAsia"/>
                <w:noProof/>
                <w:lang w:eastAsia="en-AU"/>
              </w:rPr>
              <w:tab/>
            </w:r>
            <w:r w:rsidR="00746B0E" w:rsidRPr="00720BD8">
              <w:rPr>
                <w:rStyle w:val="Hyperlink"/>
                <w:rFonts w:ascii="Century Gothic" w:hAnsi="Century Gothic"/>
                <w:b/>
                <w:noProof/>
              </w:rPr>
              <w:t>Factual framework for analysis</w:t>
            </w:r>
            <w:r w:rsidR="00746B0E">
              <w:rPr>
                <w:noProof/>
                <w:webHidden/>
              </w:rPr>
              <w:tab/>
            </w:r>
            <w:r w:rsidR="00746B0E">
              <w:rPr>
                <w:noProof/>
                <w:webHidden/>
              </w:rPr>
              <w:fldChar w:fldCharType="begin"/>
            </w:r>
            <w:r w:rsidR="00746B0E">
              <w:rPr>
                <w:noProof/>
                <w:webHidden/>
              </w:rPr>
              <w:instrText xml:space="preserve"> PAGEREF _Toc116481923 \h </w:instrText>
            </w:r>
            <w:r w:rsidR="00746B0E">
              <w:rPr>
                <w:noProof/>
                <w:webHidden/>
              </w:rPr>
            </w:r>
            <w:r w:rsidR="00746B0E">
              <w:rPr>
                <w:noProof/>
                <w:webHidden/>
              </w:rPr>
              <w:fldChar w:fldCharType="separate"/>
            </w:r>
            <w:r w:rsidR="00746B0E">
              <w:rPr>
                <w:noProof/>
                <w:webHidden/>
              </w:rPr>
              <w:t>4</w:t>
            </w:r>
            <w:r w:rsidR="00746B0E">
              <w:rPr>
                <w:noProof/>
                <w:webHidden/>
              </w:rPr>
              <w:fldChar w:fldCharType="end"/>
            </w:r>
          </w:hyperlink>
        </w:p>
        <w:p w:rsidR="00746B0E" w:rsidRDefault="00746B0E">
          <w:pPr>
            <w:pStyle w:val="TOC1"/>
            <w:tabs>
              <w:tab w:val="left" w:pos="440"/>
              <w:tab w:val="right" w:leader="dot" w:pos="8919"/>
            </w:tabs>
            <w:rPr>
              <w:rFonts w:eastAsiaTheme="minorEastAsia"/>
              <w:noProof/>
              <w:lang w:eastAsia="en-AU"/>
            </w:rPr>
          </w:pPr>
          <w:hyperlink w:anchor="_Toc116481924" w:history="1">
            <w:r w:rsidRPr="00720BD8">
              <w:rPr>
                <w:rStyle w:val="Hyperlink"/>
                <w:rFonts w:ascii="Century Gothic" w:hAnsi="Century Gothic"/>
                <w:b/>
                <w:noProof/>
              </w:rPr>
              <w:t>2.</w:t>
            </w:r>
            <w:r>
              <w:rPr>
                <w:rFonts w:eastAsiaTheme="minorEastAsia"/>
                <w:noProof/>
                <w:lang w:eastAsia="en-AU"/>
              </w:rPr>
              <w:tab/>
            </w:r>
            <w:r w:rsidRPr="00720BD8">
              <w:rPr>
                <w:rStyle w:val="Hyperlink"/>
                <w:rFonts w:ascii="Century Gothic" w:hAnsi="Century Gothic"/>
                <w:b/>
                <w:noProof/>
              </w:rPr>
              <w:t>Understanding strategies of denial</w:t>
            </w:r>
            <w:r>
              <w:rPr>
                <w:noProof/>
                <w:webHidden/>
              </w:rPr>
              <w:tab/>
            </w:r>
            <w:r>
              <w:rPr>
                <w:noProof/>
                <w:webHidden/>
              </w:rPr>
              <w:fldChar w:fldCharType="begin"/>
            </w:r>
            <w:r>
              <w:rPr>
                <w:noProof/>
                <w:webHidden/>
              </w:rPr>
              <w:instrText xml:space="preserve"> PAGEREF _Toc116481924 \h </w:instrText>
            </w:r>
            <w:r>
              <w:rPr>
                <w:noProof/>
                <w:webHidden/>
              </w:rPr>
            </w:r>
            <w:r>
              <w:rPr>
                <w:noProof/>
                <w:webHidden/>
              </w:rPr>
              <w:fldChar w:fldCharType="separate"/>
            </w:r>
            <w:r>
              <w:rPr>
                <w:noProof/>
                <w:webHidden/>
              </w:rPr>
              <w:t>5</w:t>
            </w:r>
            <w:r>
              <w:rPr>
                <w:noProof/>
                <w:webHidden/>
              </w:rPr>
              <w:fldChar w:fldCharType="end"/>
            </w:r>
          </w:hyperlink>
        </w:p>
        <w:p w:rsidR="00746B0E" w:rsidRDefault="00746B0E">
          <w:pPr>
            <w:pStyle w:val="TOC1"/>
            <w:tabs>
              <w:tab w:val="left" w:pos="440"/>
              <w:tab w:val="right" w:leader="dot" w:pos="8919"/>
            </w:tabs>
            <w:rPr>
              <w:rFonts w:eastAsiaTheme="minorEastAsia"/>
              <w:noProof/>
              <w:lang w:eastAsia="en-AU"/>
            </w:rPr>
          </w:pPr>
          <w:hyperlink w:anchor="_Toc116481925" w:history="1">
            <w:r w:rsidRPr="00720BD8">
              <w:rPr>
                <w:rStyle w:val="Hyperlink"/>
                <w:rFonts w:ascii="Century Gothic" w:hAnsi="Century Gothic"/>
                <w:b/>
                <w:noProof/>
              </w:rPr>
              <w:t>3.</w:t>
            </w:r>
            <w:r>
              <w:rPr>
                <w:rFonts w:eastAsiaTheme="minorEastAsia"/>
                <w:noProof/>
                <w:lang w:eastAsia="en-AU"/>
              </w:rPr>
              <w:tab/>
            </w:r>
            <w:r w:rsidRPr="00720BD8">
              <w:rPr>
                <w:rStyle w:val="Hyperlink"/>
                <w:rFonts w:ascii="Century Gothic" w:hAnsi="Century Gothic"/>
                <w:b/>
                <w:noProof/>
              </w:rPr>
              <w:t>Systems Intentionality explained</w:t>
            </w:r>
            <w:r>
              <w:rPr>
                <w:noProof/>
                <w:webHidden/>
              </w:rPr>
              <w:tab/>
            </w:r>
            <w:r>
              <w:rPr>
                <w:noProof/>
                <w:webHidden/>
              </w:rPr>
              <w:fldChar w:fldCharType="begin"/>
            </w:r>
            <w:r>
              <w:rPr>
                <w:noProof/>
                <w:webHidden/>
              </w:rPr>
              <w:instrText xml:space="preserve"> PAGEREF _Toc116481925 \h </w:instrText>
            </w:r>
            <w:r>
              <w:rPr>
                <w:noProof/>
                <w:webHidden/>
              </w:rPr>
            </w:r>
            <w:r>
              <w:rPr>
                <w:noProof/>
                <w:webHidden/>
              </w:rPr>
              <w:fldChar w:fldCharType="separate"/>
            </w:r>
            <w:r>
              <w:rPr>
                <w:noProof/>
                <w:webHidden/>
              </w:rPr>
              <w:t>8</w:t>
            </w:r>
            <w:r>
              <w:rPr>
                <w:noProof/>
                <w:webHidden/>
              </w:rPr>
              <w:fldChar w:fldCharType="end"/>
            </w:r>
          </w:hyperlink>
        </w:p>
        <w:p w:rsidR="00746B0E" w:rsidRDefault="00746B0E">
          <w:pPr>
            <w:pStyle w:val="TOC1"/>
            <w:tabs>
              <w:tab w:val="left" w:pos="440"/>
              <w:tab w:val="right" w:leader="dot" w:pos="8919"/>
            </w:tabs>
            <w:rPr>
              <w:rFonts w:eastAsiaTheme="minorEastAsia"/>
              <w:noProof/>
              <w:lang w:eastAsia="en-AU"/>
            </w:rPr>
          </w:pPr>
          <w:hyperlink w:anchor="_Toc116481926" w:history="1">
            <w:r w:rsidRPr="00720BD8">
              <w:rPr>
                <w:rStyle w:val="Hyperlink"/>
                <w:rFonts w:ascii="Century Gothic" w:hAnsi="Century Gothic"/>
                <w:b/>
                <w:noProof/>
              </w:rPr>
              <w:t>4.</w:t>
            </w:r>
            <w:r>
              <w:rPr>
                <w:rFonts w:eastAsiaTheme="minorEastAsia"/>
                <w:noProof/>
                <w:lang w:eastAsia="en-AU"/>
              </w:rPr>
              <w:tab/>
            </w:r>
            <w:r w:rsidRPr="00720BD8">
              <w:rPr>
                <w:rStyle w:val="Hyperlink"/>
                <w:rFonts w:ascii="Century Gothic" w:hAnsi="Century Gothic"/>
                <w:b/>
                <w:noProof/>
              </w:rPr>
              <w:t>Systems Intentionality and the plain facts of Robodebt</w:t>
            </w:r>
            <w:r>
              <w:rPr>
                <w:noProof/>
                <w:webHidden/>
              </w:rPr>
              <w:tab/>
            </w:r>
            <w:r>
              <w:rPr>
                <w:noProof/>
                <w:webHidden/>
              </w:rPr>
              <w:fldChar w:fldCharType="begin"/>
            </w:r>
            <w:r>
              <w:rPr>
                <w:noProof/>
                <w:webHidden/>
              </w:rPr>
              <w:instrText xml:space="preserve"> PAGEREF _Toc116481926 \h </w:instrText>
            </w:r>
            <w:r>
              <w:rPr>
                <w:noProof/>
                <w:webHidden/>
              </w:rPr>
            </w:r>
            <w:r>
              <w:rPr>
                <w:noProof/>
                <w:webHidden/>
              </w:rPr>
              <w:fldChar w:fldCharType="separate"/>
            </w:r>
            <w:r>
              <w:rPr>
                <w:noProof/>
                <w:webHidden/>
              </w:rPr>
              <w:t>9</w:t>
            </w:r>
            <w:r>
              <w:rPr>
                <w:noProof/>
                <w:webHidden/>
              </w:rPr>
              <w:fldChar w:fldCharType="end"/>
            </w:r>
          </w:hyperlink>
        </w:p>
        <w:p w:rsidR="00746B0E" w:rsidRPr="00746B0E" w:rsidRDefault="00746B0E">
          <w:pPr>
            <w:pStyle w:val="TOC1"/>
            <w:tabs>
              <w:tab w:val="left" w:pos="440"/>
              <w:tab w:val="right" w:leader="dot" w:pos="8919"/>
            </w:tabs>
            <w:rPr>
              <w:rFonts w:eastAsiaTheme="minorEastAsia"/>
              <w:noProof/>
              <w:lang w:eastAsia="en-AU"/>
            </w:rPr>
          </w:pPr>
          <w:hyperlink w:anchor="_Toc116481927" w:history="1">
            <w:r w:rsidRPr="00746B0E">
              <w:rPr>
                <w:rStyle w:val="Hyperlink"/>
                <w:rFonts w:ascii="Century Gothic" w:hAnsi="Century Gothic"/>
                <w:b/>
                <w:noProof/>
                <w:color w:val="auto"/>
              </w:rPr>
              <w:t>5.</w:t>
            </w:r>
            <w:r w:rsidRPr="00746B0E">
              <w:rPr>
                <w:rFonts w:eastAsiaTheme="minorEastAsia"/>
                <w:noProof/>
                <w:lang w:eastAsia="en-AU"/>
              </w:rPr>
              <w:tab/>
            </w:r>
            <w:r w:rsidRPr="00746B0E">
              <w:rPr>
                <w:rStyle w:val="Hyperlink"/>
                <w:rFonts w:ascii="Century Gothic" w:hAnsi="Century Gothic"/>
                <w:b/>
                <w:noProof/>
                <w:color w:val="auto"/>
              </w:rPr>
              <w:t>Systems Intentionality and exculpatory narratives around Robodebt</w:t>
            </w:r>
            <w:r w:rsidRPr="00746B0E">
              <w:rPr>
                <w:noProof/>
                <w:webHidden/>
              </w:rPr>
              <w:tab/>
            </w:r>
            <w:r w:rsidRPr="00746B0E">
              <w:rPr>
                <w:noProof/>
                <w:webHidden/>
              </w:rPr>
              <w:fldChar w:fldCharType="begin"/>
            </w:r>
            <w:r w:rsidRPr="00746B0E">
              <w:rPr>
                <w:noProof/>
                <w:webHidden/>
              </w:rPr>
              <w:instrText xml:space="preserve"> PAGEREF _Toc116481927 \h </w:instrText>
            </w:r>
            <w:r w:rsidRPr="00746B0E">
              <w:rPr>
                <w:noProof/>
                <w:webHidden/>
              </w:rPr>
            </w:r>
            <w:r w:rsidRPr="00746B0E">
              <w:rPr>
                <w:noProof/>
                <w:webHidden/>
              </w:rPr>
              <w:fldChar w:fldCharType="separate"/>
            </w:r>
            <w:r w:rsidRPr="00746B0E">
              <w:rPr>
                <w:noProof/>
                <w:webHidden/>
              </w:rPr>
              <w:t>10</w:t>
            </w:r>
            <w:r w:rsidRPr="00746B0E">
              <w:rPr>
                <w:noProof/>
                <w:webHidden/>
              </w:rPr>
              <w:fldChar w:fldCharType="end"/>
            </w:r>
          </w:hyperlink>
        </w:p>
        <w:p w:rsidR="00746B0E" w:rsidRPr="00746B0E" w:rsidRDefault="00746B0E">
          <w:pPr>
            <w:pStyle w:val="TOC1"/>
            <w:tabs>
              <w:tab w:val="left" w:pos="440"/>
              <w:tab w:val="right" w:leader="dot" w:pos="8919"/>
            </w:tabs>
            <w:rPr>
              <w:rFonts w:eastAsiaTheme="minorEastAsia"/>
              <w:noProof/>
              <w:lang w:eastAsia="en-AU"/>
            </w:rPr>
          </w:pPr>
          <w:hyperlink w:anchor="_Toc116481928" w:history="1">
            <w:r w:rsidRPr="00746B0E">
              <w:rPr>
                <w:rStyle w:val="Hyperlink"/>
                <w:rFonts w:ascii="Century Gothic" w:hAnsi="Century Gothic" w:cs="Arial"/>
                <w:b/>
                <w:noProof/>
                <w:color w:val="auto"/>
              </w:rPr>
              <w:t>6.</w:t>
            </w:r>
            <w:r w:rsidRPr="00746B0E">
              <w:rPr>
                <w:rFonts w:eastAsiaTheme="minorEastAsia"/>
                <w:noProof/>
                <w:lang w:eastAsia="en-AU"/>
              </w:rPr>
              <w:tab/>
            </w:r>
            <w:r w:rsidRPr="00746B0E">
              <w:rPr>
                <w:rStyle w:val="Hyperlink"/>
                <w:rFonts w:ascii="Century Gothic" w:hAnsi="Century Gothic" w:cs="Arial"/>
                <w:b/>
                <w:noProof/>
                <w:color w:val="auto"/>
              </w:rPr>
              <w:t>Dissecting the full Government mindset behind Robodebt</w:t>
            </w:r>
            <w:r w:rsidRPr="00746B0E">
              <w:rPr>
                <w:noProof/>
                <w:webHidden/>
              </w:rPr>
              <w:tab/>
            </w:r>
            <w:r w:rsidRPr="00746B0E">
              <w:rPr>
                <w:noProof/>
                <w:webHidden/>
              </w:rPr>
              <w:fldChar w:fldCharType="begin"/>
            </w:r>
            <w:r w:rsidRPr="00746B0E">
              <w:rPr>
                <w:noProof/>
                <w:webHidden/>
              </w:rPr>
              <w:instrText xml:space="preserve"> PAGEREF _Toc116481928 \h </w:instrText>
            </w:r>
            <w:r w:rsidRPr="00746B0E">
              <w:rPr>
                <w:noProof/>
                <w:webHidden/>
              </w:rPr>
            </w:r>
            <w:r w:rsidRPr="00746B0E">
              <w:rPr>
                <w:noProof/>
                <w:webHidden/>
              </w:rPr>
              <w:fldChar w:fldCharType="separate"/>
            </w:r>
            <w:r w:rsidRPr="00746B0E">
              <w:rPr>
                <w:noProof/>
                <w:webHidden/>
              </w:rPr>
              <w:t>13</w:t>
            </w:r>
            <w:r w:rsidRPr="00746B0E">
              <w:rPr>
                <w:noProof/>
                <w:webHidden/>
              </w:rPr>
              <w:fldChar w:fldCharType="end"/>
            </w:r>
          </w:hyperlink>
        </w:p>
        <w:p w:rsidR="00746B0E" w:rsidRDefault="00746B0E">
          <w:pPr>
            <w:pStyle w:val="TOC2"/>
            <w:tabs>
              <w:tab w:val="left" w:pos="880"/>
              <w:tab w:val="right" w:leader="dot" w:pos="8919"/>
            </w:tabs>
            <w:rPr>
              <w:rFonts w:eastAsiaTheme="minorEastAsia"/>
              <w:noProof/>
              <w:lang w:eastAsia="en-AU"/>
            </w:rPr>
          </w:pPr>
          <w:hyperlink w:anchor="_Toc116481929" w:history="1">
            <w:r w:rsidRPr="00720BD8">
              <w:rPr>
                <w:rStyle w:val="Hyperlink"/>
                <w:rFonts w:ascii="Century Gothic" w:hAnsi="Century Gothic"/>
                <w:noProof/>
              </w:rPr>
              <w:t>(a)</w:t>
            </w:r>
            <w:r>
              <w:rPr>
                <w:rFonts w:eastAsiaTheme="minorEastAsia"/>
                <w:noProof/>
                <w:lang w:eastAsia="en-AU"/>
              </w:rPr>
              <w:tab/>
            </w:r>
            <w:r w:rsidRPr="00720BD8">
              <w:rPr>
                <w:rStyle w:val="Hyperlink"/>
                <w:rFonts w:ascii="Century Gothic" w:hAnsi="Century Gothic"/>
                <w:noProof/>
              </w:rPr>
              <w:t>Overall Conclusions</w:t>
            </w:r>
            <w:r>
              <w:rPr>
                <w:noProof/>
                <w:webHidden/>
              </w:rPr>
              <w:tab/>
            </w:r>
            <w:r>
              <w:rPr>
                <w:noProof/>
                <w:webHidden/>
              </w:rPr>
              <w:fldChar w:fldCharType="begin"/>
            </w:r>
            <w:r>
              <w:rPr>
                <w:noProof/>
                <w:webHidden/>
              </w:rPr>
              <w:instrText xml:space="preserve"> PAGEREF _Toc116481929 \h </w:instrText>
            </w:r>
            <w:r>
              <w:rPr>
                <w:noProof/>
                <w:webHidden/>
              </w:rPr>
            </w:r>
            <w:r>
              <w:rPr>
                <w:noProof/>
                <w:webHidden/>
              </w:rPr>
              <w:fldChar w:fldCharType="separate"/>
            </w:r>
            <w:r>
              <w:rPr>
                <w:noProof/>
                <w:webHidden/>
              </w:rPr>
              <w:t>13</w:t>
            </w:r>
            <w:r>
              <w:rPr>
                <w:noProof/>
                <w:webHidden/>
              </w:rPr>
              <w:fldChar w:fldCharType="end"/>
            </w:r>
          </w:hyperlink>
        </w:p>
        <w:p w:rsidR="00746B0E" w:rsidRDefault="00746B0E">
          <w:pPr>
            <w:pStyle w:val="TOC3"/>
            <w:tabs>
              <w:tab w:val="left" w:pos="880"/>
              <w:tab w:val="right" w:leader="dot" w:pos="8919"/>
            </w:tabs>
            <w:rPr>
              <w:rFonts w:eastAsiaTheme="minorEastAsia"/>
              <w:noProof/>
              <w:lang w:eastAsia="en-AU"/>
            </w:rPr>
          </w:pPr>
          <w:hyperlink w:anchor="_Toc116481930" w:history="1">
            <w:r w:rsidRPr="00720BD8">
              <w:rPr>
                <w:rStyle w:val="Hyperlink"/>
                <w:rFonts w:ascii="Century Gothic" w:hAnsi="Century Gothic"/>
                <w:noProof/>
                <w:color w:val="023160" w:themeColor="hyperlink" w:themeShade="80"/>
              </w:rPr>
              <w:t>(i)</w:t>
            </w:r>
            <w:r>
              <w:rPr>
                <w:rFonts w:eastAsiaTheme="minorEastAsia"/>
                <w:noProof/>
                <w:lang w:eastAsia="en-AU"/>
              </w:rPr>
              <w:tab/>
            </w:r>
            <w:r w:rsidRPr="00720BD8">
              <w:rPr>
                <w:rStyle w:val="Hyperlink"/>
                <w:rFonts w:ascii="Century Gothic" w:hAnsi="Century Gothic"/>
                <w:noProof/>
                <w:color w:val="023160" w:themeColor="hyperlink" w:themeShade="80"/>
              </w:rPr>
              <w:t>Knowledge and general intention</w:t>
            </w:r>
            <w:r>
              <w:rPr>
                <w:noProof/>
                <w:webHidden/>
              </w:rPr>
              <w:tab/>
            </w:r>
            <w:r>
              <w:rPr>
                <w:noProof/>
                <w:webHidden/>
              </w:rPr>
              <w:fldChar w:fldCharType="begin"/>
            </w:r>
            <w:r>
              <w:rPr>
                <w:noProof/>
                <w:webHidden/>
              </w:rPr>
              <w:instrText xml:space="preserve"> PAGEREF _Toc116481930 \h </w:instrText>
            </w:r>
            <w:r>
              <w:rPr>
                <w:noProof/>
                <w:webHidden/>
              </w:rPr>
            </w:r>
            <w:r>
              <w:rPr>
                <w:noProof/>
                <w:webHidden/>
              </w:rPr>
              <w:fldChar w:fldCharType="separate"/>
            </w:r>
            <w:r>
              <w:rPr>
                <w:noProof/>
                <w:webHidden/>
              </w:rPr>
              <w:t>13</w:t>
            </w:r>
            <w:r>
              <w:rPr>
                <w:noProof/>
                <w:webHidden/>
              </w:rPr>
              <w:fldChar w:fldCharType="end"/>
            </w:r>
          </w:hyperlink>
        </w:p>
        <w:p w:rsidR="00746B0E" w:rsidRDefault="00746B0E">
          <w:pPr>
            <w:pStyle w:val="TOC3"/>
            <w:tabs>
              <w:tab w:val="left" w:pos="1100"/>
              <w:tab w:val="right" w:leader="dot" w:pos="8919"/>
            </w:tabs>
            <w:rPr>
              <w:rFonts w:eastAsiaTheme="minorEastAsia"/>
              <w:noProof/>
              <w:lang w:eastAsia="en-AU"/>
            </w:rPr>
          </w:pPr>
          <w:hyperlink w:anchor="_Toc116481931" w:history="1">
            <w:r w:rsidRPr="00720BD8">
              <w:rPr>
                <w:rStyle w:val="Hyperlink"/>
                <w:rFonts w:ascii="Century Gothic" w:hAnsi="Century Gothic"/>
                <w:noProof/>
                <w:color w:val="023160" w:themeColor="hyperlink" w:themeShade="80"/>
              </w:rPr>
              <w:t>(ii)</w:t>
            </w:r>
            <w:r>
              <w:rPr>
                <w:rFonts w:eastAsiaTheme="minorEastAsia"/>
                <w:noProof/>
                <w:lang w:eastAsia="en-AU"/>
              </w:rPr>
              <w:tab/>
            </w:r>
            <w:r w:rsidRPr="00720BD8">
              <w:rPr>
                <w:rStyle w:val="Hyperlink"/>
                <w:rFonts w:ascii="Century Gothic" w:hAnsi="Century Gothic"/>
                <w:noProof/>
                <w:color w:val="023160" w:themeColor="hyperlink" w:themeShade="80"/>
              </w:rPr>
              <w:t>Reckless, unconscionable and dishonest conduct</w:t>
            </w:r>
            <w:r>
              <w:rPr>
                <w:noProof/>
                <w:webHidden/>
              </w:rPr>
              <w:tab/>
            </w:r>
            <w:r>
              <w:rPr>
                <w:noProof/>
                <w:webHidden/>
              </w:rPr>
              <w:fldChar w:fldCharType="begin"/>
            </w:r>
            <w:r>
              <w:rPr>
                <w:noProof/>
                <w:webHidden/>
              </w:rPr>
              <w:instrText xml:space="preserve"> PAGEREF _Toc116481931 \h </w:instrText>
            </w:r>
            <w:r>
              <w:rPr>
                <w:noProof/>
                <w:webHidden/>
              </w:rPr>
            </w:r>
            <w:r>
              <w:rPr>
                <w:noProof/>
                <w:webHidden/>
              </w:rPr>
              <w:fldChar w:fldCharType="separate"/>
            </w:r>
            <w:r>
              <w:rPr>
                <w:noProof/>
                <w:webHidden/>
              </w:rPr>
              <w:t>13</w:t>
            </w:r>
            <w:r>
              <w:rPr>
                <w:noProof/>
                <w:webHidden/>
              </w:rPr>
              <w:fldChar w:fldCharType="end"/>
            </w:r>
          </w:hyperlink>
        </w:p>
        <w:p w:rsidR="00746B0E" w:rsidRDefault="00746B0E">
          <w:pPr>
            <w:pStyle w:val="TOC3"/>
            <w:tabs>
              <w:tab w:val="left" w:pos="1100"/>
              <w:tab w:val="right" w:leader="dot" w:pos="8919"/>
            </w:tabs>
            <w:rPr>
              <w:rFonts w:eastAsiaTheme="minorEastAsia"/>
              <w:noProof/>
              <w:lang w:eastAsia="en-AU"/>
            </w:rPr>
          </w:pPr>
          <w:hyperlink w:anchor="_Toc116481932" w:history="1">
            <w:r w:rsidRPr="00720BD8">
              <w:rPr>
                <w:rStyle w:val="Hyperlink"/>
                <w:rFonts w:ascii="Century Gothic" w:hAnsi="Century Gothic"/>
                <w:noProof/>
                <w:color w:val="023160" w:themeColor="hyperlink" w:themeShade="80"/>
              </w:rPr>
              <w:t>(iii)</w:t>
            </w:r>
            <w:r>
              <w:rPr>
                <w:rFonts w:eastAsiaTheme="minorEastAsia"/>
                <w:noProof/>
                <w:lang w:eastAsia="en-AU"/>
              </w:rPr>
              <w:tab/>
            </w:r>
            <w:r w:rsidRPr="00720BD8">
              <w:rPr>
                <w:rStyle w:val="Hyperlink"/>
                <w:rFonts w:ascii="Century Gothic" w:hAnsi="Century Gothic"/>
                <w:noProof/>
                <w:color w:val="023160" w:themeColor="hyperlink" w:themeShade="80"/>
              </w:rPr>
              <w:t>A predatory scheme</w:t>
            </w:r>
            <w:r>
              <w:rPr>
                <w:noProof/>
                <w:webHidden/>
              </w:rPr>
              <w:tab/>
            </w:r>
            <w:r>
              <w:rPr>
                <w:noProof/>
                <w:webHidden/>
              </w:rPr>
              <w:fldChar w:fldCharType="begin"/>
            </w:r>
            <w:r>
              <w:rPr>
                <w:noProof/>
                <w:webHidden/>
              </w:rPr>
              <w:instrText xml:space="preserve"> PAGEREF _Toc116481932 \h </w:instrText>
            </w:r>
            <w:r>
              <w:rPr>
                <w:noProof/>
                <w:webHidden/>
              </w:rPr>
            </w:r>
            <w:r>
              <w:rPr>
                <w:noProof/>
                <w:webHidden/>
              </w:rPr>
              <w:fldChar w:fldCharType="separate"/>
            </w:r>
            <w:r>
              <w:rPr>
                <w:noProof/>
                <w:webHidden/>
              </w:rPr>
              <w:t>13</w:t>
            </w:r>
            <w:r>
              <w:rPr>
                <w:noProof/>
                <w:webHidden/>
              </w:rPr>
              <w:fldChar w:fldCharType="end"/>
            </w:r>
          </w:hyperlink>
        </w:p>
        <w:p w:rsidR="00746B0E" w:rsidRDefault="00746B0E">
          <w:pPr>
            <w:pStyle w:val="TOC2"/>
            <w:tabs>
              <w:tab w:val="left" w:pos="880"/>
              <w:tab w:val="right" w:leader="dot" w:pos="8919"/>
            </w:tabs>
            <w:rPr>
              <w:rFonts w:eastAsiaTheme="minorEastAsia"/>
              <w:noProof/>
              <w:lang w:eastAsia="en-AU"/>
            </w:rPr>
          </w:pPr>
          <w:hyperlink w:anchor="_Toc116481933" w:history="1">
            <w:r w:rsidRPr="00720BD8">
              <w:rPr>
                <w:rStyle w:val="Hyperlink"/>
                <w:rFonts w:ascii="Century Gothic" w:hAnsi="Century Gothic"/>
                <w:noProof/>
              </w:rPr>
              <w:t>(b)</w:t>
            </w:r>
            <w:r>
              <w:rPr>
                <w:rFonts w:eastAsiaTheme="minorEastAsia"/>
                <w:noProof/>
                <w:lang w:eastAsia="en-AU"/>
              </w:rPr>
              <w:tab/>
            </w:r>
            <w:r w:rsidRPr="00720BD8">
              <w:rPr>
                <w:rStyle w:val="Hyperlink"/>
                <w:rFonts w:ascii="Century Gothic" w:hAnsi="Century Gothic"/>
                <w:noProof/>
              </w:rPr>
              <w:t>Understanding intentionality from the scheme as a whole</w:t>
            </w:r>
            <w:r>
              <w:rPr>
                <w:noProof/>
                <w:webHidden/>
              </w:rPr>
              <w:tab/>
            </w:r>
            <w:r>
              <w:rPr>
                <w:noProof/>
                <w:webHidden/>
              </w:rPr>
              <w:fldChar w:fldCharType="begin"/>
            </w:r>
            <w:r>
              <w:rPr>
                <w:noProof/>
                <w:webHidden/>
              </w:rPr>
              <w:instrText xml:space="preserve"> PAGEREF _Toc116481933 \h </w:instrText>
            </w:r>
            <w:r>
              <w:rPr>
                <w:noProof/>
                <w:webHidden/>
              </w:rPr>
            </w:r>
            <w:r>
              <w:rPr>
                <w:noProof/>
                <w:webHidden/>
              </w:rPr>
              <w:fldChar w:fldCharType="separate"/>
            </w:r>
            <w:r>
              <w:rPr>
                <w:noProof/>
                <w:webHidden/>
              </w:rPr>
              <w:t>14</w:t>
            </w:r>
            <w:r>
              <w:rPr>
                <w:noProof/>
                <w:webHidden/>
              </w:rPr>
              <w:fldChar w:fldCharType="end"/>
            </w:r>
          </w:hyperlink>
        </w:p>
        <w:p w:rsidR="00746B0E" w:rsidRDefault="00746B0E">
          <w:pPr>
            <w:pStyle w:val="TOC3"/>
            <w:tabs>
              <w:tab w:val="left" w:pos="880"/>
              <w:tab w:val="right" w:leader="dot" w:pos="8919"/>
            </w:tabs>
            <w:rPr>
              <w:rFonts w:eastAsiaTheme="minorEastAsia"/>
              <w:noProof/>
              <w:lang w:eastAsia="en-AU"/>
            </w:rPr>
          </w:pPr>
          <w:hyperlink w:anchor="_Toc116481934" w:history="1">
            <w:r w:rsidRPr="00720BD8">
              <w:rPr>
                <w:rStyle w:val="Hyperlink"/>
                <w:rFonts w:ascii="Century Gothic" w:hAnsi="Century Gothic"/>
                <w:noProof/>
                <w:color w:val="023160" w:themeColor="hyperlink" w:themeShade="80"/>
              </w:rPr>
              <w:t>(i)</w:t>
            </w:r>
            <w:r>
              <w:rPr>
                <w:rFonts w:eastAsiaTheme="minorEastAsia"/>
                <w:noProof/>
                <w:lang w:eastAsia="en-AU"/>
              </w:rPr>
              <w:tab/>
            </w:r>
            <w:r w:rsidRPr="00720BD8">
              <w:rPr>
                <w:rStyle w:val="Hyperlink"/>
                <w:rFonts w:ascii="Century Gothic" w:hAnsi="Century Gothic"/>
                <w:noProof/>
                <w:color w:val="023160" w:themeColor="hyperlink" w:themeShade="80"/>
              </w:rPr>
              <w:t>Systems of conduct and omissions by design</w:t>
            </w:r>
            <w:r>
              <w:rPr>
                <w:noProof/>
                <w:webHidden/>
              </w:rPr>
              <w:tab/>
            </w:r>
            <w:r>
              <w:rPr>
                <w:noProof/>
                <w:webHidden/>
              </w:rPr>
              <w:fldChar w:fldCharType="begin"/>
            </w:r>
            <w:r>
              <w:rPr>
                <w:noProof/>
                <w:webHidden/>
              </w:rPr>
              <w:instrText xml:space="preserve"> PAGEREF _Toc116481934 \h </w:instrText>
            </w:r>
            <w:r>
              <w:rPr>
                <w:noProof/>
                <w:webHidden/>
              </w:rPr>
            </w:r>
            <w:r>
              <w:rPr>
                <w:noProof/>
                <w:webHidden/>
              </w:rPr>
              <w:fldChar w:fldCharType="separate"/>
            </w:r>
            <w:r>
              <w:rPr>
                <w:noProof/>
                <w:webHidden/>
              </w:rPr>
              <w:t>14</w:t>
            </w:r>
            <w:r>
              <w:rPr>
                <w:noProof/>
                <w:webHidden/>
              </w:rPr>
              <w:fldChar w:fldCharType="end"/>
            </w:r>
          </w:hyperlink>
        </w:p>
        <w:p w:rsidR="00746B0E" w:rsidRDefault="00746B0E">
          <w:pPr>
            <w:pStyle w:val="TOC3"/>
            <w:tabs>
              <w:tab w:val="left" w:pos="1100"/>
              <w:tab w:val="right" w:leader="dot" w:pos="8919"/>
            </w:tabs>
            <w:rPr>
              <w:rFonts w:eastAsiaTheme="minorEastAsia"/>
              <w:noProof/>
              <w:lang w:eastAsia="en-AU"/>
            </w:rPr>
          </w:pPr>
          <w:hyperlink w:anchor="_Toc116481935" w:history="1">
            <w:r w:rsidRPr="00720BD8">
              <w:rPr>
                <w:rStyle w:val="Hyperlink"/>
                <w:rFonts w:ascii="Century Gothic" w:hAnsi="Century Gothic"/>
                <w:noProof/>
                <w:color w:val="023160" w:themeColor="hyperlink" w:themeShade="80"/>
              </w:rPr>
              <w:t>(ii)</w:t>
            </w:r>
            <w:r>
              <w:rPr>
                <w:rFonts w:eastAsiaTheme="minorEastAsia"/>
                <w:noProof/>
                <w:lang w:eastAsia="en-AU"/>
              </w:rPr>
              <w:tab/>
            </w:r>
            <w:r w:rsidRPr="00720BD8">
              <w:rPr>
                <w:rStyle w:val="Hyperlink"/>
                <w:rFonts w:ascii="Century Gothic" w:hAnsi="Century Gothic"/>
                <w:noProof/>
                <w:color w:val="023160" w:themeColor="hyperlink" w:themeShade="80"/>
              </w:rPr>
              <w:t>Worked example: fees for no service</w:t>
            </w:r>
            <w:r>
              <w:rPr>
                <w:noProof/>
                <w:webHidden/>
              </w:rPr>
              <w:tab/>
            </w:r>
            <w:r>
              <w:rPr>
                <w:noProof/>
                <w:webHidden/>
              </w:rPr>
              <w:fldChar w:fldCharType="begin"/>
            </w:r>
            <w:r>
              <w:rPr>
                <w:noProof/>
                <w:webHidden/>
              </w:rPr>
              <w:instrText xml:space="preserve"> PAGEREF _Toc116481935 \h </w:instrText>
            </w:r>
            <w:r>
              <w:rPr>
                <w:noProof/>
                <w:webHidden/>
              </w:rPr>
            </w:r>
            <w:r>
              <w:rPr>
                <w:noProof/>
                <w:webHidden/>
              </w:rPr>
              <w:fldChar w:fldCharType="separate"/>
            </w:r>
            <w:r>
              <w:rPr>
                <w:noProof/>
                <w:webHidden/>
              </w:rPr>
              <w:t>14</w:t>
            </w:r>
            <w:r>
              <w:rPr>
                <w:noProof/>
                <w:webHidden/>
              </w:rPr>
              <w:fldChar w:fldCharType="end"/>
            </w:r>
          </w:hyperlink>
        </w:p>
        <w:p w:rsidR="00746B0E" w:rsidRDefault="00746B0E">
          <w:pPr>
            <w:pStyle w:val="TOC2"/>
            <w:tabs>
              <w:tab w:val="left" w:pos="880"/>
              <w:tab w:val="right" w:leader="dot" w:pos="8919"/>
            </w:tabs>
            <w:rPr>
              <w:rFonts w:eastAsiaTheme="minorEastAsia"/>
              <w:noProof/>
              <w:lang w:eastAsia="en-AU"/>
            </w:rPr>
          </w:pPr>
          <w:hyperlink w:anchor="_Toc116481936" w:history="1">
            <w:r w:rsidRPr="00720BD8">
              <w:rPr>
                <w:rStyle w:val="Hyperlink"/>
                <w:rFonts w:ascii="Century Gothic" w:hAnsi="Century Gothic"/>
                <w:noProof/>
              </w:rPr>
              <w:t>(c)</w:t>
            </w:r>
            <w:r>
              <w:rPr>
                <w:rFonts w:eastAsiaTheme="minorEastAsia"/>
                <w:noProof/>
                <w:lang w:eastAsia="en-AU"/>
              </w:rPr>
              <w:tab/>
            </w:r>
            <w:r w:rsidRPr="00720BD8">
              <w:rPr>
                <w:rStyle w:val="Hyperlink"/>
                <w:rFonts w:ascii="Century Gothic" w:hAnsi="Century Gothic"/>
                <w:noProof/>
              </w:rPr>
              <w:t>Salient broader features of the scheme</w:t>
            </w:r>
            <w:r>
              <w:rPr>
                <w:noProof/>
                <w:webHidden/>
              </w:rPr>
              <w:tab/>
            </w:r>
            <w:r>
              <w:rPr>
                <w:noProof/>
                <w:webHidden/>
              </w:rPr>
              <w:fldChar w:fldCharType="begin"/>
            </w:r>
            <w:r>
              <w:rPr>
                <w:noProof/>
                <w:webHidden/>
              </w:rPr>
              <w:instrText xml:space="preserve"> PAGEREF _Toc116481936 \h </w:instrText>
            </w:r>
            <w:r>
              <w:rPr>
                <w:noProof/>
                <w:webHidden/>
              </w:rPr>
            </w:r>
            <w:r>
              <w:rPr>
                <w:noProof/>
                <w:webHidden/>
              </w:rPr>
              <w:fldChar w:fldCharType="separate"/>
            </w:r>
            <w:r>
              <w:rPr>
                <w:noProof/>
                <w:webHidden/>
              </w:rPr>
              <w:t>15</w:t>
            </w:r>
            <w:r>
              <w:rPr>
                <w:noProof/>
                <w:webHidden/>
              </w:rPr>
              <w:fldChar w:fldCharType="end"/>
            </w:r>
          </w:hyperlink>
        </w:p>
        <w:p w:rsidR="00746B0E" w:rsidRDefault="00746B0E">
          <w:pPr>
            <w:pStyle w:val="TOC3"/>
            <w:tabs>
              <w:tab w:val="left" w:pos="880"/>
              <w:tab w:val="right" w:leader="dot" w:pos="8919"/>
            </w:tabs>
            <w:rPr>
              <w:rFonts w:eastAsiaTheme="minorEastAsia"/>
              <w:noProof/>
              <w:lang w:eastAsia="en-AU"/>
            </w:rPr>
          </w:pPr>
          <w:hyperlink w:anchor="_Toc116481937" w:history="1">
            <w:r w:rsidRPr="00720BD8">
              <w:rPr>
                <w:rStyle w:val="Hyperlink"/>
                <w:rFonts w:ascii="Century Gothic" w:hAnsi="Century Gothic"/>
                <w:noProof/>
              </w:rPr>
              <w:t>(i)</w:t>
            </w:r>
            <w:r>
              <w:rPr>
                <w:rFonts w:eastAsiaTheme="minorEastAsia"/>
                <w:noProof/>
                <w:lang w:eastAsia="en-AU"/>
              </w:rPr>
              <w:tab/>
            </w:r>
            <w:r w:rsidRPr="00720BD8">
              <w:rPr>
                <w:rStyle w:val="Hyperlink"/>
                <w:rFonts w:ascii="Century Gothic" w:hAnsi="Century Gothic"/>
                <w:noProof/>
              </w:rPr>
              <w:t>Removal of human oversight and individual assessment</w:t>
            </w:r>
            <w:r>
              <w:rPr>
                <w:noProof/>
                <w:webHidden/>
              </w:rPr>
              <w:tab/>
            </w:r>
            <w:r>
              <w:rPr>
                <w:noProof/>
                <w:webHidden/>
              </w:rPr>
              <w:fldChar w:fldCharType="begin"/>
            </w:r>
            <w:r>
              <w:rPr>
                <w:noProof/>
                <w:webHidden/>
              </w:rPr>
              <w:instrText xml:space="preserve"> PAGEREF _Toc116481937 \h </w:instrText>
            </w:r>
            <w:r>
              <w:rPr>
                <w:noProof/>
                <w:webHidden/>
              </w:rPr>
            </w:r>
            <w:r>
              <w:rPr>
                <w:noProof/>
                <w:webHidden/>
              </w:rPr>
              <w:fldChar w:fldCharType="separate"/>
            </w:r>
            <w:r>
              <w:rPr>
                <w:noProof/>
                <w:webHidden/>
              </w:rPr>
              <w:t>15</w:t>
            </w:r>
            <w:r>
              <w:rPr>
                <w:noProof/>
                <w:webHidden/>
              </w:rPr>
              <w:fldChar w:fldCharType="end"/>
            </w:r>
          </w:hyperlink>
        </w:p>
        <w:p w:rsidR="00746B0E" w:rsidRDefault="00746B0E">
          <w:pPr>
            <w:pStyle w:val="TOC3"/>
            <w:tabs>
              <w:tab w:val="left" w:pos="1100"/>
              <w:tab w:val="right" w:leader="dot" w:pos="8919"/>
            </w:tabs>
            <w:rPr>
              <w:rFonts w:eastAsiaTheme="minorEastAsia"/>
              <w:noProof/>
              <w:lang w:eastAsia="en-AU"/>
            </w:rPr>
          </w:pPr>
          <w:hyperlink w:anchor="_Toc116481938" w:history="1">
            <w:r w:rsidRPr="00720BD8">
              <w:rPr>
                <w:rStyle w:val="Hyperlink"/>
                <w:rFonts w:ascii="Century Gothic" w:hAnsi="Century Gothic"/>
                <w:noProof/>
              </w:rPr>
              <w:t>(ii)</w:t>
            </w:r>
            <w:r>
              <w:rPr>
                <w:rFonts w:eastAsiaTheme="minorEastAsia"/>
                <w:noProof/>
                <w:lang w:eastAsia="en-AU"/>
              </w:rPr>
              <w:tab/>
            </w:r>
            <w:r w:rsidRPr="00720BD8">
              <w:rPr>
                <w:rStyle w:val="Hyperlink"/>
                <w:rFonts w:ascii="Century Gothic" w:hAnsi="Century Gothic"/>
                <w:noProof/>
              </w:rPr>
              <w:t>Reversal of onus</w:t>
            </w:r>
            <w:r>
              <w:rPr>
                <w:noProof/>
                <w:webHidden/>
              </w:rPr>
              <w:tab/>
            </w:r>
            <w:r>
              <w:rPr>
                <w:noProof/>
                <w:webHidden/>
              </w:rPr>
              <w:fldChar w:fldCharType="begin"/>
            </w:r>
            <w:r>
              <w:rPr>
                <w:noProof/>
                <w:webHidden/>
              </w:rPr>
              <w:instrText xml:space="preserve"> PAGEREF _Toc116481938 \h </w:instrText>
            </w:r>
            <w:r>
              <w:rPr>
                <w:noProof/>
                <w:webHidden/>
              </w:rPr>
            </w:r>
            <w:r>
              <w:rPr>
                <w:noProof/>
                <w:webHidden/>
              </w:rPr>
              <w:fldChar w:fldCharType="separate"/>
            </w:r>
            <w:r>
              <w:rPr>
                <w:noProof/>
                <w:webHidden/>
              </w:rPr>
              <w:t>16</w:t>
            </w:r>
            <w:r>
              <w:rPr>
                <w:noProof/>
                <w:webHidden/>
              </w:rPr>
              <w:fldChar w:fldCharType="end"/>
            </w:r>
          </w:hyperlink>
        </w:p>
        <w:p w:rsidR="00746B0E" w:rsidRDefault="00746B0E">
          <w:pPr>
            <w:pStyle w:val="TOC3"/>
            <w:tabs>
              <w:tab w:val="left" w:pos="1100"/>
              <w:tab w:val="right" w:leader="dot" w:pos="8919"/>
            </w:tabs>
            <w:rPr>
              <w:rFonts w:eastAsiaTheme="minorEastAsia"/>
              <w:noProof/>
              <w:lang w:eastAsia="en-AU"/>
            </w:rPr>
          </w:pPr>
          <w:hyperlink w:anchor="_Toc116481939" w:history="1">
            <w:r w:rsidRPr="00720BD8">
              <w:rPr>
                <w:rStyle w:val="Hyperlink"/>
                <w:rFonts w:ascii="Century Gothic" w:hAnsi="Century Gothic"/>
                <w:noProof/>
              </w:rPr>
              <w:t>(iii)</w:t>
            </w:r>
            <w:r>
              <w:rPr>
                <w:rFonts w:eastAsiaTheme="minorEastAsia"/>
                <w:noProof/>
                <w:lang w:eastAsia="en-AU"/>
              </w:rPr>
              <w:tab/>
            </w:r>
            <w:r w:rsidRPr="00720BD8">
              <w:rPr>
                <w:rStyle w:val="Hyperlink"/>
                <w:rFonts w:ascii="Century Gothic" w:hAnsi="Century Gothic"/>
                <w:noProof/>
              </w:rPr>
              <w:t>A retroactive and insurmountable evidential hurdle</w:t>
            </w:r>
            <w:r>
              <w:rPr>
                <w:noProof/>
                <w:webHidden/>
              </w:rPr>
              <w:tab/>
            </w:r>
            <w:r>
              <w:rPr>
                <w:noProof/>
                <w:webHidden/>
              </w:rPr>
              <w:fldChar w:fldCharType="begin"/>
            </w:r>
            <w:r>
              <w:rPr>
                <w:noProof/>
                <w:webHidden/>
              </w:rPr>
              <w:instrText xml:space="preserve"> PAGEREF _Toc116481939 \h </w:instrText>
            </w:r>
            <w:r>
              <w:rPr>
                <w:noProof/>
                <w:webHidden/>
              </w:rPr>
            </w:r>
            <w:r>
              <w:rPr>
                <w:noProof/>
                <w:webHidden/>
              </w:rPr>
              <w:fldChar w:fldCharType="separate"/>
            </w:r>
            <w:r>
              <w:rPr>
                <w:noProof/>
                <w:webHidden/>
              </w:rPr>
              <w:t>16</w:t>
            </w:r>
            <w:r>
              <w:rPr>
                <w:noProof/>
                <w:webHidden/>
              </w:rPr>
              <w:fldChar w:fldCharType="end"/>
            </w:r>
          </w:hyperlink>
        </w:p>
        <w:p w:rsidR="00746B0E" w:rsidRDefault="00746B0E">
          <w:pPr>
            <w:pStyle w:val="TOC3"/>
            <w:tabs>
              <w:tab w:val="left" w:pos="1100"/>
              <w:tab w:val="right" w:leader="dot" w:pos="8919"/>
            </w:tabs>
            <w:rPr>
              <w:rFonts w:eastAsiaTheme="minorEastAsia"/>
              <w:noProof/>
              <w:lang w:eastAsia="en-AU"/>
            </w:rPr>
          </w:pPr>
          <w:hyperlink w:anchor="_Toc116481940" w:history="1">
            <w:r w:rsidRPr="00720BD8">
              <w:rPr>
                <w:rStyle w:val="Hyperlink"/>
                <w:rFonts w:ascii="Century Gothic" w:hAnsi="Century Gothic"/>
                <w:noProof/>
              </w:rPr>
              <w:t>(iv)</w:t>
            </w:r>
            <w:r>
              <w:rPr>
                <w:rFonts w:eastAsiaTheme="minorEastAsia"/>
                <w:noProof/>
                <w:lang w:eastAsia="en-AU"/>
              </w:rPr>
              <w:tab/>
            </w:r>
            <w:r w:rsidRPr="00720BD8">
              <w:rPr>
                <w:rStyle w:val="Hyperlink"/>
                <w:rFonts w:ascii="Century Gothic" w:hAnsi="Century Gothic"/>
                <w:noProof/>
              </w:rPr>
              <w:t>Removal of limitation period</w:t>
            </w:r>
            <w:r>
              <w:rPr>
                <w:noProof/>
                <w:webHidden/>
              </w:rPr>
              <w:tab/>
            </w:r>
            <w:r>
              <w:rPr>
                <w:noProof/>
                <w:webHidden/>
              </w:rPr>
              <w:fldChar w:fldCharType="begin"/>
            </w:r>
            <w:r>
              <w:rPr>
                <w:noProof/>
                <w:webHidden/>
              </w:rPr>
              <w:instrText xml:space="preserve"> PAGEREF _Toc116481940 \h </w:instrText>
            </w:r>
            <w:r>
              <w:rPr>
                <w:noProof/>
                <w:webHidden/>
              </w:rPr>
            </w:r>
            <w:r>
              <w:rPr>
                <w:noProof/>
                <w:webHidden/>
              </w:rPr>
              <w:fldChar w:fldCharType="separate"/>
            </w:r>
            <w:r>
              <w:rPr>
                <w:noProof/>
                <w:webHidden/>
              </w:rPr>
              <w:t>16</w:t>
            </w:r>
            <w:r>
              <w:rPr>
                <w:noProof/>
                <w:webHidden/>
              </w:rPr>
              <w:fldChar w:fldCharType="end"/>
            </w:r>
          </w:hyperlink>
        </w:p>
        <w:p w:rsidR="00746B0E" w:rsidRDefault="00746B0E">
          <w:pPr>
            <w:pStyle w:val="TOC3"/>
            <w:tabs>
              <w:tab w:val="left" w:pos="1100"/>
              <w:tab w:val="right" w:leader="dot" w:pos="8919"/>
            </w:tabs>
            <w:rPr>
              <w:rFonts w:eastAsiaTheme="minorEastAsia"/>
              <w:noProof/>
              <w:lang w:eastAsia="en-AU"/>
            </w:rPr>
          </w:pPr>
          <w:hyperlink w:anchor="_Toc116481941" w:history="1">
            <w:r w:rsidRPr="00720BD8">
              <w:rPr>
                <w:rStyle w:val="Hyperlink"/>
                <w:rFonts w:ascii="Century Gothic" w:hAnsi="Century Gothic"/>
                <w:noProof/>
              </w:rPr>
              <w:t>(v)</w:t>
            </w:r>
            <w:r>
              <w:rPr>
                <w:rFonts w:eastAsiaTheme="minorEastAsia"/>
                <w:noProof/>
                <w:lang w:eastAsia="en-AU"/>
              </w:rPr>
              <w:tab/>
            </w:r>
            <w:r w:rsidRPr="00720BD8">
              <w:rPr>
                <w:rStyle w:val="Hyperlink"/>
                <w:rFonts w:ascii="Century Gothic" w:hAnsi="Century Gothic"/>
                <w:noProof/>
              </w:rPr>
              <w:t>Penalties</w:t>
            </w:r>
            <w:r>
              <w:rPr>
                <w:noProof/>
                <w:webHidden/>
              </w:rPr>
              <w:tab/>
            </w:r>
            <w:r>
              <w:rPr>
                <w:noProof/>
                <w:webHidden/>
              </w:rPr>
              <w:fldChar w:fldCharType="begin"/>
            </w:r>
            <w:r>
              <w:rPr>
                <w:noProof/>
                <w:webHidden/>
              </w:rPr>
              <w:instrText xml:space="preserve"> PAGEREF _Toc116481941 \h </w:instrText>
            </w:r>
            <w:r>
              <w:rPr>
                <w:noProof/>
                <w:webHidden/>
              </w:rPr>
            </w:r>
            <w:r>
              <w:rPr>
                <w:noProof/>
                <w:webHidden/>
              </w:rPr>
              <w:fldChar w:fldCharType="separate"/>
            </w:r>
            <w:r>
              <w:rPr>
                <w:noProof/>
                <w:webHidden/>
              </w:rPr>
              <w:t>16</w:t>
            </w:r>
            <w:r>
              <w:rPr>
                <w:noProof/>
                <w:webHidden/>
              </w:rPr>
              <w:fldChar w:fldCharType="end"/>
            </w:r>
          </w:hyperlink>
        </w:p>
        <w:p w:rsidR="00746B0E" w:rsidRDefault="00746B0E">
          <w:pPr>
            <w:pStyle w:val="TOC3"/>
            <w:tabs>
              <w:tab w:val="left" w:pos="1100"/>
              <w:tab w:val="right" w:leader="dot" w:pos="8919"/>
            </w:tabs>
            <w:rPr>
              <w:rFonts w:eastAsiaTheme="minorEastAsia"/>
              <w:noProof/>
              <w:lang w:eastAsia="en-AU"/>
            </w:rPr>
          </w:pPr>
          <w:hyperlink w:anchor="_Toc116481942" w:history="1">
            <w:r w:rsidRPr="00720BD8">
              <w:rPr>
                <w:rStyle w:val="Hyperlink"/>
                <w:rFonts w:ascii="Century Gothic" w:hAnsi="Century Gothic"/>
                <w:noProof/>
              </w:rPr>
              <w:t>(vi)</w:t>
            </w:r>
            <w:r>
              <w:rPr>
                <w:rFonts w:eastAsiaTheme="minorEastAsia"/>
                <w:noProof/>
                <w:lang w:eastAsia="en-AU"/>
              </w:rPr>
              <w:tab/>
            </w:r>
            <w:r w:rsidRPr="00720BD8">
              <w:rPr>
                <w:rStyle w:val="Hyperlink"/>
                <w:rFonts w:ascii="Century Gothic" w:hAnsi="Century Gothic"/>
                <w:noProof/>
              </w:rPr>
              <w:t>Garnishing tax returns</w:t>
            </w:r>
            <w:r>
              <w:rPr>
                <w:noProof/>
                <w:webHidden/>
              </w:rPr>
              <w:tab/>
            </w:r>
            <w:r>
              <w:rPr>
                <w:noProof/>
                <w:webHidden/>
              </w:rPr>
              <w:fldChar w:fldCharType="begin"/>
            </w:r>
            <w:r>
              <w:rPr>
                <w:noProof/>
                <w:webHidden/>
              </w:rPr>
              <w:instrText xml:space="preserve"> PAGEREF _Toc116481942 \h </w:instrText>
            </w:r>
            <w:r>
              <w:rPr>
                <w:noProof/>
                <w:webHidden/>
              </w:rPr>
            </w:r>
            <w:r>
              <w:rPr>
                <w:noProof/>
                <w:webHidden/>
              </w:rPr>
              <w:fldChar w:fldCharType="separate"/>
            </w:r>
            <w:r>
              <w:rPr>
                <w:noProof/>
                <w:webHidden/>
              </w:rPr>
              <w:t>17</w:t>
            </w:r>
            <w:r>
              <w:rPr>
                <w:noProof/>
                <w:webHidden/>
              </w:rPr>
              <w:fldChar w:fldCharType="end"/>
            </w:r>
          </w:hyperlink>
        </w:p>
        <w:p w:rsidR="00746B0E" w:rsidRDefault="00746B0E">
          <w:pPr>
            <w:pStyle w:val="TOC3"/>
            <w:tabs>
              <w:tab w:val="left" w:pos="1100"/>
              <w:tab w:val="right" w:leader="dot" w:pos="8919"/>
            </w:tabs>
            <w:rPr>
              <w:rFonts w:eastAsiaTheme="minorEastAsia"/>
              <w:noProof/>
              <w:lang w:eastAsia="en-AU"/>
            </w:rPr>
          </w:pPr>
          <w:hyperlink w:anchor="_Toc116481943" w:history="1">
            <w:r w:rsidRPr="00720BD8">
              <w:rPr>
                <w:rStyle w:val="Hyperlink"/>
                <w:rFonts w:ascii="Century Gothic" w:hAnsi="Century Gothic"/>
                <w:noProof/>
              </w:rPr>
              <w:t>(vii)</w:t>
            </w:r>
            <w:r>
              <w:rPr>
                <w:rFonts w:eastAsiaTheme="minorEastAsia"/>
                <w:noProof/>
                <w:lang w:eastAsia="en-AU"/>
              </w:rPr>
              <w:tab/>
            </w:r>
            <w:r w:rsidRPr="00720BD8">
              <w:rPr>
                <w:rStyle w:val="Hyperlink"/>
                <w:rFonts w:ascii="Century Gothic" w:hAnsi="Century Gothic"/>
                <w:noProof/>
              </w:rPr>
              <w:t>Litigation strategies</w:t>
            </w:r>
            <w:r>
              <w:rPr>
                <w:noProof/>
                <w:webHidden/>
              </w:rPr>
              <w:tab/>
            </w:r>
            <w:r>
              <w:rPr>
                <w:noProof/>
                <w:webHidden/>
              </w:rPr>
              <w:fldChar w:fldCharType="begin"/>
            </w:r>
            <w:r>
              <w:rPr>
                <w:noProof/>
                <w:webHidden/>
              </w:rPr>
              <w:instrText xml:space="preserve"> PAGEREF _Toc116481943 \h </w:instrText>
            </w:r>
            <w:r>
              <w:rPr>
                <w:noProof/>
                <w:webHidden/>
              </w:rPr>
            </w:r>
            <w:r>
              <w:rPr>
                <w:noProof/>
                <w:webHidden/>
              </w:rPr>
              <w:fldChar w:fldCharType="separate"/>
            </w:r>
            <w:r>
              <w:rPr>
                <w:noProof/>
                <w:webHidden/>
              </w:rPr>
              <w:t>17</w:t>
            </w:r>
            <w:r>
              <w:rPr>
                <w:noProof/>
                <w:webHidden/>
              </w:rPr>
              <w:fldChar w:fldCharType="end"/>
            </w:r>
          </w:hyperlink>
        </w:p>
        <w:p w:rsidR="00746B0E" w:rsidRDefault="00746B0E">
          <w:pPr>
            <w:pStyle w:val="TOC2"/>
            <w:tabs>
              <w:tab w:val="left" w:pos="880"/>
              <w:tab w:val="right" w:leader="dot" w:pos="8919"/>
            </w:tabs>
            <w:rPr>
              <w:rFonts w:eastAsiaTheme="minorEastAsia"/>
              <w:noProof/>
              <w:lang w:eastAsia="en-AU"/>
            </w:rPr>
          </w:pPr>
          <w:hyperlink w:anchor="_Toc116481944" w:history="1">
            <w:r w:rsidRPr="00720BD8">
              <w:rPr>
                <w:rStyle w:val="Hyperlink"/>
                <w:rFonts w:ascii="Century Gothic" w:hAnsi="Century Gothic"/>
                <w:noProof/>
              </w:rPr>
              <w:t>(d)</w:t>
            </w:r>
            <w:r>
              <w:rPr>
                <w:rFonts w:eastAsiaTheme="minorEastAsia"/>
                <w:noProof/>
                <w:lang w:eastAsia="en-AU"/>
              </w:rPr>
              <w:tab/>
            </w:r>
            <w:r w:rsidRPr="00720BD8">
              <w:rPr>
                <w:rStyle w:val="Hyperlink"/>
                <w:rFonts w:ascii="Century Gothic" w:hAnsi="Century Gothic"/>
                <w:noProof/>
              </w:rPr>
              <w:t>The true purpose manifested by Robodebt</w:t>
            </w:r>
            <w:r>
              <w:rPr>
                <w:noProof/>
                <w:webHidden/>
              </w:rPr>
              <w:tab/>
            </w:r>
            <w:r>
              <w:rPr>
                <w:noProof/>
                <w:webHidden/>
              </w:rPr>
              <w:fldChar w:fldCharType="begin"/>
            </w:r>
            <w:r>
              <w:rPr>
                <w:noProof/>
                <w:webHidden/>
              </w:rPr>
              <w:instrText xml:space="preserve"> PAGEREF _Toc116481944 \h </w:instrText>
            </w:r>
            <w:r>
              <w:rPr>
                <w:noProof/>
                <w:webHidden/>
              </w:rPr>
            </w:r>
            <w:r>
              <w:rPr>
                <w:noProof/>
                <w:webHidden/>
              </w:rPr>
              <w:fldChar w:fldCharType="separate"/>
            </w:r>
            <w:r>
              <w:rPr>
                <w:noProof/>
                <w:webHidden/>
              </w:rPr>
              <w:t>18</w:t>
            </w:r>
            <w:r>
              <w:rPr>
                <w:noProof/>
                <w:webHidden/>
              </w:rPr>
              <w:fldChar w:fldCharType="end"/>
            </w:r>
          </w:hyperlink>
        </w:p>
        <w:p w:rsidR="00746B0E" w:rsidRDefault="00746B0E">
          <w:pPr>
            <w:pStyle w:val="TOC2"/>
            <w:tabs>
              <w:tab w:val="left" w:pos="880"/>
              <w:tab w:val="right" w:leader="dot" w:pos="8919"/>
            </w:tabs>
            <w:rPr>
              <w:rFonts w:eastAsiaTheme="minorEastAsia"/>
              <w:noProof/>
              <w:lang w:eastAsia="en-AU"/>
            </w:rPr>
          </w:pPr>
          <w:hyperlink w:anchor="_Toc116481945" w:history="1">
            <w:r w:rsidRPr="00720BD8">
              <w:rPr>
                <w:rStyle w:val="Hyperlink"/>
                <w:rFonts w:ascii="Century Gothic" w:hAnsi="Century Gothic"/>
                <w:noProof/>
              </w:rPr>
              <w:t>(e)</w:t>
            </w:r>
            <w:r>
              <w:rPr>
                <w:rFonts w:eastAsiaTheme="minorEastAsia"/>
                <w:noProof/>
                <w:lang w:eastAsia="en-AU"/>
              </w:rPr>
              <w:tab/>
            </w:r>
            <w:r w:rsidRPr="00720BD8">
              <w:rPr>
                <w:rStyle w:val="Hyperlink"/>
                <w:rFonts w:ascii="Century Gothic" w:hAnsi="Century Gothic"/>
                <w:noProof/>
              </w:rPr>
              <w:t>The Government’s knowledge and intention</w:t>
            </w:r>
            <w:r>
              <w:rPr>
                <w:noProof/>
                <w:webHidden/>
              </w:rPr>
              <w:tab/>
            </w:r>
            <w:r>
              <w:rPr>
                <w:noProof/>
                <w:webHidden/>
              </w:rPr>
              <w:fldChar w:fldCharType="begin"/>
            </w:r>
            <w:r>
              <w:rPr>
                <w:noProof/>
                <w:webHidden/>
              </w:rPr>
              <w:instrText xml:space="preserve"> PAGEREF _Toc116481945 \h </w:instrText>
            </w:r>
            <w:r>
              <w:rPr>
                <w:noProof/>
                <w:webHidden/>
              </w:rPr>
            </w:r>
            <w:r>
              <w:rPr>
                <w:noProof/>
                <w:webHidden/>
              </w:rPr>
              <w:fldChar w:fldCharType="separate"/>
            </w:r>
            <w:r>
              <w:rPr>
                <w:noProof/>
                <w:webHidden/>
              </w:rPr>
              <w:t>19</w:t>
            </w:r>
            <w:r>
              <w:rPr>
                <w:noProof/>
                <w:webHidden/>
              </w:rPr>
              <w:fldChar w:fldCharType="end"/>
            </w:r>
          </w:hyperlink>
        </w:p>
        <w:p w:rsidR="00746B0E" w:rsidRDefault="00746B0E">
          <w:pPr>
            <w:pStyle w:val="TOC2"/>
            <w:tabs>
              <w:tab w:val="left" w:pos="880"/>
              <w:tab w:val="right" w:leader="dot" w:pos="8919"/>
            </w:tabs>
            <w:rPr>
              <w:rFonts w:eastAsiaTheme="minorEastAsia"/>
              <w:noProof/>
              <w:lang w:eastAsia="en-AU"/>
            </w:rPr>
          </w:pPr>
          <w:hyperlink w:anchor="_Toc116481946" w:history="1">
            <w:r w:rsidRPr="00720BD8">
              <w:rPr>
                <w:rStyle w:val="Hyperlink"/>
                <w:rFonts w:ascii="Century Gothic" w:hAnsi="Century Gothic"/>
                <w:noProof/>
              </w:rPr>
              <w:t>(f)</w:t>
            </w:r>
            <w:r>
              <w:rPr>
                <w:rFonts w:eastAsiaTheme="minorEastAsia"/>
                <w:noProof/>
                <w:lang w:eastAsia="en-AU"/>
              </w:rPr>
              <w:tab/>
            </w:r>
            <w:r w:rsidRPr="00720BD8">
              <w:rPr>
                <w:rStyle w:val="Hyperlink"/>
                <w:rFonts w:ascii="Century Gothic" w:hAnsi="Century Gothic"/>
                <w:noProof/>
              </w:rPr>
              <w:t>Recklessness</w:t>
            </w:r>
            <w:r>
              <w:rPr>
                <w:noProof/>
                <w:webHidden/>
              </w:rPr>
              <w:tab/>
            </w:r>
            <w:r>
              <w:rPr>
                <w:noProof/>
                <w:webHidden/>
              </w:rPr>
              <w:fldChar w:fldCharType="begin"/>
            </w:r>
            <w:r>
              <w:rPr>
                <w:noProof/>
                <w:webHidden/>
              </w:rPr>
              <w:instrText xml:space="preserve"> PAGEREF _Toc116481946 \h </w:instrText>
            </w:r>
            <w:r>
              <w:rPr>
                <w:noProof/>
                <w:webHidden/>
              </w:rPr>
            </w:r>
            <w:r>
              <w:rPr>
                <w:noProof/>
                <w:webHidden/>
              </w:rPr>
              <w:fldChar w:fldCharType="separate"/>
            </w:r>
            <w:r>
              <w:rPr>
                <w:noProof/>
                <w:webHidden/>
              </w:rPr>
              <w:t>20</w:t>
            </w:r>
            <w:r>
              <w:rPr>
                <w:noProof/>
                <w:webHidden/>
              </w:rPr>
              <w:fldChar w:fldCharType="end"/>
            </w:r>
          </w:hyperlink>
        </w:p>
        <w:p w:rsidR="00746B0E" w:rsidRDefault="00746B0E">
          <w:pPr>
            <w:pStyle w:val="TOC2"/>
            <w:tabs>
              <w:tab w:val="left" w:pos="880"/>
              <w:tab w:val="right" w:leader="dot" w:pos="8919"/>
            </w:tabs>
            <w:rPr>
              <w:rFonts w:eastAsiaTheme="minorEastAsia"/>
              <w:noProof/>
              <w:lang w:eastAsia="en-AU"/>
            </w:rPr>
          </w:pPr>
          <w:hyperlink w:anchor="_Toc116481947" w:history="1">
            <w:r w:rsidRPr="00720BD8">
              <w:rPr>
                <w:rStyle w:val="Hyperlink"/>
                <w:rFonts w:ascii="Century Gothic" w:hAnsi="Century Gothic"/>
                <w:noProof/>
              </w:rPr>
              <w:t>(g)</w:t>
            </w:r>
            <w:r>
              <w:rPr>
                <w:rFonts w:eastAsiaTheme="minorEastAsia"/>
                <w:noProof/>
                <w:lang w:eastAsia="en-AU"/>
              </w:rPr>
              <w:tab/>
            </w:r>
            <w:r w:rsidRPr="00720BD8">
              <w:rPr>
                <w:rStyle w:val="Hyperlink"/>
                <w:rFonts w:ascii="Century Gothic" w:hAnsi="Century Gothic"/>
                <w:noProof/>
              </w:rPr>
              <w:t>Unconscionability</w:t>
            </w:r>
            <w:r>
              <w:rPr>
                <w:noProof/>
                <w:webHidden/>
              </w:rPr>
              <w:tab/>
            </w:r>
            <w:r>
              <w:rPr>
                <w:noProof/>
                <w:webHidden/>
              </w:rPr>
              <w:fldChar w:fldCharType="begin"/>
            </w:r>
            <w:r>
              <w:rPr>
                <w:noProof/>
                <w:webHidden/>
              </w:rPr>
              <w:instrText xml:space="preserve"> PAGEREF _Toc116481947 \h </w:instrText>
            </w:r>
            <w:r>
              <w:rPr>
                <w:noProof/>
                <w:webHidden/>
              </w:rPr>
            </w:r>
            <w:r>
              <w:rPr>
                <w:noProof/>
                <w:webHidden/>
              </w:rPr>
              <w:fldChar w:fldCharType="separate"/>
            </w:r>
            <w:r>
              <w:rPr>
                <w:noProof/>
                <w:webHidden/>
              </w:rPr>
              <w:t>20</w:t>
            </w:r>
            <w:r>
              <w:rPr>
                <w:noProof/>
                <w:webHidden/>
              </w:rPr>
              <w:fldChar w:fldCharType="end"/>
            </w:r>
          </w:hyperlink>
        </w:p>
        <w:p w:rsidR="00746B0E" w:rsidRDefault="00746B0E">
          <w:pPr>
            <w:pStyle w:val="TOC2"/>
            <w:tabs>
              <w:tab w:val="left" w:pos="880"/>
              <w:tab w:val="right" w:leader="dot" w:pos="8919"/>
            </w:tabs>
            <w:rPr>
              <w:rFonts w:eastAsiaTheme="minorEastAsia"/>
              <w:noProof/>
              <w:lang w:eastAsia="en-AU"/>
            </w:rPr>
          </w:pPr>
          <w:hyperlink w:anchor="_Toc116481948" w:history="1">
            <w:r w:rsidRPr="00720BD8">
              <w:rPr>
                <w:rStyle w:val="Hyperlink"/>
                <w:rFonts w:ascii="Century Gothic" w:hAnsi="Century Gothic"/>
                <w:noProof/>
              </w:rPr>
              <w:t>(h)</w:t>
            </w:r>
            <w:r>
              <w:rPr>
                <w:rFonts w:eastAsiaTheme="minorEastAsia"/>
                <w:noProof/>
                <w:lang w:eastAsia="en-AU"/>
              </w:rPr>
              <w:tab/>
            </w:r>
            <w:r w:rsidRPr="00720BD8">
              <w:rPr>
                <w:rStyle w:val="Hyperlink"/>
                <w:rFonts w:ascii="Century Gothic" w:hAnsi="Century Gothic"/>
                <w:noProof/>
              </w:rPr>
              <w:t>Dishonesty</w:t>
            </w:r>
            <w:r>
              <w:rPr>
                <w:noProof/>
                <w:webHidden/>
              </w:rPr>
              <w:tab/>
            </w:r>
            <w:r>
              <w:rPr>
                <w:noProof/>
                <w:webHidden/>
              </w:rPr>
              <w:fldChar w:fldCharType="begin"/>
            </w:r>
            <w:r>
              <w:rPr>
                <w:noProof/>
                <w:webHidden/>
              </w:rPr>
              <w:instrText xml:space="preserve"> PAGEREF _Toc116481948 \h </w:instrText>
            </w:r>
            <w:r>
              <w:rPr>
                <w:noProof/>
                <w:webHidden/>
              </w:rPr>
            </w:r>
            <w:r>
              <w:rPr>
                <w:noProof/>
                <w:webHidden/>
              </w:rPr>
              <w:fldChar w:fldCharType="separate"/>
            </w:r>
            <w:r>
              <w:rPr>
                <w:noProof/>
                <w:webHidden/>
              </w:rPr>
              <w:t>21</w:t>
            </w:r>
            <w:r>
              <w:rPr>
                <w:noProof/>
                <w:webHidden/>
              </w:rPr>
              <w:fldChar w:fldCharType="end"/>
            </w:r>
          </w:hyperlink>
        </w:p>
        <w:p w:rsidR="00746B0E" w:rsidRDefault="00746B0E">
          <w:pPr>
            <w:pStyle w:val="TOC2"/>
            <w:tabs>
              <w:tab w:val="left" w:pos="660"/>
              <w:tab w:val="right" w:leader="dot" w:pos="8919"/>
            </w:tabs>
            <w:rPr>
              <w:rFonts w:eastAsiaTheme="minorEastAsia"/>
              <w:noProof/>
              <w:lang w:eastAsia="en-AU"/>
            </w:rPr>
          </w:pPr>
          <w:hyperlink w:anchor="_Toc116481949" w:history="1">
            <w:r w:rsidRPr="00720BD8">
              <w:rPr>
                <w:rStyle w:val="Hyperlink"/>
                <w:rFonts w:ascii="Century Gothic" w:hAnsi="Century Gothic"/>
                <w:noProof/>
              </w:rPr>
              <w:t>(i)</w:t>
            </w:r>
            <w:r>
              <w:rPr>
                <w:rFonts w:eastAsiaTheme="minorEastAsia"/>
                <w:noProof/>
                <w:lang w:eastAsia="en-AU"/>
              </w:rPr>
              <w:tab/>
            </w:r>
            <w:r w:rsidRPr="00720BD8">
              <w:rPr>
                <w:rStyle w:val="Hyperlink"/>
                <w:rFonts w:ascii="Century Gothic" w:hAnsi="Century Gothic"/>
                <w:noProof/>
              </w:rPr>
              <w:t>A predatory mindset</w:t>
            </w:r>
            <w:r>
              <w:rPr>
                <w:noProof/>
                <w:webHidden/>
              </w:rPr>
              <w:tab/>
            </w:r>
            <w:r>
              <w:rPr>
                <w:noProof/>
                <w:webHidden/>
              </w:rPr>
              <w:fldChar w:fldCharType="begin"/>
            </w:r>
            <w:r>
              <w:rPr>
                <w:noProof/>
                <w:webHidden/>
              </w:rPr>
              <w:instrText xml:space="preserve"> PAGEREF _Toc116481949 \h </w:instrText>
            </w:r>
            <w:r>
              <w:rPr>
                <w:noProof/>
                <w:webHidden/>
              </w:rPr>
            </w:r>
            <w:r>
              <w:rPr>
                <w:noProof/>
                <w:webHidden/>
              </w:rPr>
              <w:fldChar w:fldCharType="separate"/>
            </w:r>
            <w:r>
              <w:rPr>
                <w:noProof/>
                <w:webHidden/>
              </w:rPr>
              <w:t>21</w:t>
            </w:r>
            <w:r>
              <w:rPr>
                <w:noProof/>
                <w:webHidden/>
              </w:rPr>
              <w:fldChar w:fldCharType="end"/>
            </w:r>
          </w:hyperlink>
        </w:p>
        <w:p w:rsidR="00746B0E" w:rsidRDefault="00746B0E">
          <w:pPr>
            <w:pStyle w:val="TOC1"/>
            <w:tabs>
              <w:tab w:val="left" w:pos="440"/>
              <w:tab w:val="right" w:leader="dot" w:pos="8919"/>
            </w:tabs>
            <w:rPr>
              <w:rFonts w:eastAsiaTheme="minorEastAsia"/>
              <w:noProof/>
              <w:lang w:eastAsia="en-AU"/>
            </w:rPr>
          </w:pPr>
          <w:hyperlink w:anchor="_Toc116481950" w:history="1">
            <w:r w:rsidRPr="00720BD8">
              <w:rPr>
                <w:rStyle w:val="Hyperlink"/>
                <w:rFonts w:ascii="Century Gothic" w:hAnsi="Century Gothic"/>
                <w:b/>
                <w:noProof/>
              </w:rPr>
              <w:t>7.</w:t>
            </w:r>
            <w:r>
              <w:rPr>
                <w:rFonts w:eastAsiaTheme="minorEastAsia"/>
                <w:noProof/>
                <w:lang w:eastAsia="en-AU"/>
              </w:rPr>
              <w:tab/>
            </w:r>
            <w:r w:rsidRPr="00720BD8">
              <w:rPr>
                <w:rStyle w:val="Hyperlink"/>
                <w:rFonts w:ascii="Century Gothic" w:hAnsi="Century Gothic"/>
                <w:b/>
                <w:noProof/>
              </w:rPr>
              <w:t>Conclusion</w:t>
            </w:r>
            <w:r>
              <w:rPr>
                <w:noProof/>
                <w:webHidden/>
              </w:rPr>
              <w:tab/>
            </w:r>
            <w:r>
              <w:rPr>
                <w:noProof/>
                <w:webHidden/>
              </w:rPr>
              <w:fldChar w:fldCharType="begin"/>
            </w:r>
            <w:r>
              <w:rPr>
                <w:noProof/>
                <w:webHidden/>
              </w:rPr>
              <w:instrText xml:space="preserve"> PAGEREF _Toc116481950 \h </w:instrText>
            </w:r>
            <w:r>
              <w:rPr>
                <w:noProof/>
                <w:webHidden/>
              </w:rPr>
            </w:r>
            <w:r>
              <w:rPr>
                <w:noProof/>
                <w:webHidden/>
              </w:rPr>
              <w:fldChar w:fldCharType="separate"/>
            </w:r>
            <w:r>
              <w:rPr>
                <w:noProof/>
                <w:webHidden/>
              </w:rPr>
              <w:t>22</w:t>
            </w:r>
            <w:r>
              <w:rPr>
                <w:noProof/>
                <w:webHidden/>
              </w:rPr>
              <w:fldChar w:fldCharType="end"/>
            </w:r>
          </w:hyperlink>
        </w:p>
        <w:p w:rsidR="00F75DBD" w:rsidRPr="00F75DBD" w:rsidRDefault="00F75DBD">
          <w:pPr>
            <w:rPr>
              <w:rFonts w:ascii="Century Gothic" w:hAnsi="Century Gothic"/>
            </w:rPr>
          </w:pPr>
          <w:r w:rsidRPr="00F75DBD">
            <w:rPr>
              <w:rFonts w:ascii="Century Gothic" w:hAnsi="Century Gothic"/>
              <w:b/>
              <w:bCs/>
              <w:noProof/>
            </w:rPr>
            <w:fldChar w:fldCharType="end"/>
          </w:r>
        </w:p>
      </w:sdtContent>
    </w:sdt>
    <w:p w:rsidR="009754BD" w:rsidRPr="00F75DBD" w:rsidRDefault="009754BD" w:rsidP="00732DB1">
      <w:pPr>
        <w:spacing w:before="240" w:after="240" w:line="264" w:lineRule="auto"/>
        <w:ind w:right="-1"/>
        <w:jc w:val="both"/>
        <w:rPr>
          <w:rFonts w:ascii="Century Gothic" w:eastAsiaTheme="minorEastAsia" w:hAnsi="Century Gothic" w:cs="Arial"/>
          <w:color w:val="000000" w:themeColor="text1"/>
        </w:rPr>
      </w:pPr>
    </w:p>
    <w:p w:rsidR="00D91EAE" w:rsidRPr="005C3808" w:rsidRDefault="002D096B" w:rsidP="00E53E8C">
      <w:pPr>
        <w:pStyle w:val="Heading1"/>
        <w:numPr>
          <w:ilvl w:val="0"/>
          <w:numId w:val="17"/>
        </w:numPr>
        <w:rPr>
          <w:rFonts w:ascii="Century Gothic" w:eastAsiaTheme="minorEastAsia" w:hAnsi="Century Gothic"/>
          <w:b/>
        </w:rPr>
      </w:pPr>
      <w:bookmarkStart w:id="0" w:name="_Toc116481923"/>
      <w:r w:rsidRPr="005C3808">
        <w:rPr>
          <w:rFonts w:ascii="Century Gothic" w:eastAsiaTheme="minorEastAsia" w:hAnsi="Century Gothic"/>
          <w:b/>
        </w:rPr>
        <w:t>Factual framework for analysis</w:t>
      </w:r>
      <w:bookmarkEnd w:id="0"/>
    </w:p>
    <w:p w:rsidR="000A62CE" w:rsidRPr="00F75DBD" w:rsidRDefault="005D121D"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 xml:space="preserve">The following analysis is necessarily subject to the inquiries and ultimate determinations of the Robodebt Royal Commission. </w:t>
      </w:r>
      <w:r w:rsidR="00E53E8C" w:rsidRPr="00F75DBD">
        <w:rPr>
          <w:rFonts w:ascii="Century Gothic" w:eastAsiaTheme="minorEastAsia" w:hAnsi="Century Gothic" w:cs="Arial"/>
          <w:color w:val="000000" w:themeColor="text1"/>
        </w:rPr>
        <w:t>In the interim, t</w:t>
      </w:r>
      <w:r w:rsidR="00480B93" w:rsidRPr="00F75DBD">
        <w:rPr>
          <w:rFonts w:ascii="Century Gothic" w:eastAsiaTheme="minorEastAsia" w:hAnsi="Century Gothic" w:cs="Arial"/>
          <w:color w:val="000000" w:themeColor="text1"/>
        </w:rPr>
        <w:t>here exist excellent analyses by experts in the field about the nature of the Robodebt automated system and related enforcement and complaint processes</w:t>
      </w:r>
      <w:r w:rsidR="00924697" w:rsidRPr="00F75DBD">
        <w:rPr>
          <w:rFonts w:ascii="Century Gothic" w:eastAsiaTheme="minorEastAsia" w:hAnsi="Century Gothic" w:cs="Arial"/>
          <w:color w:val="000000" w:themeColor="text1"/>
        </w:rPr>
        <w:t xml:space="preserve"> (</w:t>
      </w:r>
      <w:r w:rsidR="000254E9" w:rsidRPr="00F75DBD">
        <w:rPr>
          <w:rFonts w:ascii="Century Gothic" w:eastAsiaTheme="minorEastAsia" w:hAnsi="Century Gothic" w:cs="Arial"/>
          <w:color w:val="000000" w:themeColor="text1"/>
        </w:rPr>
        <w:t xml:space="preserve">together, </w:t>
      </w:r>
      <w:r w:rsidR="00924697" w:rsidRPr="00F75DBD">
        <w:rPr>
          <w:rFonts w:ascii="Century Gothic" w:eastAsiaTheme="minorEastAsia" w:hAnsi="Century Gothic" w:cs="Arial"/>
          <w:color w:val="000000" w:themeColor="text1"/>
        </w:rPr>
        <w:t>the Robodebt scheme)</w:t>
      </w:r>
      <w:r w:rsidR="00480B93" w:rsidRPr="00F75DBD">
        <w:rPr>
          <w:rFonts w:ascii="Century Gothic" w:eastAsiaTheme="minorEastAsia" w:hAnsi="Century Gothic" w:cs="Arial"/>
          <w:color w:val="000000" w:themeColor="text1"/>
        </w:rPr>
        <w:t>.</w:t>
      </w:r>
      <w:r w:rsidR="00480B93" w:rsidRPr="00F75DBD">
        <w:rPr>
          <w:rStyle w:val="FootnoteReference"/>
          <w:rFonts w:ascii="Century Gothic" w:eastAsiaTheme="minorEastAsia" w:hAnsi="Century Gothic" w:cs="Arial"/>
          <w:color w:val="000000" w:themeColor="text1"/>
        </w:rPr>
        <w:footnoteReference w:id="7"/>
      </w:r>
      <w:r w:rsidR="00480B93" w:rsidRPr="00F75DBD">
        <w:rPr>
          <w:rFonts w:ascii="Century Gothic" w:eastAsiaTheme="minorEastAsia" w:hAnsi="Century Gothic" w:cs="Arial"/>
          <w:color w:val="000000" w:themeColor="text1"/>
        </w:rPr>
        <w:t xml:space="preserve"> </w:t>
      </w:r>
      <w:r w:rsidR="003C1ABD" w:rsidRPr="00F75DBD">
        <w:rPr>
          <w:rFonts w:ascii="Century Gothic" w:eastAsiaTheme="minorEastAsia" w:hAnsi="Century Gothic" w:cs="Arial"/>
          <w:color w:val="000000" w:themeColor="text1"/>
        </w:rPr>
        <w:t xml:space="preserve">I gratefully adopt their work as providing the factual framework for </w:t>
      </w:r>
      <w:r w:rsidR="003D06AF" w:rsidRPr="00F75DBD">
        <w:rPr>
          <w:rFonts w:ascii="Century Gothic" w:eastAsiaTheme="minorEastAsia" w:hAnsi="Century Gothic" w:cs="Arial"/>
          <w:color w:val="000000" w:themeColor="text1"/>
        </w:rPr>
        <w:t xml:space="preserve">the </w:t>
      </w:r>
      <w:r w:rsidR="003C1ABD" w:rsidRPr="00F75DBD">
        <w:rPr>
          <w:rFonts w:ascii="Century Gothic" w:eastAsiaTheme="minorEastAsia" w:hAnsi="Century Gothic" w:cs="Arial"/>
          <w:color w:val="000000" w:themeColor="text1"/>
        </w:rPr>
        <w:t xml:space="preserve">analysis in my submission.  </w:t>
      </w:r>
      <w:r w:rsidR="00480B93" w:rsidRPr="00F75DBD">
        <w:rPr>
          <w:rFonts w:ascii="Century Gothic" w:eastAsiaTheme="minorEastAsia" w:hAnsi="Century Gothic" w:cs="Arial"/>
          <w:color w:val="000000" w:themeColor="text1"/>
        </w:rPr>
        <w:t xml:space="preserve">For current purposes, it is only necessary to map </w:t>
      </w:r>
      <w:r w:rsidR="003D06AF" w:rsidRPr="00F75DBD">
        <w:rPr>
          <w:rFonts w:ascii="Century Gothic" w:eastAsiaTheme="minorEastAsia" w:hAnsi="Century Gothic" w:cs="Arial"/>
          <w:color w:val="000000" w:themeColor="text1"/>
        </w:rPr>
        <w:t>the scheme’s</w:t>
      </w:r>
      <w:r w:rsidR="00480B93" w:rsidRPr="00F75DBD">
        <w:rPr>
          <w:rFonts w:ascii="Century Gothic" w:eastAsiaTheme="minorEastAsia" w:hAnsi="Century Gothic" w:cs="Arial"/>
          <w:color w:val="000000" w:themeColor="text1"/>
        </w:rPr>
        <w:t xml:space="preserve"> core </w:t>
      </w:r>
      <w:r w:rsidR="0056375F" w:rsidRPr="00F75DBD">
        <w:rPr>
          <w:rFonts w:ascii="Century Gothic" w:eastAsiaTheme="minorEastAsia" w:hAnsi="Century Gothic" w:cs="Arial"/>
          <w:color w:val="000000" w:themeColor="text1"/>
        </w:rPr>
        <w:t xml:space="preserve">positive </w:t>
      </w:r>
      <w:r w:rsidR="00924697" w:rsidRPr="00F75DBD">
        <w:rPr>
          <w:rFonts w:ascii="Century Gothic" w:eastAsiaTheme="minorEastAsia" w:hAnsi="Century Gothic" w:cs="Arial"/>
          <w:color w:val="000000" w:themeColor="text1"/>
        </w:rPr>
        <w:t>features</w:t>
      </w:r>
      <w:r w:rsidR="00480B93" w:rsidRPr="00F75DBD">
        <w:rPr>
          <w:rFonts w:ascii="Century Gothic" w:eastAsiaTheme="minorEastAsia" w:hAnsi="Century Gothic" w:cs="Arial"/>
          <w:color w:val="000000" w:themeColor="text1"/>
        </w:rPr>
        <w:t xml:space="preserve">, before turning to assess, and explain, their significance </w:t>
      </w:r>
      <w:r w:rsidR="0079241F" w:rsidRPr="00F75DBD">
        <w:rPr>
          <w:rFonts w:ascii="Century Gothic" w:eastAsiaTheme="minorEastAsia" w:hAnsi="Century Gothic" w:cs="Arial"/>
          <w:color w:val="000000" w:themeColor="text1"/>
        </w:rPr>
        <w:t>(alongside</w:t>
      </w:r>
      <w:r w:rsidR="003D06AF" w:rsidRPr="00F75DBD">
        <w:rPr>
          <w:rFonts w:ascii="Century Gothic" w:eastAsiaTheme="minorEastAsia" w:hAnsi="Century Gothic" w:cs="Arial"/>
          <w:color w:val="000000" w:themeColor="text1"/>
        </w:rPr>
        <w:t xml:space="preserve"> </w:t>
      </w:r>
      <w:r w:rsidR="000254E9" w:rsidRPr="00F75DBD">
        <w:rPr>
          <w:rFonts w:ascii="Century Gothic" w:eastAsiaTheme="minorEastAsia" w:hAnsi="Century Gothic" w:cs="Arial"/>
          <w:color w:val="000000" w:themeColor="text1"/>
        </w:rPr>
        <w:t>broader</w:t>
      </w:r>
      <w:r w:rsidR="003D06AF" w:rsidRPr="00F75DBD">
        <w:rPr>
          <w:rFonts w:ascii="Century Gothic" w:eastAsiaTheme="minorEastAsia" w:hAnsi="Century Gothic" w:cs="Arial"/>
          <w:color w:val="000000" w:themeColor="text1"/>
        </w:rPr>
        <w:t>, supporting processes</w:t>
      </w:r>
      <w:r w:rsidR="000254E9" w:rsidRPr="00F75DBD">
        <w:rPr>
          <w:rFonts w:ascii="Century Gothic" w:eastAsiaTheme="minorEastAsia" w:hAnsi="Century Gothic" w:cs="Arial"/>
          <w:color w:val="000000" w:themeColor="text1"/>
        </w:rPr>
        <w:t xml:space="preserve"> within the scheme</w:t>
      </w:r>
      <w:r w:rsidR="0079241F" w:rsidRPr="00F75DBD">
        <w:rPr>
          <w:rFonts w:ascii="Century Gothic" w:eastAsiaTheme="minorEastAsia" w:hAnsi="Century Gothic" w:cs="Arial"/>
          <w:color w:val="000000" w:themeColor="text1"/>
        </w:rPr>
        <w:t>) for G</w:t>
      </w:r>
      <w:r w:rsidR="00480B93" w:rsidRPr="00F75DBD">
        <w:rPr>
          <w:rFonts w:ascii="Century Gothic" w:eastAsiaTheme="minorEastAsia" w:hAnsi="Century Gothic" w:cs="Arial"/>
          <w:color w:val="000000" w:themeColor="text1"/>
        </w:rPr>
        <w:t>overnment blameworthiness.</w:t>
      </w:r>
    </w:p>
    <w:p w:rsidR="000A62CE" w:rsidRPr="00F75DBD" w:rsidRDefault="0079241F"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At</w:t>
      </w:r>
      <w:r w:rsidR="000A62CE" w:rsidRPr="00F75DBD">
        <w:rPr>
          <w:rFonts w:ascii="Century Gothic" w:eastAsiaTheme="minorEastAsia" w:hAnsi="Century Gothic" w:cs="Arial"/>
          <w:color w:val="000000" w:themeColor="text1"/>
        </w:rPr>
        <w:t xml:space="preserve"> its most basic, the Government put in place an automated ‘debt recovery’ scheme </w:t>
      </w:r>
      <w:r w:rsidR="0025575D" w:rsidRPr="00F75DBD">
        <w:rPr>
          <w:rFonts w:ascii="Century Gothic" w:eastAsiaTheme="minorEastAsia" w:hAnsi="Century Gothic" w:cs="Arial"/>
          <w:color w:val="000000" w:themeColor="text1"/>
        </w:rPr>
        <w:t>that</w:t>
      </w:r>
      <w:r w:rsidR="000A62CE" w:rsidRPr="00F75DBD">
        <w:rPr>
          <w:rFonts w:ascii="Century Gothic" w:eastAsiaTheme="minorEastAsia" w:hAnsi="Century Gothic" w:cs="Arial"/>
          <w:color w:val="000000" w:themeColor="text1"/>
        </w:rPr>
        <w:t xml:space="preserve"> </w:t>
      </w:r>
      <w:r w:rsidR="007C7C80" w:rsidRPr="00F75DBD">
        <w:rPr>
          <w:rFonts w:ascii="Century Gothic" w:eastAsiaTheme="minorEastAsia" w:hAnsi="Century Gothic" w:cs="Arial"/>
          <w:color w:val="000000" w:themeColor="text1"/>
        </w:rPr>
        <w:t>calculated, raised</w:t>
      </w:r>
      <w:r w:rsidR="000A62CE" w:rsidRPr="00F75DBD">
        <w:rPr>
          <w:rFonts w:ascii="Century Gothic" w:eastAsiaTheme="minorEastAsia" w:hAnsi="Century Gothic" w:cs="Arial"/>
          <w:color w:val="000000" w:themeColor="text1"/>
        </w:rPr>
        <w:t xml:space="preserve"> </w:t>
      </w:r>
      <w:r w:rsidR="007C7C80" w:rsidRPr="00F75DBD">
        <w:rPr>
          <w:rFonts w:ascii="Century Gothic" w:eastAsiaTheme="minorEastAsia" w:hAnsi="Century Gothic" w:cs="Arial"/>
          <w:color w:val="000000" w:themeColor="text1"/>
        </w:rPr>
        <w:t xml:space="preserve">and </w:t>
      </w:r>
      <w:r w:rsidR="000254E9" w:rsidRPr="00F75DBD">
        <w:rPr>
          <w:rFonts w:ascii="Century Gothic" w:eastAsiaTheme="minorEastAsia" w:hAnsi="Century Gothic" w:cs="Arial"/>
          <w:color w:val="000000" w:themeColor="text1"/>
        </w:rPr>
        <w:t>alleged</w:t>
      </w:r>
      <w:r w:rsidR="007C7C80" w:rsidRPr="00F75DBD">
        <w:rPr>
          <w:rFonts w:ascii="Century Gothic" w:eastAsiaTheme="minorEastAsia" w:hAnsi="Century Gothic" w:cs="Arial"/>
          <w:color w:val="000000" w:themeColor="text1"/>
        </w:rPr>
        <w:t xml:space="preserve"> </w:t>
      </w:r>
      <w:r w:rsidR="000A62CE" w:rsidRPr="00F75DBD">
        <w:rPr>
          <w:rFonts w:ascii="Century Gothic" w:eastAsiaTheme="minorEastAsia" w:hAnsi="Century Gothic" w:cs="Arial"/>
          <w:color w:val="000000" w:themeColor="text1"/>
        </w:rPr>
        <w:t>debt</w:t>
      </w:r>
      <w:r w:rsidR="0025575D" w:rsidRPr="00F75DBD">
        <w:rPr>
          <w:rFonts w:ascii="Century Gothic" w:eastAsiaTheme="minorEastAsia" w:hAnsi="Century Gothic" w:cs="Arial"/>
          <w:color w:val="000000" w:themeColor="text1"/>
        </w:rPr>
        <w:t>,</w:t>
      </w:r>
      <w:r w:rsidR="000A62CE" w:rsidRPr="00F75DBD">
        <w:rPr>
          <w:rFonts w:ascii="Century Gothic" w:eastAsiaTheme="minorEastAsia" w:hAnsi="Century Gothic" w:cs="Arial"/>
          <w:color w:val="000000" w:themeColor="text1"/>
        </w:rPr>
        <w:t xml:space="preserve"> </w:t>
      </w:r>
      <w:r w:rsidR="000254E9" w:rsidRPr="00F75DBD">
        <w:rPr>
          <w:rFonts w:ascii="Century Gothic" w:eastAsiaTheme="minorEastAsia" w:hAnsi="Century Gothic" w:cs="Arial"/>
          <w:color w:val="000000" w:themeColor="text1"/>
        </w:rPr>
        <w:t>purportedly</w:t>
      </w:r>
      <w:r w:rsidR="00034A21" w:rsidRPr="00F75DBD">
        <w:rPr>
          <w:rFonts w:ascii="Century Gothic" w:eastAsiaTheme="minorEastAsia" w:hAnsi="Century Gothic" w:cs="Arial"/>
          <w:color w:val="000000" w:themeColor="text1"/>
        </w:rPr>
        <w:t xml:space="preserve"> owed by</w:t>
      </w:r>
      <w:r w:rsidR="000A62CE" w:rsidRPr="00F75DBD">
        <w:rPr>
          <w:rFonts w:ascii="Century Gothic" w:eastAsiaTheme="minorEastAsia" w:hAnsi="Century Gothic" w:cs="Arial"/>
          <w:color w:val="000000" w:themeColor="text1"/>
        </w:rPr>
        <w:t xml:space="preserve"> </w:t>
      </w:r>
      <w:r w:rsidR="006678A8" w:rsidRPr="00F75DBD">
        <w:rPr>
          <w:rFonts w:ascii="Century Gothic" w:eastAsiaTheme="minorEastAsia" w:hAnsi="Century Gothic" w:cs="Arial"/>
          <w:color w:val="000000" w:themeColor="text1"/>
        </w:rPr>
        <w:t xml:space="preserve">social </w:t>
      </w:r>
      <w:r w:rsidR="006678A8" w:rsidRPr="00F75DBD">
        <w:rPr>
          <w:rFonts w:ascii="Century Gothic" w:eastAsiaTheme="minorEastAsia" w:hAnsi="Century Gothic" w:cs="Arial"/>
          <w:color w:val="000000" w:themeColor="text1"/>
        </w:rPr>
        <w:lastRenderedPageBreak/>
        <w:t>security recipients</w:t>
      </w:r>
      <w:r w:rsidR="00034A21" w:rsidRPr="00F75DBD">
        <w:rPr>
          <w:rFonts w:ascii="Century Gothic" w:eastAsiaTheme="minorEastAsia" w:hAnsi="Century Gothic" w:cs="Arial"/>
          <w:color w:val="000000" w:themeColor="text1"/>
        </w:rPr>
        <w:t>,</w:t>
      </w:r>
      <w:r w:rsidR="006678A8" w:rsidRPr="00F75DBD">
        <w:rPr>
          <w:rFonts w:ascii="Century Gothic" w:eastAsiaTheme="minorEastAsia" w:hAnsi="Century Gothic" w:cs="Arial"/>
          <w:color w:val="000000" w:themeColor="text1"/>
        </w:rPr>
        <w:t xml:space="preserve"> </w:t>
      </w:r>
      <w:r w:rsidR="000A62CE" w:rsidRPr="00F75DBD">
        <w:rPr>
          <w:rFonts w:ascii="Century Gothic" w:eastAsiaTheme="minorEastAsia" w:hAnsi="Century Gothic" w:cs="Arial"/>
          <w:color w:val="000000" w:themeColor="text1"/>
        </w:rPr>
        <w:t xml:space="preserve">on the basis of </w:t>
      </w:r>
      <w:r w:rsidR="00034A21" w:rsidRPr="00F75DBD">
        <w:rPr>
          <w:rFonts w:ascii="Century Gothic" w:eastAsiaTheme="minorEastAsia" w:hAnsi="Century Gothic" w:cs="Arial"/>
          <w:color w:val="000000" w:themeColor="text1"/>
        </w:rPr>
        <w:t xml:space="preserve">their </w:t>
      </w:r>
      <w:r w:rsidR="000A62CE" w:rsidRPr="00F75DBD">
        <w:rPr>
          <w:rFonts w:ascii="Century Gothic" w:eastAsiaTheme="minorEastAsia" w:hAnsi="Century Gothic" w:cs="Arial"/>
          <w:color w:val="000000" w:themeColor="text1"/>
        </w:rPr>
        <w:t xml:space="preserve">averaged </w:t>
      </w:r>
      <w:r w:rsidR="00C73D21" w:rsidRPr="00F75DBD">
        <w:rPr>
          <w:rFonts w:ascii="Century Gothic" w:eastAsiaTheme="minorEastAsia" w:hAnsi="Century Gothic" w:cs="Arial"/>
          <w:color w:val="000000" w:themeColor="text1"/>
        </w:rPr>
        <w:t>(</w:t>
      </w:r>
      <w:r w:rsidR="003D06AF" w:rsidRPr="00F75DBD">
        <w:rPr>
          <w:rFonts w:ascii="Century Gothic" w:eastAsiaTheme="minorEastAsia" w:hAnsi="Century Gothic" w:cs="Arial"/>
          <w:color w:val="000000" w:themeColor="text1"/>
        </w:rPr>
        <w:t>fortnightly</w:t>
      </w:r>
      <w:r w:rsidR="00C73D21" w:rsidRPr="00F75DBD">
        <w:rPr>
          <w:rFonts w:ascii="Century Gothic" w:eastAsiaTheme="minorEastAsia" w:hAnsi="Century Gothic" w:cs="Arial"/>
          <w:color w:val="000000" w:themeColor="text1"/>
        </w:rPr>
        <w:t>)</w:t>
      </w:r>
      <w:r w:rsidR="00C73D21" w:rsidRPr="00F75DBD">
        <w:rPr>
          <w:rStyle w:val="FootnoteReference"/>
          <w:rFonts w:ascii="Century Gothic" w:eastAsiaTheme="minorEastAsia" w:hAnsi="Century Gothic" w:cs="Arial"/>
          <w:color w:val="000000" w:themeColor="text1"/>
        </w:rPr>
        <w:footnoteReference w:id="8"/>
      </w:r>
      <w:r w:rsidR="003D06AF" w:rsidRPr="00F75DBD">
        <w:rPr>
          <w:rFonts w:ascii="Century Gothic" w:eastAsiaTheme="minorEastAsia" w:hAnsi="Century Gothic" w:cs="Arial"/>
          <w:color w:val="000000" w:themeColor="text1"/>
        </w:rPr>
        <w:t xml:space="preserve"> </w:t>
      </w:r>
      <w:r w:rsidR="000A62CE" w:rsidRPr="00F75DBD">
        <w:rPr>
          <w:rFonts w:ascii="Century Gothic" w:eastAsiaTheme="minorEastAsia" w:hAnsi="Century Gothic" w:cs="Arial"/>
          <w:color w:val="000000" w:themeColor="text1"/>
        </w:rPr>
        <w:t>i</w:t>
      </w:r>
      <w:r w:rsidR="0025575D" w:rsidRPr="00F75DBD">
        <w:rPr>
          <w:rFonts w:ascii="Century Gothic" w:eastAsiaTheme="minorEastAsia" w:hAnsi="Century Gothic" w:cs="Arial"/>
          <w:color w:val="000000" w:themeColor="text1"/>
        </w:rPr>
        <w:t>ncome data</w:t>
      </w:r>
      <w:r w:rsidR="000A62CE" w:rsidRPr="00F75DBD">
        <w:rPr>
          <w:rFonts w:ascii="Century Gothic" w:eastAsiaTheme="minorEastAsia" w:hAnsi="Century Gothic" w:cs="Arial"/>
          <w:color w:val="000000" w:themeColor="text1"/>
        </w:rPr>
        <w:t xml:space="preserve">. </w:t>
      </w:r>
      <w:r w:rsidR="003D06AF" w:rsidRPr="00F75DBD">
        <w:rPr>
          <w:rFonts w:ascii="Century Gothic" w:eastAsiaTheme="minorEastAsia" w:hAnsi="Century Gothic" w:cs="Arial"/>
          <w:color w:val="000000" w:themeColor="text1"/>
        </w:rPr>
        <w:t>Averaged income involve</w:t>
      </w:r>
      <w:r w:rsidR="000254E9" w:rsidRPr="00F75DBD">
        <w:rPr>
          <w:rFonts w:ascii="Century Gothic" w:eastAsiaTheme="minorEastAsia" w:hAnsi="Century Gothic" w:cs="Arial"/>
          <w:color w:val="000000" w:themeColor="text1"/>
        </w:rPr>
        <w:t>s</w:t>
      </w:r>
      <w:r w:rsidR="003D06AF" w:rsidRPr="00F75DBD">
        <w:rPr>
          <w:rFonts w:ascii="Century Gothic" w:eastAsiaTheme="minorEastAsia" w:hAnsi="Century Gothic" w:cs="Arial"/>
          <w:color w:val="000000" w:themeColor="text1"/>
        </w:rPr>
        <w:t xml:space="preserve"> dividing a recipient’s</w:t>
      </w:r>
      <w:r w:rsidR="00C73D21" w:rsidRPr="00F75DBD">
        <w:rPr>
          <w:rFonts w:ascii="Century Gothic" w:eastAsiaTheme="minorEastAsia" w:hAnsi="Century Gothic" w:cs="Arial"/>
          <w:color w:val="000000" w:themeColor="text1"/>
        </w:rPr>
        <w:t xml:space="preserve"> annual</w:t>
      </w:r>
      <w:r w:rsidR="003D06AF" w:rsidRPr="00F75DBD">
        <w:rPr>
          <w:rFonts w:ascii="Century Gothic" w:eastAsiaTheme="minorEastAsia" w:hAnsi="Century Gothic" w:cs="Arial"/>
          <w:color w:val="000000" w:themeColor="text1"/>
        </w:rPr>
        <w:t xml:space="preserve"> income by 26. </w:t>
      </w:r>
      <w:r w:rsidR="0025575D" w:rsidRPr="00F75DBD">
        <w:rPr>
          <w:rFonts w:ascii="Century Gothic" w:eastAsiaTheme="minorEastAsia" w:hAnsi="Century Gothic" w:cs="Arial"/>
          <w:color w:val="000000" w:themeColor="text1"/>
        </w:rPr>
        <w:t xml:space="preserve">However, as is </w:t>
      </w:r>
      <w:r w:rsidR="003D06AF" w:rsidRPr="00F75DBD">
        <w:rPr>
          <w:rFonts w:ascii="Century Gothic" w:eastAsiaTheme="minorEastAsia" w:hAnsi="Century Gothic" w:cs="Arial"/>
          <w:color w:val="000000" w:themeColor="text1"/>
        </w:rPr>
        <w:t xml:space="preserve">already </w:t>
      </w:r>
      <w:r w:rsidR="0025575D" w:rsidRPr="00F75DBD">
        <w:rPr>
          <w:rFonts w:ascii="Century Gothic" w:eastAsiaTheme="minorEastAsia" w:hAnsi="Century Gothic" w:cs="Arial"/>
          <w:color w:val="000000" w:themeColor="text1"/>
        </w:rPr>
        <w:t>patent from this description, a</w:t>
      </w:r>
      <w:r w:rsidR="00034A21" w:rsidRPr="00F75DBD">
        <w:rPr>
          <w:rFonts w:ascii="Century Gothic" w:eastAsiaTheme="minorEastAsia" w:hAnsi="Century Gothic" w:cs="Arial"/>
          <w:color w:val="000000" w:themeColor="text1"/>
        </w:rPr>
        <w:t>veraged income data</w:t>
      </w:r>
      <w:r w:rsidR="000A62CE" w:rsidRPr="00F75DBD">
        <w:rPr>
          <w:rFonts w:ascii="Century Gothic" w:eastAsiaTheme="minorEastAsia" w:hAnsi="Century Gothic" w:cs="Arial"/>
          <w:color w:val="000000" w:themeColor="text1"/>
        </w:rPr>
        <w:t xml:space="preserve"> could never support an accurate</w:t>
      </w:r>
      <w:r w:rsidR="00366F95" w:rsidRPr="00F75DBD">
        <w:rPr>
          <w:rFonts w:ascii="Century Gothic" w:eastAsiaTheme="minorEastAsia" w:hAnsi="Century Gothic" w:cs="Arial"/>
          <w:color w:val="000000" w:themeColor="text1"/>
        </w:rPr>
        <w:t xml:space="preserve"> calculation of recipient </w:t>
      </w:r>
      <w:r w:rsidR="0025575D" w:rsidRPr="00F75DBD">
        <w:rPr>
          <w:rFonts w:ascii="Century Gothic" w:eastAsiaTheme="minorEastAsia" w:hAnsi="Century Gothic" w:cs="Arial"/>
          <w:color w:val="000000" w:themeColor="text1"/>
        </w:rPr>
        <w:t>debt,</w:t>
      </w:r>
      <w:r w:rsidR="0025575D" w:rsidRPr="00F75DBD">
        <w:rPr>
          <w:rStyle w:val="FootnoteReference"/>
          <w:rFonts w:ascii="Century Gothic" w:eastAsiaTheme="minorEastAsia" w:hAnsi="Century Gothic" w:cs="Arial"/>
          <w:color w:val="000000" w:themeColor="text1"/>
        </w:rPr>
        <w:footnoteReference w:id="9"/>
      </w:r>
      <w:r w:rsidR="0025575D" w:rsidRPr="00F75DBD">
        <w:rPr>
          <w:rFonts w:ascii="Century Gothic" w:eastAsiaTheme="minorEastAsia" w:hAnsi="Century Gothic" w:cs="Arial"/>
          <w:color w:val="000000" w:themeColor="text1"/>
        </w:rPr>
        <w:t xml:space="preserve"> and therefore </w:t>
      </w:r>
      <w:r w:rsidR="007C7C80" w:rsidRPr="00F75DBD">
        <w:rPr>
          <w:rFonts w:ascii="Century Gothic" w:eastAsiaTheme="minorEastAsia" w:hAnsi="Century Gothic" w:cs="Arial"/>
          <w:color w:val="000000" w:themeColor="text1"/>
        </w:rPr>
        <w:t xml:space="preserve">an </w:t>
      </w:r>
      <w:r w:rsidR="0025575D" w:rsidRPr="00F75DBD">
        <w:rPr>
          <w:rFonts w:ascii="Century Gothic" w:eastAsiaTheme="minorEastAsia" w:hAnsi="Century Gothic" w:cs="Arial"/>
          <w:color w:val="000000" w:themeColor="text1"/>
        </w:rPr>
        <w:t>ethical</w:t>
      </w:r>
      <w:r w:rsidR="000A62CE" w:rsidRPr="00F75DBD">
        <w:rPr>
          <w:rFonts w:ascii="Century Gothic" w:eastAsiaTheme="minorEastAsia" w:hAnsi="Century Gothic" w:cs="Arial"/>
          <w:color w:val="000000" w:themeColor="text1"/>
        </w:rPr>
        <w:t xml:space="preserve"> </w:t>
      </w:r>
      <w:r w:rsidR="002661AE" w:rsidRPr="00F75DBD">
        <w:rPr>
          <w:rFonts w:ascii="Century Gothic" w:eastAsiaTheme="minorEastAsia" w:hAnsi="Century Gothic" w:cs="Arial"/>
          <w:color w:val="000000" w:themeColor="text1"/>
        </w:rPr>
        <w:t xml:space="preserve">or lawful </w:t>
      </w:r>
      <w:r w:rsidR="000A62CE" w:rsidRPr="00F75DBD">
        <w:rPr>
          <w:rFonts w:ascii="Century Gothic" w:eastAsiaTheme="minorEastAsia" w:hAnsi="Century Gothic" w:cs="Arial"/>
          <w:color w:val="000000" w:themeColor="text1"/>
        </w:rPr>
        <w:t xml:space="preserve">debt recovery program. </w:t>
      </w:r>
      <w:r w:rsidR="007C7C80" w:rsidRPr="00F75DBD">
        <w:rPr>
          <w:rFonts w:ascii="Century Gothic" w:eastAsiaTheme="minorEastAsia" w:hAnsi="Century Gothic" w:cs="Arial"/>
          <w:color w:val="000000" w:themeColor="text1"/>
        </w:rPr>
        <w:t>In order for it to have been a valid basis on which to proceed,</w:t>
      </w:r>
      <w:r w:rsidR="006678A8" w:rsidRPr="00F75DBD">
        <w:rPr>
          <w:rFonts w:ascii="Century Gothic" w:eastAsiaTheme="minorEastAsia" w:hAnsi="Century Gothic" w:cs="Arial"/>
          <w:color w:val="000000" w:themeColor="text1"/>
        </w:rPr>
        <w:t xml:space="preserve"> recipients </w:t>
      </w:r>
      <w:r w:rsidR="007C7C80" w:rsidRPr="00F75DBD">
        <w:rPr>
          <w:rFonts w:ascii="Century Gothic" w:eastAsiaTheme="minorEastAsia" w:hAnsi="Century Gothic" w:cs="Arial"/>
          <w:color w:val="000000" w:themeColor="text1"/>
        </w:rPr>
        <w:t>would need to have enjoyed</w:t>
      </w:r>
      <w:r w:rsidR="006678A8" w:rsidRPr="00F75DBD">
        <w:rPr>
          <w:rFonts w:ascii="Century Gothic" w:eastAsiaTheme="minorEastAsia" w:hAnsi="Century Gothic" w:cs="Arial"/>
          <w:color w:val="000000" w:themeColor="text1"/>
        </w:rPr>
        <w:t xml:space="preserve"> stable incomes. </w:t>
      </w:r>
      <w:r w:rsidR="0025575D" w:rsidRPr="00F75DBD">
        <w:rPr>
          <w:rFonts w:ascii="Century Gothic" w:eastAsiaTheme="minorEastAsia" w:hAnsi="Century Gothic" w:cs="Arial"/>
          <w:color w:val="000000" w:themeColor="text1"/>
        </w:rPr>
        <w:t xml:space="preserve">But the targeted class </w:t>
      </w:r>
      <w:r w:rsidR="002661AE" w:rsidRPr="00F75DBD">
        <w:rPr>
          <w:rFonts w:ascii="Century Gothic" w:eastAsiaTheme="minorEastAsia" w:hAnsi="Century Gothic" w:cs="Arial"/>
          <w:color w:val="000000" w:themeColor="text1"/>
        </w:rPr>
        <w:t xml:space="preserve">of ‘social security recipients’ </w:t>
      </w:r>
      <w:r w:rsidR="0025575D" w:rsidRPr="00F75DBD">
        <w:rPr>
          <w:rFonts w:ascii="Century Gothic" w:eastAsiaTheme="minorEastAsia" w:hAnsi="Century Gothic" w:cs="Arial"/>
          <w:color w:val="000000" w:themeColor="text1"/>
        </w:rPr>
        <w:t>necessarily included vulnerable,</w:t>
      </w:r>
      <w:r w:rsidR="006678A8" w:rsidRPr="00F75DBD">
        <w:rPr>
          <w:rFonts w:ascii="Century Gothic" w:eastAsiaTheme="minorEastAsia" w:hAnsi="Century Gothic" w:cs="Arial"/>
          <w:color w:val="000000" w:themeColor="text1"/>
        </w:rPr>
        <w:t xml:space="preserve"> </w:t>
      </w:r>
      <w:r w:rsidR="0025575D" w:rsidRPr="00F75DBD">
        <w:rPr>
          <w:rFonts w:ascii="Century Gothic" w:eastAsiaTheme="minorEastAsia" w:hAnsi="Century Gothic" w:cs="Arial"/>
          <w:color w:val="000000" w:themeColor="text1"/>
        </w:rPr>
        <w:t>financially insecure and powerless Australians whose circumstances</w:t>
      </w:r>
      <w:r w:rsidR="007C7C80" w:rsidRPr="00F75DBD">
        <w:rPr>
          <w:rFonts w:ascii="Century Gothic" w:eastAsiaTheme="minorEastAsia" w:hAnsi="Century Gothic" w:cs="Arial"/>
          <w:color w:val="000000" w:themeColor="text1"/>
        </w:rPr>
        <w:t>, evidently, had already</w:t>
      </w:r>
      <w:r w:rsidR="0025575D" w:rsidRPr="00F75DBD">
        <w:rPr>
          <w:rFonts w:ascii="Century Gothic" w:eastAsiaTheme="minorEastAsia" w:hAnsi="Century Gothic" w:cs="Arial"/>
          <w:color w:val="000000" w:themeColor="text1"/>
        </w:rPr>
        <w:t xml:space="preserve"> rendered them in need of financial assistance.</w:t>
      </w:r>
      <w:r w:rsidR="000254E9" w:rsidRPr="00F75DBD">
        <w:rPr>
          <w:rStyle w:val="FootnoteReference"/>
          <w:rFonts w:ascii="Century Gothic" w:eastAsiaTheme="minorEastAsia" w:hAnsi="Century Gothic" w:cs="Arial"/>
          <w:color w:val="000000" w:themeColor="text1"/>
        </w:rPr>
        <w:footnoteReference w:id="10"/>
      </w:r>
      <w:r w:rsidR="0025575D" w:rsidRPr="00F75DBD">
        <w:rPr>
          <w:rFonts w:ascii="Century Gothic" w:eastAsiaTheme="minorEastAsia" w:hAnsi="Century Gothic" w:cs="Arial"/>
          <w:color w:val="000000" w:themeColor="text1"/>
        </w:rPr>
        <w:t xml:space="preserve"> </w:t>
      </w:r>
      <w:r w:rsidR="007C7C80" w:rsidRPr="00F75DBD">
        <w:rPr>
          <w:rFonts w:ascii="Century Gothic" w:eastAsiaTheme="minorEastAsia" w:hAnsi="Century Gothic" w:cs="Arial"/>
          <w:color w:val="000000" w:themeColor="text1"/>
        </w:rPr>
        <w:t>That was why they were social security recipients. It</w:t>
      </w:r>
      <w:r w:rsidR="0025575D" w:rsidRPr="00F75DBD">
        <w:rPr>
          <w:rFonts w:ascii="Century Gothic" w:eastAsiaTheme="minorEastAsia" w:hAnsi="Century Gothic" w:cs="Arial"/>
          <w:color w:val="000000" w:themeColor="text1"/>
        </w:rPr>
        <w:t xml:space="preserve"> was </w:t>
      </w:r>
      <w:r w:rsidR="007C7C80" w:rsidRPr="00F75DBD">
        <w:rPr>
          <w:rFonts w:ascii="Century Gothic" w:eastAsiaTheme="minorEastAsia" w:hAnsi="Century Gothic" w:cs="Arial"/>
          <w:color w:val="000000" w:themeColor="text1"/>
        </w:rPr>
        <w:t>therefore obvious, from the start,</w:t>
      </w:r>
      <w:r w:rsidR="0025575D" w:rsidRPr="00F75DBD">
        <w:rPr>
          <w:rFonts w:ascii="Century Gothic" w:eastAsiaTheme="minorEastAsia" w:hAnsi="Century Gothic" w:cs="Arial"/>
          <w:color w:val="000000" w:themeColor="text1"/>
        </w:rPr>
        <w:t xml:space="preserve"> that the basis for calculating debt was hopelessly inappropriate</w:t>
      </w:r>
      <w:r w:rsidR="000F2A5F">
        <w:rPr>
          <w:rFonts w:ascii="Century Gothic" w:eastAsiaTheme="minorEastAsia" w:hAnsi="Century Gothic" w:cs="Arial"/>
          <w:color w:val="000000" w:themeColor="text1"/>
        </w:rPr>
        <w:t xml:space="preserve"> and would, inevitably, wrongly assert false debts</w:t>
      </w:r>
      <w:r w:rsidR="0025575D" w:rsidRPr="00F75DBD">
        <w:rPr>
          <w:rFonts w:ascii="Century Gothic" w:eastAsiaTheme="minorEastAsia" w:hAnsi="Century Gothic" w:cs="Arial"/>
          <w:color w:val="000000" w:themeColor="text1"/>
        </w:rPr>
        <w:t>.</w:t>
      </w:r>
      <w:r w:rsidR="004C1DBC" w:rsidRPr="00F75DBD">
        <w:rPr>
          <w:rStyle w:val="FootnoteReference"/>
          <w:rFonts w:ascii="Century Gothic" w:eastAsiaTheme="minorEastAsia" w:hAnsi="Century Gothic" w:cs="Arial"/>
          <w:color w:val="000000" w:themeColor="text1"/>
        </w:rPr>
        <w:footnoteReference w:id="11"/>
      </w:r>
      <w:r w:rsidR="0025575D" w:rsidRPr="00F75DBD">
        <w:rPr>
          <w:rFonts w:ascii="Century Gothic" w:eastAsiaTheme="minorEastAsia" w:hAnsi="Century Gothic" w:cs="Arial"/>
          <w:color w:val="000000" w:themeColor="text1"/>
        </w:rPr>
        <w:t xml:space="preserve"> Worse, it </w:t>
      </w:r>
      <w:r w:rsidR="007C7C80" w:rsidRPr="00F75DBD">
        <w:rPr>
          <w:rFonts w:ascii="Century Gothic" w:eastAsiaTheme="minorEastAsia" w:hAnsi="Century Gothic" w:cs="Arial"/>
          <w:color w:val="000000" w:themeColor="text1"/>
        </w:rPr>
        <w:t xml:space="preserve">was </w:t>
      </w:r>
      <w:r w:rsidR="0025575D" w:rsidRPr="00F75DBD">
        <w:rPr>
          <w:rFonts w:ascii="Century Gothic" w:eastAsiaTheme="minorEastAsia" w:hAnsi="Century Gothic" w:cs="Arial"/>
          <w:color w:val="000000" w:themeColor="text1"/>
        </w:rPr>
        <w:t xml:space="preserve">guaranteed to exacerbate, and add </w:t>
      </w:r>
      <w:r w:rsidR="000254E9" w:rsidRPr="00F75DBD">
        <w:rPr>
          <w:rFonts w:ascii="Century Gothic" w:eastAsiaTheme="minorEastAsia" w:hAnsi="Century Gothic" w:cs="Arial"/>
          <w:color w:val="000000" w:themeColor="text1"/>
        </w:rPr>
        <w:t xml:space="preserve">further layers </w:t>
      </w:r>
      <w:r w:rsidR="0025575D" w:rsidRPr="00F75DBD">
        <w:rPr>
          <w:rFonts w:ascii="Century Gothic" w:eastAsiaTheme="minorEastAsia" w:hAnsi="Century Gothic" w:cs="Arial"/>
          <w:color w:val="000000" w:themeColor="text1"/>
        </w:rPr>
        <w:t xml:space="preserve">to, the disadvantage already experienced by </w:t>
      </w:r>
      <w:r w:rsidR="00924697" w:rsidRPr="00F75DBD">
        <w:rPr>
          <w:rFonts w:ascii="Century Gothic" w:eastAsiaTheme="minorEastAsia" w:hAnsi="Century Gothic" w:cs="Arial"/>
          <w:color w:val="000000" w:themeColor="text1"/>
        </w:rPr>
        <w:t>certain members of the target class</w:t>
      </w:r>
      <w:r w:rsidR="0025575D" w:rsidRPr="00F75DBD">
        <w:rPr>
          <w:rFonts w:ascii="Century Gothic" w:eastAsiaTheme="minorEastAsia" w:hAnsi="Century Gothic" w:cs="Arial"/>
          <w:color w:val="000000" w:themeColor="text1"/>
        </w:rPr>
        <w:t xml:space="preserve">. Yet, in the face of </w:t>
      </w:r>
      <w:r w:rsidR="007C7C80" w:rsidRPr="00F75DBD">
        <w:rPr>
          <w:rFonts w:ascii="Century Gothic" w:eastAsiaTheme="minorEastAsia" w:hAnsi="Century Gothic" w:cs="Arial"/>
          <w:color w:val="000000" w:themeColor="text1"/>
        </w:rPr>
        <w:t>these patent facts</w:t>
      </w:r>
      <w:r w:rsidR="0025575D" w:rsidRPr="00F75DBD">
        <w:rPr>
          <w:rFonts w:ascii="Century Gothic" w:eastAsiaTheme="minorEastAsia" w:hAnsi="Century Gothic" w:cs="Arial"/>
          <w:color w:val="000000" w:themeColor="text1"/>
        </w:rPr>
        <w:t xml:space="preserve">, the Government proceeded to implement the Robodebt </w:t>
      </w:r>
      <w:r w:rsidR="00924697" w:rsidRPr="00F75DBD">
        <w:rPr>
          <w:rFonts w:ascii="Century Gothic" w:eastAsiaTheme="minorEastAsia" w:hAnsi="Century Gothic" w:cs="Arial"/>
          <w:color w:val="000000" w:themeColor="text1"/>
        </w:rPr>
        <w:t>scheme</w:t>
      </w:r>
      <w:r w:rsidR="0025575D" w:rsidRPr="00F75DBD">
        <w:rPr>
          <w:rFonts w:ascii="Century Gothic" w:eastAsiaTheme="minorEastAsia" w:hAnsi="Century Gothic" w:cs="Arial"/>
          <w:color w:val="000000" w:themeColor="text1"/>
        </w:rPr>
        <w:t>, to bring</w:t>
      </w:r>
      <w:r w:rsidR="006678A8" w:rsidRPr="00F75DBD">
        <w:rPr>
          <w:rFonts w:ascii="Century Gothic" w:eastAsiaTheme="minorEastAsia" w:hAnsi="Century Gothic" w:cs="Arial"/>
          <w:color w:val="000000" w:themeColor="text1"/>
        </w:rPr>
        <w:t xml:space="preserve"> </w:t>
      </w:r>
      <w:r w:rsidR="00FE12BB" w:rsidRPr="00F75DBD">
        <w:rPr>
          <w:rFonts w:ascii="Century Gothic" w:eastAsiaTheme="minorEastAsia" w:hAnsi="Century Gothic" w:cs="Arial"/>
          <w:color w:val="000000" w:themeColor="text1"/>
        </w:rPr>
        <w:t xml:space="preserve">to bear </w:t>
      </w:r>
      <w:r w:rsidR="007C7C80" w:rsidRPr="00F75DBD">
        <w:rPr>
          <w:rFonts w:ascii="Century Gothic" w:eastAsiaTheme="minorEastAsia" w:hAnsi="Century Gothic" w:cs="Arial"/>
          <w:color w:val="000000" w:themeColor="text1"/>
        </w:rPr>
        <w:t xml:space="preserve">against the recipients </w:t>
      </w:r>
      <w:r w:rsidR="006678A8" w:rsidRPr="00F75DBD">
        <w:rPr>
          <w:rFonts w:ascii="Century Gothic" w:eastAsiaTheme="minorEastAsia" w:hAnsi="Century Gothic" w:cs="Arial"/>
          <w:color w:val="000000" w:themeColor="text1"/>
        </w:rPr>
        <w:t xml:space="preserve">the </w:t>
      </w:r>
      <w:r w:rsidR="00FE12BB" w:rsidRPr="00F75DBD">
        <w:rPr>
          <w:rFonts w:ascii="Century Gothic" w:eastAsiaTheme="minorEastAsia" w:hAnsi="Century Gothic" w:cs="Arial"/>
          <w:color w:val="000000" w:themeColor="text1"/>
        </w:rPr>
        <w:t xml:space="preserve">full </w:t>
      </w:r>
      <w:r w:rsidR="006678A8" w:rsidRPr="00F75DBD">
        <w:rPr>
          <w:rFonts w:ascii="Century Gothic" w:eastAsiaTheme="minorEastAsia" w:hAnsi="Century Gothic" w:cs="Arial"/>
          <w:color w:val="000000" w:themeColor="text1"/>
        </w:rPr>
        <w:t xml:space="preserve">weight of the law, coercive debt recovery proceedings and the </w:t>
      </w:r>
      <w:r w:rsidR="00FE12BB" w:rsidRPr="00F75DBD">
        <w:rPr>
          <w:rFonts w:ascii="Century Gothic" w:eastAsiaTheme="minorEastAsia" w:hAnsi="Century Gothic" w:cs="Arial"/>
          <w:color w:val="000000" w:themeColor="text1"/>
        </w:rPr>
        <w:t xml:space="preserve">corresponding </w:t>
      </w:r>
      <w:r w:rsidR="006678A8" w:rsidRPr="00F75DBD">
        <w:rPr>
          <w:rFonts w:ascii="Century Gothic" w:eastAsiaTheme="minorEastAsia" w:hAnsi="Century Gothic" w:cs="Arial"/>
          <w:color w:val="000000" w:themeColor="text1"/>
        </w:rPr>
        <w:t>stress, humiliation and anguish that inevitably followed from its introduction.</w:t>
      </w:r>
      <w:r w:rsidR="00A34B98" w:rsidRPr="00F75DBD">
        <w:rPr>
          <w:rStyle w:val="FootnoteReference"/>
          <w:rFonts w:ascii="Century Gothic" w:eastAsiaTheme="minorEastAsia" w:hAnsi="Century Gothic" w:cs="Arial"/>
          <w:color w:val="000000" w:themeColor="text1"/>
        </w:rPr>
        <w:footnoteReference w:id="12"/>
      </w:r>
      <w:r w:rsidR="0025575D" w:rsidRPr="00F75DBD">
        <w:rPr>
          <w:rFonts w:ascii="Century Gothic" w:eastAsiaTheme="minorEastAsia" w:hAnsi="Century Gothic" w:cs="Arial"/>
          <w:color w:val="000000" w:themeColor="text1"/>
        </w:rPr>
        <w:t xml:space="preserve"> </w:t>
      </w:r>
    </w:p>
    <w:p w:rsidR="0025575D" w:rsidRPr="00F75DBD" w:rsidRDefault="003C1ABD"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 xml:space="preserve">None of this is, I believe, </w:t>
      </w:r>
      <w:r w:rsidR="002661AE" w:rsidRPr="00F75DBD">
        <w:rPr>
          <w:rFonts w:ascii="Century Gothic" w:eastAsiaTheme="minorEastAsia" w:hAnsi="Century Gothic" w:cs="Arial"/>
          <w:color w:val="000000" w:themeColor="text1"/>
        </w:rPr>
        <w:t>disputed</w:t>
      </w:r>
      <w:r w:rsidR="0025575D" w:rsidRPr="00F75DBD">
        <w:rPr>
          <w:rFonts w:ascii="Century Gothic" w:eastAsiaTheme="minorEastAsia" w:hAnsi="Century Gothic" w:cs="Arial"/>
          <w:color w:val="000000" w:themeColor="text1"/>
        </w:rPr>
        <w:t>.</w:t>
      </w:r>
    </w:p>
    <w:p w:rsidR="006678A8" w:rsidRPr="00F75DBD" w:rsidRDefault="006678A8"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As Murphy J put it</w:t>
      </w:r>
      <w:r w:rsidR="004C1DBC" w:rsidRPr="00F75DBD">
        <w:rPr>
          <w:rFonts w:ascii="Century Gothic" w:eastAsiaTheme="minorEastAsia" w:hAnsi="Century Gothic" w:cs="Arial"/>
          <w:color w:val="000000" w:themeColor="text1"/>
        </w:rPr>
        <w:t xml:space="preserve"> in the approval of settlement proceeding</w:t>
      </w:r>
      <w:r w:rsidRPr="00F75DBD">
        <w:rPr>
          <w:rFonts w:ascii="Century Gothic" w:eastAsiaTheme="minorEastAsia" w:hAnsi="Century Gothic" w:cs="Arial"/>
          <w:color w:val="000000" w:themeColor="text1"/>
        </w:rPr>
        <w:t>:</w:t>
      </w:r>
    </w:p>
    <w:p w:rsidR="006678A8" w:rsidRPr="00F75DBD" w:rsidRDefault="006678A8" w:rsidP="00732DB1">
      <w:pPr>
        <w:spacing w:before="240" w:after="240" w:line="264" w:lineRule="auto"/>
        <w:ind w:left="720" w:right="-1"/>
        <w:jc w:val="both"/>
        <w:rPr>
          <w:rFonts w:ascii="Century Gothic" w:eastAsiaTheme="minorEastAsia" w:hAnsi="Century Gothic" w:cs="Arial"/>
          <w:color w:val="000000" w:themeColor="text1"/>
          <w:sz w:val="20"/>
          <w:szCs w:val="20"/>
        </w:rPr>
      </w:pPr>
      <w:r w:rsidRPr="00F75DBD">
        <w:rPr>
          <w:rFonts w:ascii="Century Gothic" w:eastAsiaTheme="minorEastAsia" w:hAnsi="Century Gothic" w:cs="Arial"/>
          <w:color w:val="000000" w:themeColor="text1"/>
          <w:sz w:val="20"/>
          <w:szCs w:val="20"/>
        </w:rPr>
        <w:t>In the course of the proceeding the Commonwealth admitted that it did not have a proper legal basis to raise, demand or recover asserted debts which were based on income averaging from ATO data. The evidence shows that the Commonwealth unlawfully asserted such debts, totalling at least $1.763 billion against approximately 433,000 Australians. Then, including through private debt collection agencies, the Commonwealth pursued people to repay these wrongly asserted debts, and recovered approximately $751 million from about 381,000 of them.</w:t>
      </w:r>
    </w:p>
    <w:p w:rsidR="006678A8" w:rsidRPr="00F75DBD" w:rsidRDefault="006678A8" w:rsidP="00732DB1">
      <w:pPr>
        <w:spacing w:before="240" w:after="240" w:line="264" w:lineRule="auto"/>
        <w:ind w:left="720" w:right="-1"/>
        <w:jc w:val="both"/>
        <w:rPr>
          <w:rFonts w:ascii="Century Gothic" w:eastAsiaTheme="minorEastAsia" w:hAnsi="Century Gothic" w:cs="Arial"/>
          <w:color w:val="000000" w:themeColor="text1"/>
          <w:sz w:val="20"/>
          <w:szCs w:val="20"/>
        </w:rPr>
      </w:pPr>
      <w:r w:rsidRPr="00F75DBD">
        <w:rPr>
          <w:rFonts w:ascii="Century Gothic" w:eastAsiaTheme="minorEastAsia" w:hAnsi="Century Gothic" w:cs="Arial"/>
          <w:color w:val="000000" w:themeColor="text1"/>
          <w:sz w:val="20"/>
          <w:szCs w:val="20"/>
        </w:rPr>
        <w:t xml:space="preserve">The proceeding has exposed a shameful chapter in the administration of the Commonwealth social security system and a massive failure of public administration. It should have been obvious to the senior public servants charged with overseeing the  Robodebt  system and to the responsible Minister at different points that many social security recipients do not earn a stable or constant income, and any employment they obtain may be casual, part-time, sessional, or intermittent and may not continue throughout the year. Where a social security recipient does not earn a constant fortnightly wage, does not earn income every fortnight, or only works for intermittent periods in a year, their notional or assumed fortnightly income based on income averaging is unlikely to be the same as their actual fortnightly income. It should have been plain that in such circumstances the automated Robodebt system may indicate </w:t>
      </w:r>
      <w:r w:rsidRPr="00F75DBD">
        <w:rPr>
          <w:rFonts w:ascii="Century Gothic" w:eastAsiaTheme="minorEastAsia" w:hAnsi="Century Gothic" w:cs="Arial"/>
          <w:color w:val="000000" w:themeColor="text1"/>
          <w:sz w:val="20"/>
          <w:szCs w:val="20"/>
        </w:rPr>
        <w:lastRenderedPageBreak/>
        <w:t>an overpayment of social security benefits when that was not in fact the case. Yet, in the absence of further information from social security recipients, that is the basis upon which the automated Robodebt system raised and recovered debts for asserted overpayments of social security benefits.</w:t>
      </w:r>
      <w:r w:rsidR="003D06AF" w:rsidRPr="00F75DBD">
        <w:rPr>
          <w:rStyle w:val="FootnoteReference"/>
          <w:rFonts w:ascii="Century Gothic" w:eastAsiaTheme="minorEastAsia" w:hAnsi="Century Gothic" w:cs="Arial"/>
          <w:color w:val="000000" w:themeColor="text1"/>
          <w:sz w:val="20"/>
          <w:szCs w:val="20"/>
        </w:rPr>
        <w:footnoteReference w:id="13"/>
      </w:r>
    </w:p>
    <w:p w:rsidR="002D096B" w:rsidRPr="005C3808" w:rsidRDefault="002D096B" w:rsidP="00E53E8C">
      <w:pPr>
        <w:pStyle w:val="Heading1"/>
        <w:numPr>
          <w:ilvl w:val="0"/>
          <w:numId w:val="17"/>
        </w:numPr>
        <w:rPr>
          <w:rFonts w:ascii="Century Gothic" w:eastAsiaTheme="minorEastAsia" w:hAnsi="Century Gothic"/>
          <w:b/>
        </w:rPr>
      </w:pPr>
      <w:bookmarkStart w:id="1" w:name="_Toc116481924"/>
      <w:r w:rsidRPr="005C3808">
        <w:rPr>
          <w:rFonts w:ascii="Century Gothic" w:eastAsiaTheme="minorEastAsia" w:hAnsi="Century Gothic"/>
          <w:b/>
        </w:rPr>
        <w:t>Understanding strategies of denial</w:t>
      </w:r>
      <w:bookmarkEnd w:id="1"/>
      <w:r w:rsidRPr="005C3808">
        <w:rPr>
          <w:rFonts w:ascii="Century Gothic" w:eastAsiaTheme="minorEastAsia" w:hAnsi="Century Gothic"/>
          <w:b/>
        </w:rPr>
        <w:t xml:space="preserve"> </w:t>
      </w:r>
    </w:p>
    <w:p w:rsidR="00366F95" w:rsidRPr="00F75DBD" w:rsidRDefault="002D096B"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On their face, these facts suggest</w:t>
      </w:r>
      <w:r w:rsidR="002661AE" w:rsidRPr="00F75DBD">
        <w:rPr>
          <w:rFonts w:ascii="Century Gothic" w:eastAsiaTheme="minorEastAsia" w:hAnsi="Century Gothic" w:cs="Arial"/>
          <w:color w:val="000000" w:themeColor="text1"/>
        </w:rPr>
        <w:t xml:space="preserve"> that it will be straightforward for the Robodebt Royal Commission to find</w:t>
      </w:r>
      <w:r w:rsidRPr="00F75DBD">
        <w:rPr>
          <w:rFonts w:ascii="Century Gothic" w:eastAsiaTheme="minorEastAsia" w:hAnsi="Century Gothic" w:cs="Arial"/>
          <w:color w:val="000000" w:themeColor="text1"/>
        </w:rPr>
        <w:t xml:space="preserve"> high levels of knowledge</w:t>
      </w:r>
      <w:r w:rsidR="002661AE" w:rsidRPr="00F75DBD">
        <w:rPr>
          <w:rFonts w:ascii="Century Gothic" w:eastAsiaTheme="minorEastAsia" w:hAnsi="Century Gothic" w:cs="Arial"/>
          <w:color w:val="000000" w:themeColor="text1"/>
        </w:rPr>
        <w:t>,</w:t>
      </w:r>
      <w:r w:rsidRPr="00F75DBD">
        <w:rPr>
          <w:rFonts w:ascii="Century Gothic" w:eastAsiaTheme="minorEastAsia" w:hAnsi="Century Gothic" w:cs="Arial"/>
          <w:color w:val="000000" w:themeColor="text1"/>
        </w:rPr>
        <w:t xml:space="preserve"> and intended conduct</w:t>
      </w:r>
      <w:r w:rsidR="002661AE" w:rsidRPr="00F75DBD">
        <w:rPr>
          <w:rFonts w:ascii="Century Gothic" w:eastAsiaTheme="minorEastAsia" w:hAnsi="Century Gothic" w:cs="Arial"/>
          <w:color w:val="000000" w:themeColor="text1"/>
        </w:rPr>
        <w:t>,</w:t>
      </w:r>
      <w:r w:rsidRPr="00F75DBD">
        <w:rPr>
          <w:rFonts w:ascii="Century Gothic" w:eastAsiaTheme="minorEastAsia" w:hAnsi="Century Gothic" w:cs="Arial"/>
          <w:color w:val="000000" w:themeColor="text1"/>
        </w:rPr>
        <w:t xml:space="preserve"> with respect to the Robodebt scheme. </w:t>
      </w:r>
      <w:r w:rsidR="002661AE" w:rsidRPr="00F75DBD">
        <w:rPr>
          <w:rFonts w:ascii="Century Gothic" w:eastAsiaTheme="minorEastAsia" w:hAnsi="Century Gothic" w:cs="Arial"/>
          <w:color w:val="000000" w:themeColor="text1"/>
        </w:rPr>
        <w:t>However</w:t>
      </w:r>
      <w:r w:rsidR="007C7C80" w:rsidRPr="00F75DBD">
        <w:rPr>
          <w:rFonts w:ascii="Century Gothic" w:eastAsiaTheme="minorEastAsia" w:hAnsi="Century Gothic" w:cs="Arial"/>
          <w:color w:val="000000" w:themeColor="text1"/>
        </w:rPr>
        <w:t xml:space="preserve">, we </w:t>
      </w:r>
      <w:r w:rsidR="0048001E" w:rsidRPr="00F75DBD">
        <w:rPr>
          <w:rFonts w:ascii="Century Gothic" w:eastAsiaTheme="minorEastAsia" w:hAnsi="Century Gothic" w:cs="Arial"/>
          <w:color w:val="000000" w:themeColor="text1"/>
        </w:rPr>
        <w:t xml:space="preserve">have heard, and </w:t>
      </w:r>
      <w:r w:rsidR="007C7C80" w:rsidRPr="00F75DBD">
        <w:rPr>
          <w:rFonts w:ascii="Century Gothic" w:eastAsiaTheme="minorEastAsia" w:hAnsi="Century Gothic" w:cs="Arial"/>
          <w:color w:val="000000" w:themeColor="text1"/>
        </w:rPr>
        <w:t xml:space="preserve">can </w:t>
      </w:r>
      <w:r w:rsidR="0048001E" w:rsidRPr="00F75DBD">
        <w:rPr>
          <w:rFonts w:ascii="Century Gothic" w:eastAsiaTheme="minorEastAsia" w:hAnsi="Century Gothic" w:cs="Arial"/>
          <w:color w:val="000000" w:themeColor="text1"/>
        </w:rPr>
        <w:t xml:space="preserve">further </w:t>
      </w:r>
      <w:r w:rsidR="007C7C80" w:rsidRPr="00F75DBD">
        <w:rPr>
          <w:rFonts w:ascii="Century Gothic" w:eastAsiaTheme="minorEastAsia" w:hAnsi="Century Gothic" w:cs="Arial"/>
          <w:color w:val="000000" w:themeColor="text1"/>
        </w:rPr>
        <w:t>anticipate</w:t>
      </w:r>
      <w:r w:rsidR="0048001E" w:rsidRPr="00F75DBD">
        <w:rPr>
          <w:rFonts w:ascii="Century Gothic" w:eastAsiaTheme="minorEastAsia" w:hAnsi="Century Gothic" w:cs="Arial"/>
          <w:color w:val="000000" w:themeColor="text1"/>
        </w:rPr>
        <w:t>,</w:t>
      </w:r>
      <w:r w:rsidR="007C7C80" w:rsidRPr="00F75DBD">
        <w:rPr>
          <w:rFonts w:ascii="Century Gothic" w:eastAsiaTheme="minorEastAsia" w:hAnsi="Century Gothic" w:cs="Arial"/>
          <w:color w:val="000000" w:themeColor="text1"/>
        </w:rPr>
        <w:t xml:space="preserve"> a range of exculpatory and </w:t>
      </w:r>
      <w:r w:rsidR="000254E9" w:rsidRPr="00F75DBD">
        <w:rPr>
          <w:rFonts w:ascii="Century Gothic" w:eastAsiaTheme="minorEastAsia" w:hAnsi="Century Gothic" w:cs="Arial"/>
          <w:color w:val="000000" w:themeColor="text1"/>
        </w:rPr>
        <w:t>diversionary</w:t>
      </w:r>
      <w:r w:rsidR="007C7C80" w:rsidRPr="00F75DBD">
        <w:rPr>
          <w:rFonts w:ascii="Century Gothic" w:eastAsiaTheme="minorEastAsia" w:hAnsi="Century Gothic" w:cs="Arial"/>
          <w:color w:val="000000" w:themeColor="text1"/>
        </w:rPr>
        <w:t xml:space="preserve"> narratives </w:t>
      </w:r>
      <w:r w:rsidR="0048001E" w:rsidRPr="00F75DBD">
        <w:rPr>
          <w:rFonts w:ascii="Century Gothic" w:eastAsiaTheme="minorEastAsia" w:hAnsi="Century Gothic" w:cs="Arial"/>
          <w:color w:val="000000" w:themeColor="text1"/>
        </w:rPr>
        <w:t>on the</w:t>
      </w:r>
      <w:r w:rsidR="007C7C80" w:rsidRPr="00F75DBD">
        <w:rPr>
          <w:rFonts w:ascii="Century Gothic" w:eastAsiaTheme="minorEastAsia" w:hAnsi="Century Gothic" w:cs="Arial"/>
          <w:color w:val="000000" w:themeColor="text1"/>
        </w:rPr>
        <w:t xml:space="preserve"> key questions of </w:t>
      </w:r>
      <w:r w:rsidR="0079241F" w:rsidRPr="00F75DBD">
        <w:rPr>
          <w:rFonts w:ascii="Century Gothic" w:eastAsiaTheme="minorEastAsia" w:hAnsi="Century Gothic" w:cs="Arial"/>
          <w:color w:val="000000" w:themeColor="text1"/>
        </w:rPr>
        <w:t>the G</w:t>
      </w:r>
      <w:r w:rsidR="0048001E" w:rsidRPr="00F75DBD">
        <w:rPr>
          <w:rFonts w:ascii="Century Gothic" w:eastAsiaTheme="minorEastAsia" w:hAnsi="Century Gothic" w:cs="Arial"/>
          <w:color w:val="000000" w:themeColor="text1"/>
        </w:rPr>
        <w:t xml:space="preserve">overnment’s </w:t>
      </w:r>
      <w:r w:rsidR="007C7C80" w:rsidRPr="00F75DBD">
        <w:rPr>
          <w:rFonts w:ascii="Century Gothic" w:eastAsiaTheme="minorEastAsia" w:hAnsi="Century Gothic" w:cs="Arial"/>
          <w:color w:val="000000" w:themeColor="text1"/>
        </w:rPr>
        <w:t>knowledge and intention</w:t>
      </w:r>
      <w:r w:rsidR="00DB1540" w:rsidRPr="00F75DBD">
        <w:rPr>
          <w:rFonts w:ascii="Century Gothic" w:eastAsiaTheme="minorEastAsia" w:hAnsi="Century Gothic" w:cs="Arial"/>
          <w:color w:val="000000" w:themeColor="text1"/>
        </w:rPr>
        <w:t>(s)</w:t>
      </w:r>
      <w:r w:rsidR="007C7C80" w:rsidRPr="00F75DBD">
        <w:rPr>
          <w:rFonts w:ascii="Century Gothic" w:eastAsiaTheme="minorEastAsia" w:hAnsi="Century Gothic" w:cs="Arial"/>
          <w:color w:val="000000" w:themeColor="text1"/>
        </w:rPr>
        <w:t xml:space="preserve">. Penny Crofts has helpfully mapped a range of </w:t>
      </w:r>
      <w:r w:rsidR="0048001E" w:rsidRPr="00F75DBD">
        <w:rPr>
          <w:rFonts w:ascii="Century Gothic" w:eastAsiaTheme="minorEastAsia" w:hAnsi="Century Gothic" w:cs="Arial"/>
          <w:color w:val="000000" w:themeColor="text1"/>
        </w:rPr>
        <w:t>strategies</w:t>
      </w:r>
      <w:r w:rsidR="007C7C80" w:rsidRPr="00F75DBD">
        <w:rPr>
          <w:rFonts w:ascii="Century Gothic" w:eastAsiaTheme="minorEastAsia" w:hAnsi="Century Gothic" w:cs="Arial"/>
          <w:color w:val="000000" w:themeColor="text1"/>
        </w:rPr>
        <w:t xml:space="preserve"> of denial </w:t>
      </w:r>
      <w:r w:rsidR="0048001E" w:rsidRPr="00F75DBD">
        <w:rPr>
          <w:rFonts w:ascii="Century Gothic" w:eastAsiaTheme="minorEastAsia" w:hAnsi="Century Gothic" w:cs="Arial"/>
          <w:color w:val="000000" w:themeColor="text1"/>
        </w:rPr>
        <w:t xml:space="preserve">and neutralisation </w:t>
      </w:r>
      <w:r w:rsidR="007C7C80" w:rsidRPr="00F75DBD">
        <w:rPr>
          <w:rFonts w:ascii="Century Gothic" w:eastAsiaTheme="minorEastAsia" w:hAnsi="Century Gothic" w:cs="Arial"/>
          <w:color w:val="000000" w:themeColor="text1"/>
        </w:rPr>
        <w:t xml:space="preserve">employed by banks </w:t>
      </w:r>
      <w:r w:rsidR="000254E9" w:rsidRPr="00F75DBD">
        <w:rPr>
          <w:rFonts w:ascii="Century Gothic" w:eastAsiaTheme="minorEastAsia" w:hAnsi="Century Gothic" w:cs="Arial"/>
          <w:color w:val="000000" w:themeColor="text1"/>
        </w:rPr>
        <w:t xml:space="preserve">(Banks) </w:t>
      </w:r>
      <w:r w:rsidR="007C7C80" w:rsidRPr="00F75DBD">
        <w:rPr>
          <w:rFonts w:ascii="Century Gothic" w:eastAsiaTheme="minorEastAsia" w:hAnsi="Century Gothic" w:cs="Arial"/>
          <w:color w:val="000000" w:themeColor="text1"/>
        </w:rPr>
        <w:t xml:space="preserve">brought before the </w:t>
      </w:r>
      <w:r w:rsidR="000254E9" w:rsidRPr="00F75DBD">
        <w:rPr>
          <w:rFonts w:ascii="Century Gothic" w:eastAsiaTheme="minorEastAsia" w:hAnsi="Century Gothic" w:cs="Arial"/>
          <w:color w:val="000000" w:themeColor="text1"/>
        </w:rPr>
        <w:t xml:space="preserve">Royal Commission into Misconduct in the Banking, Superannuation and Financial Services Industry </w:t>
      </w:r>
      <w:r w:rsidR="002661AE" w:rsidRPr="00F75DBD">
        <w:rPr>
          <w:rFonts w:ascii="Century Gothic" w:eastAsiaTheme="minorEastAsia" w:hAnsi="Century Gothic" w:cs="Arial"/>
          <w:color w:val="000000" w:themeColor="text1"/>
        </w:rPr>
        <w:t>(</w:t>
      </w:r>
      <w:r w:rsidR="000254E9" w:rsidRPr="00F75DBD">
        <w:rPr>
          <w:rFonts w:ascii="Century Gothic" w:eastAsiaTheme="minorEastAsia" w:hAnsi="Century Gothic" w:cs="Arial"/>
          <w:color w:val="000000" w:themeColor="text1"/>
        </w:rPr>
        <w:t>FSRC</w:t>
      </w:r>
      <w:r w:rsidR="002661AE" w:rsidRPr="00F75DBD">
        <w:rPr>
          <w:rFonts w:ascii="Century Gothic" w:eastAsiaTheme="minorEastAsia" w:hAnsi="Century Gothic" w:cs="Arial"/>
          <w:color w:val="000000" w:themeColor="text1"/>
        </w:rPr>
        <w:t>)</w:t>
      </w:r>
      <w:r w:rsidR="0048001E" w:rsidRPr="00F75DBD">
        <w:rPr>
          <w:rFonts w:ascii="Century Gothic" w:eastAsiaTheme="minorEastAsia" w:hAnsi="Century Gothic" w:cs="Arial"/>
          <w:color w:val="000000" w:themeColor="text1"/>
        </w:rPr>
        <w:t>.</w:t>
      </w:r>
      <w:r w:rsidR="00DB1540" w:rsidRPr="00F75DBD">
        <w:rPr>
          <w:rStyle w:val="FootnoteReference"/>
          <w:rFonts w:ascii="Century Gothic" w:eastAsiaTheme="minorEastAsia" w:hAnsi="Century Gothic" w:cs="Arial"/>
          <w:color w:val="000000" w:themeColor="text1"/>
        </w:rPr>
        <w:footnoteReference w:id="14"/>
      </w:r>
      <w:r w:rsidR="0048001E" w:rsidRPr="00F75DBD">
        <w:rPr>
          <w:rFonts w:ascii="Century Gothic" w:eastAsiaTheme="minorEastAsia" w:hAnsi="Century Gothic" w:cs="Arial"/>
          <w:color w:val="000000" w:themeColor="text1"/>
        </w:rPr>
        <w:t xml:space="preserve"> These </w:t>
      </w:r>
      <w:r w:rsidR="002661AE" w:rsidRPr="00F75DBD">
        <w:rPr>
          <w:rFonts w:ascii="Century Gothic" w:eastAsiaTheme="minorEastAsia" w:hAnsi="Century Gothic" w:cs="Arial"/>
          <w:color w:val="000000" w:themeColor="text1"/>
        </w:rPr>
        <w:t xml:space="preserve">strategies </w:t>
      </w:r>
      <w:r w:rsidR="0048001E" w:rsidRPr="00F75DBD">
        <w:rPr>
          <w:rFonts w:ascii="Century Gothic" w:eastAsiaTheme="minorEastAsia" w:hAnsi="Century Gothic" w:cs="Arial"/>
          <w:color w:val="000000" w:themeColor="text1"/>
        </w:rPr>
        <w:t xml:space="preserve">are also found with respect to </w:t>
      </w:r>
      <w:r w:rsidR="00924697" w:rsidRPr="00F75DBD">
        <w:rPr>
          <w:rFonts w:ascii="Century Gothic" w:eastAsiaTheme="minorEastAsia" w:hAnsi="Century Gothic" w:cs="Arial"/>
          <w:color w:val="000000" w:themeColor="text1"/>
        </w:rPr>
        <w:t xml:space="preserve">the </w:t>
      </w:r>
      <w:r w:rsidR="0048001E" w:rsidRPr="00F75DBD">
        <w:rPr>
          <w:rFonts w:ascii="Century Gothic" w:eastAsiaTheme="minorEastAsia" w:hAnsi="Century Gothic" w:cs="Arial"/>
          <w:color w:val="000000" w:themeColor="text1"/>
        </w:rPr>
        <w:t>Robodebt</w:t>
      </w:r>
      <w:r w:rsidR="00924697" w:rsidRPr="00F75DBD">
        <w:rPr>
          <w:rFonts w:ascii="Century Gothic" w:eastAsiaTheme="minorEastAsia" w:hAnsi="Century Gothic" w:cs="Arial"/>
          <w:color w:val="000000" w:themeColor="text1"/>
        </w:rPr>
        <w:t xml:space="preserve"> scheme</w:t>
      </w:r>
      <w:r w:rsidR="0048001E" w:rsidRPr="00F75DBD">
        <w:rPr>
          <w:rFonts w:ascii="Century Gothic" w:eastAsiaTheme="minorEastAsia" w:hAnsi="Century Gothic" w:cs="Arial"/>
          <w:color w:val="000000" w:themeColor="text1"/>
        </w:rPr>
        <w:t>. As she explains, the narratives typically fall into</w:t>
      </w:r>
      <w:r w:rsidR="00DB1540" w:rsidRPr="00F75DBD">
        <w:rPr>
          <w:rFonts w:ascii="Century Gothic" w:eastAsiaTheme="minorEastAsia" w:hAnsi="Century Gothic" w:cs="Arial"/>
          <w:color w:val="000000" w:themeColor="text1"/>
        </w:rPr>
        <w:t xml:space="preserve"> three broad categories:</w:t>
      </w:r>
      <w:r w:rsidR="0048001E" w:rsidRPr="00F75DBD">
        <w:rPr>
          <w:rFonts w:ascii="Century Gothic" w:eastAsiaTheme="minorEastAsia" w:hAnsi="Century Gothic" w:cs="Arial"/>
          <w:color w:val="000000" w:themeColor="text1"/>
        </w:rPr>
        <w:t xml:space="preserve"> literal denial (nothing </w:t>
      </w:r>
      <w:r w:rsidR="00DB1540" w:rsidRPr="00F75DBD">
        <w:rPr>
          <w:rFonts w:ascii="Century Gothic" w:eastAsiaTheme="minorEastAsia" w:hAnsi="Century Gothic" w:cs="Arial"/>
          <w:color w:val="000000" w:themeColor="text1"/>
        </w:rPr>
        <w:t>happened);</w:t>
      </w:r>
      <w:r w:rsidR="0048001E" w:rsidRPr="00F75DBD">
        <w:rPr>
          <w:rFonts w:ascii="Century Gothic" w:eastAsiaTheme="minorEastAsia" w:hAnsi="Century Gothic" w:cs="Arial"/>
          <w:color w:val="000000" w:themeColor="text1"/>
        </w:rPr>
        <w:t xml:space="preserve"> interpretive denial (something happened but it’s not what you think)</w:t>
      </w:r>
      <w:r w:rsidR="00DB1540" w:rsidRPr="00F75DBD">
        <w:rPr>
          <w:rFonts w:ascii="Century Gothic" w:eastAsiaTheme="minorEastAsia" w:hAnsi="Century Gothic" w:cs="Arial"/>
          <w:color w:val="000000" w:themeColor="text1"/>
        </w:rPr>
        <w:t>;</w:t>
      </w:r>
      <w:r w:rsidR="0048001E" w:rsidRPr="00F75DBD">
        <w:rPr>
          <w:rFonts w:ascii="Century Gothic" w:eastAsiaTheme="minorEastAsia" w:hAnsi="Century Gothic" w:cs="Arial"/>
          <w:color w:val="000000" w:themeColor="text1"/>
        </w:rPr>
        <w:t xml:space="preserve"> and implicatory denial (it happened but action is not needed and/or possible). </w:t>
      </w:r>
    </w:p>
    <w:p w:rsidR="00DB1540" w:rsidRPr="00F75DBD" w:rsidRDefault="00A34B98"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In the Robodebt context, litera</w:t>
      </w:r>
      <w:r w:rsidR="006734D9" w:rsidRPr="00F75DBD">
        <w:rPr>
          <w:rFonts w:ascii="Century Gothic" w:eastAsiaTheme="minorEastAsia" w:hAnsi="Century Gothic" w:cs="Arial"/>
          <w:color w:val="000000" w:themeColor="text1"/>
        </w:rPr>
        <w:t>l denial is exemplified by the G</w:t>
      </w:r>
      <w:r w:rsidRPr="00F75DBD">
        <w:rPr>
          <w:rFonts w:ascii="Century Gothic" w:eastAsiaTheme="minorEastAsia" w:hAnsi="Century Gothic" w:cs="Arial"/>
          <w:color w:val="000000" w:themeColor="text1"/>
        </w:rPr>
        <w:t xml:space="preserve">overnment’s immediate, </w:t>
      </w:r>
      <w:r w:rsidR="00366F95" w:rsidRPr="00F75DBD">
        <w:rPr>
          <w:rFonts w:ascii="Century Gothic" w:eastAsiaTheme="minorEastAsia" w:hAnsi="Century Gothic" w:cs="Arial"/>
          <w:color w:val="000000" w:themeColor="text1"/>
        </w:rPr>
        <w:t xml:space="preserve">repeated </w:t>
      </w:r>
      <w:r w:rsidRPr="00F75DBD">
        <w:rPr>
          <w:rFonts w:ascii="Century Gothic" w:eastAsiaTheme="minorEastAsia" w:hAnsi="Century Gothic" w:cs="Arial"/>
          <w:color w:val="000000" w:themeColor="text1"/>
        </w:rPr>
        <w:t>and drawn-out, refusal</w:t>
      </w:r>
      <w:r w:rsidR="009D3477" w:rsidRPr="00F75DBD">
        <w:rPr>
          <w:rFonts w:ascii="Century Gothic" w:eastAsiaTheme="minorEastAsia" w:hAnsi="Century Gothic" w:cs="Arial"/>
          <w:color w:val="000000" w:themeColor="text1"/>
        </w:rPr>
        <w:t>s</w:t>
      </w:r>
      <w:r w:rsidRPr="00F75DBD">
        <w:rPr>
          <w:rFonts w:ascii="Century Gothic" w:eastAsiaTheme="minorEastAsia" w:hAnsi="Century Gothic" w:cs="Arial"/>
          <w:color w:val="000000" w:themeColor="text1"/>
        </w:rPr>
        <w:t xml:space="preserve"> to admit that there was anything wrong with the </w:t>
      </w:r>
      <w:r w:rsidR="00924697" w:rsidRPr="00F75DBD">
        <w:rPr>
          <w:rFonts w:ascii="Century Gothic" w:eastAsiaTheme="minorEastAsia" w:hAnsi="Century Gothic" w:cs="Arial"/>
          <w:color w:val="000000" w:themeColor="text1"/>
        </w:rPr>
        <w:t>scheme</w:t>
      </w:r>
      <w:r w:rsidRPr="00F75DBD">
        <w:rPr>
          <w:rFonts w:ascii="Century Gothic" w:eastAsiaTheme="minorEastAsia" w:hAnsi="Century Gothic" w:cs="Arial"/>
          <w:color w:val="000000" w:themeColor="text1"/>
        </w:rPr>
        <w:t>.</w:t>
      </w:r>
      <w:r w:rsidR="00945703" w:rsidRPr="00F75DBD">
        <w:rPr>
          <w:rStyle w:val="FootnoteReference"/>
          <w:rFonts w:ascii="Century Gothic" w:eastAsiaTheme="minorEastAsia" w:hAnsi="Century Gothic" w:cs="Arial"/>
          <w:color w:val="000000" w:themeColor="text1"/>
        </w:rPr>
        <w:footnoteReference w:id="15"/>
      </w:r>
      <w:r w:rsidRPr="00F75DBD">
        <w:rPr>
          <w:rFonts w:ascii="Century Gothic" w:eastAsiaTheme="minorEastAsia" w:hAnsi="Century Gothic" w:cs="Arial"/>
          <w:color w:val="000000" w:themeColor="text1"/>
        </w:rPr>
        <w:t xml:space="preserve"> </w:t>
      </w:r>
      <w:r w:rsidR="00366F95" w:rsidRPr="00F75DBD">
        <w:rPr>
          <w:rFonts w:ascii="Century Gothic" w:eastAsiaTheme="minorEastAsia" w:hAnsi="Century Gothic" w:cs="Arial"/>
          <w:color w:val="000000" w:themeColor="text1"/>
        </w:rPr>
        <w:t xml:space="preserve">This strategy of denial may been seen as forming </w:t>
      </w:r>
      <w:r w:rsidR="00DB1540" w:rsidRPr="00F75DBD">
        <w:rPr>
          <w:rFonts w:ascii="Century Gothic" w:eastAsiaTheme="minorEastAsia" w:hAnsi="Century Gothic" w:cs="Arial"/>
          <w:color w:val="000000" w:themeColor="text1"/>
        </w:rPr>
        <w:t xml:space="preserve">part of a broader system of </w:t>
      </w:r>
      <w:r w:rsidR="00366F95" w:rsidRPr="00F75DBD">
        <w:rPr>
          <w:rFonts w:ascii="Century Gothic" w:eastAsiaTheme="minorEastAsia" w:hAnsi="Century Gothic" w:cs="Arial"/>
          <w:color w:val="000000" w:themeColor="text1"/>
        </w:rPr>
        <w:t>denying, delaying and obstructing the legitimate claims of</w:t>
      </w:r>
      <w:r w:rsidR="00DB1540" w:rsidRPr="00F75DBD">
        <w:rPr>
          <w:rFonts w:ascii="Century Gothic" w:eastAsiaTheme="minorEastAsia" w:hAnsi="Century Gothic" w:cs="Arial"/>
          <w:color w:val="000000" w:themeColor="text1"/>
        </w:rPr>
        <w:t xml:space="preserve"> the victims of Robodebt. </w:t>
      </w:r>
      <w:r w:rsidR="002661AE" w:rsidRPr="00F75DBD">
        <w:rPr>
          <w:rFonts w:ascii="Century Gothic" w:eastAsiaTheme="minorEastAsia" w:hAnsi="Century Gothic" w:cs="Arial"/>
          <w:color w:val="000000" w:themeColor="text1"/>
        </w:rPr>
        <w:t>I return to this aspect of the Government’s conduct below</w:t>
      </w:r>
      <w:r w:rsidR="00601FD7" w:rsidRPr="00F75DBD">
        <w:rPr>
          <w:rFonts w:ascii="Century Gothic" w:eastAsiaTheme="minorEastAsia" w:hAnsi="Century Gothic" w:cs="Arial"/>
          <w:color w:val="000000" w:themeColor="text1"/>
        </w:rPr>
        <w:t xml:space="preserve"> at </w:t>
      </w:r>
      <w:r w:rsidR="00366F95" w:rsidRPr="00F75DBD">
        <w:rPr>
          <w:rFonts w:ascii="Century Gothic" w:eastAsiaTheme="minorEastAsia" w:hAnsi="Century Gothic" w:cs="Arial"/>
          <w:color w:val="000000" w:themeColor="text1"/>
        </w:rPr>
        <w:t>Part 6(c)</w:t>
      </w:r>
      <w:r w:rsidR="002661AE" w:rsidRPr="00F75DBD">
        <w:rPr>
          <w:rFonts w:ascii="Century Gothic" w:eastAsiaTheme="minorEastAsia" w:hAnsi="Century Gothic" w:cs="Arial"/>
          <w:color w:val="000000" w:themeColor="text1"/>
        </w:rPr>
        <w:t xml:space="preserve">. </w:t>
      </w:r>
      <w:r w:rsidRPr="00F75DBD">
        <w:rPr>
          <w:rFonts w:ascii="Century Gothic" w:eastAsiaTheme="minorEastAsia" w:hAnsi="Century Gothic" w:cs="Arial"/>
          <w:color w:val="000000" w:themeColor="text1"/>
        </w:rPr>
        <w:t>Implicatory denial is exemplified by the Government’s claim that</w:t>
      </w:r>
      <w:r w:rsidR="00DB1540" w:rsidRPr="00F75DBD">
        <w:rPr>
          <w:rFonts w:ascii="Century Gothic" w:eastAsiaTheme="minorEastAsia" w:hAnsi="Century Gothic" w:cs="Arial"/>
          <w:color w:val="000000" w:themeColor="text1"/>
        </w:rPr>
        <w:t>, following its eventual agreement to repay the victims of the scheme,</w:t>
      </w:r>
      <w:r w:rsidRPr="00F75DBD">
        <w:rPr>
          <w:rFonts w:ascii="Century Gothic" w:eastAsiaTheme="minorEastAsia" w:hAnsi="Century Gothic" w:cs="Arial"/>
          <w:color w:val="000000" w:themeColor="text1"/>
        </w:rPr>
        <w:t xml:space="preserve"> no further inquiry into Robodebt was warranted</w:t>
      </w:r>
      <w:r w:rsidR="00DB1540" w:rsidRPr="00F75DBD">
        <w:rPr>
          <w:rFonts w:ascii="Century Gothic" w:eastAsiaTheme="minorEastAsia" w:hAnsi="Century Gothic" w:cs="Arial"/>
          <w:color w:val="000000" w:themeColor="text1"/>
        </w:rPr>
        <w:t>. The</w:t>
      </w:r>
      <w:r w:rsidRPr="00F75DBD">
        <w:rPr>
          <w:rFonts w:ascii="Century Gothic" w:eastAsiaTheme="minorEastAsia" w:hAnsi="Century Gothic" w:cs="Arial"/>
          <w:color w:val="000000" w:themeColor="text1"/>
        </w:rPr>
        <w:t xml:space="preserve"> ‘problem’ had been addressed.</w:t>
      </w:r>
      <w:r w:rsidRPr="00F75DBD">
        <w:rPr>
          <w:rStyle w:val="FootnoteReference"/>
          <w:rFonts w:ascii="Century Gothic" w:eastAsiaTheme="minorEastAsia" w:hAnsi="Century Gothic" w:cs="Arial"/>
          <w:color w:val="000000" w:themeColor="text1"/>
        </w:rPr>
        <w:footnoteReference w:id="16"/>
      </w:r>
      <w:r w:rsidRPr="00F75DBD">
        <w:rPr>
          <w:rFonts w:ascii="Century Gothic" w:eastAsiaTheme="minorEastAsia" w:hAnsi="Century Gothic" w:cs="Arial"/>
          <w:color w:val="000000" w:themeColor="text1"/>
        </w:rPr>
        <w:t xml:space="preserve"> </w:t>
      </w:r>
    </w:p>
    <w:p w:rsidR="00366F95" w:rsidRPr="00F75DBD" w:rsidRDefault="0048001E"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 xml:space="preserve">For current purposes, </w:t>
      </w:r>
      <w:r w:rsidR="00DB1540" w:rsidRPr="00F75DBD">
        <w:rPr>
          <w:rFonts w:ascii="Century Gothic" w:eastAsiaTheme="minorEastAsia" w:hAnsi="Century Gothic" w:cs="Arial"/>
          <w:color w:val="000000" w:themeColor="text1"/>
        </w:rPr>
        <w:t xml:space="preserve">however, </w:t>
      </w:r>
      <w:r w:rsidRPr="00F75DBD">
        <w:rPr>
          <w:rFonts w:ascii="Century Gothic" w:eastAsiaTheme="minorEastAsia" w:hAnsi="Century Gothic" w:cs="Arial"/>
          <w:color w:val="000000" w:themeColor="text1"/>
        </w:rPr>
        <w:t xml:space="preserve">I wish particularly to focus on </w:t>
      </w:r>
      <w:r w:rsidR="00A34B98" w:rsidRPr="00F75DBD">
        <w:rPr>
          <w:rFonts w:ascii="Century Gothic" w:eastAsiaTheme="minorEastAsia" w:hAnsi="Century Gothic" w:cs="Arial"/>
          <w:color w:val="000000" w:themeColor="text1"/>
        </w:rPr>
        <w:t>some more subtle tactic</w:t>
      </w:r>
      <w:r w:rsidR="00A30FD0" w:rsidRPr="00F75DBD">
        <w:rPr>
          <w:rFonts w:ascii="Century Gothic" w:eastAsiaTheme="minorEastAsia" w:hAnsi="Century Gothic" w:cs="Arial"/>
          <w:color w:val="000000" w:themeColor="text1"/>
        </w:rPr>
        <w:t>s of interpretive denial</w:t>
      </w:r>
      <w:r w:rsidR="00DB1540" w:rsidRPr="00F75DBD">
        <w:rPr>
          <w:rFonts w:ascii="Century Gothic" w:eastAsiaTheme="minorEastAsia" w:hAnsi="Century Gothic" w:cs="Arial"/>
          <w:color w:val="000000" w:themeColor="text1"/>
        </w:rPr>
        <w:t xml:space="preserve">. These are ‘state of mind’ narratives, which seek to diminish </w:t>
      </w:r>
      <w:r w:rsidR="00930965" w:rsidRPr="00F75DBD">
        <w:rPr>
          <w:rFonts w:ascii="Century Gothic" w:eastAsiaTheme="minorEastAsia" w:hAnsi="Century Gothic" w:cs="Arial"/>
          <w:color w:val="000000" w:themeColor="text1"/>
        </w:rPr>
        <w:t>organisational blameworthiness</w:t>
      </w:r>
      <w:r w:rsidR="00DB1540" w:rsidRPr="00F75DBD">
        <w:rPr>
          <w:rFonts w:ascii="Century Gothic" w:eastAsiaTheme="minorEastAsia" w:hAnsi="Century Gothic" w:cs="Arial"/>
          <w:color w:val="000000" w:themeColor="text1"/>
        </w:rPr>
        <w:t xml:space="preserve"> by claiming</w:t>
      </w:r>
      <w:r w:rsidR="00930965" w:rsidRPr="00F75DBD">
        <w:rPr>
          <w:rFonts w:ascii="Century Gothic" w:eastAsiaTheme="minorEastAsia" w:hAnsi="Century Gothic" w:cs="Arial"/>
          <w:color w:val="000000" w:themeColor="text1"/>
        </w:rPr>
        <w:t>, for example:</w:t>
      </w:r>
      <w:r w:rsidR="00DB1540" w:rsidRPr="00F75DBD">
        <w:rPr>
          <w:rFonts w:ascii="Century Gothic" w:eastAsiaTheme="minorEastAsia" w:hAnsi="Century Gothic" w:cs="Arial"/>
          <w:color w:val="000000" w:themeColor="text1"/>
        </w:rPr>
        <w:t xml:space="preserve"> </w:t>
      </w:r>
      <w:r w:rsidR="00930965" w:rsidRPr="00F75DBD">
        <w:rPr>
          <w:rFonts w:ascii="Century Gothic" w:eastAsiaTheme="minorEastAsia" w:hAnsi="Century Gothic" w:cs="Arial"/>
          <w:color w:val="000000" w:themeColor="text1"/>
        </w:rPr>
        <w:t xml:space="preserve">that key individuals who might be expected to be responsible for the </w:t>
      </w:r>
      <w:r w:rsidR="00924697" w:rsidRPr="00F75DBD">
        <w:rPr>
          <w:rFonts w:ascii="Century Gothic" w:eastAsiaTheme="minorEastAsia" w:hAnsi="Century Gothic" w:cs="Arial"/>
          <w:color w:val="000000" w:themeColor="text1"/>
        </w:rPr>
        <w:t>Robodebt scheme</w:t>
      </w:r>
      <w:r w:rsidR="00930965" w:rsidRPr="00F75DBD">
        <w:rPr>
          <w:rFonts w:ascii="Century Gothic" w:eastAsiaTheme="minorEastAsia" w:hAnsi="Century Gothic" w:cs="Arial"/>
          <w:color w:val="000000" w:themeColor="text1"/>
        </w:rPr>
        <w:t xml:space="preserve"> were unaware of its ‘problems’, their scale or details; that the ‘problems’ were cau</w:t>
      </w:r>
      <w:r w:rsidR="00680DD8" w:rsidRPr="00F75DBD">
        <w:rPr>
          <w:rFonts w:ascii="Century Gothic" w:eastAsiaTheme="minorEastAsia" w:hAnsi="Century Gothic" w:cs="Arial"/>
          <w:color w:val="000000" w:themeColor="text1"/>
        </w:rPr>
        <w:t xml:space="preserve">sed by ‘mistakes’ in </w:t>
      </w:r>
      <w:r w:rsidR="00680DD8" w:rsidRPr="00F75DBD">
        <w:rPr>
          <w:rFonts w:ascii="Century Gothic" w:eastAsiaTheme="minorEastAsia" w:hAnsi="Century Gothic" w:cs="Arial"/>
          <w:color w:val="000000" w:themeColor="text1"/>
        </w:rPr>
        <w:lastRenderedPageBreak/>
        <w:t xml:space="preserve">the system, </w:t>
      </w:r>
      <w:r w:rsidR="00930965" w:rsidRPr="00F75DBD">
        <w:rPr>
          <w:rFonts w:ascii="Century Gothic" w:eastAsiaTheme="minorEastAsia" w:hAnsi="Century Gothic" w:cs="Arial"/>
          <w:color w:val="000000" w:themeColor="text1"/>
        </w:rPr>
        <w:t>ad</w:t>
      </w:r>
      <w:r w:rsidR="00680DD8" w:rsidRPr="00F75DBD">
        <w:rPr>
          <w:rFonts w:ascii="Century Gothic" w:eastAsiaTheme="minorEastAsia" w:hAnsi="Century Gothic" w:cs="Arial"/>
          <w:color w:val="000000" w:themeColor="text1"/>
        </w:rPr>
        <w:t>ministrative errors</w:t>
      </w:r>
      <w:r w:rsidR="00930965" w:rsidRPr="00F75DBD">
        <w:rPr>
          <w:rFonts w:ascii="Century Gothic" w:eastAsiaTheme="minorEastAsia" w:hAnsi="Century Gothic" w:cs="Arial"/>
          <w:color w:val="000000" w:themeColor="text1"/>
        </w:rPr>
        <w:t xml:space="preserve">; </w:t>
      </w:r>
      <w:r w:rsidR="002D096B" w:rsidRPr="00F75DBD">
        <w:rPr>
          <w:rFonts w:ascii="Century Gothic" w:eastAsiaTheme="minorEastAsia" w:hAnsi="Century Gothic" w:cs="Arial"/>
          <w:color w:val="000000" w:themeColor="text1"/>
        </w:rPr>
        <w:t xml:space="preserve">and </w:t>
      </w:r>
      <w:r w:rsidR="00930965" w:rsidRPr="00F75DBD">
        <w:rPr>
          <w:rFonts w:ascii="Century Gothic" w:eastAsiaTheme="minorEastAsia" w:hAnsi="Century Gothic" w:cs="Arial"/>
          <w:color w:val="000000" w:themeColor="text1"/>
        </w:rPr>
        <w:t xml:space="preserve">that the individuals associated with the </w:t>
      </w:r>
      <w:r w:rsidR="00AF3389" w:rsidRPr="00F75DBD">
        <w:rPr>
          <w:rFonts w:ascii="Century Gothic" w:eastAsiaTheme="minorEastAsia" w:hAnsi="Century Gothic" w:cs="Arial"/>
          <w:color w:val="000000" w:themeColor="text1"/>
        </w:rPr>
        <w:t xml:space="preserve">introduction and maintenance of the </w:t>
      </w:r>
      <w:r w:rsidR="00930965" w:rsidRPr="00F75DBD">
        <w:rPr>
          <w:rFonts w:ascii="Century Gothic" w:eastAsiaTheme="minorEastAsia" w:hAnsi="Century Gothic" w:cs="Arial"/>
          <w:color w:val="000000" w:themeColor="text1"/>
        </w:rPr>
        <w:t xml:space="preserve">automated system </w:t>
      </w:r>
      <w:r w:rsidR="00924697" w:rsidRPr="00F75DBD">
        <w:rPr>
          <w:rFonts w:ascii="Century Gothic" w:eastAsiaTheme="minorEastAsia" w:hAnsi="Century Gothic" w:cs="Arial"/>
          <w:color w:val="000000" w:themeColor="text1"/>
        </w:rPr>
        <w:t>were</w:t>
      </w:r>
      <w:r w:rsidR="00930965" w:rsidRPr="00F75DBD">
        <w:rPr>
          <w:rFonts w:ascii="Century Gothic" w:eastAsiaTheme="minorEastAsia" w:hAnsi="Century Gothic" w:cs="Arial"/>
          <w:color w:val="000000" w:themeColor="text1"/>
        </w:rPr>
        <w:t xml:space="preserve"> personally hardworking and honest (and, therefore, so </w:t>
      </w:r>
      <w:r w:rsidR="00924697" w:rsidRPr="00F75DBD">
        <w:rPr>
          <w:rFonts w:ascii="Century Gothic" w:eastAsiaTheme="minorEastAsia" w:hAnsi="Century Gothic" w:cs="Arial"/>
          <w:color w:val="000000" w:themeColor="text1"/>
        </w:rPr>
        <w:t>was the G</w:t>
      </w:r>
      <w:r w:rsidR="00930965" w:rsidRPr="00F75DBD">
        <w:rPr>
          <w:rFonts w:ascii="Century Gothic" w:eastAsiaTheme="minorEastAsia" w:hAnsi="Century Gothic" w:cs="Arial"/>
          <w:color w:val="000000" w:themeColor="text1"/>
        </w:rPr>
        <w:t>overnment</w:t>
      </w:r>
      <w:r w:rsidR="00A23F61" w:rsidRPr="00F75DBD">
        <w:rPr>
          <w:rFonts w:ascii="Century Gothic" w:eastAsiaTheme="minorEastAsia" w:hAnsi="Century Gothic" w:cs="Arial"/>
          <w:color w:val="000000" w:themeColor="text1"/>
        </w:rPr>
        <w:t>)</w:t>
      </w:r>
      <w:r w:rsidR="00930965" w:rsidRPr="00F75DBD">
        <w:rPr>
          <w:rFonts w:ascii="Century Gothic" w:eastAsiaTheme="minorEastAsia" w:hAnsi="Century Gothic" w:cs="Arial"/>
          <w:color w:val="000000" w:themeColor="text1"/>
        </w:rPr>
        <w:t>.</w:t>
      </w:r>
      <w:r w:rsidR="004779AD" w:rsidRPr="00F75DBD">
        <w:rPr>
          <w:rStyle w:val="FootnoteReference"/>
          <w:rFonts w:ascii="Century Gothic" w:eastAsiaTheme="minorEastAsia" w:hAnsi="Century Gothic" w:cs="Arial"/>
          <w:color w:val="000000" w:themeColor="text1"/>
        </w:rPr>
        <w:footnoteReference w:id="17"/>
      </w:r>
      <w:r w:rsidR="00930965" w:rsidRPr="00F75DBD">
        <w:rPr>
          <w:rFonts w:ascii="Century Gothic" w:eastAsiaTheme="minorEastAsia" w:hAnsi="Century Gothic" w:cs="Arial"/>
          <w:color w:val="000000" w:themeColor="text1"/>
        </w:rPr>
        <w:t xml:space="preserve"> These </w:t>
      </w:r>
      <w:r w:rsidR="00680DD8" w:rsidRPr="00F75DBD">
        <w:rPr>
          <w:rFonts w:ascii="Century Gothic" w:eastAsiaTheme="minorEastAsia" w:hAnsi="Century Gothic" w:cs="Arial"/>
          <w:color w:val="000000" w:themeColor="text1"/>
        </w:rPr>
        <w:t xml:space="preserve">sorts of </w:t>
      </w:r>
      <w:r w:rsidR="00930965" w:rsidRPr="00F75DBD">
        <w:rPr>
          <w:rFonts w:ascii="Century Gothic" w:eastAsiaTheme="minorEastAsia" w:hAnsi="Century Gothic" w:cs="Arial"/>
          <w:color w:val="000000" w:themeColor="text1"/>
        </w:rPr>
        <w:t xml:space="preserve">narratives reflect an understanding of organisational culpability that is conditional on, or dependent upon, identification of individual fault, which is then attributed to the organisation. </w:t>
      </w:r>
    </w:p>
    <w:p w:rsidR="00677867" w:rsidRPr="00F75DBD" w:rsidRDefault="00930965"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In the</w:t>
      </w:r>
      <w:r w:rsidR="00366F95" w:rsidRPr="00F75DBD">
        <w:rPr>
          <w:rFonts w:ascii="Century Gothic" w:eastAsiaTheme="minorEastAsia" w:hAnsi="Century Gothic" w:cs="Arial"/>
          <w:color w:val="000000" w:themeColor="text1"/>
        </w:rPr>
        <w:t xml:space="preserve"> analogous</w:t>
      </w:r>
      <w:r w:rsidRPr="00F75DBD">
        <w:rPr>
          <w:rFonts w:ascii="Century Gothic" w:eastAsiaTheme="minorEastAsia" w:hAnsi="Century Gothic" w:cs="Arial"/>
          <w:color w:val="000000" w:themeColor="text1"/>
        </w:rPr>
        <w:t xml:space="preserve"> corporate context, the law’s search for a human locus of fault has encouraged large corporations to develop devolved and diffused structures, and information silos. These fracture knowledge between departments, teams a</w:t>
      </w:r>
      <w:r w:rsidR="00677867" w:rsidRPr="00F75DBD">
        <w:rPr>
          <w:rFonts w:ascii="Century Gothic" w:eastAsiaTheme="minorEastAsia" w:hAnsi="Century Gothic" w:cs="Arial"/>
          <w:color w:val="000000" w:themeColor="text1"/>
        </w:rPr>
        <w:t xml:space="preserve">nd </w:t>
      </w:r>
      <w:r w:rsidR="00A30FD0" w:rsidRPr="00F75DBD">
        <w:rPr>
          <w:rFonts w:ascii="Century Gothic" w:eastAsiaTheme="minorEastAsia" w:hAnsi="Century Gothic" w:cs="Arial"/>
          <w:color w:val="000000" w:themeColor="text1"/>
        </w:rPr>
        <w:t>amongst</w:t>
      </w:r>
      <w:r w:rsidR="00677867" w:rsidRPr="00F75DBD">
        <w:rPr>
          <w:rFonts w:ascii="Century Gothic" w:eastAsiaTheme="minorEastAsia" w:hAnsi="Century Gothic" w:cs="Arial"/>
          <w:color w:val="000000" w:themeColor="text1"/>
        </w:rPr>
        <w:t xml:space="preserve"> individuals, and prevent information from being passed to </w:t>
      </w:r>
      <w:r w:rsidR="000254E9" w:rsidRPr="00F75DBD">
        <w:rPr>
          <w:rFonts w:ascii="Century Gothic" w:eastAsiaTheme="minorEastAsia" w:hAnsi="Century Gothic" w:cs="Arial"/>
          <w:color w:val="000000" w:themeColor="text1"/>
        </w:rPr>
        <w:t xml:space="preserve">formally </w:t>
      </w:r>
      <w:r w:rsidR="00677867" w:rsidRPr="00F75DBD">
        <w:rPr>
          <w:rFonts w:ascii="Century Gothic" w:eastAsiaTheme="minorEastAsia" w:hAnsi="Century Gothic" w:cs="Arial"/>
          <w:color w:val="000000" w:themeColor="text1"/>
        </w:rPr>
        <w:t xml:space="preserve">responsible officers (such as members of the </w:t>
      </w:r>
      <w:r w:rsidR="00A30FD0" w:rsidRPr="00F75DBD">
        <w:rPr>
          <w:rFonts w:ascii="Century Gothic" w:eastAsiaTheme="minorEastAsia" w:hAnsi="Century Gothic" w:cs="Arial"/>
          <w:color w:val="000000" w:themeColor="text1"/>
        </w:rPr>
        <w:t>company’s board of directors</w:t>
      </w:r>
      <w:r w:rsidR="00677867" w:rsidRPr="00F75DBD">
        <w:rPr>
          <w:rFonts w:ascii="Century Gothic" w:eastAsiaTheme="minorEastAsia" w:hAnsi="Century Gothic" w:cs="Arial"/>
          <w:color w:val="000000" w:themeColor="text1"/>
        </w:rPr>
        <w:t xml:space="preserve">). </w:t>
      </w:r>
      <w:r w:rsidR="002D096B" w:rsidRPr="00F75DBD">
        <w:rPr>
          <w:rFonts w:ascii="Century Gothic" w:eastAsiaTheme="minorEastAsia" w:hAnsi="Century Gothic" w:cs="Arial"/>
          <w:color w:val="000000" w:themeColor="text1"/>
        </w:rPr>
        <w:t xml:space="preserve">The result is that, because the </w:t>
      </w:r>
      <w:r w:rsidR="00A30FD0" w:rsidRPr="00F75DBD">
        <w:rPr>
          <w:rFonts w:ascii="Century Gothic" w:eastAsiaTheme="minorEastAsia" w:hAnsi="Century Gothic" w:cs="Arial"/>
          <w:color w:val="000000" w:themeColor="text1"/>
        </w:rPr>
        <w:t>‘</w:t>
      </w:r>
      <w:r w:rsidR="002D096B" w:rsidRPr="00F75DBD">
        <w:rPr>
          <w:rFonts w:ascii="Century Gothic" w:eastAsiaTheme="minorEastAsia" w:hAnsi="Century Gothic" w:cs="Arial"/>
          <w:color w:val="000000" w:themeColor="text1"/>
        </w:rPr>
        <w:t>responsible individuals</w:t>
      </w:r>
      <w:r w:rsidR="00A30FD0" w:rsidRPr="00F75DBD">
        <w:rPr>
          <w:rFonts w:ascii="Century Gothic" w:eastAsiaTheme="minorEastAsia" w:hAnsi="Century Gothic" w:cs="Arial"/>
          <w:color w:val="000000" w:themeColor="text1"/>
        </w:rPr>
        <w:t>’ in the formal corporate hierarchy</w:t>
      </w:r>
      <w:r w:rsidR="002D096B" w:rsidRPr="00F75DBD">
        <w:rPr>
          <w:rFonts w:ascii="Century Gothic" w:eastAsiaTheme="minorEastAsia" w:hAnsi="Century Gothic" w:cs="Arial"/>
          <w:color w:val="000000" w:themeColor="text1"/>
        </w:rPr>
        <w:t xml:space="preserve"> </w:t>
      </w:r>
      <w:r w:rsidR="00A30FD0" w:rsidRPr="00F75DBD">
        <w:rPr>
          <w:rFonts w:ascii="Century Gothic" w:eastAsiaTheme="minorEastAsia" w:hAnsi="Century Gothic" w:cs="Arial"/>
          <w:color w:val="000000" w:themeColor="text1"/>
        </w:rPr>
        <w:t>did not</w:t>
      </w:r>
      <w:r w:rsidR="002D096B" w:rsidRPr="00F75DBD">
        <w:rPr>
          <w:rFonts w:ascii="Century Gothic" w:eastAsiaTheme="minorEastAsia" w:hAnsi="Century Gothic" w:cs="Arial"/>
          <w:color w:val="000000" w:themeColor="text1"/>
        </w:rPr>
        <w:t xml:space="preserve"> personally know</w:t>
      </w:r>
      <w:r w:rsidR="00A30FD0" w:rsidRPr="00F75DBD">
        <w:rPr>
          <w:rFonts w:ascii="Century Gothic" w:eastAsiaTheme="minorEastAsia" w:hAnsi="Century Gothic" w:cs="Arial"/>
          <w:color w:val="000000" w:themeColor="text1"/>
        </w:rPr>
        <w:t xml:space="preserve"> of the misconduct</w:t>
      </w:r>
      <w:r w:rsidR="002D096B" w:rsidRPr="00F75DBD">
        <w:rPr>
          <w:rFonts w:ascii="Century Gothic" w:eastAsiaTheme="minorEastAsia" w:hAnsi="Century Gothic" w:cs="Arial"/>
          <w:color w:val="000000" w:themeColor="text1"/>
        </w:rPr>
        <w:t xml:space="preserve">, the corporation’s conscience is thereby </w:t>
      </w:r>
      <w:r w:rsidR="000254E9" w:rsidRPr="00F75DBD">
        <w:rPr>
          <w:rFonts w:ascii="Century Gothic" w:eastAsiaTheme="minorEastAsia" w:hAnsi="Century Gothic" w:cs="Arial"/>
          <w:color w:val="000000" w:themeColor="text1"/>
        </w:rPr>
        <w:t>whitewashed</w:t>
      </w:r>
      <w:r w:rsidR="002D096B" w:rsidRPr="00F75DBD">
        <w:rPr>
          <w:rFonts w:ascii="Century Gothic" w:eastAsiaTheme="minorEastAsia" w:hAnsi="Century Gothic" w:cs="Arial"/>
          <w:color w:val="000000" w:themeColor="text1"/>
        </w:rPr>
        <w:t>.</w:t>
      </w:r>
      <w:r w:rsidR="000254E9" w:rsidRPr="00F75DBD">
        <w:rPr>
          <w:rStyle w:val="FootnoteReference"/>
          <w:rFonts w:ascii="Century Gothic" w:eastAsiaTheme="minorEastAsia" w:hAnsi="Century Gothic" w:cs="Arial"/>
          <w:color w:val="000000" w:themeColor="text1"/>
        </w:rPr>
        <w:t xml:space="preserve"> </w:t>
      </w:r>
      <w:r w:rsidR="000254E9" w:rsidRPr="00F75DBD">
        <w:rPr>
          <w:rStyle w:val="FootnoteReference"/>
          <w:rFonts w:ascii="Century Gothic" w:eastAsiaTheme="minorEastAsia" w:hAnsi="Century Gothic" w:cs="Arial"/>
          <w:color w:val="000000" w:themeColor="text1"/>
        </w:rPr>
        <w:footnoteReference w:id="18"/>
      </w:r>
      <w:r w:rsidR="002D096B" w:rsidRPr="00F75DBD">
        <w:rPr>
          <w:rFonts w:ascii="Century Gothic" w:eastAsiaTheme="minorEastAsia" w:hAnsi="Century Gothic" w:cs="Arial"/>
          <w:color w:val="000000" w:themeColor="text1"/>
        </w:rPr>
        <w:t xml:space="preserve"> This structured ignorance is highly effective as a method of reducing corporate responsibility, even for egregious and longstanding misconduct that reasonable people might expect would be obvious to ‘those in charge’. </w:t>
      </w:r>
    </w:p>
    <w:p w:rsidR="004779AD" w:rsidRPr="00F75DBD" w:rsidRDefault="00677867"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In the Robodebt context, we may expect similar strategies to be employed. Ministers may claim not to have known, appreciated or understood the nature of the system deployed within their portfolio. They may say they were not briefed fully, thereby deflecting blame onto less senior individuals, or teams (a practice of scapegoating, again very familiar from the corporate context). Members of these team</w:t>
      </w:r>
      <w:r w:rsidR="00AF3389" w:rsidRPr="00F75DBD">
        <w:rPr>
          <w:rFonts w:ascii="Century Gothic" w:eastAsiaTheme="minorEastAsia" w:hAnsi="Century Gothic" w:cs="Arial"/>
          <w:color w:val="000000" w:themeColor="text1"/>
        </w:rPr>
        <w:t>s</w:t>
      </w:r>
      <w:r w:rsidRPr="00F75DBD">
        <w:rPr>
          <w:rFonts w:ascii="Century Gothic" w:eastAsiaTheme="minorEastAsia" w:hAnsi="Century Gothic" w:cs="Arial"/>
          <w:color w:val="000000" w:themeColor="text1"/>
        </w:rPr>
        <w:t xml:space="preserve"> may claim that they also lacked knowledge or expertise to understand the nature of the system that was deployed. Judging from the sorry strategies employed in the Financial Services Royal Commission,</w:t>
      </w:r>
      <w:r w:rsidR="00D06CE3" w:rsidRPr="00F75DBD">
        <w:rPr>
          <w:rStyle w:val="FootnoteReference"/>
          <w:rFonts w:ascii="Century Gothic" w:eastAsiaTheme="minorEastAsia" w:hAnsi="Century Gothic" w:cs="Arial"/>
          <w:color w:val="000000" w:themeColor="text1"/>
        </w:rPr>
        <w:footnoteReference w:id="19"/>
      </w:r>
      <w:r w:rsidRPr="00F75DBD">
        <w:rPr>
          <w:rFonts w:ascii="Century Gothic" w:eastAsiaTheme="minorEastAsia" w:hAnsi="Century Gothic" w:cs="Arial"/>
          <w:color w:val="000000" w:themeColor="text1"/>
        </w:rPr>
        <w:t xml:space="preserve"> we may expect that individuals will be </w:t>
      </w:r>
      <w:r w:rsidR="004D7440" w:rsidRPr="00F75DBD">
        <w:rPr>
          <w:rFonts w:ascii="Century Gothic" w:eastAsiaTheme="minorEastAsia" w:hAnsi="Century Gothic" w:cs="Arial"/>
          <w:color w:val="000000" w:themeColor="text1"/>
        </w:rPr>
        <w:t>willing</w:t>
      </w:r>
      <w:r w:rsidRPr="00F75DBD">
        <w:rPr>
          <w:rFonts w:ascii="Century Gothic" w:eastAsiaTheme="minorEastAsia" w:hAnsi="Century Gothic" w:cs="Arial"/>
          <w:color w:val="000000" w:themeColor="text1"/>
        </w:rPr>
        <w:t xml:space="preserve"> to </w:t>
      </w:r>
      <w:r w:rsidR="00924697" w:rsidRPr="00F75DBD">
        <w:rPr>
          <w:rFonts w:ascii="Century Gothic" w:eastAsiaTheme="minorEastAsia" w:hAnsi="Century Gothic" w:cs="Arial"/>
          <w:color w:val="000000" w:themeColor="text1"/>
        </w:rPr>
        <w:t>confess</w:t>
      </w:r>
      <w:r w:rsidRPr="00F75DBD">
        <w:rPr>
          <w:rFonts w:ascii="Century Gothic" w:eastAsiaTheme="minorEastAsia" w:hAnsi="Century Gothic" w:cs="Arial"/>
          <w:color w:val="000000" w:themeColor="text1"/>
        </w:rPr>
        <w:t xml:space="preserve"> to extraordinary levels of hopeless incompetence, rather than accept that they had facilitated the system deliberately and with knowledge.</w:t>
      </w:r>
      <w:r w:rsidR="000077EC" w:rsidRPr="00F75DBD">
        <w:rPr>
          <w:rStyle w:val="FootnoteReference"/>
          <w:rFonts w:ascii="Century Gothic" w:eastAsiaTheme="minorEastAsia" w:hAnsi="Century Gothic" w:cs="Arial"/>
          <w:color w:val="000000" w:themeColor="text1"/>
        </w:rPr>
        <w:footnoteReference w:id="20"/>
      </w:r>
      <w:r w:rsidRPr="00F75DBD">
        <w:rPr>
          <w:rFonts w:ascii="Century Gothic" w:eastAsiaTheme="minorEastAsia" w:hAnsi="Century Gothic" w:cs="Arial"/>
          <w:color w:val="000000" w:themeColor="text1"/>
        </w:rPr>
        <w:t xml:space="preserve"> </w:t>
      </w:r>
      <w:r w:rsidR="00924697" w:rsidRPr="00F75DBD">
        <w:rPr>
          <w:rFonts w:ascii="Century Gothic" w:eastAsiaTheme="minorEastAsia" w:hAnsi="Century Gothic" w:cs="Arial"/>
          <w:color w:val="000000" w:themeColor="text1"/>
        </w:rPr>
        <w:t xml:space="preserve">This sort of </w:t>
      </w:r>
      <w:r w:rsidR="00AF3389" w:rsidRPr="00F75DBD">
        <w:rPr>
          <w:rFonts w:ascii="Century Gothic" w:eastAsiaTheme="minorEastAsia" w:hAnsi="Century Gothic" w:cs="Arial"/>
          <w:color w:val="000000" w:themeColor="text1"/>
        </w:rPr>
        <w:t xml:space="preserve">negligence-based </w:t>
      </w:r>
      <w:r w:rsidR="00924697" w:rsidRPr="00F75DBD">
        <w:rPr>
          <w:rFonts w:ascii="Century Gothic" w:eastAsiaTheme="minorEastAsia" w:hAnsi="Century Gothic" w:cs="Arial"/>
          <w:color w:val="000000" w:themeColor="text1"/>
        </w:rPr>
        <w:t xml:space="preserve">narrative is often enormously effective to stave off findings of </w:t>
      </w:r>
      <w:r w:rsidR="00AF3389" w:rsidRPr="00F75DBD">
        <w:rPr>
          <w:rFonts w:ascii="Century Gothic" w:eastAsiaTheme="minorEastAsia" w:hAnsi="Century Gothic" w:cs="Arial"/>
          <w:color w:val="000000" w:themeColor="text1"/>
        </w:rPr>
        <w:t xml:space="preserve">more serious </w:t>
      </w:r>
      <w:r w:rsidR="00924697" w:rsidRPr="00F75DBD">
        <w:rPr>
          <w:rFonts w:ascii="Century Gothic" w:eastAsiaTheme="minorEastAsia" w:hAnsi="Century Gothic" w:cs="Arial"/>
          <w:color w:val="000000" w:themeColor="text1"/>
        </w:rPr>
        <w:t xml:space="preserve">individual </w:t>
      </w:r>
      <w:r w:rsidR="00A30FD0" w:rsidRPr="00F75DBD">
        <w:rPr>
          <w:rFonts w:ascii="Century Gothic" w:eastAsiaTheme="minorEastAsia" w:hAnsi="Century Gothic" w:cs="Arial"/>
          <w:color w:val="000000" w:themeColor="text1"/>
        </w:rPr>
        <w:t>blame and, therefore, protect</w:t>
      </w:r>
      <w:r w:rsidR="00924697" w:rsidRPr="00F75DBD">
        <w:rPr>
          <w:rFonts w:ascii="Century Gothic" w:eastAsiaTheme="minorEastAsia" w:hAnsi="Century Gothic" w:cs="Arial"/>
          <w:color w:val="000000" w:themeColor="text1"/>
        </w:rPr>
        <w:t xml:space="preserve"> derivatively the organisation for which the individuals act. </w:t>
      </w:r>
    </w:p>
    <w:p w:rsidR="00FE12BB" w:rsidRPr="00F75DBD" w:rsidRDefault="00677867"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 xml:space="preserve">Here, Murphy J’s observations </w:t>
      </w:r>
      <w:r w:rsidR="00C73D21" w:rsidRPr="00F75DBD">
        <w:rPr>
          <w:rFonts w:ascii="Century Gothic" w:eastAsiaTheme="minorEastAsia" w:hAnsi="Century Gothic" w:cs="Arial"/>
          <w:color w:val="000000" w:themeColor="text1"/>
        </w:rPr>
        <w:t xml:space="preserve">on the Government’s knowledge of Robodebt </w:t>
      </w:r>
      <w:r w:rsidRPr="00F75DBD">
        <w:rPr>
          <w:rFonts w:ascii="Century Gothic" w:eastAsiaTheme="minorEastAsia" w:hAnsi="Century Gothic" w:cs="Arial"/>
          <w:color w:val="000000" w:themeColor="text1"/>
        </w:rPr>
        <w:t xml:space="preserve">reflect the law’s typical, cautious approach to individual </w:t>
      </w:r>
      <w:r w:rsidR="00924697" w:rsidRPr="00F75DBD">
        <w:rPr>
          <w:rFonts w:ascii="Century Gothic" w:eastAsiaTheme="minorEastAsia" w:hAnsi="Century Gothic" w:cs="Arial"/>
          <w:color w:val="000000" w:themeColor="text1"/>
        </w:rPr>
        <w:t xml:space="preserve">(human) </w:t>
      </w:r>
      <w:r w:rsidRPr="00F75DBD">
        <w:rPr>
          <w:rFonts w:ascii="Century Gothic" w:eastAsiaTheme="minorEastAsia" w:hAnsi="Century Gothic" w:cs="Arial"/>
          <w:color w:val="000000" w:themeColor="text1"/>
        </w:rPr>
        <w:t>blame.</w:t>
      </w:r>
    </w:p>
    <w:p w:rsidR="006678A8" w:rsidRPr="00F75DBD" w:rsidRDefault="006678A8" w:rsidP="00732DB1">
      <w:pPr>
        <w:spacing w:before="240" w:after="240" w:line="264" w:lineRule="auto"/>
        <w:ind w:left="720" w:right="-1"/>
        <w:jc w:val="both"/>
        <w:rPr>
          <w:rFonts w:ascii="Century Gothic" w:eastAsiaTheme="minorEastAsia" w:hAnsi="Century Gothic" w:cs="Arial"/>
          <w:color w:val="000000" w:themeColor="text1"/>
          <w:sz w:val="20"/>
          <w:szCs w:val="20"/>
        </w:rPr>
      </w:pPr>
      <w:r w:rsidRPr="00F75DBD">
        <w:rPr>
          <w:rFonts w:ascii="Century Gothic" w:eastAsiaTheme="minorEastAsia" w:hAnsi="Century Gothic" w:cs="Arial"/>
          <w:color w:val="000000" w:themeColor="text1"/>
          <w:sz w:val="20"/>
          <w:szCs w:val="20"/>
        </w:rPr>
        <w:t xml:space="preserve">It is, however, one thing for the applicants to be in a position to prove that the responsible Ministers and senior public servants should have known that income averaging based on ATO data was an unreliable basis upon which to raise and recover debts from social security recipients. It is quite another thing to be able to prove to the requisite standard that they actually knew that the operation of the  </w:t>
      </w:r>
      <w:r w:rsidRPr="00F75DBD">
        <w:rPr>
          <w:rFonts w:ascii="Century Gothic" w:eastAsiaTheme="minorEastAsia" w:hAnsi="Century Gothic" w:cs="Arial"/>
          <w:color w:val="000000" w:themeColor="text1"/>
          <w:sz w:val="20"/>
          <w:szCs w:val="20"/>
        </w:rPr>
        <w:lastRenderedPageBreak/>
        <w:t>Robodebt  system was unlawful. There is little in the materials to indicate that the evidence rises to that level. I am reminded of the aphorism that, given a choice between a stuff-up (even a massive one) and a conspiracy, one should usually choose a stuff up.</w:t>
      </w:r>
      <w:r w:rsidR="00601FD7" w:rsidRPr="00F75DBD">
        <w:rPr>
          <w:rStyle w:val="FootnoteReference"/>
          <w:rFonts w:ascii="Century Gothic" w:eastAsiaTheme="minorEastAsia" w:hAnsi="Century Gothic" w:cs="Arial"/>
          <w:color w:val="000000" w:themeColor="text1"/>
          <w:sz w:val="20"/>
          <w:szCs w:val="20"/>
        </w:rPr>
        <w:footnoteReference w:id="21"/>
      </w:r>
    </w:p>
    <w:p w:rsidR="00480B93" w:rsidRPr="00F75DBD" w:rsidRDefault="00A30FD0"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My</w:t>
      </w:r>
      <w:r w:rsidR="006B4BF2" w:rsidRPr="00F75DBD">
        <w:rPr>
          <w:rFonts w:ascii="Century Gothic" w:eastAsiaTheme="minorEastAsia" w:hAnsi="Century Gothic" w:cs="Arial"/>
          <w:color w:val="000000" w:themeColor="text1"/>
        </w:rPr>
        <w:t xml:space="preserve"> point </w:t>
      </w:r>
      <w:r w:rsidRPr="00F75DBD">
        <w:rPr>
          <w:rFonts w:ascii="Century Gothic" w:eastAsiaTheme="minorEastAsia" w:hAnsi="Century Gothic" w:cs="Arial"/>
          <w:color w:val="000000" w:themeColor="text1"/>
        </w:rPr>
        <w:t xml:space="preserve">here </w:t>
      </w:r>
      <w:r w:rsidR="006B4BF2" w:rsidRPr="00F75DBD">
        <w:rPr>
          <w:rFonts w:ascii="Century Gothic" w:eastAsiaTheme="minorEastAsia" w:hAnsi="Century Gothic" w:cs="Arial"/>
          <w:color w:val="000000" w:themeColor="text1"/>
        </w:rPr>
        <w:t>is that a sole</w:t>
      </w:r>
      <w:r w:rsidRPr="00F75DBD">
        <w:rPr>
          <w:rFonts w:ascii="Century Gothic" w:eastAsiaTheme="minorEastAsia" w:hAnsi="Century Gothic" w:cs="Arial"/>
          <w:color w:val="000000" w:themeColor="text1"/>
        </w:rPr>
        <w:t>,</w:t>
      </w:r>
      <w:r w:rsidR="006B4BF2" w:rsidRPr="00F75DBD">
        <w:rPr>
          <w:rFonts w:ascii="Century Gothic" w:eastAsiaTheme="minorEastAsia" w:hAnsi="Century Gothic" w:cs="Arial"/>
          <w:color w:val="000000" w:themeColor="text1"/>
        </w:rPr>
        <w:t xml:space="preserve"> or </w:t>
      </w:r>
      <w:r w:rsidRPr="00F75DBD">
        <w:rPr>
          <w:rFonts w:ascii="Century Gothic" w:eastAsiaTheme="minorEastAsia" w:hAnsi="Century Gothic" w:cs="Arial"/>
          <w:color w:val="000000" w:themeColor="text1"/>
        </w:rPr>
        <w:t xml:space="preserve">even </w:t>
      </w:r>
      <w:r w:rsidR="006B4BF2" w:rsidRPr="00F75DBD">
        <w:rPr>
          <w:rFonts w:ascii="Century Gothic" w:eastAsiaTheme="minorEastAsia" w:hAnsi="Century Gothic" w:cs="Arial"/>
          <w:color w:val="000000" w:themeColor="text1"/>
        </w:rPr>
        <w:t>heavy</w:t>
      </w:r>
      <w:r w:rsidRPr="00F75DBD">
        <w:rPr>
          <w:rFonts w:ascii="Century Gothic" w:eastAsiaTheme="minorEastAsia" w:hAnsi="Century Gothic" w:cs="Arial"/>
          <w:color w:val="000000" w:themeColor="text1"/>
        </w:rPr>
        <w:t>,</w:t>
      </w:r>
      <w:r w:rsidR="006B4BF2" w:rsidRPr="00F75DBD">
        <w:rPr>
          <w:rFonts w:ascii="Century Gothic" w:eastAsiaTheme="minorEastAsia" w:hAnsi="Century Gothic" w:cs="Arial"/>
          <w:color w:val="000000" w:themeColor="text1"/>
        </w:rPr>
        <w:t xml:space="preserve"> focus on individual fault, as a precursor to organisational blameworthiness,</w:t>
      </w:r>
      <w:r w:rsidR="00677867" w:rsidRPr="00F75DBD">
        <w:rPr>
          <w:rFonts w:ascii="Century Gothic" w:eastAsiaTheme="minorEastAsia" w:hAnsi="Century Gothic" w:cs="Arial"/>
          <w:color w:val="000000" w:themeColor="text1"/>
        </w:rPr>
        <w:t xml:space="preserve"> </w:t>
      </w:r>
      <w:r w:rsidR="006B4BF2" w:rsidRPr="00F75DBD">
        <w:rPr>
          <w:rFonts w:ascii="Century Gothic" w:eastAsiaTheme="minorEastAsia" w:hAnsi="Century Gothic" w:cs="Arial"/>
          <w:color w:val="000000" w:themeColor="text1"/>
        </w:rPr>
        <w:t xml:space="preserve">enables </w:t>
      </w:r>
      <w:r w:rsidR="00677867" w:rsidRPr="00F75DBD">
        <w:rPr>
          <w:rFonts w:ascii="Century Gothic" w:eastAsiaTheme="minorEastAsia" w:hAnsi="Century Gothic" w:cs="Arial"/>
          <w:color w:val="000000" w:themeColor="text1"/>
        </w:rPr>
        <w:t xml:space="preserve">narratives of interpretive denial </w:t>
      </w:r>
      <w:r w:rsidR="006B4BF2" w:rsidRPr="00F75DBD">
        <w:rPr>
          <w:rFonts w:ascii="Century Gothic" w:eastAsiaTheme="minorEastAsia" w:hAnsi="Century Gothic" w:cs="Arial"/>
          <w:color w:val="000000" w:themeColor="text1"/>
        </w:rPr>
        <w:t>to be very effective.</w:t>
      </w:r>
    </w:p>
    <w:p w:rsidR="00DE38E7" w:rsidRPr="00F75DBD" w:rsidRDefault="00505DB4"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 xml:space="preserve">Finally, </w:t>
      </w:r>
      <w:r w:rsidR="00A30FD0" w:rsidRPr="00F75DBD">
        <w:rPr>
          <w:rFonts w:ascii="Century Gothic" w:eastAsiaTheme="minorEastAsia" w:hAnsi="Century Gothic" w:cs="Arial"/>
          <w:color w:val="000000" w:themeColor="text1"/>
        </w:rPr>
        <w:t>it is helpful to</w:t>
      </w:r>
      <w:r w:rsidR="00924697" w:rsidRPr="00F75DBD">
        <w:rPr>
          <w:rFonts w:ascii="Century Gothic" w:eastAsiaTheme="minorEastAsia" w:hAnsi="Century Gothic" w:cs="Arial"/>
          <w:color w:val="000000" w:themeColor="text1"/>
        </w:rPr>
        <w:t xml:space="preserve"> </w:t>
      </w:r>
      <w:r w:rsidR="00A30FD0" w:rsidRPr="00F75DBD">
        <w:rPr>
          <w:rFonts w:ascii="Century Gothic" w:eastAsiaTheme="minorEastAsia" w:hAnsi="Century Gothic" w:cs="Arial"/>
          <w:color w:val="000000" w:themeColor="text1"/>
        </w:rPr>
        <w:t>consider</w:t>
      </w:r>
      <w:r w:rsidRPr="00F75DBD">
        <w:rPr>
          <w:rFonts w:ascii="Century Gothic" w:eastAsiaTheme="minorEastAsia" w:hAnsi="Century Gothic" w:cs="Arial"/>
          <w:color w:val="000000" w:themeColor="text1"/>
        </w:rPr>
        <w:t xml:space="preserve"> the fact that </w:t>
      </w:r>
      <w:r w:rsidR="00924697" w:rsidRPr="00F75DBD">
        <w:rPr>
          <w:rFonts w:ascii="Century Gothic" w:eastAsiaTheme="minorEastAsia" w:hAnsi="Century Gothic" w:cs="Arial"/>
          <w:color w:val="000000" w:themeColor="text1"/>
        </w:rPr>
        <w:t xml:space="preserve">the </w:t>
      </w:r>
      <w:r w:rsidR="00A30FD0" w:rsidRPr="00F75DBD">
        <w:rPr>
          <w:rFonts w:ascii="Century Gothic" w:eastAsiaTheme="minorEastAsia" w:hAnsi="Century Gothic" w:cs="Arial"/>
          <w:color w:val="000000" w:themeColor="text1"/>
        </w:rPr>
        <w:t xml:space="preserve">proactive elements of the </w:t>
      </w:r>
      <w:r w:rsidR="00924697" w:rsidRPr="00F75DBD">
        <w:rPr>
          <w:rFonts w:ascii="Century Gothic" w:eastAsiaTheme="minorEastAsia" w:hAnsi="Century Gothic" w:cs="Arial"/>
          <w:color w:val="000000" w:themeColor="text1"/>
        </w:rPr>
        <w:t>Robodebt scheme was, in large part, carried out through</w:t>
      </w:r>
      <w:r w:rsidRPr="00F75DBD">
        <w:rPr>
          <w:rFonts w:ascii="Century Gothic" w:eastAsiaTheme="minorEastAsia" w:hAnsi="Century Gothic" w:cs="Arial"/>
          <w:color w:val="000000" w:themeColor="text1"/>
        </w:rPr>
        <w:t xml:space="preserve"> an automated system. </w:t>
      </w:r>
      <w:r w:rsidR="00C73D21" w:rsidRPr="00F75DBD">
        <w:rPr>
          <w:rFonts w:ascii="Century Gothic" w:eastAsiaTheme="minorEastAsia" w:hAnsi="Century Gothic" w:cs="Arial"/>
          <w:color w:val="000000" w:themeColor="text1"/>
        </w:rPr>
        <w:t>Notwithstanding the kindergarten maths involved,</w:t>
      </w:r>
      <w:r w:rsidR="00C73D21" w:rsidRPr="00F75DBD">
        <w:rPr>
          <w:rStyle w:val="FootnoteReference"/>
          <w:rFonts w:ascii="Century Gothic" w:eastAsiaTheme="minorEastAsia" w:hAnsi="Century Gothic" w:cs="Arial"/>
          <w:color w:val="000000" w:themeColor="text1"/>
        </w:rPr>
        <w:footnoteReference w:id="22"/>
      </w:r>
      <w:r w:rsidR="00C73D21" w:rsidRPr="00F75DBD">
        <w:rPr>
          <w:rFonts w:ascii="Century Gothic" w:eastAsiaTheme="minorEastAsia" w:hAnsi="Century Gothic" w:cs="Arial"/>
          <w:color w:val="000000" w:themeColor="text1"/>
        </w:rPr>
        <w:t xml:space="preserve"> </w:t>
      </w:r>
      <w:r w:rsidR="000204A5" w:rsidRPr="00F75DBD">
        <w:rPr>
          <w:rFonts w:ascii="Century Gothic" w:eastAsiaTheme="minorEastAsia" w:hAnsi="Century Gothic" w:cs="Arial"/>
          <w:color w:val="000000" w:themeColor="text1"/>
        </w:rPr>
        <w:t xml:space="preserve">the </w:t>
      </w:r>
      <w:r w:rsidR="00C73D21" w:rsidRPr="00F75DBD">
        <w:rPr>
          <w:rFonts w:ascii="Century Gothic" w:eastAsiaTheme="minorEastAsia" w:hAnsi="Century Gothic" w:cs="Arial"/>
          <w:color w:val="000000" w:themeColor="text1"/>
        </w:rPr>
        <w:t>automation</w:t>
      </w:r>
      <w:r w:rsidRPr="00F75DBD">
        <w:rPr>
          <w:rFonts w:ascii="Century Gothic" w:eastAsiaTheme="minorEastAsia" w:hAnsi="Century Gothic" w:cs="Arial"/>
          <w:color w:val="000000" w:themeColor="text1"/>
        </w:rPr>
        <w:t xml:space="preserve"> </w:t>
      </w:r>
      <w:r w:rsidR="000204A5" w:rsidRPr="00F75DBD">
        <w:rPr>
          <w:rFonts w:ascii="Century Gothic" w:eastAsiaTheme="minorEastAsia" w:hAnsi="Century Gothic" w:cs="Arial"/>
          <w:color w:val="000000" w:themeColor="text1"/>
        </w:rPr>
        <w:t>aspect</w:t>
      </w:r>
      <w:r w:rsidR="00924697" w:rsidRPr="00F75DBD">
        <w:rPr>
          <w:rFonts w:ascii="Century Gothic" w:eastAsiaTheme="minorEastAsia" w:hAnsi="Century Gothic" w:cs="Arial"/>
          <w:color w:val="000000" w:themeColor="text1"/>
        </w:rPr>
        <w:t xml:space="preserve"> </w:t>
      </w:r>
      <w:r w:rsidRPr="00F75DBD">
        <w:rPr>
          <w:rFonts w:ascii="Century Gothic" w:eastAsiaTheme="minorEastAsia" w:hAnsi="Century Gothic" w:cs="Arial"/>
          <w:color w:val="000000" w:themeColor="text1"/>
        </w:rPr>
        <w:t>provides fertile ground for further strategies of interpretive denial.</w:t>
      </w:r>
      <w:r w:rsidR="00732DB1" w:rsidRPr="00F75DBD">
        <w:rPr>
          <w:rFonts w:ascii="Century Gothic" w:eastAsiaTheme="minorEastAsia" w:hAnsi="Century Gothic" w:cs="Arial"/>
          <w:color w:val="000000" w:themeColor="text1"/>
        </w:rPr>
        <w:t xml:space="preserve"> </w:t>
      </w:r>
      <w:r w:rsidRPr="00F75DBD">
        <w:rPr>
          <w:rFonts w:ascii="Century Gothic" w:eastAsiaTheme="minorEastAsia" w:hAnsi="Century Gothic" w:cs="Arial"/>
          <w:color w:val="000000" w:themeColor="text1"/>
        </w:rPr>
        <w:t xml:space="preserve">Given that automated systems are </w:t>
      </w:r>
      <w:r w:rsidR="0076354F" w:rsidRPr="00F75DBD">
        <w:rPr>
          <w:rFonts w:ascii="Century Gothic" w:eastAsiaTheme="minorEastAsia" w:hAnsi="Century Gothic" w:cs="Arial"/>
          <w:color w:val="000000" w:themeColor="text1"/>
        </w:rPr>
        <w:t xml:space="preserve">(properly understood) </w:t>
      </w:r>
      <w:r w:rsidRPr="00F75DBD">
        <w:rPr>
          <w:rFonts w:ascii="Century Gothic" w:eastAsiaTheme="minorEastAsia" w:hAnsi="Century Gothic" w:cs="Arial"/>
          <w:color w:val="000000" w:themeColor="text1"/>
        </w:rPr>
        <w:t xml:space="preserve">mere tools, not </w:t>
      </w:r>
      <w:r w:rsidR="0076354F" w:rsidRPr="00F75DBD">
        <w:rPr>
          <w:rFonts w:ascii="Century Gothic" w:eastAsiaTheme="minorEastAsia" w:hAnsi="Century Gothic" w:cs="Arial"/>
          <w:color w:val="000000" w:themeColor="text1"/>
        </w:rPr>
        <w:t xml:space="preserve">agents, </w:t>
      </w:r>
      <w:r w:rsidR="006B4BF2" w:rsidRPr="00F75DBD">
        <w:rPr>
          <w:rFonts w:ascii="Century Gothic" w:eastAsiaTheme="minorEastAsia" w:hAnsi="Century Gothic" w:cs="Arial"/>
          <w:color w:val="000000" w:themeColor="text1"/>
        </w:rPr>
        <w:t xml:space="preserve">of the </w:t>
      </w:r>
      <w:r w:rsidR="00A30FD0" w:rsidRPr="00F75DBD">
        <w:rPr>
          <w:rFonts w:ascii="Century Gothic" w:eastAsiaTheme="minorEastAsia" w:hAnsi="Century Gothic" w:cs="Arial"/>
          <w:color w:val="000000" w:themeColor="text1"/>
        </w:rPr>
        <w:t xml:space="preserve">deploying </w:t>
      </w:r>
      <w:r w:rsidR="006B4BF2" w:rsidRPr="00F75DBD">
        <w:rPr>
          <w:rFonts w:ascii="Century Gothic" w:eastAsiaTheme="minorEastAsia" w:hAnsi="Century Gothic" w:cs="Arial"/>
          <w:color w:val="000000" w:themeColor="text1"/>
        </w:rPr>
        <w:t xml:space="preserve">organisation, it follows that </w:t>
      </w:r>
      <w:r w:rsidR="0076354F" w:rsidRPr="00F75DBD">
        <w:rPr>
          <w:rFonts w:ascii="Century Gothic" w:eastAsiaTheme="minorEastAsia" w:hAnsi="Century Gothic" w:cs="Arial"/>
          <w:color w:val="000000" w:themeColor="text1"/>
        </w:rPr>
        <w:t>they cannot attract moral or legal censure in their own right.</w:t>
      </w:r>
      <w:r w:rsidR="000F2A5F">
        <w:rPr>
          <w:rStyle w:val="FootnoteReference"/>
          <w:rFonts w:ascii="Century Gothic" w:eastAsiaTheme="minorEastAsia" w:hAnsi="Century Gothic" w:cs="Arial"/>
          <w:color w:val="000000" w:themeColor="text1"/>
        </w:rPr>
        <w:footnoteReference w:id="23"/>
      </w:r>
      <w:r w:rsidR="0076354F" w:rsidRPr="00F75DBD">
        <w:rPr>
          <w:rFonts w:ascii="Century Gothic" w:eastAsiaTheme="minorEastAsia" w:hAnsi="Century Gothic" w:cs="Arial"/>
          <w:color w:val="000000" w:themeColor="text1"/>
        </w:rPr>
        <w:t xml:space="preserve"> </w:t>
      </w:r>
      <w:r w:rsidR="006B4BF2" w:rsidRPr="00F75DBD">
        <w:rPr>
          <w:rFonts w:ascii="Century Gothic" w:eastAsiaTheme="minorEastAsia" w:hAnsi="Century Gothic" w:cs="Arial"/>
          <w:color w:val="000000" w:themeColor="text1"/>
        </w:rPr>
        <w:t>Where organisational fault is assumed to be dependent upon identifying a human locus of blame, automation</w:t>
      </w:r>
      <w:r w:rsidR="0076354F" w:rsidRPr="00F75DBD">
        <w:rPr>
          <w:rFonts w:ascii="Century Gothic" w:eastAsiaTheme="minorEastAsia" w:hAnsi="Century Gothic" w:cs="Arial"/>
          <w:color w:val="000000" w:themeColor="text1"/>
        </w:rPr>
        <w:t xml:space="preserve"> therefore provide</w:t>
      </w:r>
      <w:r w:rsidR="006B4BF2" w:rsidRPr="00F75DBD">
        <w:rPr>
          <w:rFonts w:ascii="Century Gothic" w:eastAsiaTheme="minorEastAsia" w:hAnsi="Century Gothic" w:cs="Arial"/>
          <w:color w:val="000000" w:themeColor="text1"/>
        </w:rPr>
        <w:t>s</w:t>
      </w:r>
      <w:r w:rsidR="0076354F" w:rsidRPr="00F75DBD">
        <w:rPr>
          <w:rFonts w:ascii="Century Gothic" w:eastAsiaTheme="minorEastAsia" w:hAnsi="Century Gothic" w:cs="Arial"/>
          <w:color w:val="000000" w:themeColor="text1"/>
        </w:rPr>
        <w:t xml:space="preserve"> </w:t>
      </w:r>
      <w:r w:rsidR="006B4BF2" w:rsidRPr="00F75DBD">
        <w:rPr>
          <w:rFonts w:ascii="Century Gothic" w:eastAsiaTheme="minorEastAsia" w:hAnsi="Century Gothic" w:cs="Arial"/>
          <w:color w:val="000000" w:themeColor="text1"/>
        </w:rPr>
        <w:t>a</w:t>
      </w:r>
      <w:r w:rsidR="0076354F" w:rsidRPr="00F75DBD">
        <w:rPr>
          <w:rFonts w:ascii="Century Gothic" w:eastAsiaTheme="minorEastAsia" w:hAnsi="Century Gothic" w:cs="Arial"/>
          <w:color w:val="000000" w:themeColor="text1"/>
        </w:rPr>
        <w:t xml:space="preserve"> perfect deflective foil</w:t>
      </w:r>
      <w:r w:rsidR="00C56F5D" w:rsidRPr="00F75DBD">
        <w:rPr>
          <w:rFonts w:ascii="Century Gothic" w:eastAsiaTheme="minorEastAsia" w:hAnsi="Century Gothic" w:cs="Arial"/>
          <w:color w:val="000000" w:themeColor="text1"/>
        </w:rPr>
        <w:t xml:space="preserve">. </w:t>
      </w:r>
      <w:r w:rsidR="00BA5E55" w:rsidRPr="00F75DBD">
        <w:rPr>
          <w:rFonts w:ascii="Century Gothic" w:eastAsiaTheme="minorEastAsia" w:hAnsi="Century Gothic" w:cs="Arial"/>
          <w:color w:val="000000" w:themeColor="text1"/>
        </w:rPr>
        <w:t>There is little point</w:t>
      </w:r>
      <w:r w:rsidR="006B4BF2" w:rsidRPr="00F75DBD">
        <w:rPr>
          <w:rFonts w:ascii="Century Gothic" w:eastAsiaTheme="minorEastAsia" w:hAnsi="Century Gothic" w:cs="Arial"/>
          <w:color w:val="000000" w:themeColor="text1"/>
        </w:rPr>
        <w:t>, after all,</w:t>
      </w:r>
      <w:r w:rsidR="00BA5E55" w:rsidRPr="00F75DBD">
        <w:rPr>
          <w:rFonts w:ascii="Century Gothic" w:eastAsiaTheme="minorEastAsia" w:hAnsi="Century Gothic" w:cs="Arial"/>
          <w:color w:val="000000" w:themeColor="text1"/>
        </w:rPr>
        <w:t xml:space="preserve"> in ‘blaming’ a piece of coding. </w:t>
      </w:r>
      <w:r w:rsidR="00C56F5D" w:rsidRPr="00F75DBD">
        <w:rPr>
          <w:rFonts w:ascii="Century Gothic" w:eastAsiaTheme="minorEastAsia" w:hAnsi="Century Gothic" w:cs="Arial"/>
          <w:color w:val="000000" w:themeColor="text1"/>
        </w:rPr>
        <w:t>F</w:t>
      </w:r>
      <w:r w:rsidR="00BA5E55" w:rsidRPr="00F75DBD">
        <w:rPr>
          <w:rFonts w:ascii="Century Gothic" w:eastAsiaTheme="minorEastAsia" w:hAnsi="Century Gothic" w:cs="Arial"/>
          <w:color w:val="000000" w:themeColor="text1"/>
        </w:rPr>
        <w:t>urther, automated systems that cause harm</w:t>
      </w:r>
      <w:r w:rsidR="0076354F" w:rsidRPr="00F75DBD">
        <w:rPr>
          <w:rFonts w:ascii="Century Gothic" w:eastAsiaTheme="minorEastAsia" w:hAnsi="Century Gothic" w:cs="Arial"/>
          <w:color w:val="000000" w:themeColor="text1"/>
        </w:rPr>
        <w:t xml:space="preserve"> are often characterised in terms of omissions and deficiencies, rather</w:t>
      </w:r>
      <w:r w:rsidR="00BA5E55" w:rsidRPr="00F75DBD">
        <w:rPr>
          <w:rFonts w:ascii="Century Gothic" w:eastAsiaTheme="minorEastAsia" w:hAnsi="Century Gothic" w:cs="Arial"/>
          <w:color w:val="000000" w:themeColor="text1"/>
        </w:rPr>
        <w:t xml:space="preserve"> than positive terms, to further minimise blame. The system was ‘poor’ or ‘defective’, rather than part of intended misconduct. F</w:t>
      </w:r>
      <w:r w:rsidR="00C56F5D" w:rsidRPr="00F75DBD">
        <w:rPr>
          <w:rFonts w:ascii="Century Gothic" w:eastAsiaTheme="minorEastAsia" w:hAnsi="Century Gothic" w:cs="Arial"/>
          <w:color w:val="000000" w:themeColor="text1"/>
        </w:rPr>
        <w:t>ault, where it is admitted, is often framed in terms of carelessness or mistake: ‘computer error</w:t>
      </w:r>
      <w:r w:rsidR="00246382" w:rsidRPr="00F75DBD">
        <w:rPr>
          <w:rFonts w:ascii="Century Gothic" w:eastAsiaTheme="minorEastAsia" w:hAnsi="Century Gothic" w:cs="Arial"/>
          <w:color w:val="000000" w:themeColor="text1"/>
        </w:rPr>
        <w:t>s’ or administrative blunders. Thus c</w:t>
      </w:r>
      <w:r w:rsidR="00C56F5D" w:rsidRPr="00F75DBD">
        <w:rPr>
          <w:rFonts w:ascii="Century Gothic" w:eastAsiaTheme="minorEastAsia" w:hAnsi="Century Gothic" w:cs="Arial"/>
          <w:color w:val="000000" w:themeColor="text1"/>
        </w:rPr>
        <w:t xml:space="preserve">orporate CEOs </w:t>
      </w:r>
      <w:r w:rsidR="00AF3389" w:rsidRPr="00F75DBD">
        <w:rPr>
          <w:rFonts w:ascii="Century Gothic" w:eastAsiaTheme="minorEastAsia" w:hAnsi="Century Gothic" w:cs="Arial"/>
          <w:color w:val="000000" w:themeColor="text1"/>
        </w:rPr>
        <w:t>appearing before</w:t>
      </w:r>
      <w:r w:rsidR="00C56F5D" w:rsidRPr="00F75DBD">
        <w:rPr>
          <w:rFonts w:ascii="Century Gothic" w:eastAsiaTheme="minorEastAsia" w:hAnsi="Century Gothic" w:cs="Arial"/>
          <w:color w:val="000000" w:themeColor="text1"/>
        </w:rPr>
        <w:t xml:space="preserve"> the </w:t>
      </w:r>
      <w:r w:rsidR="000254E9" w:rsidRPr="00F75DBD">
        <w:rPr>
          <w:rFonts w:ascii="Century Gothic" w:eastAsiaTheme="minorEastAsia" w:hAnsi="Century Gothic" w:cs="Arial"/>
          <w:color w:val="000000" w:themeColor="text1"/>
        </w:rPr>
        <w:t>FSRC</w:t>
      </w:r>
      <w:r w:rsidR="00C56F5D" w:rsidRPr="00F75DBD">
        <w:rPr>
          <w:rFonts w:ascii="Century Gothic" w:eastAsiaTheme="minorEastAsia" w:hAnsi="Century Gothic" w:cs="Arial"/>
          <w:color w:val="000000" w:themeColor="text1"/>
        </w:rPr>
        <w:t xml:space="preserve">, for example, </w:t>
      </w:r>
      <w:r w:rsidR="00BA5E55" w:rsidRPr="00F75DBD">
        <w:rPr>
          <w:rFonts w:ascii="Century Gothic" w:eastAsiaTheme="minorEastAsia" w:hAnsi="Century Gothic" w:cs="Arial"/>
          <w:color w:val="000000" w:themeColor="text1"/>
        </w:rPr>
        <w:t>commonly</w:t>
      </w:r>
      <w:r w:rsidR="00C56F5D" w:rsidRPr="00F75DBD">
        <w:rPr>
          <w:rFonts w:ascii="Century Gothic" w:eastAsiaTheme="minorEastAsia" w:hAnsi="Century Gothic" w:cs="Arial"/>
          <w:color w:val="000000" w:themeColor="text1"/>
        </w:rPr>
        <w:t xml:space="preserve"> </w:t>
      </w:r>
      <w:r w:rsidR="006530B7" w:rsidRPr="00F75DBD">
        <w:rPr>
          <w:rFonts w:ascii="Century Gothic" w:eastAsiaTheme="minorEastAsia" w:hAnsi="Century Gothic" w:cs="Arial"/>
          <w:color w:val="000000" w:themeColor="text1"/>
        </w:rPr>
        <w:t xml:space="preserve">labelled the </w:t>
      </w:r>
      <w:r w:rsidR="00841DEB" w:rsidRPr="00F75DBD">
        <w:rPr>
          <w:rFonts w:ascii="Century Gothic" w:eastAsiaTheme="minorEastAsia" w:hAnsi="Century Gothic" w:cs="Arial"/>
          <w:color w:val="000000" w:themeColor="text1"/>
        </w:rPr>
        <w:t xml:space="preserve">‘fees for no services’ misconduct, </w:t>
      </w:r>
      <w:r w:rsidR="00246382" w:rsidRPr="00F75DBD">
        <w:rPr>
          <w:rFonts w:ascii="Century Gothic" w:eastAsiaTheme="minorEastAsia" w:hAnsi="Century Gothic" w:cs="Arial"/>
          <w:color w:val="000000" w:themeColor="text1"/>
        </w:rPr>
        <w:t>usually conducted through</w:t>
      </w:r>
      <w:r w:rsidR="00841DEB" w:rsidRPr="00F75DBD">
        <w:rPr>
          <w:rFonts w:ascii="Century Gothic" w:eastAsiaTheme="minorEastAsia" w:hAnsi="Century Gothic" w:cs="Arial"/>
          <w:color w:val="000000" w:themeColor="text1"/>
        </w:rPr>
        <w:t xml:space="preserve"> automated fee deduction systems, </w:t>
      </w:r>
      <w:r w:rsidR="006530B7" w:rsidRPr="00F75DBD">
        <w:rPr>
          <w:rFonts w:ascii="Century Gothic" w:eastAsiaTheme="minorEastAsia" w:hAnsi="Century Gothic" w:cs="Arial"/>
          <w:color w:val="000000" w:themeColor="text1"/>
        </w:rPr>
        <w:t>as ‘accidental’,</w:t>
      </w:r>
      <w:r w:rsidR="006530B7" w:rsidRPr="00F75DBD">
        <w:rPr>
          <w:rStyle w:val="FootnoteReference"/>
          <w:rFonts w:ascii="Century Gothic" w:eastAsiaTheme="minorEastAsia" w:hAnsi="Century Gothic" w:cs="Arial"/>
          <w:color w:val="000000" w:themeColor="text1"/>
        </w:rPr>
        <w:footnoteReference w:id="24"/>
      </w:r>
      <w:r w:rsidR="006530B7" w:rsidRPr="00F75DBD">
        <w:rPr>
          <w:rFonts w:ascii="Century Gothic" w:eastAsiaTheme="minorEastAsia" w:hAnsi="Century Gothic" w:cs="Arial"/>
          <w:color w:val="000000" w:themeColor="text1"/>
        </w:rPr>
        <w:t xml:space="preserve"> </w:t>
      </w:r>
      <w:r w:rsidR="00841DEB" w:rsidRPr="00F75DBD">
        <w:rPr>
          <w:rFonts w:ascii="Century Gothic" w:eastAsiaTheme="minorEastAsia" w:hAnsi="Century Gothic" w:cs="Arial"/>
          <w:color w:val="000000" w:themeColor="text1"/>
        </w:rPr>
        <w:t>or</w:t>
      </w:r>
      <w:r w:rsidR="00C56F5D" w:rsidRPr="00F75DBD">
        <w:rPr>
          <w:rFonts w:ascii="Century Gothic" w:eastAsiaTheme="minorEastAsia" w:hAnsi="Century Gothic" w:cs="Arial"/>
          <w:color w:val="000000" w:themeColor="text1"/>
        </w:rPr>
        <w:t xml:space="preserve"> ‘systems errors’</w:t>
      </w:r>
      <w:r w:rsidR="00841DEB" w:rsidRPr="00F75DBD">
        <w:rPr>
          <w:rStyle w:val="FootnoteReference"/>
          <w:rFonts w:ascii="Century Gothic" w:eastAsiaTheme="minorEastAsia" w:hAnsi="Century Gothic" w:cs="Arial"/>
          <w:color w:val="000000" w:themeColor="text1"/>
        </w:rPr>
        <w:footnoteReference w:id="25"/>
      </w:r>
      <w:r w:rsidR="00C56F5D" w:rsidRPr="00F75DBD">
        <w:rPr>
          <w:rFonts w:ascii="Century Gothic" w:eastAsiaTheme="minorEastAsia" w:hAnsi="Century Gothic" w:cs="Arial"/>
          <w:color w:val="000000" w:themeColor="text1"/>
        </w:rPr>
        <w:t xml:space="preserve"> attributable </w:t>
      </w:r>
      <w:r w:rsidR="006B4BF2" w:rsidRPr="00F75DBD">
        <w:rPr>
          <w:rFonts w:ascii="Century Gothic" w:eastAsiaTheme="minorEastAsia" w:hAnsi="Century Gothic" w:cs="Arial"/>
          <w:color w:val="000000" w:themeColor="text1"/>
        </w:rPr>
        <w:t xml:space="preserve">in part </w:t>
      </w:r>
      <w:r w:rsidR="00C56F5D" w:rsidRPr="00F75DBD">
        <w:rPr>
          <w:rFonts w:ascii="Century Gothic" w:eastAsiaTheme="minorEastAsia" w:hAnsi="Century Gothic" w:cs="Arial"/>
          <w:color w:val="000000" w:themeColor="text1"/>
        </w:rPr>
        <w:t>to ‘legacy systems’.</w:t>
      </w:r>
      <w:r w:rsidR="00C73D21" w:rsidRPr="00F75DBD">
        <w:rPr>
          <w:rStyle w:val="FootnoteReference"/>
          <w:rFonts w:ascii="Century Gothic" w:eastAsiaTheme="minorEastAsia" w:hAnsi="Century Gothic" w:cs="Arial"/>
          <w:color w:val="000000" w:themeColor="text1"/>
        </w:rPr>
        <w:footnoteReference w:id="26"/>
      </w:r>
      <w:r w:rsidR="00C56F5D" w:rsidRPr="00F75DBD">
        <w:rPr>
          <w:rFonts w:ascii="Century Gothic" w:eastAsiaTheme="minorEastAsia" w:hAnsi="Century Gothic" w:cs="Arial"/>
          <w:color w:val="000000" w:themeColor="text1"/>
        </w:rPr>
        <w:t xml:space="preserve"> </w:t>
      </w:r>
      <w:r w:rsidR="000254E9" w:rsidRPr="00F75DBD">
        <w:rPr>
          <w:rFonts w:ascii="Century Gothic" w:eastAsiaTheme="minorEastAsia" w:hAnsi="Century Gothic" w:cs="Arial"/>
          <w:color w:val="000000" w:themeColor="text1"/>
        </w:rPr>
        <w:t>We saw some of the same sort of language in Murphy’s descriptions of Robodebt as constituting a ‘massive failure of publication administration’, quoted earlier.</w:t>
      </w:r>
    </w:p>
    <w:p w:rsidR="00505DB4" w:rsidRPr="00F75DBD" w:rsidRDefault="00DE38E7" w:rsidP="00732DB1">
      <w:pPr>
        <w:spacing w:before="240" w:after="240" w:line="264" w:lineRule="auto"/>
        <w:ind w:right="-1"/>
        <w:jc w:val="both"/>
        <w:rPr>
          <w:rFonts w:ascii="Century Gothic" w:eastAsiaTheme="minorEastAsia" w:hAnsi="Century Gothic" w:cs="Arial"/>
          <w:color w:val="000000" w:themeColor="text1"/>
        </w:rPr>
      </w:pPr>
      <w:r w:rsidRPr="00F75DBD">
        <w:rPr>
          <w:rFonts w:ascii="Century Gothic" w:eastAsiaTheme="minorEastAsia" w:hAnsi="Century Gothic" w:cs="Arial"/>
          <w:color w:val="000000" w:themeColor="text1"/>
        </w:rPr>
        <w:t xml:space="preserve">If </w:t>
      </w:r>
      <w:r w:rsidR="006B4BF2" w:rsidRPr="00F75DBD">
        <w:rPr>
          <w:rFonts w:ascii="Century Gothic" w:eastAsiaTheme="minorEastAsia" w:hAnsi="Century Gothic" w:cs="Arial"/>
          <w:color w:val="000000" w:themeColor="text1"/>
        </w:rPr>
        <w:t xml:space="preserve">these </w:t>
      </w:r>
      <w:r w:rsidR="000254E9" w:rsidRPr="00F75DBD">
        <w:rPr>
          <w:rFonts w:ascii="Century Gothic" w:eastAsiaTheme="minorEastAsia" w:hAnsi="Century Gothic" w:cs="Arial"/>
          <w:color w:val="000000" w:themeColor="text1"/>
        </w:rPr>
        <w:t xml:space="preserve">negligence-based </w:t>
      </w:r>
      <w:r w:rsidRPr="00F75DBD">
        <w:rPr>
          <w:rFonts w:ascii="Century Gothic" w:eastAsiaTheme="minorEastAsia" w:hAnsi="Century Gothic" w:cs="Arial"/>
          <w:color w:val="000000" w:themeColor="text1"/>
        </w:rPr>
        <w:t>narratives are accepted</w:t>
      </w:r>
      <w:r w:rsidR="006B4BF2" w:rsidRPr="00F75DBD">
        <w:rPr>
          <w:rFonts w:ascii="Century Gothic" w:eastAsiaTheme="minorEastAsia" w:hAnsi="Century Gothic" w:cs="Arial"/>
          <w:color w:val="000000" w:themeColor="text1"/>
        </w:rPr>
        <w:t>,</w:t>
      </w:r>
      <w:r w:rsidR="00BA5E55" w:rsidRPr="00F75DBD">
        <w:rPr>
          <w:rFonts w:ascii="Century Gothic" w:eastAsiaTheme="minorEastAsia" w:hAnsi="Century Gothic" w:cs="Arial"/>
          <w:color w:val="000000" w:themeColor="text1"/>
        </w:rPr>
        <w:t xml:space="preserve"> automated harms</w:t>
      </w:r>
      <w:r w:rsidR="00C56F5D" w:rsidRPr="00F75DBD">
        <w:rPr>
          <w:rFonts w:ascii="Century Gothic" w:eastAsiaTheme="minorEastAsia" w:hAnsi="Century Gothic" w:cs="Arial"/>
          <w:color w:val="000000" w:themeColor="text1"/>
        </w:rPr>
        <w:t xml:space="preserve"> </w:t>
      </w:r>
      <w:r w:rsidR="000204A5" w:rsidRPr="00F75DBD">
        <w:rPr>
          <w:rFonts w:ascii="Century Gothic" w:eastAsiaTheme="minorEastAsia" w:hAnsi="Century Gothic" w:cs="Arial"/>
          <w:color w:val="000000" w:themeColor="text1"/>
        </w:rPr>
        <w:t xml:space="preserve">may </w:t>
      </w:r>
      <w:r w:rsidR="0076354F" w:rsidRPr="00F75DBD">
        <w:rPr>
          <w:rFonts w:ascii="Century Gothic" w:eastAsiaTheme="minorEastAsia" w:hAnsi="Century Gothic" w:cs="Arial"/>
          <w:color w:val="000000" w:themeColor="text1"/>
        </w:rPr>
        <w:t>attract less opprobrium</w:t>
      </w:r>
      <w:r w:rsidR="00C56F5D" w:rsidRPr="00F75DBD">
        <w:rPr>
          <w:rFonts w:ascii="Century Gothic" w:eastAsiaTheme="minorEastAsia" w:hAnsi="Century Gothic" w:cs="Arial"/>
          <w:color w:val="000000" w:themeColor="text1"/>
        </w:rPr>
        <w:t>, and hence liability,</w:t>
      </w:r>
      <w:r w:rsidR="0076354F" w:rsidRPr="00F75DBD">
        <w:rPr>
          <w:rFonts w:ascii="Century Gothic" w:eastAsiaTheme="minorEastAsia" w:hAnsi="Century Gothic" w:cs="Arial"/>
          <w:color w:val="000000" w:themeColor="text1"/>
        </w:rPr>
        <w:t xml:space="preserve"> than deliberate human wrongdoing</w:t>
      </w:r>
      <w:r w:rsidR="000204A5" w:rsidRPr="00F75DBD">
        <w:rPr>
          <w:rFonts w:ascii="Century Gothic" w:eastAsiaTheme="minorEastAsia" w:hAnsi="Century Gothic" w:cs="Arial"/>
          <w:color w:val="000000" w:themeColor="text1"/>
        </w:rPr>
        <w:t xml:space="preserve">. </w:t>
      </w:r>
      <w:r w:rsidR="00A30FD0" w:rsidRPr="00F75DBD">
        <w:rPr>
          <w:rFonts w:ascii="Century Gothic" w:eastAsiaTheme="minorEastAsia" w:hAnsi="Century Gothic" w:cs="Arial"/>
          <w:color w:val="000000" w:themeColor="text1"/>
        </w:rPr>
        <w:t xml:space="preserve">This has significant consequences for organisational responsibility. </w:t>
      </w:r>
      <w:r w:rsidR="006B4BF2" w:rsidRPr="00F75DBD">
        <w:rPr>
          <w:rFonts w:ascii="Century Gothic" w:eastAsiaTheme="minorEastAsia" w:hAnsi="Century Gothic" w:cs="Arial"/>
          <w:color w:val="000000" w:themeColor="text1"/>
        </w:rPr>
        <w:t>This is a</w:t>
      </w:r>
      <w:r w:rsidR="00C56F5D" w:rsidRPr="00F75DBD">
        <w:rPr>
          <w:rFonts w:ascii="Century Gothic" w:eastAsiaTheme="minorEastAsia" w:hAnsi="Century Gothic" w:cs="Arial"/>
          <w:color w:val="000000" w:themeColor="text1"/>
        </w:rPr>
        <w:t xml:space="preserve"> position </w:t>
      </w:r>
      <w:r w:rsidR="006B4BF2" w:rsidRPr="00F75DBD">
        <w:rPr>
          <w:rFonts w:ascii="Century Gothic" w:eastAsiaTheme="minorEastAsia" w:hAnsi="Century Gothic" w:cs="Arial"/>
          <w:color w:val="000000" w:themeColor="text1"/>
        </w:rPr>
        <w:t xml:space="preserve">that was </w:t>
      </w:r>
      <w:r w:rsidR="00C56F5D" w:rsidRPr="00F75DBD">
        <w:rPr>
          <w:rFonts w:ascii="Century Gothic" w:eastAsiaTheme="minorEastAsia" w:hAnsi="Century Gothic" w:cs="Arial"/>
          <w:color w:val="000000" w:themeColor="text1"/>
        </w:rPr>
        <w:t>criticised vigorously by Commissioner Hayne</w:t>
      </w:r>
      <w:r w:rsidR="000254E9" w:rsidRPr="00F75DBD">
        <w:rPr>
          <w:rFonts w:ascii="Century Gothic" w:eastAsiaTheme="minorEastAsia" w:hAnsi="Century Gothic" w:cs="Arial"/>
          <w:color w:val="000000" w:themeColor="text1"/>
        </w:rPr>
        <w:t xml:space="preserve"> in the FSRC Final Report</w:t>
      </w:r>
      <w:r w:rsidR="00A30FD0" w:rsidRPr="00F75DBD">
        <w:rPr>
          <w:rFonts w:ascii="Century Gothic" w:eastAsiaTheme="minorEastAsia" w:hAnsi="Century Gothic" w:cs="Arial"/>
          <w:color w:val="000000" w:themeColor="text1"/>
        </w:rPr>
        <w:t>,</w:t>
      </w:r>
      <w:r w:rsidR="00246382" w:rsidRPr="00F75DBD">
        <w:rPr>
          <w:rStyle w:val="FootnoteReference"/>
          <w:rFonts w:ascii="Century Gothic" w:eastAsiaTheme="minorEastAsia" w:hAnsi="Century Gothic" w:cs="Arial"/>
          <w:color w:val="000000" w:themeColor="text1"/>
        </w:rPr>
        <w:footnoteReference w:id="27"/>
      </w:r>
      <w:r w:rsidR="00A30FD0" w:rsidRPr="00F75DBD">
        <w:rPr>
          <w:rFonts w:ascii="Century Gothic" w:eastAsiaTheme="minorEastAsia" w:hAnsi="Century Gothic" w:cs="Arial"/>
          <w:color w:val="000000" w:themeColor="text1"/>
        </w:rPr>
        <w:t xml:space="preserve"> who tried to demonstrate how the ‘fees for no services’ cases could be understood in terms of </w:t>
      </w:r>
      <w:r w:rsidR="00A30FD0" w:rsidRPr="00F75DBD">
        <w:rPr>
          <w:rFonts w:ascii="Century Gothic" w:eastAsiaTheme="minorEastAsia" w:hAnsi="Century Gothic" w:cs="Arial"/>
          <w:color w:val="000000" w:themeColor="text1"/>
        </w:rPr>
        <w:lastRenderedPageBreak/>
        <w:t xml:space="preserve">dishonesty, using the </w:t>
      </w:r>
      <w:r w:rsidR="00AF3389" w:rsidRPr="00F75DBD">
        <w:rPr>
          <w:rFonts w:ascii="Century Gothic" w:eastAsiaTheme="minorEastAsia" w:hAnsi="Century Gothic" w:cs="Arial"/>
          <w:color w:val="000000" w:themeColor="text1"/>
        </w:rPr>
        <w:t xml:space="preserve">law’s </w:t>
      </w:r>
      <w:r w:rsidR="00A30FD0" w:rsidRPr="00F75DBD">
        <w:rPr>
          <w:rFonts w:ascii="Century Gothic" w:eastAsiaTheme="minorEastAsia" w:hAnsi="Century Gothic" w:cs="Arial"/>
          <w:color w:val="000000" w:themeColor="text1"/>
        </w:rPr>
        <w:t>traditional, individualistic attribution rules</w:t>
      </w:r>
      <w:r w:rsidR="0076354F" w:rsidRPr="00F75DBD">
        <w:rPr>
          <w:rFonts w:ascii="Century Gothic" w:eastAsiaTheme="minorEastAsia" w:hAnsi="Century Gothic" w:cs="Arial"/>
          <w:color w:val="000000" w:themeColor="text1"/>
        </w:rPr>
        <w:t>.</w:t>
      </w:r>
      <w:r w:rsidR="00841DEB" w:rsidRPr="00F75DBD">
        <w:rPr>
          <w:rStyle w:val="FootnoteReference"/>
          <w:rFonts w:ascii="Century Gothic" w:eastAsiaTheme="minorEastAsia" w:hAnsi="Century Gothic" w:cs="Arial"/>
          <w:color w:val="000000" w:themeColor="text1"/>
        </w:rPr>
        <w:footnoteReference w:id="28"/>
      </w:r>
      <w:r w:rsidR="0076354F" w:rsidRPr="00F75DBD">
        <w:rPr>
          <w:rFonts w:ascii="Century Gothic" w:eastAsiaTheme="minorEastAsia" w:hAnsi="Century Gothic" w:cs="Arial"/>
          <w:color w:val="000000" w:themeColor="text1"/>
        </w:rPr>
        <w:t xml:space="preserve"> </w:t>
      </w:r>
      <w:r w:rsidR="00C56F5D" w:rsidRPr="00F75DBD">
        <w:rPr>
          <w:rFonts w:ascii="Century Gothic" w:eastAsiaTheme="minorEastAsia" w:hAnsi="Century Gothic" w:cs="Arial"/>
          <w:color w:val="000000" w:themeColor="text1"/>
        </w:rPr>
        <w:t xml:space="preserve">Yet the longstanding effectiveness of these </w:t>
      </w:r>
      <w:r w:rsidR="00AF3389" w:rsidRPr="00F75DBD">
        <w:rPr>
          <w:rFonts w:ascii="Century Gothic" w:eastAsiaTheme="minorEastAsia" w:hAnsi="Century Gothic" w:cs="Arial"/>
          <w:color w:val="000000" w:themeColor="text1"/>
        </w:rPr>
        <w:t>narratives</w:t>
      </w:r>
      <w:r w:rsidR="00A30FD0" w:rsidRPr="00F75DBD">
        <w:rPr>
          <w:rFonts w:ascii="Century Gothic" w:eastAsiaTheme="minorEastAsia" w:hAnsi="Century Gothic" w:cs="Arial"/>
          <w:color w:val="000000" w:themeColor="text1"/>
        </w:rPr>
        <w:t>, including in the wake of Commissioner Hayne’s analysis,</w:t>
      </w:r>
      <w:r w:rsidR="00C56F5D" w:rsidRPr="00F75DBD">
        <w:rPr>
          <w:rFonts w:ascii="Century Gothic" w:eastAsiaTheme="minorEastAsia" w:hAnsi="Century Gothic" w:cs="Arial"/>
          <w:color w:val="000000" w:themeColor="text1"/>
        </w:rPr>
        <w:t xml:space="preserve"> bears testament to their </w:t>
      </w:r>
      <w:r w:rsidR="00A30FD0" w:rsidRPr="00F75DBD">
        <w:rPr>
          <w:rFonts w:ascii="Century Gothic" w:eastAsiaTheme="minorEastAsia" w:hAnsi="Century Gothic" w:cs="Arial"/>
          <w:color w:val="000000" w:themeColor="text1"/>
        </w:rPr>
        <w:t xml:space="preserve">continuing </w:t>
      </w:r>
      <w:r w:rsidR="00C56F5D" w:rsidRPr="00F75DBD">
        <w:rPr>
          <w:rFonts w:ascii="Century Gothic" w:eastAsiaTheme="minorEastAsia" w:hAnsi="Century Gothic" w:cs="Arial"/>
          <w:color w:val="000000" w:themeColor="text1"/>
        </w:rPr>
        <w:t xml:space="preserve">utility. And, in the Robodebt context, </w:t>
      </w:r>
      <w:r w:rsidR="00EB7684" w:rsidRPr="00F75DBD">
        <w:rPr>
          <w:rFonts w:ascii="Century Gothic" w:eastAsiaTheme="minorEastAsia" w:hAnsi="Century Gothic" w:cs="Arial"/>
          <w:color w:val="000000" w:themeColor="text1"/>
        </w:rPr>
        <w:t>many members of the public</w:t>
      </w:r>
      <w:r w:rsidR="0076354F" w:rsidRPr="00F75DBD">
        <w:rPr>
          <w:rFonts w:ascii="Century Gothic" w:eastAsiaTheme="minorEastAsia" w:hAnsi="Century Gothic" w:cs="Arial"/>
          <w:color w:val="000000" w:themeColor="text1"/>
        </w:rPr>
        <w:t>, lacking computer literacy, many well sympa</w:t>
      </w:r>
      <w:r w:rsidR="001B19C2">
        <w:rPr>
          <w:rFonts w:ascii="Century Gothic" w:eastAsiaTheme="minorEastAsia" w:hAnsi="Century Gothic" w:cs="Arial"/>
          <w:color w:val="000000" w:themeColor="text1"/>
        </w:rPr>
        <w:t>thise with public servants, or M</w:t>
      </w:r>
      <w:r w:rsidR="0076354F" w:rsidRPr="00F75DBD">
        <w:rPr>
          <w:rFonts w:ascii="Century Gothic" w:eastAsiaTheme="minorEastAsia" w:hAnsi="Century Gothic" w:cs="Arial"/>
          <w:color w:val="000000" w:themeColor="text1"/>
        </w:rPr>
        <w:t>inisters, who claim that they relied on experts</w:t>
      </w:r>
      <w:r w:rsidR="004D7440" w:rsidRPr="00F75DBD">
        <w:rPr>
          <w:rFonts w:ascii="Century Gothic" w:eastAsiaTheme="minorEastAsia" w:hAnsi="Century Gothic" w:cs="Arial"/>
          <w:color w:val="000000" w:themeColor="text1"/>
        </w:rPr>
        <w:t xml:space="preserve"> to design the </w:t>
      </w:r>
      <w:r w:rsidR="00BA5E55" w:rsidRPr="00F75DBD">
        <w:rPr>
          <w:rFonts w:ascii="Century Gothic" w:eastAsiaTheme="minorEastAsia" w:hAnsi="Century Gothic" w:cs="Arial"/>
          <w:color w:val="000000" w:themeColor="text1"/>
        </w:rPr>
        <w:t xml:space="preserve">automated </w:t>
      </w:r>
      <w:r w:rsidR="004D7440" w:rsidRPr="00F75DBD">
        <w:rPr>
          <w:rFonts w:ascii="Century Gothic" w:eastAsiaTheme="minorEastAsia" w:hAnsi="Century Gothic" w:cs="Arial"/>
          <w:color w:val="000000" w:themeColor="text1"/>
        </w:rPr>
        <w:t>system</w:t>
      </w:r>
      <w:r w:rsidR="00BA5E55" w:rsidRPr="00F75DBD">
        <w:rPr>
          <w:rFonts w:ascii="Century Gothic" w:eastAsiaTheme="minorEastAsia" w:hAnsi="Century Gothic" w:cs="Arial"/>
          <w:color w:val="000000" w:themeColor="text1"/>
        </w:rPr>
        <w:t xml:space="preserve"> at the heart of the problem</w:t>
      </w:r>
      <w:r w:rsidR="004D7440" w:rsidRPr="00F75DBD">
        <w:rPr>
          <w:rFonts w:ascii="Century Gothic" w:eastAsiaTheme="minorEastAsia" w:hAnsi="Century Gothic" w:cs="Arial"/>
          <w:color w:val="000000" w:themeColor="text1"/>
        </w:rPr>
        <w:t>.</w:t>
      </w:r>
      <w:r w:rsidR="00AF3389" w:rsidRPr="00F75DBD">
        <w:rPr>
          <w:rFonts w:ascii="Century Gothic" w:eastAsiaTheme="minorEastAsia" w:hAnsi="Century Gothic" w:cs="Arial"/>
          <w:color w:val="000000" w:themeColor="text1"/>
        </w:rPr>
        <w:t xml:space="preserve"> As I will explain, however, this sort of strategy of denial should not be permitted to obscure objective assessment of the true nature of the Government’s organisational blameworthiness.</w:t>
      </w:r>
    </w:p>
    <w:p w:rsidR="00D91EAE" w:rsidRPr="005C3808" w:rsidRDefault="000077EC" w:rsidP="00E53E8C">
      <w:pPr>
        <w:pStyle w:val="Heading1"/>
        <w:numPr>
          <w:ilvl w:val="0"/>
          <w:numId w:val="17"/>
        </w:numPr>
        <w:rPr>
          <w:rFonts w:ascii="Century Gothic" w:eastAsiaTheme="minorEastAsia" w:hAnsi="Century Gothic"/>
          <w:b/>
        </w:rPr>
      </w:pPr>
      <w:bookmarkStart w:id="2" w:name="_Toc116481925"/>
      <w:r w:rsidRPr="005C3808">
        <w:rPr>
          <w:rFonts w:ascii="Century Gothic" w:eastAsiaTheme="minorEastAsia" w:hAnsi="Century Gothic"/>
          <w:b/>
        </w:rPr>
        <w:t>Systems Intentionality</w:t>
      </w:r>
      <w:r w:rsidR="009754BD" w:rsidRPr="005C3808">
        <w:rPr>
          <w:rFonts w:ascii="Century Gothic" w:eastAsiaTheme="minorEastAsia" w:hAnsi="Century Gothic"/>
          <w:b/>
        </w:rPr>
        <w:t xml:space="preserve"> explained</w:t>
      </w:r>
      <w:bookmarkEnd w:id="2"/>
    </w:p>
    <w:p w:rsidR="00A30FD0" w:rsidRPr="00F75DBD" w:rsidRDefault="00BA5E55" w:rsidP="00732DB1">
      <w:pPr>
        <w:jc w:val="both"/>
        <w:rPr>
          <w:rFonts w:ascii="Century Gothic" w:hAnsi="Century Gothic"/>
        </w:rPr>
      </w:pPr>
      <w:r w:rsidRPr="00F75DBD">
        <w:rPr>
          <w:rFonts w:ascii="Century Gothic" w:hAnsi="Century Gothic"/>
        </w:rPr>
        <w:t xml:space="preserve">Having </w:t>
      </w:r>
      <w:r w:rsidR="009754BD" w:rsidRPr="00F75DBD">
        <w:rPr>
          <w:rFonts w:ascii="Century Gothic" w:hAnsi="Century Gothic"/>
        </w:rPr>
        <w:t>outlined</w:t>
      </w:r>
      <w:r w:rsidRPr="00F75DBD">
        <w:rPr>
          <w:rFonts w:ascii="Century Gothic" w:hAnsi="Century Gothic"/>
        </w:rPr>
        <w:t xml:space="preserve"> the basic features of the Robodebt Scheme, and </w:t>
      </w:r>
      <w:r w:rsidR="00EB7684" w:rsidRPr="00F75DBD">
        <w:rPr>
          <w:rFonts w:ascii="Century Gothic" w:hAnsi="Century Gothic"/>
        </w:rPr>
        <w:t>some of the typical</w:t>
      </w:r>
      <w:r w:rsidRPr="00F75DBD">
        <w:rPr>
          <w:rFonts w:ascii="Century Gothic" w:hAnsi="Century Gothic"/>
        </w:rPr>
        <w:t xml:space="preserve"> exculpatory narratives that seek to reduce organisational blameworthiness, we are now in a positio</w:t>
      </w:r>
      <w:r w:rsidR="00EB7684" w:rsidRPr="00F75DBD">
        <w:rPr>
          <w:rFonts w:ascii="Century Gothic" w:hAnsi="Century Gothic"/>
        </w:rPr>
        <w:t xml:space="preserve">n to consider a fresh approach to organisational responsibility. </w:t>
      </w:r>
      <w:r w:rsidR="00A30FD0" w:rsidRPr="00F75DBD">
        <w:rPr>
          <w:rFonts w:ascii="Century Gothic" w:hAnsi="Century Gothic"/>
        </w:rPr>
        <w:t>This seeks to address the challenges to holding organisations responsible for egregious misconduct in a principled and practically workable way.</w:t>
      </w:r>
    </w:p>
    <w:p w:rsidR="00F94C53" w:rsidRPr="00F75DBD" w:rsidRDefault="000077EC" w:rsidP="00732DB1">
      <w:pPr>
        <w:jc w:val="both"/>
        <w:rPr>
          <w:rFonts w:ascii="Century Gothic" w:hAnsi="Century Gothic"/>
        </w:rPr>
      </w:pPr>
      <w:r w:rsidRPr="00F75DBD">
        <w:rPr>
          <w:rFonts w:ascii="Century Gothic" w:hAnsi="Century Gothic"/>
        </w:rPr>
        <w:t xml:space="preserve">In brief, </w:t>
      </w:r>
      <w:r w:rsidR="00EB7684" w:rsidRPr="00F75DBD">
        <w:rPr>
          <w:rFonts w:ascii="Century Gothic" w:hAnsi="Century Gothic"/>
        </w:rPr>
        <w:t xml:space="preserve">my model of </w:t>
      </w:r>
      <w:r w:rsidRPr="00F75DBD">
        <w:rPr>
          <w:rFonts w:ascii="Century Gothic" w:hAnsi="Century Gothic"/>
        </w:rPr>
        <w:t xml:space="preserve">Systems Intentionality proposes that </w:t>
      </w:r>
      <w:r w:rsidR="00E764B0" w:rsidRPr="00F75DBD">
        <w:rPr>
          <w:rFonts w:ascii="Century Gothic" w:hAnsi="Century Gothic"/>
          <w:b/>
          <w:i/>
        </w:rPr>
        <w:t>corporate</w:t>
      </w:r>
      <w:r w:rsidRPr="00F75DBD">
        <w:rPr>
          <w:rFonts w:ascii="Century Gothic" w:hAnsi="Century Gothic"/>
          <w:b/>
          <w:i/>
        </w:rPr>
        <w:t xml:space="preserve"> states of mind are manifested in their systems of conduct, policies and practices</w:t>
      </w:r>
      <w:r w:rsidRPr="00F75DBD">
        <w:rPr>
          <w:rFonts w:ascii="Century Gothic" w:hAnsi="Century Gothic"/>
        </w:rPr>
        <w:t xml:space="preserve">. </w:t>
      </w:r>
      <w:r w:rsidR="00E764B0" w:rsidRPr="00F75DBD">
        <w:rPr>
          <w:rFonts w:ascii="Century Gothic" w:hAnsi="Century Gothic"/>
        </w:rPr>
        <w:t xml:space="preserve">The suggestion I make to </w:t>
      </w:r>
      <w:r w:rsidR="00B938B3" w:rsidRPr="00F75DBD">
        <w:rPr>
          <w:rFonts w:ascii="Century Gothic" w:hAnsi="Century Gothic"/>
        </w:rPr>
        <w:t>the Robodebt</w:t>
      </w:r>
      <w:r w:rsidR="00E764B0" w:rsidRPr="00F75DBD">
        <w:rPr>
          <w:rFonts w:ascii="Century Gothic" w:hAnsi="Century Gothic"/>
        </w:rPr>
        <w:t xml:space="preserve"> Royal Commission is that the same model can be usefully applied to other forms of organisation, including governments. </w:t>
      </w:r>
      <w:r w:rsidR="008660F9" w:rsidRPr="00F75DBD">
        <w:rPr>
          <w:rFonts w:ascii="Century Gothic" w:hAnsi="Century Gothic"/>
        </w:rPr>
        <w:t xml:space="preserve">In particular, it sheds considerable light on the Government’s intention and knowledge </w:t>
      </w:r>
      <w:r w:rsidR="000254E9" w:rsidRPr="00F75DBD">
        <w:rPr>
          <w:rFonts w:ascii="Century Gothic" w:hAnsi="Century Gothic"/>
        </w:rPr>
        <w:t>manifested through</w:t>
      </w:r>
      <w:r w:rsidR="008660F9" w:rsidRPr="00F75DBD">
        <w:rPr>
          <w:rFonts w:ascii="Century Gothic" w:hAnsi="Century Gothic"/>
        </w:rPr>
        <w:t xml:space="preserve"> the Robodebt Scheme.</w:t>
      </w:r>
      <w:r w:rsidR="00AF3389" w:rsidRPr="00F75DBD">
        <w:rPr>
          <w:rFonts w:ascii="Century Gothic" w:hAnsi="Century Gothic"/>
        </w:rPr>
        <w:t xml:space="preserve"> From these building blocks it is possible to understand the Government’s level of culpability as being of the most significant, and egregious, kind.</w:t>
      </w:r>
    </w:p>
    <w:p w:rsidR="00EB7684" w:rsidRPr="00F75DBD" w:rsidRDefault="000077EC" w:rsidP="00732DB1">
      <w:pPr>
        <w:jc w:val="both"/>
        <w:rPr>
          <w:rFonts w:ascii="Century Gothic" w:hAnsi="Century Gothic"/>
        </w:rPr>
      </w:pPr>
      <w:r w:rsidRPr="00F75DBD">
        <w:rPr>
          <w:rFonts w:ascii="Century Gothic" w:hAnsi="Century Gothic"/>
        </w:rPr>
        <w:t xml:space="preserve">The basic idea </w:t>
      </w:r>
      <w:r w:rsidR="008660F9" w:rsidRPr="00F75DBD">
        <w:rPr>
          <w:rFonts w:ascii="Century Gothic" w:hAnsi="Century Gothic"/>
        </w:rPr>
        <w:t xml:space="preserve">of Systems Intentionality </w:t>
      </w:r>
      <w:r w:rsidRPr="00F75DBD">
        <w:rPr>
          <w:rFonts w:ascii="Century Gothic" w:hAnsi="Century Gothic"/>
        </w:rPr>
        <w:t>is extremely simple</w:t>
      </w:r>
      <w:r w:rsidR="00E764B0" w:rsidRPr="00F75DBD">
        <w:rPr>
          <w:rFonts w:ascii="Century Gothic" w:hAnsi="Century Gothic"/>
        </w:rPr>
        <w:t xml:space="preserve"> and intuitive</w:t>
      </w:r>
      <w:r w:rsidRPr="00F75DBD">
        <w:rPr>
          <w:rFonts w:ascii="Century Gothic" w:hAnsi="Century Gothic"/>
        </w:rPr>
        <w:t>. Natural persons routinely use systems of conduct to guide their decision-making and, hence, conduct.</w:t>
      </w:r>
      <w:r w:rsidR="006314B4" w:rsidRPr="00F75DBD">
        <w:rPr>
          <w:rStyle w:val="FootnoteReference"/>
          <w:rFonts w:ascii="Century Gothic" w:hAnsi="Century Gothic"/>
        </w:rPr>
        <w:footnoteReference w:id="29"/>
      </w:r>
      <w:r w:rsidRPr="00F75DBD">
        <w:rPr>
          <w:rFonts w:ascii="Century Gothic" w:hAnsi="Century Gothic"/>
        </w:rPr>
        <w:t xml:space="preserve"> Common examples are recipes, maps and notations. These ‘external decision supports’ enable </w:t>
      </w:r>
      <w:r w:rsidR="008660F9" w:rsidRPr="00F75DBD">
        <w:rPr>
          <w:rFonts w:ascii="Century Gothic" w:hAnsi="Century Gothic"/>
        </w:rPr>
        <w:t>a</w:t>
      </w:r>
      <w:r w:rsidRPr="00F75DBD">
        <w:rPr>
          <w:rFonts w:ascii="Century Gothic" w:hAnsi="Century Gothic"/>
        </w:rPr>
        <w:t xml:space="preserve"> person to achieve their purpose: to make a cake, find a location, or recall how to do something. </w:t>
      </w:r>
      <w:r w:rsidR="00EB7684" w:rsidRPr="00F75DBD">
        <w:rPr>
          <w:rFonts w:ascii="Century Gothic" w:hAnsi="Century Gothic"/>
        </w:rPr>
        <w:t xml:space="preserve">Thus when I am observed applying a cake recipe, it is simple to understand that I mean (intend) to </w:t>
      </w:r>
      <w:r w:rsidR="008660F9" w:rsidRPr="00F75DBD">
        <w:rPr>
          <w:rFonts w:ascii="Century Gothic" w:hAnsi="Century Gothic"/>
        </w:rPr>
        <w:t xml:space="preserve">engage in baking (my intended conduct) in order to </w:t>
      </w:r>
      <w:r w:rsidR="00EB7684" w:rsidRPr="00F75DBD">
        <w:rPr>
          <w:rFonts w:ascii="Century Gothic" w:hAnsi="Century Gothic"/>
        </w:rPr>
        <w:t>make a cake</w:t>
      </w:r>
      <w:r w:rsidR="008660F9" w:rsidRPr="00F75DBD">
        <w:rPr>
          <w:rFonts w:ascii="Century Gothic" w:hAnsi="Century Gothic"/>
        </w:rPr>
        <w:t xml:space="preserve"> (my intended result of that conduct)</w:t>
      </w:r>
      <w:r w:rsidR="00EB7684" w:rsidRPr="00F75DBD">
        <w:rPr>
          <w:rFonts w:ascii="Century Gothic" w:hAnsi="Century Gothic"/>
        </w:rPr>
        <w:t>. Further, some of my knowledge is patent from my successful application of the recipe: I must know what flour is, the process of beating eggs and so on</w:t>
      </w:r>
      <w:r w:rsidR="004478EB" w:rsidRPr="00F75DBD">
        <w:rPr>
          <w:rFonts w:ascii="Century Gothic" w:hAnsi="Century Gothic"/>
        </w:rPr>
        <w:t>, in order successfully to apply the recipe-system of conduct</w:t>
      </w:r>
      <w:r w:rsidR="00EB7684" w:rsidRPr="00F75DBD">
        <w:rPr>
          <w:rFonts w:ascii="Century Gothic" w:hAnsi="Century Gothic"/>
        </w:rPr>
        <w:t xml:space="preserve">. No mind-reading is required: we can </w:t>
      </w:r>
      <w:r w:rsidR="004478EB" w:rsidRPr="00F75DBD">
        <w:rPr>
          <w:rFonts w:ascii="Century Gothic" w:hAnsi="Century Gothic"/>
        </w:rPr>
        <w:t xml:space="preserve">objectively </w:t>
      </w:r>
      <w:r w:rsidR="008660F9" w:rsidRPr="00F75DBD">
        <w:rPr>
          <w:rFonts w:ascii="Century Gothic" w:hAnsi="Century Gothic"/>
        </w:rPr>
        <w:t>assess and understand</w:t>
      </w:r>
      <w:r w:rsidR="00EB7684" w:rsidRPr="00F75DBD">
        <w:rPr>
          <w:rFonts w:ascii="Century Gothic" w:hAnsi="Century Gothic"/>
        </w:rPr>
        <w:t xml:space="preserve"> my state of mind from the system of conduct that I deploy.</w:t>
      </w:r>
    </w:p>
    <w:p w:rsidR="00EB7684" w:rsidRPr="00F75DBD" w:rsidRDefault="000077EC" w:rsidP="00732DB1">
      <w:pPr>
        <w:jc w:val="both"/>
        <w:rPr>
          <w:rFonts w:ascii="Century Gothic" w:hAnsi="Century Gothic"/>
        </w:rPr>
      </w:pPr>
      <w:r w:rsidRPr="00F75DBD">
        <w:rPr>
          <w:rFonts w:ascii="Century Gothic" w:hAnsi="Century Gothic"/>
        </w:rPr>
        <w:t xml:space="preserve">Similarly, corporations utilise systems of conduct to enable them to achieve their </w:t>
      </w:r>
      <w:r w:rsidR="00E764B0" w:rsidRPr="00F75DBD">
        <w:rPr>
          <w:rFonts w:ascii="Century Gothic" w:hAnsi="Century Gothic"/>
        </w:rPr>
        <w:t>organisational</w:t>
      </w:r>
      <w:r w:rsidRPr="00F75DBD">
        <w:rPr>
          <w:rFonts w:ascii="Century Gothic" w:hAnsi="Century Gothic"/>
        </w:rPr>
        <w:t xml:space="preserve"> purposes. </w:t>
      </w:r>
      <w:r w:rsidR="00EB7684" w:rsidRPr="00F75DBD">
        <w:rPr>
          <w:rFonts w:ascii="Century Gothic" w:hAnsi="Century Gothic"/>
        </w:rPr>
        <w:t>This is necessary</w:t>
      </w:r>
      <w:r w:rsidR="00AF3389" w:rsidRPr="00F75DBD">
        <w:rPr>
          <w:rFonts w:ascii="Century Gothic" w:hAnsi="Century Gothic"/>
        </w:rPr>
        <w:t xml:space="preserve"> not least</w:t>
      </w:r>
      <w:r w:rsidR="00EB7684" w:rsidRPr="00F75DBD">
        <w:rPr>
          <w:rFonts w:ascii="Century Gothic" w:hAnsi="Century Gothic"/>
        </w:rPr>
        <w:t xml:space="preserve"> because the humans through which </w:t>
      </w:r>
      <w:r w:rsidR="00E21376" w:rsidRPr="00F75DBD">
        <w:rPr>
          <w:rFonts w:ascii="Century Gothic" w:hAnsi="Century Gothic"/>
        </w:rPr>
        <w:t>they</w:t>
      </w:r>
      <w:r w:rsidR="00EB7684" w:rsidRPr="00F75DBD">
        <w:rPr>
          <w:rFonts w:ascii="Century Gothic" w:hAnsi="Century Gothic"/>
        </w:rPr>
        <w:t xml:space="preserve"> act change, die, go on sick leave, get promoted and, in some cases, are replaced by corporate actors. In every case, however, the objective features of the organisation’s systems </w:t>
      </w:r>
      <w:r w:rsidR="004478EB" w:rsidRPr="00F75DBD">
        <w:rPr>
          <w:rFonts w:ascii="Century Gothic" w:hAnsi="Century Gothic"/>
        </w:rPr>
        <w:t>manifest (in the dual senses of reveal and instantiate)</w:t>
      </w:r>
      <w:r w:rsidR="00EB7684" w:rsidRPr="00F75DBD">
        <w:rPr>
          <w:rFonts w:ascii="Century Gothic" w:hAnsi="Century Gothic"/>
        </w:rPr>
        <w:t xml:space="preserve"> its </w:t>
      </w:r>
      <w:r w:rsidR="00EB7684" w:rsidRPr="00F75DBD">
        <w:rPr>
          <w:rFonts w:ascii="Century Gothic" w:hAnsi="Century Gothic"/>
        </w:rPr>
        <w:lastRenderedPageBreak/>
        <w:t xml:space="preserve">purposes in so acting. Nor does the picture change if certain steps are automated: </w:t>
      </w:r>
      <w:r w:rsidR="00E21376" w:rsidRPr="00F75DBD">
        <w:rPr>
          <w:rFonts w:ascii="Century Gothic" w:hAnsi="Century Gothic"/>
        </w:rPr>
        <w:t xml:space="preserve">returning to my cake example, </w:t>
      </w:r>
      <w:r w:rsidR="00EB7684" w:rsidRPr="00F75DBD">
        <w:rPr>
          <w:rFonts w:ascii="Century Gothic" w:hAnsi="Century Gothic"/>
        </w:rPr>
        <w:t xml:space="preserve">the fact that I use a food processor for one stage in my recipe makes no difference to </w:t>
      </w:r>
      <w:r w:rsidR="008660F9" w:rsidRPr="00F75DBD">
        <w:rPr>
          <w:rFonts w:ascii="Century Gothic" w:hAnsi="Century Gothic"/>
        </w:rPr>
        <w:t>the</w:t>
      </w:r>
      <w:r w:rsidR="00EB7684" w:rsidRPr="00F75DBD">
        <w:rPr>
          <w:rFonts w:ascii="Century Gothic" w:hAnsi="Century Gothic"/>
        </w:rPr>
        <w:t xml:space="preserve"> ability to </w:t>
      </w:r>
      <w:r w:rsidR="008660F9" w:rsidRPr="00F75DBD">
        <w:rPr>
          <w:rFonts w:ascii="Century Gothic" w:hAnsi="Century Gothic"/>
        </w:rPr>
        <w:t>assess</w:t>
      </w:r>
      <w:r w:rsidR="00EB7684" w:rsidRPr="00F75DBD">
        <w:rPr>
          <w:rFonts w:ascii="Century Gothic" w:hAnsi="Century Gothic"/>
        </w:rPr>
        <w:t xml:space="preserve"> my state of mind from the system of conduct that I deploy. So too it is with corporations. And so too it is, I think, for other </w:t>
      </w:r>
      <w:r w:rsidR="00E21376" w:rsidRPr="00F75DBD">
        <w:rPr>
          <w:rFonts w:ascii="Century Gothic" w:hAnsi="Century Gothic"/>
        </w:rPr>
        <w:t>organisations, such as governments.</w:t>
      </w:r>
    </w:p>
    <w:p w:rsidR="004478EB" w:rsidRPr="005C3808" w:rsidRDefault="004478EB" w:rsidP="005C3808">
      <w:pPr>
        <w:pStyle w:val="Heading1"/>
        <w:numPr>
          <w:ilvl w:val="0"/>
          <w:numId w:val="17"/>
        </w:numPr>
        <w:rPr>
          <w:rFonts w:ascii="Century Gothic" w:eastAsiaTheme="minorEastAsia" w:hAnsi="Century Gothic"/>
          <w:b/>
        </w:rPr>
      </w:pPr>
      <w:bookmarkStart w:id="3" w:name="_Toc116481926"/>
      <w:r w:rsidRPr="005C3808">
        <w:rPr>
          <w:rFonts w:ascii="Century Gothic" w:hAnsi="Century Gothic"/>
          <w:b/>
        </w:rPr>
        <w:t>Systems</w:t>
      </w:r>
      <w:r w:rsidRPr="005C3808">
        <w:rPr>
          <w:rFonts w:ascii="Century Gothic" w:eastAsiaTheme="minorEastAsia" w:hAnsi="Century Gothic"/>
          <w:b/>
        </w:rPr>
        <w:t xml:space="preserve"> Intentionality and the plain facts of Robodebt</w:t>
      </w:r>
      <w:bookmarkEnd w:id="3"/>
    </w:p>
    <w:p w:rsidR="004478EB" w:rsidRPr="00F75DBD" w:rsidRDefault="004478EB" w:rsidP="00732DB1">
      <w:pPr>
        <w:jc w:val="both"/>
        <w:rPr>
          <w:rFonts w:ascii="Century Gothic" w:hAnsi="Century Gothic"/>
        </w:rPr>
      </w:pPr>
      <w:r w:rsidRPr="00F75DBD">
        <w:rPr>
          <w:rFonts w:ascii="Century Gothic" w:hAnsi="Century Gothic"/>
        </w:rPr>
        <w:t xml:space="preserve">This simple idea offers some powerful insights for understanding the Government’s intentionality manifested by the barest outline of the system of conduct known as the Robodebt scheme. </w:t>
      </w:r>
    </w:p>
    <w:p w:rsidR="004478EB" w:rsidRPr="00F75DBD" w:rsidRDefault="004478EB" w:rsidP="00732DB1">
      <w:pPr>
        <w:jc w:val="both"/>
        <w:rPr>
          <w:rFonts w:ascii="Century Gothic" w:hAnsi="Century Gothic"/>
        </w:rPr>
      </w:pPr>
      <w:r w:rsidRPr="00F75DBD">
        <w:rPr>
          <w:rFonts w:ascii="Century Gothic" w:hAnsi="Century Gothic"/>
        </w:rPr>
        <w:t>On this account, s</w:t>
      </w:r>
      <w:r w:rsidR="00E764B0" w:rsidRPr="00F75DBD">
        <w:rPr>
          <w:rFonts w:ascii="Century Gothic" w:hAnsi="Century Gothic"/>
        </w:rPr>
        <w:t>ystems of conduct are inherently purposive: this is the very nature of a system. An unintended system is a contradiction in terms. Language gives this away: systems are ‘plans’, ‘strategies’, or ‘methods’ of proceeding to some end.</w:t>
      </w:r>
      <w:r w:rsidR="000204A5" w:rsidRPr="00F75DBD">
        <w:rPr>
          <w:rStyle w:val="FootnoteReference"/>
          <w:rFonts w:ascii="Century Gothic" w:hAnsi="Century Gothic"/>
        </w:rPr>
        <w:footnoteReference w:id="30"/>
      </w:r>
      <w:r w:rsidR="00E764B0" w:rsidRPr="00F75DBD">
        <w:rPr>
          <w:rFonts w:ascii="Century Gothic" w:hAnsi="Century Gothic"/>
        </w:rPr>
        <w:t xml:space="preserve"> Or, in the case of Robodebt, a ‘scheme’. </w:t>
      </w:r>
      <w:r w:rsidR="008660F9" w:rsidRPr="00F75DBD">
        <w:rPr>
          <w:rFonts w:ascii="Century Gothic" w:hAnsi="Century Gothic"/>
        </w:rPr>
        <w:t>Absent proof of relevant mistake or similar (to which I return below), neither a corporation, nor a government, can sleep-walk a system of conduct.</w:t>
      </w:r>
      <w:r w:rsidR="008660F9" w:rsidRPr="00F75DBD">
        <w:rPr>
          <w:rStyle w:val="FootnoteReference"/>
          <w:rFonts w:ascii="Century Gothic" w:hAnsi="Century Gothic"/>
        </w:rPr>
        <w:footnoteReference w:id="31"/>
      </w:r>
      <w:r w:rsidR="008660F9" w:rsidRPr="00F75DBD">
        <w:rPr>
          <w:rFonts w:ascii="Century Gothic" w:hAnsi="Century Gothic"/>
        </w:rPr>
        <w:t xml:space="preserve"> </w:t>
      </w:r>
      <w:r w:rsidR="00E764B0" w:rsidRPr="00F75DBD">
        <w:rPr>
          <w:rFonts w:ascii="Century Gothic" w:hAnsi="Century Gothic"/>
        </w:rPr>
        <w:t xml:space="preserve">The starting point for any </w:t>
      </w:r>
      <w:r w:rsidR="008660F9" w:rsidRPr="00F75DBD">
        <w:rPr>
          <w:rFonts w:ascii="Century Gothic" w:hAnsi="Century Gothic"/>
        </w:rPr>
        <w:t xml:space="preserve">‘state of mind’ </w:t>
      </w:r>
      <w:r w:rsidR="00E764B0" w:rsidRPr="00F75DBD">
        <w:rPr>
          <w:rFonts w:ascii="Century Gothic" w:hAnsi="Century Gothic"/>
        </w:rPr>
        <w:t xml:space="preserve">analysis of </w:t>
      </w:r>
      <w:r w:rsidR="008660F9" w:rsidRPr="00F75DBD">
        <w:rPr>
          <w:rFonts w:ascii="Century Gothic" w:hAnsi="Century Gothic"/>
        </w:rPr>
        <w:t xml:space="preserve">the </w:t>
      </w:r>
      <w:r w:rsidR="00E764B0" w:rsidRPr="00F75DBD">
        <w:rPr>
          <w:rFonts w:ascii="Century Gothic" w:hAnsi="Century Gothic"/>
        </w:rPr>
        <w:t>Robodebt</w:t>
      </w:r>
      <w:r w:rsidR="008660F9" w:rsidRPr="00F75DBD">
        <w:rPr>
          <w:rFonts w:ascii="Century Gothic" w:hAnsi="Century Gothic"/>
        </w:rPr>
        <w:t xml:space="preserve"> scheme</w:t>
      </w:r>
      <w:r w:rsidR="00E764B0" w:rsidRPr="00F75DBD">
        <w:rPr>
          <w:rFonts w:ascii="Century Gothic" w:hAnsi="Century Gothic"/>
        </w:rPr>
        <w:t>, therefore, is that the</w:t>
      </w:r>
      <w:r w:rsidR="00E21376" w:rsidRPr="00F75DBD">
        <w:rPr>
          <w:rFonts w:ascii="Century Gothic" w:hAnsi="Century Gothic"/>
        </w:rPr>
        <w:t xml:space="preserve"> G</w:t>
      </w:r>
      <w:r w:rsidR="00E764B0" w:rsidRPr="00F75DBD">
        <w:rPr>
          <w:rFonts w:ascii="Century Gothic" w:hAnsi="Century Gothic"/>
        </w:rPr>
        <w:t xml:space="preserve">overnment intended to engage in that conduct, in the form of the scheme that was </w:t>
      </w:r>
      <w:r w:rsidR="008660F9" w:rsidRPr="00F75DBD">
        <w:rPr>
          <w:rFonts w:ascii="Century Gothic" w:hAnsi="Century Gothic"/>
        </w:rPr>
        <w:t xml:space="preserve">in fact </w:t>
      </w:r>
      <w:r w:rsidR="00E764B0" w:rsidRPr="00F75DBD">
        <w:rPr>
          <w:rFonts w:ascii="Century Gothic" w:hAnsi="Century Gothic"/>
        </w:rPr>
        <w:t>deployed.</w:t>
      </w:r>
      <w:r w:rsidR="00E21376" w:rsidRPr="00F75DBD">
        <w:rPr>
          <w:rFonts w:ascii="Century Gothic" w:hAnsi="Century Gothic"/>
        </w:rPr>
        <w:t xml:space="preserve"> </w:t>
      </w:r>
    </w:p>
    <w:p w:rsidR="00E21376" w:rsidRPr="00F75DBD" w:rsidRDefault="00E21376" w:rsidP="00732DB1">
      <w:pPr>
        <w:jc w:val="both"/>
        <w:rPr>
          <w:rFonts w:ascii="Century Gothic" w:hAnsi="Century Gothic"/>
        </w:rPr>
      </w:pPr>
      <w:r w:rsidRPr="00F75DBD">
        <w:rPr>
          <w:rFonts w:ascii="Century Gothic" w:hAnsi="Century Gothic"/>
        </w:rPr>
        <w:t xml:space="preserve">Further, </w:t>
      </w:r>
      <w:r w:rsidR="004478EB" w:rsidRPr="00F75DBD">
        <w:rPr>
          <w:rFonts w:ascii="Century Gothic" w:hAnsi="Century Gothic"/>
        </w:rPr>
        <w:t>on this account, the starting point for any inquiry into knowledge is that organisations know the nature of the conduct in which they are engaged through their systems. This means that t</w:t>
      </w:r>
      <w:r w:rsidRPr="00F75DBD">
        <w:rPr>
          <w:rFonts w:ascii="Century Gothic" w:hAnsi="Century Gothic"/>
        </w:rPr>
        <w:t xml:space="preserve">he Government </w:t>
      </w:r>
      <w:r w:rsidR="004478EB" w:rsidRPr="00F75DBD">
        <w:rPr>
          <w:rFonts w:ascii="Century Gothic" w:hAnsi="Century Gothic"/>
        </w:rPr>
        <w:t>should</w:t>
      </w:r>
      <w:r w:rsidRPr="00F75DBD">
        <w:rPr>
          <w:rFonts w:ascii="Century Gothic" w:hAnsi="Century Gothic"/>
        </w:rPr>
        <w:t xml:space="preserve"> be </w:t>
      </w:r>
      <w:r w:rsidR="00D734EB" w:rsidRPr="00F75DBD">
        <w:rPr>
          <w:rFonts w:ascii="Century Gothic" w:hAnsi="Century Gothic"/>
        </w:rPr>
        <w:t>taken</w:t>
      </w:r>
      <w:r w:rsidRPr="00F75DBD">
        <w:rPr>
          <w:rFonts w:ascii="Century Gothic" w:hAnsi="Century Gothic"/>
        </w:rPr>
        <w:t xml:space="preserve"> to know the core features of the Robodebt scheme, patent on its face, and essential to its operation.</w:t>
      </w:r>
      <w:r w:rsidR="004478EB" w:rsidRPr="00F75DBD">
        <w:rPr>
          <w:rFonts w:ascii="Century Gothic" w:hAnsi="Century Gothic"/>
        </w:rPr>
        <w:t xml:space="preserve"> Here, </w:t>
      </w:r>
      <w:r w:rsidR="008660F9" w:rsidRPr="00F75DBD">
        <w:rPr>
          <w:rFonts w:ascii="Century Gothic" w:hAnsi="Century Gothic"/>
        </w:rPr>
        <w:t xml:space="preserve">we have seen that </w:t>
      </w:r>
      <w:r w:rsidR="00163A47" w:rsidRPr="00F75DBD">
        <w:rPr>
          <w:rFonts w:ascii="Century Gothic" w:hAnsi="Century Gothic"/>
        </w:rPr>
        <w:t>the key, proactive features of the scheme</w:t>
      </w:r>
      <w:r w:rsidR="008660F9" w:rsidRPr="00F75DBD">
        <w:rPr>
          <w:rFonts w:ascii="Century Gothic" w:hAnsi="Century Gothic"/>
        </w:rPr>
        <w:t>, patent on its face,</w:t>
      </w:r>
      <w:r w:rsidR="00163A47" w:rsidRPr="00F75DBD">
        <w:rPr>
          <w:rFonts w:ascii="Century Gothic" w:hAnsi="Century Gothic"/>
        </w:rPr>
        <w:t xml:space="preserve"> were</w:t>
      </w:r>
      <w:r w:rsidRPr="00F75DBD">
        <w:rPr>
          <w:rFonts w:ascii="Century Gothic" w:hAnsi="Century Gothic"/>
        </w:rPr>
        <w:t>: (1) it was an automated scheme</w:t>
      </w:r>
      <w:r w:rsidR="003D0D73" w:rsidRPr="00F75DBD">
        <w:rPr>
          <w:rFonts w:ascii="Century Gothic" w:hAnsi="Century Gothic"/>
        </w:rPr>
        <w:t xml:space="preserve"> for calculating and raising debts</w:t>
      </w:r>
      <w:r w:rsidRPr="00F75DBD">
        <w:rPr>
          <w:rFonts w:ascii="Century Gothic" w:hAnsi="Century Gothic"/>
        </w:rPr>
        <w:t>; (2) premised on income averaging; (3) addressing a class of ‘social security recipients’; (4) members of which would, by definition, have insecure income.</w:t>
      </w:r>
      <w:r w:rsidR="00D734EB" w:rsidRPr="00F75DBD">
        <w:rPr>
          <w:rFonts w:ascii="Century Gothic" w:hAnsi="Century Gothic"/>
        </w:rPr>
        <w:t xml:space="preserve"> It follows that, in implementing the Robodebt scheme, the Government knew that, functioning according to its terms, the system would necessarily (be guaranteed to) impose false ‘debts’ on members of the target class. </w:t>
      </w:r>
    </w:p>
    <w:p w:rsidR="00B24A7C" w:rsidRPr="00F75DBD" w:rsidRDefault="00E21376" w:rsidP="00732DB1">
      <w:pPr>
        <w:jc w:val="both"/>
        <w:rPr>
          <w:rFonts w:ascii="Century Gothic" w:hAnsi="Century Gothic"/>
        </w:rPr>
      </w:pPr>
      <w:r w:rsidRPr="00F75DBD">
        <w:rPr>
          <w:rFonts w:ascii="Century Gothic" w:hAnsi="Century Gothic"/>
        </w:rPr>
        <w:t>The position may be analogised with the ‘fees for no services’ scandals</w:t>
      </w:r>
      <w:r w:rsidR="00D734EB" w:rsidRPr="00F75DBD">
        <w:rPr>
          <w:rFonts w:ascii="Century Gothic" w:hAnsi="Century Gothic"/>
        </w:rPr>
        <w:t xml:space="preserve"> the subject of extended consideration in the FSRC</w:t>
      </w:r>
      <w:r w:rsidR="003D0D73" w:rsidRPr="00F75DBD">
        <w:rPr>
          <w:rFonts w:ascii="Century Gothic" w:hAnsi="Century Gothic"/>
        </w:rPr>
        <w:t>, on which I have previously published</w:t>
      </w:r>
      <w:r w:rsidRPr="00F75DBD">
        <w:rPr>
          <w:rFonts w:ascii="Century Gothic" w:hAnsi="Century Gothic"/>
        </w:rPr>
        <w:t>.</w:t>
      </w:r>
      <w:r w:rsidR="00841DEB" w:rsidRPr="00F75DBD">
        <w:rPr>
          <w:rStyle w:val="FootnoteReference"/>
          <w:rFonts w:ascii="Century Gothic" w:hAnsi="Century Gothic"/>
        </w:rPr>
        <w:footnoteReference w:id="32"/>
      </w:r>
      <w:r w:rsidRPr="00F75DBD">
        <w:rPr>
          <w:rFonts w:ascii="Century Gothic" w:hAnsi="Century Gothic"/>
        </w:rPr>
        <w:t xml:space="preserve"> Many cases involved </w:t>
      </w:r>
      <w:r w:rsidR="00D734EB" w:rsidRPr="00F75DBD">
        <w:rPr>
          <w:rFonts w:ascii="Century Gothic" w:hAnsi="Century Gothic"/>
        </w:rPr>
        <w:t xml:space="preserve">Bank </w:t>
      </w:r>
      <w:r w:rsidRPr="00F75DBD">
        <w:rPr>
          <w:rFonts w:ascii="Century Gothic" w:hAnsi="Century Gothic"/>
        </w:rPr>
        <w:t>automated fee deduction systems</w:t>
      </w:r>
      <w:r w:rsidR="003D0D73" w:rsidRPr="00F75DBD">
        <w:rPr>
          <w:rFonts w:ascii="Century Gothic" w:hAnsi="Century Gothic"/>
        </w:rPr>
        <w:t>,</w:t>
      </w:r>
      <w:r w:rsidRPr="00F75DBD">
        <w:rPr>
          <w:rFonts w:ascii="Century Gothic" w:hAnsi="Century Gothic"/>
        </w:rPr>
        <w:t xml:space="preserve"> which </w:t>
      </w:r>
      <w:r w:rsidR="00D734EB" w:rsidRPr="00F75DBD">
        <w:rPr>
          <w:rFonts w:ascii="Century Gothic" w:hAnsi="Century Gothic"/>
        </w:rPr>
        <w:t>took</w:t>
      </w:r>
      <w:r w:rsidRPr="00F75DBD">
        <w:rPr>
          <w:rFonts w:ascii="Century Gothic" w:hAnsi="Century Gothic"/>
        </w:rPr>
        <w:t xml:space="preserve"> money from customers</w:t>
      </w:r>
      <w:r w:rsidR="004478EB" w:rsidRPr="00F75DBD">
        <w:rPr>
          <w:rFonts w:ascii="Century Gothic" w:hAnsi="Century Gothic"/>
        </w:rPr>
        <w:t>’</w:t>
      </w:r>
      <w:r w:rsidRPr="00F75DBD">
        <w:rPr>
          <w:rFonts w:ascii="Century Gothic" w:hAnsi="Century Gothic"/>
        </w:rPr>
        <w:t xml:space="preserve"> accounts for life insurance. </w:t>
      </w:r>
      <w:r w:rsidR="004478EB" w:rsidRPr="00F75DBD">
        <w:rPr>
          <w:rFonts w:ascii="Century Gothic" w:hAnsi="Century Gothic"/>
        </w:rPr>
        <w:t>From a Systems Intentionality perspective, a range of corporate knowledge</w:t>
      </w:r>
      <w:r w:rsidRPr="00F75DBD">
        <w:rPr>
          <w:rFonts w:ascii="Century Gothic" w:hAnsi="Century Gothic"/>
        </w:rPr>
        <w:t xml:space="preserve"> is patent on the face of such a system: (1) </w:t>
      </w:r>
      <w:r w:rsidR="009137AB" w:rsidRPr="00F75DBD">
        <w:rPr>
          <w:rFonts w:ascii="Century Gothic" w:hAnsi="Century Gothic"/>
        </w:rPr>
        <w:t>any</w:t>
      </w:r>
      <w:r w:rsidRPr="00F75DBD">
        <w:rPr>
          <w:rFonts w:ascii="Century Gothic" w:hAnsi="Century Gothic"/>
        </w:rPr>
        <w:t xml:space="preserve"> </w:t>
      </w:r>
      <w:r w:rsidR="009137AB" w:rsidRPr="00F75DBD">
        <w:rPr>
          <w:rFonts w:ascii="Century Gothic" w:hAnsi="Century Gothic"/>
        </w:rPr>
        <w:t>‘</w:t>
      </w:r>
      <w:r w:rsidRPr="00F75DBD">
        <w:rPr>
          <w:rFonts w:ascii="Century Gothic" w:hAnsi="Century Gothic"/>
        </w:rPr>
        <w:t>takings</w:t>
      </w:r>
      <w:r w:rsidR="009137AB" w:rsidRPr="00F75DBD">
        <w:rPr>
          <w:rFonts w:ascii="Century Gothic" w:hAnsi="Century Gothic"/>
        </w:rPr>
        <w:t xml:space="preserve">’ from customer accounts </w:t>
      </w:r>
      <w:r w:rsidRPr="00F75DBD">
        <w:rPr>
          <w:rFonts w:ascii="Century Gothic" w:hAnsi="Century Gothic"/>
        </w:rPr>
        <w:t xml:space="preserve">must be authorised; </w:t>
      </w:r>
      <w:r w:rsidR="009137AB" w:rsidRPr="00F75DBD">
        <w:rPr>
          <w:rFonts w:ascii="Century Gothic" w:hAnsi="Century Gothic"/>
        </w:rPr>
        <w:t xml:space="preserve">and </w:t>
      </w:r>
      <w:r w:rsidRPr="00F75DBD">
        <w:rPr>
          <w:rFonts w:ascii="Century Gothic" w:hAnsi="Century Gothic"/>
        </w:rPr>
        <w:t xml:space="preserve">(2) </w:t>
      </w:r>
      <w:r w:rsidR="009137AB" w:rsidRPr="00F75DBD">
        <w:rPr>
          <w:rFonts w:ascii="Century Gothic" w:hAnsi="Century Gothic"/>
        </w:rPr>
        <w:t xml:space="preserve">being humans, </w:t>
      </w:r>
      <w:r w:rsidRPr="00F75DBD">
        <w:rPr>
          <w:rFonts w:ascii="Century Gothic" w:hAnsi="Century Gothic"/>
        </w:rPr>
        <w:t>the customers’ circumstances might change</w:t>
      </w:r>
      <w:r w:rsidR="00D734EB" w:rsidRPr="00F75DBD">
        <w:rPr>
          <w:rFonts w:ascii="Century Gothic" w:hAnsi="Century Gothic"/>
        </w:rPr>
        <w:t xml:space="preserve">, affecting existing authorisation. On (2), the </w:t>
      </w:r>
      <w:r w:rsidR="00D734EB" w:rsidRPr="00F75DBD">
        <w:rPr>
          <w:rFonts w:ascii="Century Gothic" w:hAnsi="Century Gothic"/>
        </w:rPr>
        <w:lastRenderedPageBreak/>
        <w:t>key circumstance of which Banks were necessarily aware is that the customers may die – that is why, after all, they have life insurance. Systems Intentionality contends</w:t>
      </w:r>
      <w:r w:rsidR="009137AB" w:rsidRPr="00F75DBD">
        <w:rPr>
          <w:rFonts w:ascii="Century Gothic" w:hAnsi="Century Gothic"/>
        </w:rPr>
        <w:t>, therefore, that the starting point for any inquiry into Banks’ knowledge for the purposes of assessing culpability (and therefore liability) is that the</w:t>
      </w:r>
      <w:r w:rsidR="005E0A64" w:rsidRPr="00F75DBD">
        <w:rPr>
          <w:rFonts w:ascii="Century Gothic" w:hAnsi="Century Gothic"/>
        </w:rPr>
        <w:t xml:space="preserve"> B</w:t>
      </w:r>
      <w:r w:rsidR="00D734EB" w:rsidRPr="00F75DBD">
        <w:rPr>
          <w:rFonts w:ascii="Century Gothic" w:hAnsi="Century Gothic"/>
        </w:rPr>
        <w:t xml:space="preserve">anks know these basic features of the system. </w:t>
      </w:r>
    </w:p>
    <w:p w:rsidR="00DE38E7" w:rsidRPr="00F75DBD" w:rsidRDefault="00DE38E7" w:rsidP="00732DB1">
      <w:pPr>
        <w:jc w:val="both"/>
        <w:rPr>
          <w:rFonts w:ascii="Century Gothic" w:hAnsi="Century Gothic"/>
        </w:rPr>
      </w:pPr>
      <w:r w:rsidRPr="00F75DBD">
        <w:rPr>
          <w:rFonts w:ascii="Century Gothic" w:hAnsi="Century Gothic"/>
        </w:rPr>
        <w:t>A similar analysis can be applied to the plain facts of the Robodebt Scheme.</w:t>
      </w:r>
    </w:p>
    <w:p w:rsidR="009137AB" w:rsidRPr="005C3808" w:rsidRDefault="009137AB" w:rsidP="005C3808">
      <w:pPr>
        <w:pStyle w:val="Heading1"/>
        <w:numPr>
          <w:ilvl w:val="0"/>
          <w:numId w:val="17"/>
        </w:numPr>
        <w:rPr>
          <w:rFonts w:ascii="Century Gothic" w:hAnsi="Century Gothic"/>
          <w:b/>
        </w:rPr>
      </w:pPr>
      <w:bookmarkStart w:id="4" w:name="_Toc116481927"/>
      <w:r w:rsidRPr="005C3808">
        <w:rPr>
          <w:rFonts w:ascii="Century Gothic" w:hAnsi="Century Gothic"/>
          <w:b/>
        </w:rPr>
        <w:t>Systems</w:t>
      </w:r>
      <w:r w:rsidRPr="005C3808">
        <w:rPr>
          <w:rFonts w:ascii="Century Gothic" w:hAnsi="Century Gothic"/>
          <w:b/>
        </w:rPr>
        <w:t xml:space="preserve"> Intentionality </w:t>
      </w:r>
      <w:r w:rsidRPr="005C3808">
        <w:rPr>
          <w:rFonts w:ascii="Century Gothic" w:hAnsi="Century Gothic"/>
          <w:b/>
        </w:rPr>
        <w:t>and exculpatory narratives around Robodebt</w:t>
      </w:r>
      <w:bookmarkEnd w:id="4"/>
    </w:p>
    <w:p w:rsidR="009137AB" w:rsidRPr="00F75DBD" w:rsidRDefault="00F94C53" w:rsidP="00732DB1">
      <w:pPr>
        <w:jc w:val="both"/>
        <w:rPr>
          <w:rFonts w:ascii="Century Gothic" w:hAnsi="Century Gothic"/>
        </w:rPr>
      </w:pPr>
      <w:r w:rsidRPr="00F75DBD">
        <w:rPr>
          <w:rFonts w:ascii="Century Gothic" w:hAnsi="Century Gothic"/>
        </w:rPr>
        <w:t xml:space="preserve">Before turning to consider </w:t>
      </w:r>
      <w:r w:rsidR="009137AB" w:rsidRPr="00F75DBD">
        <w:rPr>
          <w:rFonts w:ascii="Century Gothic" w:hAnsi="Century Gothic"/>
        </w:rPr>
        <w:t xml:space="preserve">other </w:t>
      </w:r>
      <w:r w:rsidRPr="00F75DBD">
        <w:rPr>
          <w:rFonts w:ascii="Century Gothic" w:hAnsi="Century Gothic"/>
        </w:rPr>
        <w:t xml:space="preserve">features of </w:t>
      </w:r>
      <w:r w:rsidR="009137AB" w:rsidRPr="00F75DBD">
        <w:rPr>
          <w:rFonts w:ascii="Century Gothic" w:hAnsi="Century Gothic"/>
        </w:rPr>
        <w:t xml:space="preserve">the </w:t>
      </w:r>
      <w:r w:rsidRPr="00F75DBD">
        <w:rPr>
          <w:rFonts w:ascii="Century Gothic" w:hAnsi="Century Gothic"/>
        </w:rPr>
        <w:t>Robodebt</w:t>
      </w:r>
      <w:r w:rsidR="009137AB" w:rsidRPr="00F75DBD">
        <w:rPr>
          <w:rFonts w:ascii="Century Gothic" w:hAnsi="Century Gothic"/>
        </w:rPr>
        <w:t xml:space="preserve"> scheme</w:t>
      </w:r>
      <w:r w:rsidRPr="00F75DBD">
        <w:rPr>
          <w:rFonts w:ascii="Century Gothic" w:hAnsi="Century Gothic"/>
        </w:rPr>
        <w:t xml:space="preserve">, which </w:t>
      </w:r>
      <w:r w:rsidR="005E0A64" w:rsidRPr="00F75DBD">
        <w:rPr>
          <w:rFonts w:ascii="Century Gothic" w:hAnsi="Century Gothic"/>
        </w:rPr>
        <w:t>shed further light on</w:t>
      </w:r>
      <w:r w:rsidRPr="00F75DBD">
        <w:rPr>
          <w:rFonts w:ascii="Century Gothic" w:hAnsi="Century Gothic"/>
        </w:rPr>
        <w:t xml:space="preserve"> the Government’s mindset, </w:t>
      </w:r>
      <w:r w:rsidR="005E0A64" w:rsidRPr="00F75DBD">
        <w:rPr>
          <w:rFonts w:ascii="Century Gothic" w:hAnsi="Century Gothic"/>
        </w:rPr>
        <w:t xml:space="preserve">some additional, </w:t>
      </w:r>
      <w:r w:rsidRPr="00F75DBD">
        <w:rPr>
          <w:rFonts w:ascii="Century Gothic" w:hAnsi="Century Gothic"/>
        </w:rPr>
        <w:t xml:space="preserve">general observations may be </w:t>
      </w:r>
      <w:r w:rsidR="009F4D4F" w:rsidRPr="00F75DBD">
        <w:rPr>
          <w:rFonts w:ascii="Century Gothic" w:hAnsi="Century Gothic"/>
        </w:rPr>
        <w:t>helpful</w:t>
      </w:r>
      <w:r w:rsidR="009137AB" w:rsidRPr="00F75DBD">
        <w:rPr>
          <w:rFonts w:ascii="Century Gothic" w:hAnsi="Century Gothic"/>
        </w:rPr>
        <w:t>, particularly in considering how to probe, and assess, Government and associated witnesses’ accounts of the Robodebt scheme.</w:t>
      </w:r>
    </w:p>
    <w:p w:rsidR="00EB4D96" w:rsidRPr="00F75DBD" w:rsidRDefault="00F94C53" w:rsidP="00732DB1">
      <w:pPr>
        <w:jc w:val="both"/>
        <w:rPr>
          <w:rFonts w:ascii="Century Gothic" w:hAnsi="Century Gothic"/>
        </w:rPr>
      </w:pPr>
      <w:r w:rsidRPr="00F75DBD">
        <w:rPr>
          <w:rFonts w:ascii="Century Gothic" w:hAnsi="Century Gothic"/>
        </w:rPr>
        <w:t xml:space="preserve">First, the </w:t>
      </w:r>
      <w:r w:rsidR="009F4D4F" w:rsidRPr="00F75DBD">
        <w:rPr>
          <w:rFonts w:ascii="Century Gothic" w:hAnsi="Century Gothic"/>
        </w:rPr>
        <w:t xml:space="preserve">intrinsic </w:t>
      </w:r>
      <w:r w:rsidRPr="00F75DBD">
        <w:rPr>
          <w:rFonts w:ascii="Century Gothic" w:hAnsi="Century Gothic"/>
        </w:rPr>
        <w:t>nature of the relationship between systems of conduct and intention (or purpose)</w:t>
      </w:r>
      <w:r w:rsidR="000077EC" w:rsidRPr="00F75DBD">
        <w:rPr>
          <w:rFonts w:ascii="Century Gothic" w:hAnsi="Century Gothic"/>
        </w:rPr>
        <w:t xml:space="preserve"> immediately </w:t>
      </w:r>
      <w:r w:rsidRPr="00F75DBD">
        <w:rPr>
          <w:rFonts w:ascii="Century Gothic" w:hAnsi="Century Gothic"/>
        </w:rPr>
        <w:t>suggests that</w:t>
      </w:r>
      <w:r w:rsidR="000077EC" w:rsidRPr="00F75DBD">
        <w:rPr>
          <w:rFonts w:ascii="Century Gothic" w:hAnsi="Century Gothic"/>
        </w:rPr>
        <w:t xml:space="preserve"> </w:t>
      </w:r>
      <w:r w:rsidRPr="00F75DBD">
        <w:rPr>
          <w:rFonts w:ascii="Century Gothic" w:hAnsi="Century Gothic"/>
        </w:rPr>
        <w:t xml:space="preserve">close scrutiny is required of </w:t>
      </w:r>
      <w:r w:rsidR="00E764B0" w:rsidRPr="00F75DBD">
        <w:rPr>
          <w:rFonts w:ascii="Century Gothic" w:hAnsi="Century Gothic"/>
        </w:rPr>
        <w:t>any narrative</w:t>
      </w:r>
      <w:r w:rsidR="000077EC" w:rsidRPr="00F75DBD">
        <w:rPr>
          <w:rFonts w:ascii="Century Gothic" w:hAnsi="Century Gothic"/>
        </w:rPr>
        <w:t xml:space="preserve"> that seek</w:t>
      </w:r>
      <w:r w:rsidRPr="00F75DBD">
        <w:rPr>
          <w:rFonts w:ascii="Century Gothic" w:hAnsi="Century Gothic"/>
        </w:rPr>
        <w:t>s</w:t>
      </w:r>
      <w:r w:rsidR="000077EC" w:rsidRPr="00F75DBD">
        <w:rPr>
          <w:rFonts w:ascii="Century Gothic" w:hAnsi="Century Gothic"/>
        </w:rPr>
        <w:t xml:space="preserve"> to characterise </w:t>
      </w:r>
      <w:r w:rsidR="00E764B0" w:rsidRPr="00F75DBD">
        <w:rPr>
          <w:rFonts w:ascii="Century Gothic" w:hAnsi="Century Gothic"/>
        </w:rPr>
        <w:t>Robodebt as involving</w:t>
      </w:r>
      <w:r w:rsidR="000077EC" w:rsidRPr="00F75DBD">
        <w:rPr>
          <w:rFonts w:ascii="Century Gothic" w:hAnsi="Century Gothic"/>
        </w:rPr>
        <w:t xml:space="preserve"> unintended, accidental or mistaken</w:t>
      </w:r>
      <w:r w:rsidR="00E764B0" w:rsidRPr="00F75DBD">
        <w:rPr>
          <w:rFonts w:ascii="Century Gothic" w:hAnsi="Century Gothic"/>
        </w:rPr>
        <w:t xml:space="preserve"> conduct</w:t>
      </w:r>
      <w:r w:rsidR="000077EC" w:rsidRPr="00F75DBD">
        <w:rPr>
          <w:rFonts w:ascii="Century Gothic" w:hAnsi="Century Gothic"/>
        </w:rPr>
        <w:t>. It is</w:t>
      </w:r>
      <w:r w:rsidRPr="00F75DBD">
        <w:rPr>
          <w:rFonts w:ascii="Century Gothic" w:hAnsi="Century Gothic"/>
        </w:rPr>
        <w:t>, of course,</w:t>
      </w:r>
      <w:r w:rsidR="000077EC" w:rsidRPr="00F75DBD">
        <w:rPr>
          <w:rFonts w:ascii="Century Gothic" w:hAnsi="Century Gothic"/>
        </w:rPr>
        <w:t xml:space="preserve"> possible </w:t>
      </w:r>
      <w:r w:rsidRPr="00F75DBD">
        <w:rPr>
          <w:rFonts w:ascii="Century Gothic" w:hAnsi="Century Gothic"/>
        </w:rPr>
        <w:t xml:space="preserve">to have a genuine ‘systems error’, for </w:t>
      </w:r>
      <w:r w:rsidR="003D0D73" w:rsidRPr="00F75DBD">
        <w:rPr>
          <w:rFonts w:ascii="Century Gothic" w:hAnsi="Century Gothic"/>
        </w:rPr>
        <w:t xml:space="preserve">example </w:t>
      </w:r>
      <w:r w:rsidR="000077EC" w:rsidRPr="00F75DBD">
        <w:rPr>
          <w:rFonts w:ascii="Century Gothic" w:hAnsi="Century Gothic"/>
        </w:rPr>
        <w:t>where an employee presses a wrong button, ini</w:t>
      </w:r>
      <w:r w:rsidRPr="00F75DBD">
        <w:rPr>
          <w:rFonts w:ascii="Century Gothic" w:hAnsi="Century Gothic"/>
        </w:rPr>
        <w:t xml:space="preserve">tiating a </w:t>
      </w:r>
      <w:r w:rsidR="000077EC" w:rsidRPr="00F75DBD">
        <w:rPr>
          <w:rFonts w:ascii="Century Gothic" w:hAnsi="Century Gothic"/>
        </w:rPr>
        <w:t>system</w:t>
      </w:r>
      <w:r w:rsidRPr="00F75DBD">
        <w:rPr>
          <w:rFonts w:ascii="Century Gothic" w:hAnsi="Century Gothic"/>
        </w:rPr>
        <w:t xml:space="preserve"> of conduct</w:t>
      </w:r>
      <w:r w:rsidR="000077EC" w:rsidRPr="00F75DBD">
        <w:rPr>
          <w:rFonts w:ascii="Century Gothic" w:hAnsi="Century Gothic"/>
        </w:rPr>
        <w:t xml:space="preserve">. </w:t>
      </w:r>
      <w:r w:rsidR="005E0A64" w:rsidRPr="00F75DBD">
        <w:rPr>
          <w:rFonts w:ascii="Century Gothic" w:hAnsi="Century Gothic"/>
        </w:rPr>
        <w:t>Or a human coder may make an error in transcribing a proposed system of conduct into code.</w:t>
      </w:r>
      <w:r w:rsidR="00B24A7C" w:rsidRPr="00F75DBD">
        <w:rPr>
          <w:rStyle w:val="FootnoteReference"/>
          <w:rFonts w:ascii="Century Gothic" w:hAnsi="Century Gothic"/>
        </w:rPr>
        <w:footnoteReference w:id="33"/>
      </w:r>
      <w:r w:rsidR="005E0A64" w:rsidRPr="00F75DBD">
        <w:rPr>
          <w:rFonts w:ascii="Century Gothic" w:hAnsi="Century Gothic"/>
        </w:rPr>
        <w:t xml:space="preserve"> </w:t>
      </w:r>
      <w:r w:rsidR="00E764B0" w:rsidRPr="00F75DBD">
        <w:rPr>
          <w:rFonts w:ascii="Century Gothic" w:hAnsi="Century Gothic"/>
        </w:rPr>
        <w:t>However,</w:t>
      </w:r>
      <w:r w:rsidR="000077EC" w:rsidRPr="00F75DBD">
        <w:rPr>
          <w:rFonts w:ascii="Century Gothic" w:hAnsi="Century Gothic"/>
        </w:rPr>
        <w:t xml:space="preserve"> once a system of conduct is </w:t>
      </w:r>
      <w:r w:rsidR="00DE38E7" w:rsidRPr="00F75DBD">
        <w:rPr>
          <w:rFonts w:ascii="Century Gothic" w:hAnsi="Century Gothic"/>
        </w:rPr>
        <w:t>adopted and de</w:t>
      </w:r>
      <w:r w:rsidRPr="00F75DBD">
        <w:rPr>
          <w:rFonts w:ascii="Century Gothic" w:hAnsi="Century Gothic"/>
        </w:rPr>
        <w:t>ployed</w:t>
      </w:r>
      <w:r w:rsidR="000077EC" w:rsidRPr="00F75DBD">
        <w:rPr>
          <w:rFonts w:ascii="Century Gothic" w:hAnsi="Century Gothic"/>
        </w:rPr>
        <w:t xml:space="preserve">, </w:t>
      </w:r>
      <w:r w:rsidR="003D0D73" w:rsidRPr="00F75DBD">
        <w:rPr>
          <w:rFonts w:ascii="Century Gothic" w:hAnsi="Century Gothic"/>
        </w:rPr>
        <w:t>the</w:t>
      </w:r>
      <w:r w:rsidR="000077EC" w:rsidRPr="00F75DBD">
        <w:rPr>
          <w:rFonts w:ascii="Century Gothic" w:hAnsi="Century Gothic"/>
        </w:rPr>
        <w:t xml:space="preserve"> analytical starting point is that the conduct is intended. The evidential onus then lies on the </w:t>
      </w:r>
      <w:r w:rsidRPr="00F75DBD">
        <w:rPr>
          <w:rFonts w:ascii="Century Gothic" w:hAnsi="Century Gothic"/>
        </w:rPr>
        <w:t>party deploying the system</w:t>
      </w:r>
      <w:r w:rsidR="000077EC" w:rsidRPr="00F75DBD">
        <w:rPr>
          <w:rFonts w:ascii="Century Gothic" w:hAnsi="Century Gothic"/>
        </w:rPr>
        <w:t xml:space="preserve"> to substantiate any allegation of mistake or accident (for example, through an employee witness admitting to accidental deployment of the system</w:t>
      </w:r>
      <w:r w:rsidR="005E0A64" w:rsidRPr="00F75DBD">
        <w:rPr>
          <w:rFonts w:ascii="Century Gothic" w:hAnsi="Century Gothic"/>
        </w:rPr>
        <w:t xml:space="preserve">, or admitting to </w:t>
      </w:r>
      <w:r w:rsidR="000254E9" w:rsidRPr="00F75DBD">
        <w:rPr>
          <w:rFonts w:ascii="Century Gothic" w:hAnsi="Century Gothic"/>
        </w:rPr>
        <w:t xml:space="preserve">a </w:t>
      </w:r>
      <w:r w:rsidR="005E0A64" w:rsidRPr="00F75DBD">
        <w:rPr>
          <w:rFonts w:ascii="Century Gothic" w:hAnsi="Century Gothic"/>
        </w:rPr>
        <w:t>coding error</w:t>
      </w:r>
      <w:r w:rsidR="000077EC" w:rsidRPr="00F75DBD">
        <w:rPr>
          <w:rFonts w:ascii="Century Gothic" w:hAnsi="Century Gothic"/>
        </w:rPr>
        <w:t>).</w:t>
      </w:r>
      <w:r w:rsidR="005E0A64" w:rsidRPr="00F75DBD">
        <w:rPr>
          <w:rFonts w:ascii="Century Gothic" w:hAnsi="Century Gothic"/>
        </w:rPr>
        <w:t xml:space="preserve"> As systems of conduct generally involve repeated behaviours, any allegation of error also needs to be tested against the organisation’s reaction to its repeated behaviours and, importantly, the outcomes from its system.</w:t>
      </w:r>
    </w:p>
    <w:p w:rsidR="003D7812" w:rsidRPr="00F75DBD" w:rsidRDefault="005E0A64" w:rsidP="00732DB1">
      <w:pPr>
        <w:jc w:val="both"/>
        <w:rPr>
          <w:rFonts w:ascii="Century Gothic" w:hAnsi="Century Gothic"/>
        </w:rPr>
      </w:pPr>
      <w:r w:rsidRPr="00F75DBD">
        <w:rPr>
          <w:rFonts w:ascii="Century Gothic" w:hAnsi="Century Gothic"/>
        </w:rPr>
        <w:t xml:space="preserve">To return to my cake analogy, suppose </w:t>
      </w:r>
      <w:r w:rsidR="003D7812" w:rsidRPr="00F75DBD">
        <w:rPr>
          <w:rFonts w:ascii="Century Gothic" w:hAnsi="Century Gothic"/>
        </w:rPr>
        <w:t xml:space="preserve">that even though, formally, my recipe is one for cakes, </w:t>
      </w:r>
      <w:r w:rsidRPr="00F75DBD">
        <w:rPr>
          <w:rFonts w:ascii="Century Gothic" w:hAnsi="Century Gothic"/>
        </w:rPr>
        <w:t>I produce pancakes</w:t>
      </w:r>
      <w:r w:rsidR="003D7812" w:rsidRPr="00F75DBD">
        <w:rPr>
          <w:rFonts w:ascii="Century Gothic" w:hAnsi="Century Gothic"/>
        </w:rPr>
        <w:t>. I may claim I was mistaken in producing pancakes</w:t>
      </w:r>
      <w:r w:rsidR="009137AB" w:rsidRPr="00F75DBD">
        <w:rPr>
          <w:rFonts w:ascii="Century Gothic" w:hAnsi="Century Gothic"/>
        </w:rPr>
        <w:t>: there was</w:t>
      </w:r>
      <w:r w:rsidR="003D7812" w:rsidRPr="00F75DBD">
        <w:rPr>
          <w:rFonts w:ascii="Century Gothic" w:hAnsi="Century Gothic"/>
        </w:rPr>
        <w:t xml:space="preserve"> an error in deploying the system-recipe. While this might seem plausible at first,</w:t>
      </w:r>
      <w:r w:rsidR="00EB4D96" w:rsidRPr="00F75DBD">
        <w:rPr>
          <w:rFonts w:ascii="Century Gothic" w:hAnsi="Century Gothic"/>
        </w:rPr>
        <w:t xml:space="preserve"> </w:t>
      </w:r>
      <w:r w:rsidR="003D7812" w:rsidRPr="00F75DBD">
        <w:rPr>
          <w:rFonts w:ascii="Century Gothic" w:hAnsi="Century Gothic"/>
        </w:rPr>
        <w:t xml:space="preserve">the credibility </w:t>
      </w:r>
      <w:r w:rsidR="00EB4D96" w:rsidRPr="00F75DBD">
        <w:rPr>
          <w:rFonts w:ascii="Century Gothic" w:hAnsi="Century Gothic"/>
        </w:rPr>
        <w:t>of this claim radically reduces as the system is rolled out over time</w:t>
      </w:r>
      <w:r w:rsidR="0068324C" w:rsidRPr="00F75DBD">
        <w:rPr>
          <w:rFonts w:ascii="Century Gothic" w:hAnsi="Century Gothic"/>
        </w:rPr>
        <w:t xml:space="preserve"> and its effects become clear. After I have produced </w:t>
      </w:r>
      <w:r w:rsidR="003D7812" w:rsidRPr="00F75DBD">
        <w:rPr>
          <w:rFonts w:ascii="Century Gothic" w:hAnsi="Century Gothic"/>
        </w:rPr>
        <w:t>pancakes on multiple occasions</w:t>
      </w:r>
      <w:r w:rsidR="0068324C" w:rsidRPr="00F75DBD">
        <w:rPr>
          <w:rFonts w:ascii="Century Gothic" w:hAnsi="Century Gothic"/>
        </w:rPr>
        <w:t xml:space="preserve">, </w:t>
      </w:r>
      <w:r w:rsidR="003D0D73" w:rsidRPr="00F75DBD">
        <w:rPr>
          <w:rFonts w:ascii="Century Gothic" w:hAnsi="Century Gothic"/>
        </w:rPr>
        <w:t xml:space="preserve">and </w:t>
      </w:r>
      <w:r w:rsidR="000254E9" w:rsidRPr="00F75DBD">
        <w:rPr>
          <w:rFonts w:ascii="Century Gothic" w:hAnsi="Century Gothic"/>
        </w:rPr>
        <w:t>knowingly served</w:t>
      </w:r>
      <w:r w:rsidR="003D0D73" w:rsidRPr="00F75DBD">
        <w:rPr>
          <w:rFonts w:ascii="Century Gothic" w:hAnsi="Century Gothic"/>
        </w:rPr>
        <w:t xml:space="preserve"> them up to customers, </w:t>
      </w:r>
      <w:r w:rsidR="0068324C" w:rsidRPr="00F75DBD">
        <w:rPr>
          <w:rFonts w:ascii="Century Gothic" w:hAnsi="Century Gothic"/>
        </w:rPr>
        <w:t xml:space="preserve">the conclusion becomes irresistible that this is what was intended. </w:t>
      </w:r>
      <w:r w:rsidR="003D7812" w:rsidRPr="00F75DBD">
        <w:rPr>
          <w:rFonts w:ascii="Century Gothic" w:hAnsi="Century Gothic"/>
        </w:rPr>
        <w:t>Although I was purporting to use a ca</w:t>
      </w:r>
      <w:r w:rsidR="003D0D73" w:rsidRPr="00F75DBD">
        <w:rPr>
          <w:rFonts w:ascii="Century Gothic" w:hAnsi="Century Gothic"/>
        </w:rPr>
        <w:t>ke recipe, in fact I was intending to make pancakes</w:t>
      </w:r>
      <w:r w:rsidR="003D7812" w:rsidRPr="00F75DBD">
        <w:rPr>
          <w:rFonts w:ascii="Century Gothic" w:hAnsi="Century Gothic"/>
        </w:rPr>
        <w:t>.</w:t>
      </w:r>
    </w:p>
    <w:p w:rsidR="0068324C" w:rsidRPr="00F75DBD" w:rsidRDefault="0068324C" w:rsidP="00732DB1">
      <w:pPr>
        <w:jc w:val="both"/>
        <w:rPr>
          <w:rFonts w:ascii="Century Gothic" w:hAnsi="Century Gothic"/>
        </w:rPr>
      </w:pPr>
      <w:r w:rsidRPr="00F75DBD">
        <w:rPr>
          <w:rFonts w:ascii="Century Gothic" w:hAnsi="Century Gothic"/>
        </w:rPr>
        <w:t xml:space="preserve">So too with Robodebt: </w:t>
      </w:r>
      <w:r w:rsidR="009137AB" w:rsidRPr="00F75DBD">
        <w:rPr>
          <w:rFonts w:ascii="Century Gothic" w:hAnsi="Century Gothic"/>
        </w:rPr>
        <w:t xml:space="preserve">Systems Intentionality suggests that </w:t>
      </w:r>
      <w:r w:rsidRPr="00F75DBD">
        <w:rPr>
          <w:rFonts w:ascii="Century Gothic" w:hAnsi="Century Gothic"/>
        </w:rPr>
        <w:t xml:space="preserve">its deployment over years stands </w:t>
      </w:r>
      <w:r w:rsidR="003D0D73" w:rsidRPr="00F75DBD">
        <w:rPr>
          <w:rFonts w:ascii="Century Gothic" w:hAnsi="Century Gothic"/>
        </w:rPr>
        <w:t xml:space="preserve">important </w:t>
      </w:r>
      <w:r w:rsidRPr="00F75DBD">
        <w:rPr>
          <w:rFonts w:ascii="Century Gothic" w:hAnsi="Century Gothic"/>
        </w:rPr>
        <w:t xml:space="preserve">testament to </w:t>
      </w:r>
      <w:r w:rsidR="009137AB" w:rsidRPr="00F75DBD">
        <w:rPr>
          <w:rFonts w:ascii="Century Gothic" w:hAnsi="Century Gothic"/>
        </w:rPr>
        <w:t xml:space="preserve">the Government’s </w:t>
      </w:r>
      <w:r w:rsidR="00C3209B" w:rsidRPr="00F75DBD">
        <w:rPr>
          <w:rFonts w:ascii="Century Gothic" w:hAnsi="Century Gothic"/>
        </w:rPr>
        <w:t xml:space="preserve">ongoing </w:t>
      </w:r>
      <w:r w:rsidR="009137AB" w:rsidRPr="00F75DBD">
        <w:rPr>
          <w:rFonts w:ascii="Century Gothic" w:hAnsi="Century Gothic"/>
        </w:rPr>
        <w:t>intention</w:t>
      </w:r>
      <w:r w:rsidR="00C3209B" w:rsidRPr="00F75DBD">
        <w:rPr>
          <w:rFonts w:ascii="Century Gothic" w:hAnsi="Century Gothic"/>
        </w:rPr>
        <w:t>s</w:t>
      </w:r>
      <w:r w:rsidR="003D0D73" w:rsidRPr="00F75DBD">
        <w:rPr>
          <w:rFonts w:ascii="Century Gothic" w:hAnsi="Century Gothic"/>
        </w:rPr>
        <w:t>, which must be assessed in light of that longevity</w:t>
      </w:r>
      <w:r w:rsidR="009137AB" w:rsidRPr="00F75DBD">
        <w:rPr>
          <w:rFonts w:ascii="Century Gothic" w:hAnsi="Century Gothic"/>
        </w:rPr>
        <w:t>.</w:t>
      </w:r>
    </w:p>
    <w:p w:rsidR="008C49E5" w:rsidRPr="00F75DBD" w:rsidRDefault="00163A47" w:rsidP="00732DB1">
      <w:pPr>
        <w:jc w:val="both"/>
        <w:rPr>
          <w:rFonts w:ascii="Century Gothic" w:hAnsi="Century Gothic"/>
        </w:rPr>
      </w:pPr>
      <w:r w:rsidRPr="00F75DBD">
        <w:rPr>
          <w:rFonts w:ascii="Century Gothic" w:hAnsi="Century Gothic"/>
        </w:rPr>
        <w:lastRenderedPageBreak/>
        <w:t>As the pancake</w:t>
      </w:r>
      <w:r w:rsidR="003D7812" w:rsidRPr="00F75DBD">
        <w:rPr>
          <w:rFonts w:ascii="Century Gothic" w:hAnsi="Century Gothic"/>
        </w:rPr>
        <w:t xml:space="preserve"> example also shows, formal systems, policies and processes may be a far cry from the reality of the de facto </w:t>
      </w:r>
      <w:r w:rsidRPr="00F75DBD">
        <w:rPr>
          <w:rFonts w:ascii="Century Gothic" w:hAnsi="Century Gothic"/>
        </w:rPr>
        <w:t xml:space="preserve">(real-life) </w:t>
      </w:r>
      <w:r w:rsidR="003D7812" w:rsidRPr="00F75DBD">
        <w:rPr>
          <w:rFonts w:ascii="Century Gothic" w:hAnsi="Century Gothic"/>
        </w:rPr>
        <w:t>systems, policies and practices</w:t>
      </w:r>
      <w:r w:rsidR="00B24A7C" w:rsidRPr="00F75DBD">
        <w:rPr>
          <w:rFonts w:ascii="Century Gothic" w:hAnsi="Century Gothic"/>
        </w:rPr>
        <w:t>, which are deployed ‘on the ground’</w:t>
      </w:r>
      <w:r w:rsidR="003D7812" w:rsidRPr="00F75DBD">
        <w:rPr>
          <w:rFonts w:ascii="Century Gothic" w:hAnsi="Century Gothic"/>
        </w:rPr>
        <w:t>. It is the latter that discloses the tr</w:t>
      </w:r>
      <w:r w:rsidRPr="00F75DBD">
        <w:rPr>
          <w:rFonts w:ascii="Century Gothic" w:hAnsi="Century Gothic"/>
        </w:rPr>
        <w:t>ue</w:t>
      </w:r>
      <w:r w:rsidR="003D7812" w:rsidRPr="00F75DBD">
        <w:rPr>
          <w:rFonts w:ascii="Century Gothic" w:hAnsi="Century Gothic"/>
        </w:rPr>
        <w:t xml:space="preserve"> organisational state of mind</w:t>
      </w:r>
      <w:r w:rsidRPr="00F75DBD">
        <w:rPr>
          <w:rFonts w:ascii="Century Gothic" w:hAnsi="Century Gothic"/>
        </w:rPr>
        <w:t xml:space="preserve">. </w:t>
      </w:r>
      <w:r w:rsidR="009137AB" w:rsidRPr="00F75DBD">
        <w:rPr>
          <w:rFonts w:ascii="Century Gothic" w:hAnsi="Century Gothic"/>
        </w:rPr>
        <w:t xml:space="preserve">This may </w:t>
      </w:r>
      <w:r w:rsidR="003D0D73" w:rsidRPr="00F75DBD">
        <w:rPr>
          <w:rFonts w:ascii="Century Gothic" w:hAnsi="Century Gothic"/>
        </w:rPr>
        <w:t xml:space="preserve">also </w:t>
      </w:r>
      <w:r w:rsidR="009137AB" w:rsidRPr="00F75DBD">
        <w:rPr>
          <w:rFonts w:ascii="Century Gothic" w:hAnsi="Century Gothic"/>
        </w:rPr>
        <w:t xml:space="preserve">be very important in testing Government narratives of </w:t>
      </w:r>
      <w:r w:rsidR="003D0D73" w:rsidRPr="00F75DBD">
        <w:rPr>
          <w:rFonts w:ascii="Century Gothic" w:hAnsi="Century Gothic"/>
        </w:rPr>
        <w:t xml:space="preserve">interpretive </w:t>
      </w:r>
      <w:r w:rsidR="009137AB" w:rsidRPr="00F75DBD">
        <w:rPr>
          <w:rFonts w:ascii="Century Gothic" w:hAnsi="Century Gothic"/>
        </w:rPr>
        <w:t xml:space="preserve">denial, in particular those that </w:t>
      </w:r>
      <w:r w:rsidR="00C3209B" w:rsidRPr="00F75DBD">
        <w:rPr>
          <w:rFonts w:ascii="Century Gothic" w:hAnsi="Century Gothic"/>
        </w:rPr>
        <w:t>seek to characterise the scheme in terms consistent with ethical intentions</w:t>
      </w:r>
      <w:r w:rsidR="009137AB" w:rsidRPr="00F75DBD">
        <w:rPr>
          <w:rFonts w:ascii="Century Gothic" w:hAnsi="Century Gothic"/>
        </w:rPr>
        <w:t>. For example, consider</w:t>
      </w:r>
      <w:r w:rsidRPr="00F75DBD">
        <w:rPr>
          <w:rFonts w:ascii="Century Gothic" w:hAnsi="Century Gothic"/>
        </w:rPr>
        <w:t xml:space="preserve"> the Government</w:t>
      </w:r>
      <w:r w:rsidR="009137AB" w:rsidRPr="00F75DBD">
        <w:rPr>
          <w:rFonts w:ascii="Century Gothic" w:hAnsi="Century Gothic"/>
        </w:rPr>
        <w:t>’s claim</w:t>
      </w:r>
      <w:r w:rsidR="003D7812" w:rsidRPr="00F75DBD">
        <w:rPr>
          <w:rFonts w:ascii="Century Gothic" w:hAnsi="Century Gothic"/>
        </w:rPr>
        <w:t xml:space="preserve"> that </w:t>
      </w:r>
      <w:r w:rsidRPr="00F75DBD">
        <w:rPr>
          <w:rFonts w:ascii="Century Gothic" w:hAnsi="Century Gothic"/>
        </w:rPr>
        <w:t>its Robodebt scheme was</w:t>
      </w:r>
      <w:r w:rsidR="003D7812" w:rsidRPr="00F75DBD">
        <w:rPr>
          <w:rFonts w:ascii="Century Gothic" w:hAnsi="Century Gothic"/>
        </w:rPr>
        <w:t xml:space="preserve"> concerned to ensure that welfare recipients rece</w:t>
      </w:r>
      <w:r w:rsidR="00C3209B" w:rsidRPr="00F75DBD">
        <w:rPr>
          <w:rFonts w:ascii="Century Gothic" w:hAnsi="Century Gothic"/>
        </w:rPr>
        <w:t xml:space="preserve">ive their proper entitlements. </w:t>
      </w:r>
      <w:r w:rsidR="003D0D73" w:rsidRPr="00F75DBD">
        <w:rPr>
          <w:rFonts w:ascii="Century Gothic" w:hAnsi="Century Gothic"/>
        </w:rPr>
        <w:t>This was framed as ensuring the ‘integrity’ of welfare payments.</w:t>
      </w:r>
      <w:r w:rsidR="00B24A7C" w:rsidRPr="00F75DBD">
        <w:rPr>
          <w:rStyle w:val="FootnoteReference"/>
          <w:rFonts w:ascii="Century Gothic" w:hAnsi="Century Gothic"/>
        </w:rPr>
        <w:footnoteReference w:id="34"/>
      </w:r>
      <w:r w:rsidR="003D0D73" w:rsidRPr="00F75DBD">
        <w:rPr>
          <w:rFonts w:ascii="Century Gothic" w:hAnsi="Century Gothic"/>
        </w:rPr>
        <w:t xml:space="preserve"> Properly understood, this</w:t>
      </w:r>
      <w:r w:rsidR="003D7812" w:rsidRPr="00F75DBD">
        <w:rPr>
          <w:rFonts w:ascii="Century Gothic" w:hAnsi="Century Gothic"/>
        </w:rPr>
        <w:t xml:space="preserve"> </w:t>
      </w:r>
      <w:r w:rsidRPr="00F75DBD">
        <w:rPr>
          <w:rFonts w:ascii="Century Gothic" w:hAnsi="Century Gothic"/>
        </w:rPr>
        <w:t>was</w:t>
      </w:r>
      <w:r w:rsidR="00C3209B" w:rsidRPr="00F75DBD">
        <w:rPr>
          <w:rFonts w:ascii="Century Gothic" w:hAnsi="Century Gothic"/>
        </w:rPr>
        <w:t xml:space="preserve"> a statement, or representation, </w:t>
      </w:r>
      <w:r w:rsidR="003D7812" w:rsidRPr="00F75DBD">
        <w:rPr>
          <w:rFonts w:ascii="Century Gothic" w:hAnsi="Century Gothic"/>
        </w:rPr>
        <w:t xml:space="preserve">about </w:t>
      </w:r>
      <w:r w:rsidR="00C3209B" w:rsidRPr="00F75DBD">
        <w:rPr>
          <w:rFonts w:ascii="Century Gothic" w:hAnsi="Century Gothic"/>
        </w:rPr>
        <w:t>the</w:t>
      </w:r>
      <w:r w:rsidR="003D7812" w:rsidRPr="00F75DBD">
        <w:rPr>
          <w:rFonts w:ascii="Century Gothic" w:hAnsi="Century Gothic"/>
        </w:rPr>
        <w:t xml:space="preserve"> governmental purpose or intention</w:t>
      </w:r>
      <w:r w:rsidR="008C49E5" w:rsidRPr="00F75DBD">
        <w:rPr>
          <w:rFonts w:ascii="Century Gothic" w:hAnsi="Century Gothic"/>
        </w:rPr>
        <w:t>, to be achieved through Robodebt</w:t>
      </w:r>
      <w:r w:rsidR="003D7812" w:rsidRPr="00F75DBD">
        <w:rPr>
          <w:rFonts w:ascii="Century Gothic" w:hAnsi="Century Gothic"/>
        </w:rPr>
        <w:t xml:space="preserve">. </w:t>
      </w:r>
      <w:r w:rsidRPr="00F75DBD">
        <w:rPr>
          <w:rFonts w:ascii="Century Gothic" w:hAnsi="Century Gothic"/>
        </w:rPr>
        <w:t>It was</w:t>
      </w:r>
      <w:r w:rsidR="00C3209B" w:rsidRPr="00F75DBD">
        <w:rPr>
          <w:rFonts w:ascii="Century Gothic" w:hAnsi="Century Gothic"/>
        </w:rPr>
        <w:t>, accordingly,</w:t>
      </w:r>
      <w:r w:rsidRPr="00F75DBD">
        <w:rPr>
          <w:rFonts w:ascii="Century Gothic" w:hAnsi="Century Gothic"/>
        </w:rPr>
        <w:t xml:space="preserve"> a statement of fact (</w:t>
      </w:r>
      <w:r w:rsidR="00C3209B" w:rsidRPr="00F75DBD">
        <w:rPr>
          <w:rFonts w:ascii="Century Gothic" w:hAnsi="Century Gothic"/>
        </w:rPr>
        <w:t>the Government’s</w:t>
      </w:r>
      <w:r w:rsidRPr="00F75DBD">
        <w:rPr>
          <w:rFonts w:ascii="Century Gothic" w:hAnsi="Century Gothic"/>
        </w:rPr>
        <w:t xml:space="preserve"> state of mind).</w:t>
      </w:r>
      <w:r w:rsidR="00B24A7C" w:rsidRPr="00F75DBD">
        <w:rPr>
          <w:rStyle w:val="FootnoteReference"/>
          <w:rFonts w:ascii="Century Gothic" w:hAnsi="Century Gothic"/>
        </w:rPr>
        <w:footnoteReference w:id="35"/>
      </w:r>
      <w:r w:rsidRPr="00F75DBD">
        <w:rPr>
          <w:rFonts w:ascii="Century Gothic" w:hAnsi="Century Gothic"/>
        </w:rPr>
        <w:t xml:space="preserve"> </w:t>
      </w:r>
      <w:r w:rsidR="003D7812" w:rsidRPr="00F75DBD">
        <w:rPr>
          <w:rFonts w:ascii="Century Gothic" w:hAnsi="Century Gothic"/>
        </w:rPr>
        <w:t xml:space="preserve">Yet, as we have seen, the </w:t>
      </w:r>
      <w:r w:rsidR="003D0D73" w:rsidRPr="00F75DBD">
        <w:rPr>
          <w:rFonts w:ascii="Century Gothic" w:hAnsi="Century Gothic"/>
        </w:rPr>
        <w:t>manifest</w:t>
      </w:r>
      <w:r w:rsidR="003D7812" w:rsidRPr="00F75DBD">
        <w:rPr>
          <w:rFonts w:ascii="Century Gothic" w:hAnsi="Century Gothic"/>
        </w:rPr>
        <w:t xml:space="preserve"> purpose of the scheme</w:t>
      </w:r>
      <w:r w:rsidR="003D0D73" w:rsidRPr="00F75DBD">
        <w:rPr>
          <w:rFonts w:ascii="Century Gothic" w:hAnsi="Century Gothic"/>
        </w:rPr>
        <w:t>,</w:t>
      </w:r>
      <w:r w:rsidR="003D7812" w:rsidRPr="00F75DBD">
        <w:rPr>
          <w:rFonts w:ascii="Century Gothic" w:hAnsi="Century Gothic"/>
        </w:rPr>
        <w:t xml:space="preserve"> as deployed</w:t>
      </w:r>
      <w:r w:rsidR="003D0D73" w:rsidRPr="00F75DBD">
        <w:rPr>
          <w:rFonts w:ascii="Century Gothic" w:hAnsi="Century Gothic"/>
        </w:rPr>
        <w:t>,</w:t>
      </w:r>
      <w:r w:rsidR="003D7812" w:rsidRPr="00F75DBD">
        <w:rPr>
          <w:rFonts w:ascii="Century Gothic" w:hAnsi="Century Gothic"/>
        </w:rPr>
        <w:t xml:space="preserve"> could not be to </w:t>
      </w:r>
      <w:r w:rsidR="003D0D73" w:rsidRPr="00F75DBD">
        <w:rPr>
          <w:rFonts w:ascii="Century Gothic" w:hAnsi="Century Gothic"/>
        </w:rPr>
        <w:t>maintain, or improve, the integrity of the social security system</w:t>
      </w:r>
      <w:r w:rsidR="003D7812" w:rsidRPr="00F75DBD">
        <w:rPr>
          <w:rFonts w:ascii="Century Gothic" w:hAnsi="Century Gothic"/>
        </w:rPr>
        <w:t xml:space="preserve">. </w:t>
      </w:r>
      <w:r w:rsidR="00C3209B" w:rsidRPr="00F75DBD">
        <w:rPr>
          <w:rFonts w:ascii="Century Gothic" w:hAnsi="Century Gothic"/>
        </w:rPr>
        <w:t>The scheme</w:t>
      </w:r>
      <w:r w:rsidR="003D7812" w:rsidRPr="00F75DBD">
        <w:rPr>
          <w:rFonts w:ascii="Century Gothic" w:hAnsi="Century Gothic"/>
        </w:rPr>
        <w:t xml:space="preserve"> was guaranteed, in fact, to result in false debts being issued against </w:t>
      </w:r>
      <w:r w:rsidR="00C3209B" w:rsidRPr="00F75DBD">
        <w:rPr>
          <w:rFonts w:ascii="Century Gothic" w:hAnsi="Century Gothic"/>
        </w:rPr>
        <w:t xml:space="preserve">necessarily </w:t>
      </w:r>
      <w:r w:rsidR="003D7812" w:rsidRPr="00F75DBD">
        <w:rPr>
          <w:rFonts w:ascii="Century Gothic" w:hAnsi="Century Gothic"/>
        </w:rPr>
        <w:t>vulnerable Australians. So</w:t>
      </w:r>
      <w:r w:rsidR="008C49E5" w:rsidRPr="00F75DBD">
        <w:rPr>
          <w:rFonts w:ascii="Century Gothic" w:hAnsi="Century Gothic"/>
        </w:rPr>
        <w:t>,</w:t>
      </w:r>
      <w:r w:rsidR="003D7812" w:rsidRPr="00F75DBD">
        <w:rPr>
          <w:rFonts w:ascii="Century Gothic" w:hAnsi="Century Gothic"/>
        </w:rPr>
        <w:t xml:space="preserve"> </w:t>
      </w:r>
      <w:r w:rsidR="00C3209B" w:rsidRPr="00F75DBD">
        <w:rPr>
          <w:rFonts w:ascii="Century Gothic" w:hAnsi="Century Gothic"/>
        </w:rPr>
        <w:t xml:space="preserve">objective assessment of </w:t>
      </w:r>
      <w:r w:rsidR="003D7812" w:rsidRPr="00F75DBD">
        <w:rPr>
          <w:rFonts w:ascii="Century Gothic" w:hAnsi="Century Gothic"/>
        </w:rPr>
        <w:t>the system of conduct, as instantiated, gives lie to the Government statement</w:t>
      </w:r>
      <w:r w:rsidRPr="00F75DBD">
        <w:rPr>
          <w:rFonts w:ascii="Century Gothic" w:hAnsi="Century Gothic"/>
        </w:rPr>
        <w:t xml:space="preserve"> of </w:t>
      </w:r>
      <w:r w:rsidR="00C3209B" w:rsidRPr="00F75DBD">
        <w:rPr>
          <w:rFonts w:ascii="Century Gothic" w:hAnsi="Century Gothic"/>
        </w:rPr>
        <w:t xml:space="preserve">its </w:t>
      </w:r>
      <w:r w:rsidRPr="00F75DBD">
        <w:rPr>
          <w:rFonts w:ascii="Century Gothic" w:hAnsi="Century Gothic"/>
        </w:rPr>
        <w:t xml:space="preserve">‘formal’ </w:t>
      </w:r>
      <w:r w:rsidR="008C49E5" w:rsidRPr="00F75DBD">
        <w:rPr>
          <w:rFonts w:ascii="Century Gothic" w:hAnsi="Century Gothic"/>
        </w:rPr>
        <w:t xml:space="preserve">(ethical) </w:t>
      </w:r>
      <w:r w:rsidRPr="00F75DBD">
        <w:rPr>
          <w:rFonts w:ascii="Century Gothic" w:hAnsi="Century Gothic"/>
        </w:rPr>
        <w:t>social security policy</w:t>
      </w:r>
      <w:r w:rsidR="003D7812" w:rsidRPr="00F75DBD">
        <w:rPr>
          <w:rFonts w:ascii="Century Gothic" w:hAnsi="Century Gothic"/>
        </w:rPr>
        <w:t xml:space="preserve">. </w:t>
      </w:r>
      <w:r w:rsidRPr="00F75DBD">
        <w:rPr>
          <w:rFonts w:ascii="Century Gothic" w:hAnsi="Century Gothic"/>
        </w:rPr>
        <w:t xml:space="preserve">It is therefore open to consider that, on their face, the Government’s published statements were </w:t>
      </w:r>
      <w:r w:rsidR="00C3209B" w:rsidRPr="00F75DBD">
        <w:rPr>
          <w:rFonts w:ascii="Century Gothic" w:hAnsi="Century Gothic"/>
        </w:rPr>
        <w:t xml:space="preserve">false, and </w:t>
      </w:r>
      <w:r w:rsidRPr="00F75DBD">
        <w:rPr>
          <w:rFonts w:ascii="Century Gothic" w:hAnsi="Century Gothic"/>
        </w:rPr>
        <w:t xml:space="preserve">knowingly </w:t>
      </w:r>
      <w:r w:rsidR="00C3209B" w:rsidRPr="00F75DBD">
        <w:rPr>
          <w:rFonts w:ascii="Century Gothic" w:hAnsi="Century Gothic"/>
        </w:rPr>
        <w:t>so</w:t>
      </w:r>
      <w:r w:rsidRPr="00F75DBD">
        <w:rPr>
          <w:rFonts w:ascii="Century Gothic" w:hAnsi="Century Gothic"/>
        </w:rPr>
        <w:t xml:space="preserve">. </w:t>
      </w:r>
    </w:p>
    <w:p w:rsidR="003D7812" w:rsidRPr="00F75DBD" w:rsidRDefault="003D7812" w:rsidP="00732DB1">
      <w:pPr>
        <w:jc w:val="both"/>
        <w:rPr>
          <w:rFonts w:ascii="Century Gothic" w:hAnsi="Century Gothic"/>
        </w:rPr>
      </w:pPr>
      <w:r w:rsidRPr="00F75DBD">
        <w:rPr>
          <w:rFonts w:ascii="Century Gothic" w:hAnsi="Century Gothic"/>
        </w:rPr>
        <w:t>In corporate contexts, a statement about a corporation’s state of mind that is knowingly false is a form of fraud</w:t>
      </w:r>
      <w:r w:rsidR="00163A47" w:rsidRPr="00F75DBD">
        <w:rPr>
          <w:rFonts w:ascii="Century Gothic" w:hAnsi="Century Gothic"/>
        </w:rPr>
        <w:t xml:space="preserve"> and, hence, consistent with dishonesty</w:t>
      </w:r>
      <w:r w:rsidRPr="00F75DBD">
        <w:rPr>
          <w:rFonts w:ascii="Century Gothic" w:hAnsi="Century Gothic"/>
        </w:rPr>
        <w:t xml:space="preserve">. </w:t>
      </w:r>
      <w:r w:rsidR="00163A47" w:rsidRPr="00F75DBD">
        <w:rPr>
          <w:rFonts w:ascii="Century Gothic" w:hAnsi="Century Gothic"/>
        </w:rPr>
        <w:t xml:space="preserve">It is unclear to me why a similar conclusion </w:t>
      </w:r>
      <w:r w:rsidR="00C3209B" w:rsidRPr="00F75DBD">
        <w:rPr>
          <w:rFonts w:ascii="Century Gothic" w:hAnsi="Century Gothic"/>
        </w:rPr>
        <w:t>would not, and should</w:t>
      </w:r>
      <w:r w:rsidR="00163A47" w:rsidRPr="00F75DBD">
        <w:rPr>
          <w:rFonts w:ascii="Century Gothic" w:hAnsi="Century Gothic"/>
        </w:rPr>
        <w:t xml:space="preserve"> not be open with respect to the Government’s statements concerning </w:t>
      </w:r>
      <w:r w:rsidR="00C3209B" w:rsidRPr="00F75DBD">
        <w:rPr>
          <w:rFonts w:ascii="Century Gothic" w:hAnsi="Century Gothic"/>
        </w:rPr>
        <w:t xml:space="preserve">its purposes in enacting the </w:t>
      </w:r>
      <w:r w:rsidR="00163A47" w:rsidRPr="00F75DBD">
        <w:rPr>
          <w:rFonts w:ascii="Century Gothic" w:hAnsi="Century Gothic"/>
        </w:rPr>
        <w:t>Robodebt</w:t>
      </w:r>
      <w:r w:rsidR="00C3209B" w:rsidRPr="00F75DBD">
        <w:rPr>
          <w:rFonts w:ascii="Century Gothic" w:hAnsi="Century Gothic"/>
        </w:rPr>
        <w:t xml:space="preserve"> scheme</w:t>
      </w:r>
      <w:r w:rsidR="00163A47" w:rsidRPr="00F75DBD">
        <w:rPr>
          <w:rFonts w:ascii="Century Gothic" w:hAnsi="Century Gothic"/>
        </w:rPr>
        <w:t>.</w:t>
      </w:r>
      <w:r w:rsidR="008C49E5" w:rsidRPr="00F75DBD">
        <w:rPr>
          <w:rFonts w:ascii="Century Gothic" w:hAnsi="Century Gothic"/>
        </w:rPr>
        <w:t xml:space="preserve"> </w:t>
      </w:r>
    </w:p>
    <w:p w:rsidR="005D14E6" w:rsidRPr="00F75DBD" w:rsidRDefault="005D14E6" w:rsidP="00732DB1">
      <w:pPr>
        <w:jc w:val="both"/>
        <w:rPr>
          <w:rFonts w:ascii="Century Gothic" w:hAnsi="Century Gothic"/>
        </w:rPr>
      </w:pPr>
      <w:r w:rsidRPr="00F75DBD">
        <w:rPr>
          <w:rFonts w:ascii="Century Gothic" w:hAnsi="Century Gothic"/>
        </w:rPr>
        <w:t>It will similarly be apparent that the analysis challenges another common</w:t>
      </w:r>
      <w:r w:rsidR="00266030" w:rsidRPr="00F75DBD">
        <w:rPr>
          <w:rFonts w:ascii="Century Gothic" w:hAnsi="Century Gothic"/>
        </w:rPr>
        <w:t xml:space="preserve"> (and related)</w:t>
      </w:r>
      <w:r w:rsidRPr="00F75DBD">
        <w:rPr>
          <w:rFonts w:ascii="Century Gothic" w:hAnsi="Century Gothic"/>
        </w:rPr>
        <w:t xml:space="preserve"> organisational excuse: namely that the formal policy behind a scheme (or system of conduct) was entirely ethical (eg all about </w:t>
      </w:r>
      <w:r w:rsidR="008C49E5" w:rsidRPr="00F75DBD">
        <w:rPr>
          <w:rFonts w:ascii="Century Gothic" w:hAnsi="Century Gothic"/>
        </w:rPr>
        <w:t>integrity of welfare payments</w:t>
      </w:r>
      <w:r w:rsidRPr="00F75DBD">
        <w:rPr>
          <w:rFonts w:ascii="Century Gothic" w:hAnsi="Century Gothic"/>
        </w:rPr>
        <w:t xml:space="preserve">, in the case of Robodebt) but the system of conduct was deficient in realising this policy ‘on the ground’. On the model of Systems Intentionality, any analysis of organisational mindsets starts with the instantiated system of conduct; that is, with identification and characterisation of the de facto adopted and deployed system. It is this that manifests the true corporate mindset. From this perspective, again, ‘formal’ organisational policies that diverge markedly from the reality of the daily system of conduct suggest the presence of misleading conduct on the part of the organisation. This may be understood as deliberate (that is, deceptive) conduct where the organisation knows that the formal policy bears no relation to the reality of the system as deployed. </w:t>
      </w:r>
      <w:r w:rsidR="00266030" w:rsidRPr="00F75DBD">
        <w:rPr>
          <w:rFonts w:ascii="Century Gothic" w:hAnsi="Century Gothic"/>
        </w:rPr>
        <w:t>On the bare facts of the Robodebt scheme as deployed,</w:t>
      </w:r>
      <w:r w:rsidRPr="00F75DBD">
        <w:rPr>
          <w:rFonts w:ascii="Century Gothic" w:hAnsi="Century Gothic"/>
        </w:rPr>
        <w:t xml:space="preserve"> </w:t>
      </w:r>
      <w:r w:rsidR="00266030" w:rsidRPr="00F75DBD">
        <w:rPr>
          <w:rFonts w:ascii="Century Gothic" w:hAnsi="Century Gothic"/>
        </w:rPr>
        <w:t xml:space="preserve">this </w:t>
      </w:r>
      <w:r w:rsidRPr="00F75DBD">
        <w:rPr>
          <w:rFonts w:ascii="Century Gothic" w:hAnsi="Century Gothic"/>
        </w:rPr>
        <w:t xml:space="preserve">conclusion is </w:t>
      </w:r>
      <w:r w:rsidR="00266030" w:rsidRPr="00F75DBD">
        <w:rPr>
          <w:rFonts w:ascii="Century Gothic" w:hAnsi="Century Gothic"/>
        </w:rPr>
        <w:t xml:space="preserve">again </w:t>
      </w:r>
      <w:r w:rsidRPr="00F75DBD">
        <w:rPr>
          <w:rFonts w:ascii="Century Gothic" w:hAnsi="Century Gothic"/>
        </w:rPr>
        <w:t xml:space="preserve">open </w:t>
      </w:r>
      <w:r w:rsidR="00266030" w:rsidRPr="00F75DBD">
        <w:rPr>
          <w:rFonts w:ascii="Century Gothic" w:hAnsi="Century Gothic"/>
        </w:rPr>
        <w:t>with respect to the G</w:t>
      </w:r>
      <w:r w:rsidRPr="00F75DBD">
        <w:rPr>
          <w:rFonts w:ascii="Century Gothic" w:hAnsi="Century Gothic"/>
        </w:rPr>
        <w:t>overnment’s claims regarding the aims and values manifested by the scheme.</w:t>
      </w:r>
    </w:p>
    <w:p w:rsidR="000077EC" w:rsidRPr="00F75DBD" w:rsidRDefault="00163A47" w:rsidP="00732DB1">
      <w:pPr>
        <w:jc w:val="both"/>
        <w:rPr>
          <w:rFonts w:ascii="Century Gothic" w:hAnsi="Century Gothic"/>
        </w:rPr>
      </w:pPr>
      <w:r w:rsidRPr="00F75DBD">
        <w:rPr>
          <w:rFonts w:ascii="Century Gothic" w:hAnsi="Century Gothic"/>
        </w:rPr>
        <w:lastRenderedPageBreak/>
        <w:t>This analysis of organisational knowledge, implicit in (or patent on the face of) its de facto systems of conduct,</w:t>
      </w:r>
      <w:r w:rsidR="000077EC" w:rsidRPr="00F75DBD">
        <w:rPr>
          <w:rFonts w:ascii="Century Gothic" w:hAnsi="Century Gothic"/>
        </w:rPr>
        <w:t xml:space="preserve"> places very significant pressure on corporate</w:t>
      </w:r>
      <w:r w:rsidR="00F94C53" w:rsidRPr="00F75DBD">
        <w:rPr>
          <w:rFonts w:ascii="Century Gothic" w:hAnsi="Century Gothic"/>
        </w:rPr>
        <w:t xml:space="preserve"> and broader organisational</w:t>
      </w:r>
      <w:r w:rsidR="000077EC" w:rsidRPr="00F75DBD">
        <w:rPr>
          <w:rFonts w:ascii="Century Gothic" w:hAnsi="Century Gothic"/>
        </w:rPr>
        <w:t xml:space="preserve"> narratives that </w:t>
      </w:r>
      <w:r w:rsidRPr="00F75DBD">
        <w:rPr>
          <w:rFonts w:ascii="Century Gothic" w:hAnsi="Century Gothic"/>
        </w:rPr>
        <w:t xml:space="preserve">seek to </w:t>
      </w:r>
      <w:r w:rsidR="000077EC" w:rsidRPr="00F75DBD">
        <w:rPr>
          <w:rFonts w:ascii="Century Gothic" w:hAnsi="Century Gothic"/>
        </w:rPr>
        <w:t xml:space="preserve">characterise the </w:t>
      </w:r>
      <w:r w:rsidR="00F94C53" w:rsidRPr="00F75DBD">
        <w:rPr>
          <w:rFonts w:ascii="Century Gothic" w:hAnsi="Century Gothic"/>
        </w:rPr>
        <w:t>organisation</w:t>
      </w:r>
      <w:r w:rsidR="000077EC" w:rsidRPr="00F75DBD">
        <w:rPr>
          <w:rFonts w:ascii="Century Gothic" w:hAnsi="Century Gothic"/>
        </w:rPr>
        <w:t xml:space="preserve"> as </w:t>
      </w:r>
      <w:r w:rsidRPr="00F75DBD">
        <w:rPr>
          <w:rFonts w:ascii="Century Gothic" w:hAnsi="Century Gothic"/>
        </w:rPr>
        <w:t>‘</w:t>
      </w:r>
      <w:r w:rsidR="000077EC" w:rsidRPr="00F75DBD">
        <w:rPr>
          <w:rFonts w:ascii="Century Gothic" w:hAnsi="Century Gothic"/>
        </w:rPr>
        <w:t>ignorant</w:t>
      </w:r>
      <w:r w:rsidRPr="00F75DBD">
        <w:rPr>
          <w:rFonts w:ascii="Century Gothic" w:hAnsi="Century Gothic"/>
        </w:rPr>
        <w:t>’</w:t>
      </w:r>
      <w:r w:rsidR="000077EC" w:rsidRPr="00F75DBD">
        <w:rPr>
          <w:rFonts w:ascii="Century Gothic" w:hAnsi="Century Gothic"/>
        </w:rPr>
        <w:t xml:space="preserve"> (and therefore innocent) of its </w:t>
      </w:r>
      <w:r w:rsidRPr="00F75DBD">
        <w:rPr>
          <w:rFonts w:ascii="Century Gothic" w:hAnsi="Century Gothic"/>
        </w:rPr>
        <w:t xml:space="preserve">own </w:t>
      </w:r>
      <w:r w:rsidR="000077EC" w:rsidRPr="00F75DBD">
        <w:rPr>
          <w:rFonts w:ascii="Century Gothic" w:hAnsi="Century Gothic"/>
        </w:rPr>
        <w:t xml:space="preserve">conduct. </w:t>
      </w:r>
      <w:r w:rsidR="005D14E6" w:rsidRPr="00F75DBD">
        <w:rPr>
          <w:rFonts w:ascii="Century Gothic" w:hAnsi="Century Gothic"/>
        </w:rPr>
        <w:t>We have seen earlier that ‘interpretive’ strategies of denial leverage infor</w:t>
      </w:r>
      <w:r w:rsidR="000077EC" w:rsidRPr="00F75DBD">
        <w:rPr>
          <w:rFonts w:ascii="Century Gothic" w:hAnsi="Century Gothic"/>
        </w:rPr>
        <w:t xml:space="preserve">mation barriers </w:t>
      </w:r>
      <w:r w:rsidR="005D14E6" w:rsidRPr="00F75DBD">
        <w:rPr>
          <w:rFonts w:ascii="Century Gothic" w:hAnsi="Century Gothic"/>
        </w:rPr>
        <w:t xml:space="preserve">and silos </w:t>
      </w:r>
      <w:r w:rsidR="000077EC" w:rsidRPr="00F75DBD">
        <w:rPr>
          <w:rFonts w:ascii="Century Gothic" w:hAnsi="Century Gothic"/>
        </w:rPr>
        <w:t xml:space="preserve">that prevent responsible officers </w:t>
      </w:r>
      <w:r w:rsidR="000254E9" w:rsidRPr="00F75DBD">
        <w:rPr>
          <w:rFonts w:ascii="Century Gothic" w:hAnsi="Century Gothic"/>
        </w:rPr>
        <w:t>(including M</w:t>
      </w:r>
      <w:r w:rsidR="00F94C53" w:rsidRPr="00F75DBD">
        <w:rPr>
          <w:rFonts w:ascii="Century Gothic" w:hAnsi="Century Gothic"/>
        </w:rPr>
        <w:t xml:space="preserve">inisters) </w:t>
      </w:r>
      <w:r w:rsidR="000077EC" w:rsidRPr="00F75DBD">
        <w:rPr>
          <w:rFonts w:ascii="Century Gothic" w:hAnsi="Century Gothic"/>
        </w:rPr>
        <w:t>from actual knowledge of the corporation’s misconduct</w:t>
      </w:r>
      <w:r w:rsidR="005D14E6" w:rsidRPr="00F75DBD">
        <w:rPr>
          <w:rFonts w:ascii="Century Gothic" w:hAnsi="Century Gothic"/>
        </w:rPr>
        <w:t xml:space="preserve">. What the responsible officers </w:t>
      </w:r>
      <w:r w:rsidR="00266030" w:rsidRPr="00F75DBD">
        <w:rPr>
          <w:rFonts w:ascii="Century Gothic" w:hAnsi="Century Gothic"/>
        </w:rPr>
        <w:t>does not</w:t>
      </w:r>
      <w:r w:rsidR="005D14E6" w:rsidRPr="00F75DBD">
        <w:rPr>
          <w:rFonts w:ascii="Century Gothic" w:hAnsi="Century Gothic"/>
        </w:rPr>
        <w:t xml:space="preserve"> know, the corporation (or government) does not know. Systems Intentionality </w:t>
      </w:r>
      <w:r w:rsidR="00266030" w:rsidRPr="00F75DBD">
        <w:rPr>
          <w:rFonts w:ascii="Century Gothic" w:hAnsi="Century Gothic"/>
        </w:rPr>
        <w:t>repudiates</w:t>
      </w:r>
      <w:r w:rsidR="005D14E6" w:rsidRPr="00F75DBD">
        <w:rPr>
          <w:rFonts w:ascii="Century Gothic" w:hAnsi="Century Gothic"/>
        </w:rPr>
        <w:t xml:space="preserve"> this, by </w:t>
      </w:r>
      <w:r w:rsidR="00266030" w:rsidRPr="00F75DBD">
        <w:rPr>
          <w:rFonts w:ascii="Century Gothic" w:hAnsi="Century Gothic"/>
        </w:rPr>
        <w:t>making clear that it is well-nigh</w:t>
      </w:r>
      <w:r w:rsidR="005D14E6" w:rsidRPr="00F75DBD">
        <w:rPr>
          <w:rFonts w:ascii="Century Gothic" w:hAnsi="Century Gothic"/>
        </w:rPr>
        <w:t xml:space="preserve"> impossible for </w:t>
      </w:r>
      <w:r w:rsidR="00266030" w:rsidRPr="00F75DBD">
        <w:rPr>
          <w:rFonts w:ascii="Century Gothic" w:hAnsi="Century Gothic"/>
        </w:rPr>
        <w:t>an</w:t>
      </w:r>
      <w:r w:rsidR="005D14E6" w:rsidRPr="00F75DBD">
        <w:rPr>
          <w:rFonts w:ascii="Century Gothic" w:hAnsi="Century Gothic"/>
        </w:rPr>
        <w:t xml:space="preserve"> organisation to fail to know the essential elements of its</w:t>
      </w:r>
      <w:r w:rsidR="00266030" w:rsidRPr="00F75DBD">
        <w:rPr>
          <w:rFonts w:ascii="Century Gothic" w:hAnsi="Century Gothic"/>
        </w:rPr>
        <w:t xml:space="preserve"> own,</w:t>
      </w:r>
      <w:r w:rsidR="005D14E6" w:rsidRPr="00F75DBD">
        <w:rPr>
          <w:rFonts w:ascii="Century Gothic" w:hAnsi="Century Gothic"/>
        </w:rPr>
        <w:t xml:space="preserve"> intended systems of conduct.</w:t>
      </w:r>
      <w:r w:rsidR="00AB7AD4" w:rsidRPr="00F75DBD">
        <w:rPr>
          <w:rStyle w:val="FootnoteReference"/>
          <w:rFonts w:ascii="Century Gothic" w:hAnsi="Century Gothic"/>
        </w:rPr>
        <w:footnoteReference w:id="36"/>
      </w:r>
      <w:r w:rsidR="005D14E6" w:rsidRPr="00F75DBD">
        <w:rPr>
          <w:rFonts w:ascii="Century Gothic" w:hAnsi="Century Gothic"/>
        </w:rPr>
        <w:t xml:space="preserve"> Systems cannot be sleep-walked into successful deployment. </w:t>
      </w:r>
      <w:r w:rsidR="00EB4D96" w:rsidRPr="00F75DBD">
        <w:rPr>
          <w:rFonts w:ascii="Century Gothic" w:hAnsi="Century Gothic"/>
        </w:rPr>
        <w:t xml:space="preserve">There is no doubt, </w:t>
      </w:r>
      <w:r w:rsidR="0068324C" w:rsidRPr="00F75DBD">
        <w:rPr>
          <w:rFonts w:ascii="Century Gothic" w:hAnsi="Century Gothic"/>
        </w:rPr>
        <w:t>in any event</w:t>
      </w:r>
      <w:r w:rsidR="00EB4D96" w:rsidRPr="00F75DBD">
        <w:rPr>
          <w:rFonts w:ascii="Century Gothic" w:hAnsi="Century Gothic"/>
        </w:rPr>
        <w:t xml:space="preserve">, that Robodebt was the </w:t>
      </w:r>
      <w:r w:rsidR="005D14E6" w:rsidRPr="00F75DBD">
        <w:rPr>
          <w:rFonts w:ascii="Century Gothic" w:hAnsi="Century Gothic"/>
        </w:rPr>
        <w:t>Government</w:t>
      </w:r>
      <w:r w:rsidR="00EB4D96" w:rsidRPr="00F75DBD">
        <w:rPr>
          <w:rFonts w:ascii="Century Gothic" w:hAnsi="Century Gothic"/>
        </w:rPr>
        <w:t xml:space="preserve"> initiative and system of conduct.</w:t>
      </w:r>
      <w:r w:rsidR="005D14E6" w:rsidRPr="00F75DBD">
        <w:rPr>
          <w:rFonts w:ascii="Century Gothic" w:hAnsi="Century Gothic"/>
        </w:rPr>
        <w:t xml:space="preserve"> This was not the doings of </w:t>
      </w:r>
      <w:r w:rsidR="008C49E5" w:rsidRPr="00F75DBD">
        <w:rPr>
          <w:rFonts w:ascii="Century Gothic" w:hAnsi="Century Gothic"/>
        </w:rPr>
        <w:t>some</w:t>
      </w:r>
      <w:r w:rsidR="005D14E6" w:rsidRPr="00F75DBD">
        <w:rPr>
          <w:rFonts w:ascii="Century Gothic" w:hAnsi="Century Gothic"/>
        </w:rPr>
        <w:t xml:space="preserve"> rogue element within the Government. </w:t>
      </w:r>
      <w:r w:rsidR="00EB4D96" w:rsidRPr="00F75DBD">
        <w:rPr>
          <w:rFonts w:ascii="Century Gothic" w:hAnsi="Century Gothic"/>
        </w:rPr>
        <w:t xml:space="preserve"> </w:t>
      </w:r>
      <w:r w:rsidR="0068324C" w:rsidRPr="00F75DBD">
        <w:rPr>
          <w:rFonts w:ascii="Century Gothic" w:hAnsi="Century Gothic"/>
        </w:rPr>
        <w:t>It follows that the</w:t>
      </w:r>
      <w:r w:rsidR="005D14E6" w:rsidRPr="00F75DBD">
        <w:rPr>
          <w:rFonts w:ascii="Century Gothic" w:hAnsi="Century Gothic"/>
        </w:rPr>
        <w:t xml:space="preserve"> G</w:t>
      </w:r>
      <w:r w:rsidR="00EB4D96" w:rsidRPr="00F75DBD">
        <w:rPr>
          <w:rFonts w:ascii="Century Gothic" w:hAnsi="Century Gothic"/>
        </w:rPr>
        <w:t>overnment knew</w:t>
      </w:r>
      <w:r w:rsidR="0068324C" w:rsidRPr="00F75DBD">
        <w:rPr>
          <w:rFonts w:ascii="Century Gothic" w:hAnsi="Century Gothic"/>
        </w:rPr>
        <w:t>, at an organisational level,</w:t>
      </w:r>
      <w:r w:rsidR="00EB4D96" w:rsidRPr="00F75DBD">
        <w:rPr>
          <w:rFonts w:ascii="Century Gothic" w:hAnsi="Century Gothic"/>
        </w:rPr>
        <w:t xml:space="preserve"> about the scheme, its key features, and intended these.</w:t>
      </w:r>
      <w:r w:rsidR="00266030" w:rsidRPr="00F75DBD">
        <w:rPr>
          <w:rFonts w:ascii="Century Gothic" w:hAnsi="Century Gothic"/>
        </w:rPr>
        <w:t xml:space="preserve"> Any narrative to the contrary must, therefore, be strongly tested.</w:t>
      </w:r>
    </w:p>
    <w:p w:rsidR="00EB4D96" w:rsidRPr="00F75DBD" w:rsidRDefault="00266030" w:rsidP="00732DB1">
      <w:pPr>
        <w:jc w:val="both"/>
        <w:rPr>
          <w:rFonts w:ascii="Century Gothic" w:hAnsi="Century Gothic"/>
        </w:rPr>
      </w:pPr>
      <w:r w:rsidRPr="00F75DBD">
        <w:rPr>
          <w:rFonts w:ascii="Century Gothic" w:hAnsi="Century Gothic"/>
        </w:rPr>
        <w:t xml:space="preserve">Finally, as should now be </w:t>
      </w:r>
      <w:r w:rsidR="00EB4D96" w:rsidRPr="00F75DBD">
        <w:rPr>
          <w:rFonts w:ascii="Century Gothic" w:hAnsi="Century Gothic"/>
        </w:rPr>
        <w:t>a</w:t>
      </w:r>
      <w:r w:rsidRPr="00F75DBD">
        <w:rPr>
          <w:rFonts w:ascii="Century Gothic" w:hAnsi="Century Gothic"/>
        </w:rPr>
        <w:t>pparent</w:t>
      </w:r>
      <w:r w:rsidR="00EB4D96" w:rsidRPr="00F75DBD">
        <w:rPr>
          <w:rFonts w:ascii="Century Gothic" w:hAnsi="Century Gothic"/>
        </w:rPr>
        <w:t xml:space="preserve">, this analysis provides a </w:t>
      </w:r>
      <w:r w:rsidRPr="00F75DBD">
        <w:rPr>
          <w:rFonts w:ascii="Century Gothic" w:hAnsi="Century Gothic"/>
        </w:rPr>
        <w:t xml:space="preserve">helpful </w:t>
      </w:r>
      <w:r w:rsidR="00EB4D96" w:rsidRPr="00F75DBD">
        <w:rPr>
          <w:rFonts w:ascii="Century Gothic" w:hAnsi="Century Gothic"/>
        </w:rPr>
        <w:t xml:space="preserve">basis on which to </w:t>
      </w:r>
      <w:r w:rsidR="00AB7AD4" w:rsidRPr="00F75DBD">
        <w:rPr>
          <w:rFonts w:ascii="Century Gothic" w:hAnsi="Century Gothic"/>
        </w:rPr>
        <w:t>probe</w:t>
      </w:r>
      <w:r w:rsidR="00EB4D96" w:rsidRPr="00F75DBD">
        <w:rPr>
          <w:rFonts w:ascii="Century Gothic" w:hAnsi="Century Gothic"/>
        </w:rPr>
        <w:t xml:space="preserve">, sceptically, individual protestations that the natural persons associated with deploying </w:t>
      </w:r>
      <w:r w:rsidRPr="00F75DBD">
        <w:rPr>
          <w:rFonts w:ascii="Century Gothic" w:hAnsi="Century Gothic"/>
        </w:rPr>
        <w:t>a harmful</w:t>
      </w:r>
      <w:r w:rsidR="00EB4D96" w:rsidRPr="00F75DBD">
        <w:rPr>
          <w:rFonts w:ascii="Century Gothic" w:hAnsi="Century Gothic"/>
        </w:rPr>
        <w:t xml:space="preserve"> system of conduct did not understand or intend it. </w:t>
      </w:r>
      <w:r w:rsidR="0068324C" w:rsidRPr="00F75DBD">
        <w:rPr>
          <w:rFonts w:ascii="Century Gothic" w:hAnsi="Century Gothic"/>
        </w:rPr>
        <w:t>It may be that natural persons that signed off on the scheme, for example, regarded it personally as regrettable or even undesirable. However, that is quite different from saying that the scheme was not intended in its terms</w:t>
      </w:r>
      <w:r w:rsidR="002661AE" w:rsidRPr="00F75DBD">
        <w:rPr>
          <w:rFonts w:ascii="Century Gothic" w:hAnsi="Century Gothic"/>
        </w:rPr>
        <w:t>, or that they did not intend, through their actions, to implement the scheme</w:t>
      </w:r>
      <w:r w:rsidR="008C49E5" w:rsidRPr="00F75DBD">
        <w:rPr>
          <w:rFonts w:ascii="Century Gothic" w:hAnsi="Century Gothic"/>
        </w:rPr>
        <w:t xml:space="preserve"> to achieve Government purposes</w:t>
      </w:r>
      <w:r w:rsidR="0068324C" w:rsidRPr="00F75DBD">
        <w:rPr>
          <w:rFonts w:ascii="Century Gothic" w:hAnsi="Century Gothic"/>
        </w:rPr>
        <w:t>.</w:t>
      </w:r>
      <w:r w:rsidR="00AB7AD4" w:rsidRPr="00F75DBD">
        <w:rPr>
          <w:rStyle w:val="FootnoteReference"/>
          <w:rFonts w:ascii="Century Gothic" w:hAnsi="Century Gothic"/>
        </w:rPr>
        <w:footnoteReference w:id="37"/>
      </w:r>
    </w:p>
    <w:p w:rsidR="00D91EAE" w:rsidRPr="005C3808" w:rsidRDefault="00266030" w:rsidP="00E53E8C">
      <w:pPr>
        <w:pStyle w:val="Heading1"/>
        <w:numPr>
          <w:ilvl w:val="0"/>
          <w:numId w:val="17"/>
        </w:numPr>
        <w:rPr>
          <w:rFonts w:ascii="Century Gothic" w:eastAsiaTheme="minorEastAsia" w:hAnsi="Century Gothic" w:cs="Arial"/>
          <w:b/>
        </w:rPr>
      </w:pPr>
      <w:bookmarkStart w:id="5" w:name="_Toc116481928"/>
      <w:r w:rsidRPr="005C3808">
        <w:rPr>
          <w:rFonts w:ascii="Century Gothic" w:eastAsiaTheme="minorEastAsia" w:hAnsi="Century Gothic" w:cs="Arial"/>
          <w:b/>
        </w:rPr>
        <w:t xml:space="preserve">Dissecting the </w:t>
      </w:r>
      <w:r w:rsidR="00CD16F2" w:rsidRPr="005C3808">
        <w:rPr>
          <w:rFonts w:ascii="Century Gothic" w:eastAsiaTheme="minorEastAsia" w:hAnsi="Century Gothic" w:cs="Arial"/>
          <w:b/>
        </w:rPr>
        <w:t xml:space="preserve">full </w:t>
      </w:r>
      <w:r w:rsidRPr="005C3808">
        <w:rPr>
          <w:rFonts w:ascii="Century Gothic" w:eastAsiaTheme="minorEastAsia" w:hAnsi="Century Gothic" w:cs="Arial"/>
          <w:b/>
        </w:rPr>
        <w:t>Government mindset behind Robodebt</w:t>
      </w:r>
      <w:bookmarkEnd w:id="5"/>
    </w:p>
    <w:p w:rsidR="00FB360D" w:rsidRPr="00F75DBD" w:rsidRDefault="00FB360D" w:rsidP="00E53E8C">
      <w:pPr>
        <w:pStyle w:val="Heading2"/>
        <w:numPr>
          <w:ilvl w:val="0"/>
          <w:numId w:val="18"/>
        </w:numPr>
        <w:rPr>
          <w:rFonts w:ascii="Century Gothic" w:hAnsi="Century Gothic"/>
        </w:rPr>
      </w:pPr>
      <w:bookmarkStart w:id="6" w:name="_Toc116481929"/>
      <w:r w:rsidRPr="00F75DBD">
        <w:rPr>
          <w:rFonts w:ascii="Century Gothic" w:hAnsi="Century Gothic"/>
        </w:rPr>
        <w:t>Overall Conclusions</w:t>
      </w:r>
      <w:bookmarkEnd w:id="6"/>
    </w:p>
    <w:p w:rsidR="00FB360D" w:rsidRPr="005C3808" w:rsidRDefault="00FB360D" w:rsidP="009754BD">
      <w:pPr>
        <w:pStyle w:val="Heading3"/>
        <w:numPr>
          <w:ilvl w:val="0"/>
          <w:numId w:val="20"/>
        </w:numPr>
        <w:rPr>
          <w:rFonts w:ascii="Century Gothic" w:hAnsi="Century Gothic"/>
          <w:color w:val="1F4E79" w:themeColor="accent1" w:themeShade="80"/>
        </w:rPr>
      </w:pPr>
      <w:bookmarkStart w:id="7" w:name="_Toc116481930"/>
      <w:r w:rsidRPr="005C3808">
        <w:rPr>
          <w:rFonts w:ascii="Century Gothic" w:hAnsi="Century Gothic"/>
          <w:color w:val="1F4E79" w:themeColor="accent1" w:themeShade="80"/>
        </w:rPr>
        <w:t>Knowledge and general intention</w:t>
      </w:r>
      <w:bookmarkEnd w:id="7"/>
    </w:p>
    <w:p w:rsidR="00412FFF" w:rsidRPr="00F75DBD" w:rsidRDefault="002661AE" w:rsidP="00732DB1">
      <w:pPr>
        <w:jc w:val="both"/>
        <w:rPr>
          <w:rFonts w:ascii="Century Gothic" w:hAnsi="Century Gothic"/>
        </w:rPr>
      </w:pPr>
      <w:r w:rsidRPr="00F75DBD">
        <w:rPr>
          <w:rFonts w:ascii="Century Gothic" w:hAnsi="Century Gothic"/>
        </w:rPr>
        <w:t xml:space="preserve">As I have explained, </w:t>
      </w:r>
      <w:r w:rsidR="00CD16F2" w:rsidRPr="00F75DBD">
        <w:rPr>
          <w:rFonts w:ascii="Century Gothic" w:hAnsi="Century Gothic"/>
        </w:rPr>
        <w:t xml:space="preserve">on the model of </w:t>
      </w:r>
      <w:r w:rsidRPr="00F75DBD">
        <w:rPr>
          <w:rFonts w:ascii="Century Gothic" w:hAnsi="Century Gothic"/>
        </w:rPr>
        <w:t>Syste</w:t>
      </w:r>
      <w:r w:rsidR="00CD16F2" w:rsidRPr="00F75DBD">
        <w:rPr>
          <w:rFonts w:ascii="Century Gothic" w:hAnsi="Century Gothic"/>
        </w:rPr>
        <w:t>ms Intentionality, the Government knew the inhe</w:t>
      </w:r>
      <w:r w:rsidR="005C3808">
        <w:rPr>
          <w:rFonts w:ascii="Century Gothic" w:hAnsi="Century Gothic"/>
        </w:rPr>
        <w:t xml:space="preserve">rent (harmful) incidents of the </w:t>
      </w:r>
      <w:r w:rsidR="00CD16F2" w:rsidRPr="00F75DBD">
        <w:rPr>
          <w:rFonts w:ascii="Century Gothic" w:hAnsi="Century Gothic"/>
        </w:rPr>
        <w:t xml:space="preserve">Robodebt scheme and intended that conduct. </w:t>
      </w:r>
      <w:r w:rsidR="00DE38E7" w:rsidRPr="00F75DBD">
        <w:rPr>
          <w:rFonts w:ascii="Century Gothic" w:hAnsi="Century Gothic"/>
        </w:rPr>
        <w:t>The analysis also provides strong support for the view that the purpose of the Robodebt scheme was not to ‘recover’ overpayments, but to raise ‘fresh’ money from social security recipients to deploy for other, Government purposes.</w:t>
      </w:r>
      <w:r w:rsidR="00DE38E7" w:rsidRPr="00F75DBD">
        <w:rPr>
          <w:rStyle w:val="FootnoteReference"/>
          <w:rFonts w:ascii="Century Gothic" w:hAnsi="Century Gothic"/>
        </w:rPr>
        <w:footnoteReference w:id="38"/>
      </w:r>
      <w:r w:rsidR="00DE38E7" w:rsidRPr="00F75DBD">
        <w:rPr>
          <w:rFonts w:ascii="Century Gothic" w:hAnsi="Century Gothic"/>
        </w:rPr>
        <w:t xml:space="preserve"> </w:t>
      </w:r>
      <w:r w:rsidR="00CD16F2" w:rsidRPr="00F75DBD">
        <w:rPr>
          <w:rFonts w:ascii="Century Gothic" w:hAnsi="Century Gothic"/>
        </w:rPr>
        <w:t xml:space="preserve">This conclusion is open from objective assessment of the most basic outline of the scheme. </w:t>
      </w:r>
    </w:p>
    <w:p w:rsidR="00FB360D" w:rsidRPr="005C3808" w:rsidRDefault="00FB360D" w:rsidP="009754BD">
      <w:pPr>
        <w:pStyle w:val="Heading3"/>
        <w:numPr>
          <w:ilvl w:val="0"/>
          <w:numId w:val="20"/>
        </w:numPr>
        <w:rPr>
          <w:rFonts w:ascii="Century Gothic" w:hAnsi="Century Gothic"/>
          <w:color w:val="1F4E79" w:themeColor="accent1" w:themeShade="80"/>
        </w:rPr>
      </w:pPr>
      <w:bookmarkStart w:id="8" w:name="_Toc116481931"/>
      <w:r w:rsidRPr="005C3808">
        <w:rPr>
          <w:rFonts w:ascii="Century Gothic" w:hAnsi="Century Gothic"/>
          <w:color w:val="1F4E79" w:themeColor="accent1" w:themeShade="80"/>
        </w:rPr>
        <w:t>Reckless, unconscionable and dishonest conduct</w:t>
      </w:r>
      <w:bookmarkEnd w:id="8"/>
    </w:p>
    <w:p w:rsidR="00C93F51" w:rsidRPr="00F75DBD" w:rsidRDefault="00CD16F2" w:rsidP="00732DB1">
      <w:pPr>
        <w:jc w:val="both"/>
        <w:rPr>
          <w:rFonts w:ascii="Century Gothic" w:hAnsi="Century Gothic"/>
          <w:i/>
        </w:rPr>
      </w:pPr>
      <w:r w:rsidRPr="00F75DBD">
        <w:rPr>
          <w:rFonts w:ascii="Century Gothic" w:hAnsi="Century Gothic"/>
        </w:rPr>
        <w:t xml:space="preserve">The object of this Part is to show that, far from being a simplistic view, this conclusion is fortified by consideration of further, and again largely uncontested, features of the Robodebt scheme. Indeed, these features manifest consistently high levels of organisational blameworthiness that, if accepted by the Royal Commission, may be </w:t>
      </w:r>
      <w:r w:rsidRPr="00F75DBD">
        <w:rPr>
          <w:rFonts w:ascii="Century Gothic" w:hAnsi="Century Gothic"/>
        </w:rPr>
        <w:lastRenderedPageBreak/>
        <w:t>understood to require condemnation in the strongest terms.</w:t>
      </w:r>
      <w:r w:rsidR="000E70BC" w:rsidRPr="00F75DBD">
        <w:rPr>
          <w:rFonts w:ascii="Century Gothic" w:hAnsi="Century Gothic"/>
        </w:rPr>
        <w:t xml:space="preserve"> On this account, the Government intended to engage in the scheme notwithstanding that it would inevitably lead to </w:t>
      </w:r>
      <w:r w:rsidR="007E5B0A" w:rsidRPr="00F75DBD">
        <w:rPr>
          <w:rFonts w:ascii="Century Gothic" w:hAnsi="Century Gothic"/>
        </w:rPr>
        <w:t xml:space="preserve">a significant number of </w:t>
      </w:r>
      <w:r w:rsidR="000E70BC" w:rsidRPr="00F75DBD">
        <w:rPr>
          <w:rFonts w:ascii="Century Gothic" w:hAnsi="Century Gothic"/>
        </w:rPr>
        <w:t xml:space="preserve">vulnerable Australians being issued with false debt notices, and thereby subjected to </w:t>
      </w:r>
      <w:r w:rsidR="007E5B0A" w:rsidRPr="00F75DBD">
        <w:rPr>
          <w:rFonts w:ascii="Century Gothic" w:hAnsi="Century Gothic"/>
        </w:rPr>
        <w:t xml:space="preserve">coercive </w:t>
      </w:r>
      <w:r w:rsidR="000E70BC" w:rsidRPr="00F75DBD">
        <w:rPr>
          <w:rFonts w:ascii="Century Gothic" w:hAnsi="Century Gothic"/>
        </w:rPr>
        <w:t xml:space="preserve">recovery and enforcement procedures. </w:t>
      </w:r>
      <w:r w:rsidR="008C49E5" w:rsidRPr="00F75DBD">
        <w:rPr>
          <w:rFonts w:ascii="Century Gothic" w:hAnsi="Century Gothic"/>
        </w:rPr>
        <w:t xml:space="preserve">The individual harms that this system of would engender, both financial and personal, were obvious. </w:t>
      </w:r>
      <w:r w:rsidR="000E70BC" w:rsidRPr="00F75DBD">
        <w:rPr>
          <w:rFonts w:ascii="Century Gothic" w:hAnsi="Century Gothic"/>
        </w:rPr>
        <w:t>Further, the Government withdrew</w:t>
      </w:r>
      <w:r w:rsidR="007E5B0A" w:rsidRPr="00F75DBD">
        <w:rPr>
          <w:rFonts w:ascii="Century Gothic" w:hAnsi="Century Gothic"/>
        </w:rPr>
        <w:t>, and omitted,</w:t>
      </w:r>
      <w:r w:rsidR="000E70BC" w:rsidRPr="00F75DBD">
        <w:rPr>
          <w:rFonts w:ascii="Century Gothic" w:hAnsi="Century Gothic"/>
        </w:rPr>
        <w:t xml:space="preserve"> critical safeguards that would otherwise have offered a degree of protection to those subjected to the scheme. </w:t>
      </w:r>
      <w:r w:rsidR="008C49E5" w:rsidRPr="00F75DBD">
        <w:rPr>
          <w:rFonts w:ascii="Century Gothic" w:hAnsi="Century Gothic"/>
        </w:rPr>
        <w:t>In my submission, these</w:t>
      </w:r>
      <w:r w:rsidR="007E5B0A" w:rsidRPr="00F75DBD">
        <w:rPr>
          <w:rFonts w:ascii="Century Gothic" w:hAnsi="Century Gothic"/>
        </w:rPr>
        <w:t xml:space="preserve"> omissions are a form of ‘choice architecture’ that, themselves, further manifest Government values and intentions. Taken as a whole, they suggest that the Government engaged in wilfully reckless, </w:t>
      </w:r>
      <w:r w:rsidR="008C49E5" w:rsidRPr="00F75DBD">
        <w:rPr>
          <w:rFonts w:ascii="Century Gothic" w:hAnsi="Century Gothic"/>
        </w:rPr>
        <w:t>unconscionable</w:t>
      </w:r>
      <w:r w:rsidR="007E5B0A" w:rsidRPr="00F75DBD">
        <w:rPr>
          <w:rFonts w:ascii="Century Gothic" w:hAnsi="Century Gothic"/>
        </w:rPr>
        <w:t xml:space="preserve"> and dishonest conduct. </w:t>
      </w:r>
    </w:p>
    <w:p w:rsidR="00FB360D" w:rsidRPr="005C3808" w:rsidRDefault="00FB360D" w:rsidP="009754BD">
      <w:pPr>
        <w:pStyle w:val="Heading3"/>
        <w:numPr>
          <w:ilvl w:val="0"/>
          <w:numId w:val="20"/>
        </w:numPr>
        <w:rPr>
          <w:rFonts w:ascii="Century Gothic" w:hAnsi="Century Gothic"/>
          <w:color w:val="1F4E79" w:themeColor="accent1" w:themeShade="80"/>
        </w:rPr>
      </w:pPr>
      <w:bookmarkStart w:id="9" w:name="_Toc116481932"/>
      <w:r w:rsidRPr="005C3808">
        <w:rPr>
          <w:rFonts w:ascii="Century Gothic" w:hAnsi="Century Gothic"/>
          <w:color w:val="1F4E79" w:themeColor="accent1" w:themeShade="80"/>
        </w:rPr>
        <w:t>A predatory scheme</w:t>
      </w:r>
      <w:bookmarkEnd w:id="9"/>
    </w:p>
    <w:p w:rsidR="00DE38E7" w:rsidRPr="00F75DBD" w:rsidRDefault="007E5B0A" w:rsidP="00732DB1">
      <w:pPr>
        <w:jc w:val="both"/>
        <w:rPr>
          <w:rFonts w:ascii="Century Gothic" w:hAnsi="Century Gothic"/>
        </w:rPr>
      </w:pPr>
      <w:r w:rsidRPr="00F75DBD">
        <w:rPr>
          <w:rFonts w:ascii="Century Gothic" w:hAnsi="Century Gothic"/>
        </w:rPr>
        <w:t xml:space="preserve">The targeting of social security recipients </w:t>
      </w:r>
      <w:r w:rsidR="00DE38E7" w:rsidRPr="00F75DBD">
        <w:rPr>
          <w:rFonts w:ascii="Century Gothic" w:hAnsi="Century Gothic"/>
        </w:rPr>
        <w:t>to raise fresh revenue</w:t>
      </w:r>
      <w:r w:rsidRPr="00F75DBD">
        <w:rPr>
          <w:rFonts w:ascii="Century Gothic" w:hAnsi="Century Gothic"/>
        </w:rPr>
        <w:t xml:space="preserve"> may be understood</w:t>
      </w:r>
      <w:r w:rsidR="00AB7AD4" w:rsidRPr="00F75DBD">
        <w:rPr>
          <w:rFonts w:ascii="Century Gothic" w:hAnsi="Century Gothic"/>
        </w:rPr>
        <w:t>, functionally,</w:t>
      </w:r>
      <w:r w:rsidRPr="00F75DBD">
        <w:rPr>
          <w:rFonts w:ascii="Century Gothic" w:hAnsi="Century Gothic"/>
        </w:rPr>
        <w:t xml:space="preserve"> as a form of specialised taxation, which was not applied to other portions of Australian society. This discriminatory </w:t>
      </w:r>
      <w:r w:rsidR="006A1681" w:rsidRPr="00F75DBD">
        <w:rPr>
          <w:rFonts w:ascii="Century Gothic" w:hAnsi="Century Gothic"/>
        </w:rPr>
        <w:t xml:space="preserve">regime </w:t>
      </w:r>
      <w:r w:rsidRPr="00F75DBD">
        <w:rPr>
          <w:rFonts w:ascii="Century Gothic" w:hAnsi="Century Gothic"/>
        </w:rPr>
        <w:t>exacerbated the prior positions of special disadvantage already suffered by those members of the class who were subject to the assertion of false debts.</w:t>
      </w:r>
      <w:r w:rsidR="006A1681" w:rsidRPr="00F75DBD">
        <w:rPr>
          <w:rFonts w:ascii="Century Gothic" w:hAnsi="Century Gothic"/>
        </w:rPr>
        <w:t xml:space="preserve"> </w:t>
      </w:r>
      <w:r w:rsidR="00DE38E7" w:rsidRPr="00F75DBD">
        <w:rPr>
          <w:rFonts w:ascii="Century Gothic" w:hAnsi="Century Gothic"/>
        </w:rPr>
        <w:t>In particular, it</w:t>
      </w:r>
      <w:r w:rsidR="006A1681" w:rsidRPr="00F75DBD">
        <w:rPr>
          <w:rFonts w:ascii="Century Gothic" w:hAnsi="Century Gothic"/>
        </w:rPr>
        <w:t xml:space="preserve"> arguably preyed on </w:t>
      </w:r>
      <w:r w:rsidR="00DE38E7" w:rsidRPr="00F75DBD">
        <w:rPr>
          <w:rFonts w:ascii="Century Gothic" w:hAnsi="Century Gothic"/>
        </w:rPr>
        <w:t>their existing position of comparative</w:t>
      </w:r>
      <w:r w:rsidR="006A1681" w:rsidRPr="00F75DBD">
        <w:rPr>
          <w:rFonts w:ascii="Century Gothic" w:hAnsi="Century Gothic"/>
        </w:rPr>
        <w:t xml:space="preserve"> powerlessness to defend themselves against the scheme. However, this existing powerlessness was </w:t>
      </w:r>
      <w:r w:rsidR="00CD0ADB" w:rsidRPr="00F75DBD">
        <w:rPr>
          <w:rFonts w:ascii="Century Gothic" w:hAnsi="Century Gothic"/>
        </w:rPr>
        <w:t xml:space="preserve">also </w:t>
      </w:r>
      <w:r w:rsidR="003D6206" w:rsidRPr="00F75DBD">
        <w:rPr>
          <w:rFonts w:ascii="Century Gothic" w:hAnsi="Century Gothic"/>
        </w:rPr>
        <w:t>significantly exacerbated</w:t>
      </w:r>
      <w:r w:rsidR="006A1681" w:rsidRPr="00F75DBD">
        <w:rPr>
          <w:rFonts w:ascii="Century Gothic" w:hAnsi="Century Gothic"/>
        </w:rPr>
        <w:t xml:space="preserve"> by (again) key choice architecture embedded within the scheme. </w:t>
      </w:r>
      <w:r w:rsidR="003D6206" w:rsidRPr="00F75DBD">
        <w:rPr>
          <w:rFonts w:ascii="Century Gothic" w:hAnsi="Century Gothic"/>
        </w:rPr>
        <w:t xml:space="preserve">This suggests a predatory intention to engage in the system of conduct </w:t>
      </w:r>
      <w:r w:rsidR="003D6206" w:rsidRPr="00F75DBD">
        <w:rPr>
          <w:rFonts w:ascii="Century Gothic" w:hAnsi="Century Gothic"/>
          <w:i/>
        </w:rPr>
        <w:t>in order to</w:t>
      </w:r>
      <w:r w:rsidR="003D6206" w:rsidRPr="00F75DBD">
        <w:rPr>
          <w:rFonts w:ascii="Century Gothic" w:hAnsi="Century Gothic"/>
        </w:rPr>
        <w:t xml:space="preserve"> exploit their known disadvantage</w:t>
      </w:r>
      <w:r w:rsidR="00DE38E7" w:rsidRPr="00F75DBD">
        <w:rPr>
          <w:rFonts w:ascii="Century Gothic" w:hAnsi="Century Gothic"/>
        </w:rPr>
        <w:t>, in order to generate fresh revenue</w:t>
      </w:r>
      <w:r w:rsidR="003D6206" w:rsidRPr="00F75DBD">
        <w:rPr>
          <w:rFonts w:ascii="Century Gothic" w:hAnsi="Century Gothic"/>
        </w:rPr>
        <w:t>.</w:t>
      </w:r>
    </w:p>
    <w:p w:rsidR="00FB360D" w:rsidRPr="00F75DBD" w:rsidRDefault="00FB360D" w:rsidP="00E53E8C">
      <w:pPr>
        <w:pStyle w:val="Heading2"/>
        <w:numPr>
          <w:ilvl w:val="0"/>
          <w:numId w:val="18"/>
        </w:numPr>
        <w:rPr>
          <w:rFonts w:ascii="Century Gothic" w:hAnsi="Century Gothic"/>
        </w:rPr>
      </w:pPr>
      <w:bookmarkStart w:id="10" w:name="_Toc116481933"/>
      <w:r w:rsidRPr="00F75DBD">
        <w:rPr>
          <w:rFonts w:ascii="Century Gothic" w:hAnsi="Century Gothic"/>
        </w:rPr>
        <w:t>Understanding intentionality from the scheme as a whole</w:t>
      </w:r>
      <w:bookmarkEnd w:id="10"/>
    </w:p>
    <w:p w:rsidR="00FB360D" w:rsidRPr="005C3808" w:rsidRDefault="00FB360D" w:rsidP="009754BD">
      <w:pPr>
        <w:pStyle w:val="Heading3"/>
        <w:numPr>
          <w:ilvl w:val="0"/>
          <w:numId w:val="22"/>
        </w:numPr>
        <w:rPr>
          <w:rFonts w:ascii="Century Gothic" w:hAnsi="Century Gothic"/>
          <w:color w:val="1F4E79" w:themeColor="accent1" w:themeShade="80"/>
        </w:rPr>
      </w:pPr>
      <w:bookmarkStart w:id="11" w:name="_Toc116481934"/>
      <w:r w:rsidRPr="005C3808">
        <w:rPr>
          <w:rFonts w:ascii="Century Gothic" w:hAnsi="Century Gothic"/>
          <w:color w:val="1F4E79" w:themeColor="accent1" w:themeShade="80"/>
        </w:rPr>
        <w:t>Systems of conduct and omissions by design</w:t>
      </w:r>
      <w:bookmarkEnd w:id="11"/>
    </w:p>
    <w:p w:rsidR="00BF78C6" w:rsidRPr="00F75DBD" w:rsidRDefault="00BF78C6" w:rsidP="00732DB1">
      <w:pPr>
        <w:jc w:val="both"/>
        <w:rPr>
          <w:rFonts w:ascii="Century Gothic" w:hAnsi="Century Gothic"/>
        </w:rPr>
      </w:pPr>
      <w:r w:rsidRPr="00F75DBD">
        <w:rPr>
          <w:rFonts w:ascii="Century Gothic" w:hAnsi="Century Gothic"/>
        </w:rPr>
        <w:t xml:space="preserve">The following </w:t>
      </w:r>
      <w:r w:rsidR="003D6206" w:rsidRPr="00F75DBD">
        <w:rPr>
          <w:rFonts w:ascii="Century Gothic" w:hAnsi="Century Gothic"/>
        </w:rPr>
        <w:t>sections explain</w:t>
      </w:r>
      <w:r w:rsidRPr="00F75DBD">
        <w:rPr>
          <w:rFonts w:ascii="Century Gothic" w:hAnsi="Century Gothic"/>
        </w:rPr>
        <w:t xml:space="preserve"> </w:t>
      </w:r>
      <w:r w:rsidR="003D6206" w:rsidRPr="00F75DBD">
        <w:rPr>
          <w:rFonts w:ascii="Century Gothic" w:hAnsi="Century Gothic"/>
        </w:rPr>
        <w:t xml:space="preserve">in detail </w:t>
      </w:r>
      <w:r w:rsidRPr="00F75DBD">
        <w:rPr>
          <w:rFonts w:ascii="Century Gothic" w:hAnsi="Century Gothic"/>
        </w:rPr>
        <w:t>the reasoning supporting these conclusions.</w:t>
      </w:r>
      <w:r w:rsidR="006A1681" w:rsidRPr="00F75DBD">
        <w:rPr>
          <w:rFonts w:ascii="Century Gothic" w:hAnsi="Century Gothic"/>
        </w:rPr>
        <w:t xml:space="preserve"> </w:t>
      </w:r>
      <w:r w:rsidRPr="00F75DBD">
        <w:rPr>
          <w:rFonts w:ascii="Century Gothic" w:hAnsi="Century Gothic"/>
        </w:rPr>
        <w:t>It</w:t>
      </w:r>
      <w:r w:rsidR="00FF0C8D" w:rsidRPr="00F75DBD">
        <w:rPr>
          <w:rFonts w:ascii="Century Gothic" w:hAnsi="Century Gothic"/>
        </w:rPr>
        <w:t xml:space="preserve"> is helpful, firstly, to understand that systems of conduct typically involve both proactive and reactive,</w:t>
      </w:r>
      <w:r w:rsidR="00F006EC" w:rsidRPr="00F75DBD">
        <w:rPr>
          <w:rStyle w:val="FootnoteReference"/>
          <w:rFonts w:ascii="Century Gothic" w:hAnsi="Century Gothic"/>
        </w:rPr>
        <w:footnoteReference w:id="39"/>
      </w:r>
      <w:r w:rsidR="00FF0C8D" w:rsidRPr="00F75DBD">
        <w:rPr>
          <w:rFonts w:ascii="Century Gothic" w:hAnsi="Century Gothic"/>
        </w:rPr>
        <w:t xml:space="preserve"> positive and omitted, elements. This has ramifications for understanding organisational intentionality. As we have seen, systems of conduct necessarily reflect a general organisational intention. Critically, however, understood as integrated steps and processes, systems of conduct will often comprise </w:t>
      </w:r>
      <w:r w:rsidR="00FF0C8D" w:rsidRPr="00F75DBD">
        <w:rPr>
          <w:rFonts w:ascii="Century Gothic" w:hAnsi="Century Gothic"/>
          <w:i/>
        </w:rPr>
        <w:t>both</w:t>
      </w:r>
      <w:r w:rsidR="00FF0C8D" w:rsidRPr="00F75DBD">
        <w:rPr>
          <w:rFonts w:ascii="Century Gothic" w:hAnsi="Century Gothic"/>
        </w:rPr>
        <w:t xml:space="preserve"> positive and negative, and proactive and reactive, elements.</w:t>
      </w:r>
      <w:r w:rsidR="00F006EC" w:rsidRPr="00F75DBD">
        <w:rPr>
          <w:rStyle w:val="FootnoteReference"/>
          <w:rFonts w:ascii="Century Gothic" w:hAnsi="Century Gothic"/>
        </w:rPr>
        <w:t xml:space="preserve"> </w:t>
      </w:r>
      <w:r w:rsidR="00F006EC" w:rsidRPr="00F75DBD">
        <w:rPr>
          <w:rStyle w:val="FootnoteReference"/>
          <w:rFonts w:ascii="Century Gothic" w:hAnsi="Century Gothic"/>
        </w:rPr>
        <w:footnoteReference w:id="40"/>
      </w:r>
      <w:r w:rsidR="00F006EC" w:rsidRPr="00F75DBD">
        <w:rPr>
          <w:rFonts w:ascii="Century Gothic" w:hAnsi="Century Gothic"/>
          <w:vertAlign w:val="superscript"/>
        </w:rPr>
        <w:t xml:space="preserve"> </w:t>
      </w:r>
      <w:r w:rsidR="00FF0C8D" w:rsidRPr="00F75DBD">
        <w:rPr>
          <w:rFonts w:ascii="Century Gothic" w:hAnsi="Century Gothic"/>
        </w:rPr>
        <w:t>Primary (and seemingly positive) systems (for example, a</w:t>
      </w:r>
      <w:r w:rsidR="00DE38E7" w:rsidRPr="00F75DBD">
        <w:rPr>
          <w:rFonts w:ascii="Century Gothic" w:hAnsi="Century Gothic"/>
        </w:rPr>
        <w:t>n automated</w:t>
      </w:r>
      <w:r w:rsidR="00FF0C8D" w:rsidRPr="00F75DBD">
        <w:rPr>
          <w:rFonts w:ascii="Century Gothic" w:hAnsi="Century Gothic"/>
        </w:rPr>
        <w:t xml:space="preserve"> fee deduction, or debt recovery, system) themselves necessarily entail the adoption of certain steps </w:t>
      </w:r>
      <w:r w:rsidR="00FF0C8D" w:rsidRPr="00F75DBD">
        <w:rPr>
          <w:rFonts w:ascii="Century Gothic" w:hAnsi="Century Gothic"/>
          <w:i/>
        </w:rPr>
        <w:t>and omissions of others</w:t>
      </w:r>
      <w:r w:rsidR="00FF0C8D" w:rsidRPr="00F75DBD">
        <w:rPr>
          <w:rFonts w:ascii="Century Gothic" w:hAnsi="Century Gothic"/>
        </w:rPr>
        <w:t xml:space="preserve">. It is the coordinated </w:t>
      </w:r>
      <w:r w:rsidR="00FF0C8D" w:rsidRPr="00F75DBD">
        <w:rPr>
          <w:rFonts w:ascii="Century Gothic" w:hAnsi="Century Gothic"/>
          <w:i/>
        </w:rPr>
        <w:t>set</w:t>
      </w:r>
      <w:r w:rsidR="00FF0C8D" w:rsidRPr="00F75DBD">
        <w:rPr>
          <w:rFonts w:ascii="Century Gothic" w:hAnsi="Century Gothic"/>
        </w:rPr>
        <w:t xml:space="preserve"> of processes</w:t>
      </w:r>
      <w:r w:rsidRPr="00F75DBD">
        <w:rPr>
          <w:rFonts w:ascii="Century Gothic" w:hAnsi="Century Gothic"/>
        </w:rPr>
        <w:t>,</w:t>
      </w:r>
      <w:r w:rsidR="00FF0C8D" w:rsidRPr="00F75DBD">
        <w:rPr>
          <w:rFonts w:ascii="Century Gothic" w:hAnsi="Century Gothic"/>
        </w:rPr>
        <w:t xml:space="preserve"> taken as a whole, framed </w:t>
      </w:r>
      <w:r w:rsidR="00FF0C8D" w:rsidRPr="00F75DBD">
        <w:rPr>
          <w:rFonts w:ascii="Century Gothic" w:hAnsi="Century Gothic"/>
        </w:rPr>
        <w:lastRenderedPageBreak/>
        <w:t>holistically as a system of conduct at a certain level of generality, which constitute intended conduct.</w:t>
      </w:r>
      <w:r w:rsidR="00FF0C8D" w:rsidRPr="00F75DBD">
        <w:rPr>
          <w:rFonts w:ascii="Century Gothic" w:hAnsi="Century Gothic"/>
          <w:vertAlign w:val="superscript"/>
        </w:rPr>
        <w:footnoteReference w:id="41"/>
      </w:r>
      <w:r w:rsidR="00FF0C8D" w:rsidRPr="00F75DBD">
        <w:rPr>
          <w:rFonts w:ascii="Century Gothic" w:hAnsi="Century Gothic"/>
        </w:rPr>
        <w:t xml:space="preserve"> </w:t>
      </w:r>
    </w:p>
    <w:p w:rsidR="00FF0C8D" w:rsidRPr="00F75DBD" w:rsidRDefault="00FF0C8D" w:rsidP="00732DB1">
      <w:pPr>
        <w:jc w:val="both"/>
        <w:rPr>
          <w:rFonts w:ascii="Century Gothic" w:hAnsi="Century Gothic"/>
        </w:rPr>
      </w:pPr>
      <w:r w:rsidRPr="00F75DBD">
        <w:rPr>
          <w:rFonts w:ascii="Century Gothic" w:hAnsi="Century Gothic"/>
        </w:rPr>
        <w:t>It is, therefore, arguably a(nother) false narrative to frame organisational systems in terms of positive conduct that has, separately, been affected by unintended or careless omissions or deficiencies. Omi</w:t>
      </w:r>
      <w:r w:rsidR="00FB360D" w:rsidRPr="00F75DBD">
        <w:rPr>
          <w:rFonts w:ascii="Century Gothic" w:hAnsi="Century Gothic"/>
        </w:rPr>
        <w:t xml:space="preserve">tted processes </w:t>
      </w:r>
      <w:r w:rsidRPr="00F75DBD">
        <w:rPr>
          <w:rFonts w:ascii="Century Gothic" w:hAnsi="Century Gothic"/>
        </w:rPr>
        <w:t xml:space="preserve">may legitimately be understood as part of a system’s </w:t>
      </w:r>
      <w:r w:rsidR="00FB360D" w:rsidRPr="00F75DBD">
        <w:rPr>
          <w:rFonts w:ascii="Century Gothic" w:hAnsi="Century Gothic"/>
        </w:rPr>
        <w:t xml:space="preserve">overall, or broader, </w:t>
      </w:r>
      <w:r w:rsidRPr="00F75DBD">
        <w:rPr>
          <w:rFonts w:ascii="Century Gothic" w:hAnsi="Century Gothic"/>
        </w:rPr>
        <w:t xml:space="preserve">design. This is particularly the case when it comes to omitted audit and remedial mechanisms for systems of conduct that are </w:t>
      </w:r>
      <w:r w:rsidR="00FB360D" w:rsidRPr="00F75DBD">
        <w:rPr>
          <w:rFonts w:ascii="Century Gothic" w:hAnsi="Century Gothic"/>
        </w:rPr>
        <w:t xml:space="preserve">objectively </w:t>
      </w:r>
      <w:r w:rsidRPr="00F75DBD">
        <w:rPr>
          <w:rFonts w:ascii="Century Gothic" w:hAnsi="Century Gothic"/>
        </w:rPr>
        <w:t>designed to be deployed repeatedly, over an extended period of time.</w:t>
      </w:r>
    </w:p>
    <w:p w:rsidR="00FB360D" w:rsidRPr="005C3808" w:rsidRDefault="00FB360D" w:rsidP="009754BD">
      <w:pPr>
        <w:pStyle w:val="Heading3"/>
        <w:numPr>
          <w:ilvl w:val="0"/>
          <w:numId w:val="22"/>
        </w:numPr>
        <w:rPr>
          <w:rFonts w:ascii="Century Gothic" w:hAnsi="Century Gothic"/>
          <w:color w:val="1F4E79" w:themeColor="accent1" w:themeShade="80"/>
        </w:rPr>
      </w:pPr>
      <w:bookmarkStart w:id="12" w:name="_Toc116481935"/>
      <w:r w:rsidRPr="005C3808">
        <w:rPr>
          <w:rFonts w:ascii="Century Gothic" w:hAnsi="Century Gothic"/>
          <w:color w:val="1F4E79" w:themeColor="accent1" w:themeShade="80"/>
        </w:rPr>
        <w:t>Worked example: fees for no service</w:t>
      </w:r>
      <w:bookmarkEnd w:id="12"/>
    </w:p>
    <w:p w:rsidR="00832D9C" w:rsidRPr="00F75DBD" w:rsidRDefault="00FF0C8D" w:rsidP="00732DB1">
      <w:pPr>
        <w:jc w:val="both"/>
        <w:rPr>
          <w:rFonts w:ascii="Century Gothic" w:hAnsi="Century Gothic"/>
        </w:rPr>
      </w:pPr>
      <w:r w:rsidRPr="00F75DBD">
        <w:rPr>
          <w:rFonts w:ascii="Century Gothic" w:hAnsi="Century Gothic"/>
        </w:rPr>
        <w:t>A good example</w:t>
      </w:r>
      <w:r w:rsidR="00DE38E7" w:rsidRPr="00F75DBD">
        <w:rPr>
          <w:rFonts w:ascii="Century Gothic" w:hAnsi="Century Gothic"/>
        </w:rPr>
        <w:t xml:space="preserve"> of the importance of reactive and omitted processes to assessing the culpability manifested by overall system design</w:t>
      </w:r>
      <w:r w:rsidRPr="00F75DBD">
        <w:rPr>
          <w:rFonts w:ascii="Century Gothic" w:hAnsi="Century Gothic"/>
        </w:rPr>
        <w:t xml:space="preserve">, is the </w:t>
      </w:r>
      <w:r w:rsidR="00C93F51" w:rsidRPr="00F75DBD">
        <w:rPr>
          <w:rFonts w:ascii="Century Gothic" w:hAnsi="Century Gothic"/>
        </w:rPr>
        <w:t xml:space="preserve">automated </w:t>
      </w:r>
      <w:r w:rsidRPr="00F75DBD">
        <w:rPr>
          <w:rFonts w:ascii="Century Gothic" w:hAnsi="Century Gothic"/>
        </w:rPr>
        <w:t xml:space="preserve">‘fees for no services’ scenario mentioned earlier. </w:t>
      </w:r>
      <w:r w:rsidR="00C93F51" w:rsidRPr="00F75DBD">
        <w:rPr>
          <w:rFonts w:ascii="Century Gothic" w:hAnsi="Century Gothic"/>
        </w:rPr>
        <w:t>On</w:t>
      </w:r>
      <w:r w:rsidR="00832D9C" w:rsidRPr="00F75DBD">
        <w:rPr>
          <w:rFonts w:ascii="Century Gothic" w:hAnsi="Century Gothic"/>
        </w:rPr>
        <w:t xml:space="preserve"> the Systems Intentionality analysis, it</w:t>
      </w:r>
      <w:r w:rsidRPr="00F75DBD">
        <w:rPr>
          <w:rFonts w:ascii="Century Gothic" w:hAnsi="Century Gothic"/>
        </w:rPr>
        <w:t xml:space="preserve"> is open to </w:t>
      </w:r>
      <w:r w:rsidR="00C93F51" w:rsidRPr="00F75DBD">
        <w:rPr>
          <w:rFonts w:ascii="Century Gothic" w:hAnsi="Century Gothic"/>
        </w:rPr>
        <w:t>characterisation as</w:t>
      </w:r>
      <w:r w:rsidR="00FB360D" w:rsidRPr="00F75DBD">
        <w:rPr>
          <w:rFonts w:ascii="Century Gothic" w:hAnsi="Century Gothic"/>
        </w:rPr>
        <w:t xml:space="preserve"> </w:t>
      </w:r>
      <w:r w:rsidRPr="00F75DBD">
        <w:rPr>
          <w:rFonts w:ascii="Century Gothic" w:hAnsi="Century Gothic"/>
        </w:rPr>
        <w:t xml:space="preserve">a ‘set and forget’ </w:t>
      </w:r>
      <w:r w:rsidR="00C93F51" w:rsidRPr="00F75DBD">
        <w:rPr>
          <w:rFonts w:ascii="Century Gothic" w:hAnsi="Century Gothic"/>
        </w:rPr>
        <w:t>model</w:t>
      </w:r>
      <w:r w:rsidRPr="00F75DBD">
        <w:rPr>
          <w:rFonts w:ascii="Century Gothic" w:hAnsi="Century Gothic"/>
        </w:rPr>
        <w:t xml:space="preserve">, the default setting for which </w:t>
      </w:r>
      <w:r w:rsidR="00832D9C" w:rsidRPr="00F75DBD">
        <w:rPr>
          <w:rFonts w:ascii="Century Gothic" w:hAnsi="Century Gothic"/>
        </w:rPr>
        <w:t xml:space="preserve">manifested the corporate purpose to </w:t>
      </w:r>
      <w:r w:rsidRPr="00F75DBD">
        <w:rPr>
          <w:rFonts w:ascii="Century Gothic" w:hAnsi="Century Gothic"/>
        </w:rPr>
        <w:t xml:space="preserve">‘keep taking fees until manual intervention’. </w:t>
      </w:r>
      <w:r w:rsidR="00C93F51" w:rsidRPr="00F75DBD">
        <w:rPr>
          <w:rFonts w:ascii="Century Gothic" w:hAnsi="Century Gothic"/>
        </w:rPr>
        <w:t>Thus the</w:t>
      </w:r>
      <w:r w:rsidR="00832D9C" w:rsidRPr="00F75DBD">
        <w:rPr>
          <w:rFonts w:ascii="Century Gothic" w:hAnsi="Century Gothic"/>
        </w:rPr>
        <w:t xml:space="preserve"> proactive elements of the system (the ‘takings’) </w:t>
      </w:r>
      <w:r w:rsidR="00DE38E7" w:rsidRPr="00F75DBD">
        <w:rPr>
          <w:rFonts w:ascii="Century Gothic" w:hAnsi="Century Gothic"/>
        </w:rPr>
        <w:t>were</w:t>
      </w:r>
      <w:r w:rsidR="00832D9C" w:rsidRPr="00F75DBD">
        <w:rPr>
          <w:rFonts w:ascii="Century Gothic" w:hAnsi="Century Gothic"/>
        </w:rPr>
        <w:t xml:space="preserve"> prima facie intentional conduct. </w:t>
      </w:r>
    </w:p>
    <w:p w:rsidR="00FF0C8D" w:rsidRPr="00F75DBD" w:rsidRDefault="00BF78C6" w:rsidP="00732DB1">
      <w:pPr>
        <w:jc w:val="both"/>
        <w:rPr>
          <w:rFonts w:ascii="Century Gothic" w:hAnsi="Century Gothic"/>
        </w:rPr>
      </w:pPr>
      <w:r w:rsidRPr="00F75DBD">
        <w:rPr>
          <w:rFonts w:ascii="Century Gothic" w:hAnsi="Century Gothic"/>
        </w:rPr>
        <w:t>However, viewed from a</w:t>
      </w:r>
      <w:r w:rsidR="00832D9C" w:rsidRPr="00F75DBD">
        <w:rPr>
          <w:rFonts w:ascii="Century Gothic" w:hAnsi="Century Gothic"/>
        </w:rPr>
        <w:t xml:space="preserve"> broader,</w:t>
      </w:r>
      <w:r w:rsidR="00C93F51" w:rsidRPr="00F75DBD">
        <w:rPr>
          <w:rFonts w:ascii="Century Gothic" w:hAnsi="Century Gothic"/>
        </w:rPr>
        <w:t xml:space="preserve"> integrated perspective, the</w:t>
      </w:r>
      <w:r w:rsidRPr="00F75DBD">
        <w:rPr>
          <w:rFonts w:ascii="Century Gothic" w:hAnsi="Century Gothic"/>
        </w:rPr>
        <w:t xml:space="preserve"> omitted and reactive steps</w:t>
      </w:r>
      <w:r w:rsidR="00C93F51" w:rsidRPr="00F75DBD">
        <w:rPr>
          <w:rFonts w:ascii="Century Gothic" w:hAnsi="Century Gothic"/>
        </w:rPr>
        <w:t xml:space="preserve"> associated with the automated system are also</w:t>
      </w:r>
      <w:r w:rsidR="00832D9C" w:rsidRPr="00F75DBD">
        <w:rPr>
          <w:rFonts w:ascii="Century Gothic" w:hAnsi="Century Gothic"/>
        </w:rPr>
        <w:t xml:space="preserve"> </w:t>
      </w:r>
      <w:r w:rsidRPr="00F75DBD">
        <w:rPr>
          <w:rFonts w:ascii="Century Gothic" w:hAnsi="Century Gothic"/>
        </w:rPr>
        <w:t xml:space="preserve">highly significant </w:t>
      </w:r>
      <w:r w:rsidR="00C93F51" w:rsidRPr="00F75DBD">
        <w:rPr>
          <w:rFonts w:ascii="Century Gothic" w:hAnsi="Century Gothic"/>
        </w:rPr>
        <w:t>for organisational blameworthiness. In particular, the</w:t>
      </w:r>
      <w:r w:rsidRPr="00F75DBD">
        <w:rPr>
          <w:rFonts w:ascii="Century Gothic" w:hAnsi="Century Gothic"/>
        </w:rPr>
        <w:t xml:space="preserve"> automate</w:t>
      </w:r>
      <w:r w:rsidR="00832D9C" w:rsidRPr="00F75DBD">
        <w:rPr>
          <w:rFonts w:ascii="Century Gothic" w:hAnsi="Century Gothic"/>
        </w:rPr>
        <w:t>d systems had no, or no functio</w:t>
      </w:r>
      <w:r w:rsidRPr="00F75DBD">
        <w:rPr>
          <w:rFonts w:ascii="Century Gothic" w:hAnsi="Century Gothic"/>
        </w:rPr>
        <w:t>ning</w:t>
      </w:r>
      <w:r w:rsidR="00FF0C8D" w:rsidRPr="00F75DBD">
        <w:rPr>
          <w:rFonts w:ascii="Century Gothic" w:hAnsi="Century Gothic"/>
        </w:rPr>
        <w:t>, manual audit or oversight systems to correct the inevitable consequence that, given clients would die</w:t>
      </w:r>
      <w:r w:rsidRPr="00F75DBD">
        <w:rPr>
          <w:rFonts w:ascii="Century Gothic" w:hAnsi="Century Gothic"/>
        </w:rPr>
        <w:t>,</w:t>
      </w:r>
      <w:r w:rsidR="00FF0C8D" w:rsidRPr="00F75DBD">
        <w:rPr>
          <w:rFonts w:ascii="Century Gothic" w:hAnsi="Century Gothic"/>
        </w:rPr>
        <w:t xml:space="preserve"> the authorised fees would inevitably degenerate into unlawful takings. This is, of course, precisely what occurred. This</w:t>
      </w:r>
      <w:r w:rsidR="00832D9C" w:rsidRPr="00F75DBD">
        <w:rPr>
          <w:rFonts w:ascii="Century Gothic" w:hAnsi="Century Gothic"/>
        </w:rPr>
        <w:t xml:space="preserve"> broader angle of focus</w:t>
      </w:r>
      <w:r w:rsidR="00FF0C8D" w:rsidRPr="00F75DBD">
        <w:rPr>
          <w:rFonts w:ascii="Century Gothic" w:hAnsi="Century Gothic"/>
        </w:rPr>
        <w:t xml:space="preserve"> is entir</w:t>
      </w:r>
      <w:r w:rsidR="000E70BC" w:rsidRPr="00F75DBD">
        <w:rPr>
          <w:rFonts w:ascii="Century Gothic" w:hAnsi="Century Gothic"/>
        </w:rPr>
        <w:t>ely appropriate</w:t>
      </w:r>
      <w:r w:rsidR="00FF0C8D" w:rsidRPr="00F75DBD">
        <w:rPr>
          <w:rFonts w:ascii="Century Gothic" w:hAnsi="Century Gothic"/>
        </w:rPr>
        <w:t xml:space="preserve">, given that the system </w:t>
      </w:r>
      <w:r w:rsidR="00832D9C" w:rsidRPr="00F75DBD">
        <w:rPr>
          <w:rFonts w:ascii="Century Gothic" w:hAnsi="Century Gothic"/>
        </w:rPr>
        <w:t>was</w:t>
      </w:r>
      <w:r w:rsidR="00FF0C8D" w:rsidRPr="00F75DBD">
        <w:rPr>
          <w:rFonts w:ascii="Century Gothic" w:hAnsi="Century Gothic"/>
        </w:rPr>
        <w:t xml:space="preserve"> designed to roll out over a long period of time, with respect to many customers, to the substantial benefit of the corporation.</w:t>
      </w:r>
      <w:r w:rsidR="00FF0C8D" w:rsidRPr="00F75DBD">
        <w:rPr>
          <w:rFonts w:ascii="Century Gothic" w:hAnsi="Century Gothic"/>
          <w:vertAlign w:val="superscript"/>
        </w:rPr>
        <w:footnoteReference w:id="42"/>
      </w:r>
    </w:p>
    <w:p w:rsidR="00C93F51" w:rsidRPr="00F75DBD" w:rsidRDefault="00FF0C8D" w:rsidP="00732DB1">
      <w:pPr>
        <w:jc w:val="both"/>
        <w:rPr>
          <w:rFonts w:ascii="Century Gothic" w:hAnsi="Century Gothic"/>
        </w:rPr>
      </w:pPr>
      <w:r w:rsidRPr="00F75DBD">
        <w:rPr>
          <w:rFonts w:ascii="Century Gothic" w:hAnsi="Century Gothic"/>
        </w:rPr>
        <w:t xml:space="preserve">Seen from this more </w:t>
      </w:r>
      <w:r w:rsidR="000878DE" w:rsidRPr="00F75DBD">
        <w:rPr>
          <w:rFonts w:ascii="Century Gothic" w:hAnsi="Century Gothic"/>
        </w:rPr>
        <w:t>holistic</w:t>
      </w:r>
      <w:r w:rsidRPr="00F75DBD">
        <w:rPr>
          <w:rFonts w:ascii="Century Gothic" w:hAnsi="Century Gothic"/>
        </w:rPr>
        <w:t xml:space="preserve"> perspective, it is open to conclude that where an </w:t>
      </w:r>
      <w:r w:rsidR="000878DE" w:rsidRPr="00F75DBD">
        <w:rPr>
          <w:rFonts w:ascii="Century Gothic" w:hAnsi="Century Gothic"/>
        </w:rPr>
        <w:t>organisation</w:t>
      </w:r>
      <w:r w:rsidRPr="00F75DBD">
        <w:rPr>
          <w:rFonts w:ascii="Century Gothic" w:hAnsi="Century Gothic"/>
        </w:rPr>
        <w:t xml:space="preserve"> deploys positive elements of a system that are objectively apt</w:t>
      </w:r>
      <w:r w:rsidR="000878DE" w:rsidRPr="00F75DBD">
        <w:rPr>
          <w:rFonts w:ascii="Century Gothic" w:hAnsi="Century Gothic"/>
        </w:rPr>
        <w:t>, or indeed guaranteed,</w:t>
      </w:r>
      <w:r w:rsidRPr="00F75DBD">
        <w:rPr>
          <w:rFonts w:ascii="Century Gothic" w:hAnsi="Century Gothic"/>
        </w:rPr>
        <w:t xml:space="preserve"> to produce a harmful outcome</w:t>
      </w:r>
      <w:r w:rsidR="00BF78C6" w:rsidRPr="00F75DBD">
        <w:rPr>
          <w:rFonts w:ascii="Century Gothic" w:hAnsi="Century Gothic"/>
        </w:rPr>
        <w:t>,</w:t>
      </w:r>
      <w:r w:rsidRPr="00F75DBD">
        <w:rPr>
          <w:rFonts w:ascii="Century Gothic" w:hAnsi="Century Gothic"/>
        </w:rPr>
        <w:t xml:space="preserve"> and omits audit or remedial processes, this omission can be understood as a matter of corporate choice. </w:t>
      </w:r>
      <w:r w:rsidR="000878DE" w:rsidRPr="00F75DBD">
        <w:rPr>
          <w:rFonts w:ascii="Century Gothic" w:hAnsi="Century Gothic"/>
        </w:rPr>
        <w:t>The organisation</w:t>
      </w:r>
      <w:r w:rsidRPr="00F75DBD">
        <w:rPr>
          <w:rFonts w:ascii="Century Gothic" w:hAnsi="Century Gothic"/>
        </w:rPr>
        <w:t xml:space="preserve"> deploying the system is reckless from the outset as to the results, in that it evinces a choice not to care about the inevitable harm that will result. The same conclusion may be </w:t>
      </w:r>
      <w:r w:rsidR="000878DE" w:rsidRPr="00F75DBD">
        <w:rPr>
          <w:rFonts w:ascii="Century Gothic" w:hAnsi="Century Gothic"/>
        </w:rPr>
        <w:t>open</w:t>
      </w:r>
      <w:r w:rsidRPr="00F75DBD">
        <w:rPr>
          <w:rFonts w:ascii="Century Gothic" w:hAnsi="Century Gothic"/>
        </w:rPr>
        <w:t xml:space="preserve"> where an adopted system repeatedly results in harms</w:t>
      </w:r>
      <w:r w:rsidR="000878DE" w:rsidRPr="00F75DBD">
        <w:rPr>
          <w:rFonts w:ascii="Century Gothic" w:hAnsi="Century Gothic"/>
        </w:rPr>
        <w:t>, brought to the attention of the corporation,</w:t>
      </w:r>
      <w:r w:rsidRPr="00F75DBD">
        <w:rPr>
          <w:rFonts w:ascii="Century Gothic" w:hAnsi="Century Gothic"/>
        </w:rPr>
        <w:t xml:space="preserve"> yet no steps are taken to investigate and correct the deployed system. Further, in some cases, it will be open to conclude that the harmful outcome is intended (in the sense of chosen, rather than desired), so that the system manifests a predatory mindset. </w:t>
      </w:r>
    </w:p>
    <w:p w:rsidR="000878DE" w:rsidRPr="00F75DBD" w:rsidRDefault="000E654A" w:rsidP="00803F9D">
      <w:pPr>
        <w:pStyle w:val="Heading2"/>
        <w:numPr>
          <w:ilvl w:val="0"/>
          <w:numId w:val="18"/>
        </w:numPr>
        <w:rPr>
          <w:rFonts w:ascii="Century Gothic" w:hAnsi="Century Gothic"/>
        </w:rPr>
      </w:pPr>
      <w:bookmarkStart w:id="13" w:name="_Toc116481936"/>
      <w:r w:rsidRPr="00F75DBD">
        <w:rPr>
          <w:rFonts w:ascii="Century Gothic" w:hAnsi="Century Gothic"/>
        </w:rPr>
        <w:t>S</w:t>
      </w:r>
      <w:r w:rsidR="00E931FB" w:rsidRPr="00F75DBD">
        <w:rPr>
          <w:rFonts w:ascii="Century Gothic" w:hAnsi="Century Gothic"/>
        </w:rPr>
        <w:t>alient broader features of the s</w:t>
      </w:r>
      <w:r w:rsidRPr="00F75DBD">
        <w:rPr>
          <w:rFonts w:ascii="Century Gothic" w:hAnsi="Century Gothic"/>
        </w:rPr>
        <w:t>cheme</w:t>
      </w:r>
      <w:bookmarkEnd w:id="13"/>
    </w:p>
    <w:p w:rsidR="000878DE" w:rsidRPr="00F75DBD" w:rsidRDefault="00CD0ADB" w:rsidP="00732DB1">
      <w:pPr>
        <w:jc w:val="both"/>
        <w:rPr>
          <w:rFonts w:ascii="Century Gothic" w:hAnsi="Century Gothic"/>
        </w:rPr>
      </w:pPr>
      <w:r w:rsidRPr="00F75DBD">
        <w:rPr>
          <w:rFonts w:ascii="Century Gothic" w:hAnsi="Century Gothic"/>
        </w:rPr>
        <w:t>Applying</w:t>
      </w:r>
      <w:r w:rsidR="000E654A" w:rsidRPr="00F75DBD">
        <w:rPr>
          <w:rFonts w:ascii="Century Gothic" w:hAnsi="Century Gothic"/>
        </w:rPr>
        <w:t xml:space="preserve"> this </w:t>
      </w:r>
      <w:r w:rsidR="00C93F51" w:rsidRPr="00F75DBD">
        <w:rPr>
          <w:rFonts w:ascii="Century Gothic" w:hAnsi="Century Gothic"/>
        </w:rPr>
        <w:t>form of analysis to the Robodebt scheme</w:t>
      </w:r>
      <w:r w:rsidR="000E654A" w:rsidRPr="00F75DBD">
        <w:rPr>
          <w:rFonts w:ascii="Century Gothic" w:hAnsi="Century Gothic"/>
        </w:rPr>
        <w:t xml:space="preserve">, what are </w:t>
      </w:r>
      <w:r w:rsidR="00C93F51" w:rsidRPr="00F75DBD">
        <w:rPr>
          <w:rFonts w:ascii="Century Gothic" w:hAnsi="Century Gothic"/>
        </w:rPr>
        <w:t xml:space="preserve">the </w:t>
      </w:r>
      <w:r w:rsidR="000E654A" w:rsidRPr="00F75DBD">
        <w:rPr>
          <w:rFonts w:ascii="Century Gothic" w:hAnsi="Century Gothic"/>
        </w:rPr>
        <w:t>relevant</w:t>
      </w:r>
      <w:r w:rsidR="00C93F51" w:rsidRPr="00F75DBD">
        <w:rPr>
          <w:rFonts w:ascii="Century Gothic" w:hAnsi="Century Gothic"/>
        </w:rPr>
        <w:t>,</w:t>
      </w:r>
      <w:r w:rsidR="000E654A" w:rsidRPr="00F75DBD">
        <w:rPr>
          <w:rFonts w:ascii="Century Gothic" w:hAnsi="Century Gothic"/>
        </w:rPr>
        <w:t xml:space="preserve"> </w:t>
      </w:r>
      <w:r w:rsidR="00C93F51" w:rsidRPr="00F75DBD">
        <w:rPr>
          <w:rFonts w:ascii="Century Gothic" w:hAnsi="Century Gothic"/>
        </w:rPr>
        <w:t xml:space="preserve">broader </w:t>
      </w:r>
      <w:r w:rsidRPr="00F75DBD">
        <w:rPr>
          <w:rFonts w:ascii="Century Gothic" w:hAnsi="Century Gothic"/>
        </w:rPr>
        <w:t xml:space="preserve">features of the </w:t>
      </w:r>
      <w:r w:rsidR="00440380">
        <w:rPr>
          <w:rFonts w:ascii="Century Gothic" w:hAnsi="Century Gothic"/>
        </w:rPr>
        <w:t>s</w:t>
      </w:r>
      <w:r w:rsidR="000E654A" w:rsidRPr="00F75DBD">
        <w:rPr>
          <w:rFonts w:ascii="Century Gothic" w:hAnsi="Century Gothic"/>
        </w:rPr>
        <w:t>cheme that help us to assess the Government’s state of mind?</w:t>
      </w:r>
      <w:r w:rsidR="00D71A98" w:rsidRPr="00F75DBD">
        <w:rPr>
          <w:rFonts w:ascii="Century Gothic" w:hAnsi="Century Gothic"/>
        </w:rPr>
        <w:t xml:space="preserve"> The following is </w:t>
      </w:r>
      <w:r w:rsidR="00C93F51" w:rsidRPr="00F75DBD">
        <w:rPr>
          <w:rFonts w:ascii="Century Gothic" w:hAnsi="Century Gothic"/>
        </w:rPr>
        <w:t xml:space="preserve">offered as </w:t>
      </w:r>
      <w:r w:rsidR="00D71A98" w:rsidRPr="00F75DBD">
        <w:rPr>
          <w:rFonts w:ascii="Century Gothic" w:hAnsi="Century Gothic"/>
        </w:rPr>
        <w:t>an illustrative, not exhaustive, list.</w:t>
      </w:r>
    </w:p>
    <w:p w:rsidR="000E654A" w:rsidRPr="00F75DBD" w:rsidRDefault="00D71A98" w:rsidP="009754BD">
      <w:pPr>
        <w:pStyle w:val="Heading3"/>
        <w:numPr>
          <w:ilvl w:val="0"/>
          <w:numId w:val="23"/>
        </w:numPr>
        <w:rPr>
          <w:rFonts w:ascii="Century Gothic" w:hAnsi="Century Gothic"/>
        </w:rPr>
      </w:pPr>
      <w:bookmarkStart w:id="14" w:name="_Toc116481937"/>
      <w:r w:rsidRPr="00F75DBD">
        <w:rPr>
          <w:rFonts w:ascii="Century Gothic" w:hAnsi="Century Gothic"/>
        </w:rPr>
        <w:t xml:space="preserve">Removal of </w:t>
      </w:r>
      <w:r w:rsidR="00E931FB" w:rsidRPr="00F75DBD">
        <w:rPr>
          <w:rFonts w:ascii="Century Gothic" w:hAnsi="Century Gothic"/>
        </w:rPr>
        <w:t>human oversight and individual assessment</w:t>
      </w:r>
      <w:bookmarkEnd w:id="14"/>
    </w:p>
    <w:p w:rsidR="005A477A" w:rsidRPr="00F75DBD" w:rsidRDefault="000E70BC" w:rsidP="00732DB1">
      <w:pPr>
        <w:jc w:val="both"/>
        <w:rPr>
          <w:rFonts w:ascii="Century Gothic" w:hAnsi="Century Gothic"/>
        </w:rPr>
      </w:pPr>
      <w:r w:rsidRPr="00F75DBD">
        <w:rPr>
          <w:rFonts w:ascii="Century Gothic" w:hAnsi="Century Gothic"/>
        </w:rPr>
        <w:t>We have seen the patent</w:t>
      </w:r>
      <w:r w:rsidR="000E654A" w:rsidRPr="00F75DBD">
        <w:rPr>
          <w:rFonts w:ascii="Century Gothic" w:hAnsi="Century Gothic"/>
        </w:rPr>
        <w:t>, proactive</w:t>
      </w:r>
      <w:r w:rsidRPr="00F75DBD">
        <w:rPr>
          <w:rFonts w:ascii="Century Gothic" w:hAnsi="Century Gothic"/>
        </w:rPr>
        <w:t xml:space="preserve"> elements of the </w:t>
      </w:r>
      <w:r w:rsidR="00E931FB" w:rsidRPr="00F75DBD">
        <w:rPr>
          <w:rFonts w:ascii="Century Gothic" w:hAnsi="Century Gothic"/>
        </w:rPr>
        <w:t xml:space="preserve">automated </w:t>
      </w:r>
      <w:r w:rsidRPr="00F75DBD">
        <w:rPr>
          <w:rFonts w:ascii="Century Gothic" w:hAnsi="Century Gothic"/>
        </w:rPr>
        <w:t xml:space="preserve">scheme manifested </w:t>
      </w:r>
      <w:r w:rsidR="000878DE" w:rsidRPr="00F75DBD">
        <w:rPr>
          <w:rFonts w:ascii="Century Gothic" w:hAnsi="Century Gothic"/>
        </w:rPr>
        <w:t xml:space="preserve">Government </w:t>
      </w:r>
      <w:r w:rsidRPr="00F75DBD">
        <w:rPr>
          <w:rFonts w:ascii="Century Gothic" w:hAnsi="Century Gothic"/>
        </w:rPr>
        <w:t xml:space="preserve">knowledge that, inevitably, vulnerable Australians would be </w:t>
      </w:r>
      <w:r w:rsidR="00BF78C6" w:rsidRPr="00F75DBD">
        <w:rPr>
          <w:rFonts w:ascii="Century Gothic" w:hAnsi="Century Gothic"/>
        </w:rPr>
        <w:t>the subject of false allegations of</w:t>
      </w:r>
      <w:r w:rsidRPr="00F75DBD">
        <w:rPr>
          <w:rFonts w:ascii="Century Gothic" w:hAnsi="Century Gothic"/>
        </w:rPr>
        <w:t xml:space="preserve"> </w:t>
      </w:r>
      <w:r w:rsidR="00BF78C6" w:rsidRPr="00F75DBD">
        <w:rPr>
          <w:rFonts w:ascii="Century Gothic" w:hAnsi="Century Gothic"/>
        </w:rPr>
        <w:t xml:space="preserve">debt. </w:t>
      </w:r>
      <w:r w:rsidR="000B49C8" w:rsidRPr="00F75DBD">
        <w:rPr>
          <w:rFonts w:ascii="Century Gothic" w:hAnsi="Century Gothic"/>
        </w:rPr>
        <w:t xml:space="preserve">This was the consequence of </w:t>
      </w:r>
      <w:r w:rsidR="005A477A" w:rsidRPr="00F75DBD">
        <w:rPr>
          <w:rFonts w:ascii="Century Gothic" w:hAnsi="Century Gothic"/>
        </w:rPr>
        <w:t>the deliberate decision to use</w:t>
      </w:r>
      <w:r w:rsidR="000B49C8" w:rsidRPr="00F75DBD">
        <w:rPr>
          <w:rFonts w:ascii="Century Gothic" w:hAnsi="Century Gothic"/>
        </w:rPr>
        <w:t xml:space="preserve"> income averaging as the basis for asserting, raising and then enforcing debt. </w:t>
      </w:r>
    </w:p>
    <w:p w:rsidR="005905E8" w:rsidRPr="00F75DBD" w:rsidRDefault="00E931FB" w:rsidP="00732DB1">
      <w:pPr>
        <w:jc w:val="both"/>
        <w:rPr>
          <w:rFonts w:ascii="Century Gothic" w:hAnsi="Century Gothic"/>
        </w:rPr>
      </w:pPr>
      <w:r w:rsidRPr="00F75DBD">
        <w:rPr>
          <w:rFonts w:ascii="Century Gothic" w:hAnsi="Century Gothic"/>
        </w:rPr>
        <w:t>However</w:t>
      </w:r>
      <w:r w:rsidR="000B49C8" w:rsidRPr="00F75DBD">
        <w:rPr>
          <w:rFonts w:ascii="Century Gothic" w:hAnsi="Century Gothic"/>
        </w:rPr>
        <w:t xml:space="preserve">, it is </w:t>
      </w:r>
      <w:r w:rsidR="005A477A" w:rsidRPr="00F75DBD">
        <w:rPr>
          <w:rFonts w:ascii="Century Gothic" w:hAnsi="Century Gothic"/>
        </w:rPr>
        <w:t>additionally</w:t>
      </w:r>
      <w:r w:rsidRPr="00F75DBD">
        <w:rPr>
          <w:rFonts w:ascii="Century Gothic" w:hAnsi="Century Gothic"/>
        </w:rPr>
        <w:t>, and strongly,</w:t>
      </w:r>
      <w:r w:rsidR="005A477A" w:rsidRPr="00F75DBD">
        <w:rPr>
          <w:rFonts w:ascii="Century Gothic" w:hAnsi="Century Gothic"/>
        </w:rPr>
        <w:t xml:space="preserve"> </w:t>
      </w:r>
      <w:r w:rsidR="000B49C8" w:rsidRPr="00F75DBD">
        <w:rPr>
          <w:rFonts w:ascii="Century Gothic" w:hAnsi="Century Gothic"/>
        </w:rPr>
        <w:t>relevant that t</w:t>
      </w:r>
      <w:r w:rsidR="00BF78C6" w:rsidRPr="00F75DBD">
        <w:rPr>
          <w:rFonts w:ascii="Century Gothic" w:hAnsi="Century Gothic"/>
        </w:rPr>
        <w:t xml:space="preserve">he Robodebt scheme </w:t>
      </w:r>
      <w:r w:rsidR="00BF78C6" w:rsidRPr="00F75DBD">
        <w:rPr>
          <w:rFonts w:ascii="Century Gothic" w:hAnsi="Century Gothic"/>
          <w:i/>
        </w:rPr>
        <w:t>removed</w:t>
      </w:r>
      <w:r w:rsidR="00BF78C6" w:rsidRPr="00F75DBD">
        <w:rPr>
          <w:rFonts w:ascii="Century Gothic" w:hAnsi="Century Gothic"/>
        </w:rPr>
        <w:t xml:space="preserve"> </w:t>
      </w:r>
      <w:r w:rsidR="0015737D" w:rsidRPr="00F75DBD">
        <w:rPr>
          <w:rFonts w:ascii="Century Gothic" w:hAnsi="Century Gothic"/>
        </w:rPr>
        <w:t xml:space="preserve">existing and </w:t>
      </w:r>
      <w:r w:rsidR="000B49C8" w:rsidRPr="00F75DBD">
        <w:rPr>
          <w:rFonts w:ascii="Century Gothic" w:hAnsi="Century Gothic"/>
        </w:rPr>
        <w:t xml:space="preserve">protective </w:t>
      </w:r>
      <w:r w:rsidR="005A477A" w:rsidRPr="00F75DBD">
        <w:rPr>
          <w:rFonts w:ascii="Century Gothic" w:hAnsi="Century Gothic"/>
        </w:rPr>
        <w:t>process</w:t>
      </w:r>
      <w:r w:rsidRPr="00F75DBD">
        <w:rPr>
          <w:rFonts w:ascii="Century Gothic" w:hAnsi="Century Gothic"/>
        </w:rPr>
        <w:t>es</w:t>
      </w:r>
      <w:r w:rsidR="000B49C8" w:rsidRPr="00F75DBD">
        <w:rPr>
          <w:rFonts w:ascii="Century Gothic" w:hAnsi="Century Gothic"/>
        </w:rPr>
        <w:t xml:space="preserve"> </w:t>
      </w:r>
      <w:r w:rsidRPr="00F75DBD">
        <w:rPr>
          <w:rFonts w:ascii="Century Gothic" w:hAnsi="Century Gothic"/>
        </w:rPr>
        <w:t>involving human oversight.</w:t>
      </w:r>
      <w:r w:rsidR="005D0308" w:rsidRPr="00F75DBD">
        <w:rPr>
          <w:rFonts w:ascii="Century Gothic" w:hAnsi="Century Gothic"/>
        </w:rPr>
        <w:t xml:space="preserve">  </w:t>
      </w:r>
      <w:r w:rsidRPr="00F75DBD">
        <w:rPr>
          <w:rFonts w:ascii="Century Gothic" w:hAnsi="Century Gothic"/>
        </w:rPr>
        <w:t xml:space="preserve">Previously, Centrelink had </w:t>
      </w:r>
      <w:r w:rsidR="000B49C8" w:rsidRPr="00F75DBD">
        <w:rPr>
          <w:rFonts w:ascii="Century Gothic" w:hAnsi="Century Gothic"/>
        </w:rPr>
        <w:t xml:space="preserve">used automated income averaging as a </w:t>
      </w:r>
      <w:r w:rsidR="000B49C8" w:rsidRPr="00F75DBD">
        <w:rPr>
          <w:rFonts w:ascii="Century Gothic" w:hAnsi="Century Gothic"/>
          <w:i/>
        </w:rPr>
        <w:t>first step</w:t>
      </w:r>
      <w:r w:rsidR="000B49C8" w:rsidRPr="00F75DBD">
        <w:rPr>
          <w:rFonts w:ascii="Century Gothic" w:hAnsi="Century Gothic"/>
        </w:rPr>
        <w:t xml:space="preserve"> in inquiring into individual recipient entitlements.</w:t>
      </w:r>
      <w:r w:rsidR="000878DE" w:rsidRPr="00F75DBD">
        <w:rPr>
          <w:rStyle w:val="FootnoteReference"/>
          <w:rFonts w:ascii="Century Gothic" w:hAnsi="Century Gothic"/>
        </w:rPr>
        <w:footnoteReference w:id="43"/>
      </w:r>
      <w:r w:rsidR="000B49C8" w:rsidRPr="00F75DBD">
        <w:rPr>
          <w:rFonts w:ascii="Century Gothic" w:hAnsi="Century Gothic"/>
        </w:rPr>
        <w:t xml:space="preserve"> Used in this preliminary way, and subject to further human oversight and investigation, income averaging was a rough and ready but appropriate first step to full</w:t>
      </w:r>
      <w:r w:rsidR="0015737D" w:rsidRPr="00F75DBD">
        <w:rPr>
          <w:rFonts w:ascii="Century Gothic" w:hAnsi="Century Gothic"/>
        </w:rPr>
        <w:t xml:space="preserve"> examination of each individual recipient’</w:t>
      </w:r>
      <w:r w:rsidR="000B49C8" w:rsidRPr="00F75DBD">
        <w:rPr>
          <w:rFonts w:ascii="Century Gothic" w:hAnsi="Century Gothic"/>
        </w:rPr>
        <w:t xml:space="preserve">s position. </w:t>
      </w:r>
      <w:r w:rsidR="000878DE" w:rsidRPr="00F75DBD">
        <w:rPr>
          <w:rFonts w:ascii="Century Gothic" w:hAnsi="Century Gothic"/>
        </w:rPr>
        <w:t xml:space="preserve">It was apt to promote the integrity of the social welfare system. </w:t>
      </w:r>
      <w:r w:rsidR="000B49C8" w:rsidRPr="00F75DBD">
        <w:rPr>
          <w:rFonts w:ascii="Century Gothic" w:hAnsi="Century Gothic"/>
        </w:rPr>
        <w:t xml:space="preserve">Under Robodebt, </w:t>
      </w:r>
      <w:r w:rsidR="0015737D" w:rsidRPr="00F75DBD">
        <w:rPr>
          <w:rFonts w:ascii="Century Gothic" w:hAnsi="Century Gothic"/>
        </w:rPr>
        <w:t xml:space="preserve">by contrast, </w:t>
      </w:r>
      <w:r w:rsidR="000B49C8" w:rsidRPr="00F75DBD">
        <w:rPr>
          <w:rFonts w:ascii="Century Gothic" w:hAnsi="Century Gothic"/>
        </w:rPr>
        <w:t xml:space="preserve">income averaging became the </w:t>
      </w:r>
      <w:r w:rsidR="005A477A" w:rsidRPr="00F75DBD">
        <w:rPr>
          <w:rFonts w:ascii="Century Gothic" w:hAnsi="Century Gothic"/>
        </w:rPr>
        <w:t xml:space="preserve">primary </w:t>
      </w:r>
      <w:r w:rsidR="000B49C8" w:rsidRPr="00F75DBD">
        <w:rPr>
          <w:rFonts w:ascii="Century Gothic" w:hAnsi="Century Gothic"/>
        </w:rPr>
        <w:t>basis on which debt was</w:t>
      </w:r>
      <w:r w:rsidR="00410D0C" w:rsidRPr="00F75DBD">
        <w:rPr>
          <w:rFonts w:ascii="Century Gothic" w:hAnsi="Century Gothic"/>
        </w:rPr>
        <w:t xml:space="preserve"> calculated,</w:t>
      </w:r>
      <w:r w:rsidR="000B49C8" w:rsidRPr="00F75DBD">
        <w:rPr>
          <w:rFonts w:ascii="Century Gothic" w:hAnsi="Century Gothic"/>
        </w:rPr>
        <w:t xml:space="preserve"> raised</w:t>
      </w:r>
      <w:r w:rsidR="00410D0C" w:rsidRPr="00F75DBD">
        <w:rPr>
          <w:rFonts w:ascii="Century Gothic" w:hAnsi="Century Gothic"/>
        </w:rPr>
        <w:t>, asserted and recovered</w:t>
      </w:r>
      <w:r w:rsidR="000B49C8" w:rsidRPr="00F75DBD">
        <w:rPr>
          <w:rFonts w:ascii="Century Gothic" w:hAnsi="Century Gothic"/>
        </w:rPr>
        <w:t>.</w:t>
      </w:r>
      <w:r w:rsidRPr="00F75DBD">
        <w:rPr>
          <w:rFonts w:ascii="Century Gothic" w:hAnsi="Century Gothic"/>
        </w:rPr>
        <w:t xml:space="preserve"> </w:t>
      </w:r>
      <w:r w:rsidR="00CA6CD2" w:rsidRPr="00F75DBD">
        <w:rPr>
          <w:rFonts w:ascii="Century Gothic" w:hAnsi="Century Gothic"/>
        </w:rPr>
        <w:t>From the perspective of Systems Intentionality, th</w:t>
      </w:r>
      <w:r w:rsidR="00760995" w:rsidRPr="00F75DBD">
        <w:rPr>
          <w:rFonts w:ascii="Century Gothic" w:hAnsi="Century Gothic"/>
        </w:rPr>
        <w:t>is radical</w:t>
      </w:r>
      <w:r w:rsidR="00760995" w:rsidRPr="00F75DBD">
        <w:rPr>
          <w:rStyle w:val="FootnoteReference"/>
          <w:rFonts w:ascii="Century Gothic" w:hAnsi="Century Gothic"/>
        </w:rPr>
        <w:footnoteReference w:id="44"/>
      </w:r>
      <w:r w:rsidR="00CA6CD2" w:rsidRPr="00F75DBD">
        <w:rPr>
          <w:rFonts w:ascii="Century Gothic" w:hAnsi="Century Gothic"/>
        </w:rPr>
        <w:t xml:space="preserve"> break from existing practice, and introduction of a new process,</w:t>
      </w:r>
      <w:r w:rsidRPr="00F75DBD">
        <w:rPr>
          <w:rFonts w:ascii="Century Gothic" w:hAnsi="Century Gothic"/>
        </w:rPr>
        <w:t xml:space="preserve"> </w:t>
      </w:r>
      <w:r w:rsidR="00CA6CD2" w:rsidRPr="00F75DBD">
        <w:rPr>
          <w:rFonts w:ascii="Century Gothic" w:hAnsi="Century Gothic"/>
        </w:rPr>
        <w:t xml:space="preserve">arguably </w:t>
      </w:r>
      <w:r w:rsidRPr="00F75DBD">
        <w:rPr>
          <w:rFonts w:ascii="Century Gothic" w:hAnsi="Century Gothic"/>
        </w:rPr>
        <w:t>reflects a</w:t>
      </w:r>
      <w:r w:rsidR="00CA6CD2" w:rsidRPr="00F75DBD">
        <w:rPr>
          <w:rFonts w:ascii="Century Gothic" w:hAnsi="Century Gothic"/>
        </w:rPr>
        <w:t xml:space="preserve"> clear</w:t>
      </w:r>
      <w:r w:rsidRPr="00F75DBD">
        <w:rPr>
          <w:rFonts w:ascii="Century Gothic" w:hAnsi="Century Gothic"/>
        </w:rPr>
        <w:t xml:space="preserve"> organisational choice.</w:t>
      </w:r>
    </w:p>
    <w:p w:rsidR="00D71A98" w:rsidRPr="00F75DBD" w:rsidRDefault="00D71A98" w:rsidP="009754BD">
      <w:pPr>
        <w:pStyle w:val="Heading3"/>
        <w:numPr>
          <w:ilvl w:val="0"/>
          <w:numId w:val="23"/>
        </w:numPr>
        <w:rPr>
          <w:rFonts w:ascii="Century Gothic" w:hAnsi="Century Gothic"/>
        </w:rPr>
      </w:pPr>
      <w:bookmarkStart w:id="15" w:name="_Toc116481938"/>
      <w:r w:rsidRPr="00F75DBD">
        <w:rPr>
          <w:rFonts w:ascii="Century Gothic" w:hAnsi="Century Gothic"/>
        </w:rPr>
        <w:t>Reversal of onus</w:t>
      </w:r>
      <w:bookmarkEnd w:id="15"/>
    </w:p>
    <w:p w:rsidR="00410D0C" w:rsidRPr="00F75DBD" w:rsidRDefault="000878DE" w:rsidP="00732DB1">
      <w:pPr>
        <w:jc w:val="both"/>
        <w:rPr>
          <w:rFonts w:ascii="Century Gothic" w:hAnsi="Century Gothic"/>
        </w:rPr>
      </w:pPr>
      <w:r w:rsidRPr="00F75DBD">
        <w:rPr>
          <w:rFonts w:ascii="Century Gothic" w:hAnsi="Century Gothic"/>
        </w:rPr>
        <w:t>Consistently, under the Robodebt scheme, the</w:t>
      </w:r>
      <w:r w:rsidR="000B49C8" w:rsidRPr="00F75DBD">
        <w:rPr>
          <w:rFonts w:ascii="Century Gothic" w:hAnsi="Century Gothic"/>
        </w:rPr>
        <w:t xml:space="preserve"> </w:t>
      </w:r>
      <w:r w:rsidR="00760995" w:rsidRPr="00F75DBD">
        <w:rPr>
          <w:rFonts w:ascii="Century Gothic" w:hAnsi="Century Gothic"/>
        </w:rPr>
        <w:t xml:space="preserve">Government sought to shift the practical </w:t>
      </w:r>
      <w:r w:rsidR="000B49C8" w:rsidRPr="00F75DBD">
        <w:rPr>
          <w:rFonts w:ascii="Century Gothic" w:hAnsi="Century Gothic"/>
        </w:rPr>
        <w:t xml:space="preserve">onus of proof </w:t>
      </w:r>
      <w:r w:rsidR="005A477A" w:rsidRPr="00F75DBD">
        <w:rPr>
          <w:rFonts w:ascii="Century Gothic" w:hAnsi="Century Gothic"/>
        </w:rPr>
        <w:t>of debt to recipients</w:t>
      </w:r>
      <w:r w:rsidR="000B49C8" w:rsidRPr="00F75DBD">
        <w:rPr>
          <w:rFonts w:ascii="Century Gothic" w:hAnsi="Century Gothic"/>
        </w:rPr>
        <w:t>.</w:t>
      </w:r>
      <w:r w:rsidR="00760995" w:rsidRPr="00F75DBD">
        <w:rPr>
          <w:rStyle w:val="FootnoteReference"/>
          <w:rFonts w:ascii="Century Gothic" w:hAnsi="Century Gothic"/>
        </w:rPr>
        <w:footnoteReference w:id="45"/>
      </w:r>
      <w:r w:rsidR="000B49C8" w:rsidRPr="00F75DBD">
        <w:rPr>
          <w:rFonts w:ascii="Century Gothic" w:hAnsi="Century Gothic"/>
        </w:rPr>
        <w:t xml:space="preserve"> </w:t>
      </w:r>
      <w:r w:rsidR="005A477A" w:rsidRPr="00F75DBD">
        <w:rPr>
          <w:rFonts w:ascii="Century Gothic" w:hAnsi="Century Gothic"/>
        </w:rPr>
        <w:t>It</w:t>
      </w:r>
      <w:r w:rsidR="002C0AC8" w:rsidRPr="00F75DBD">
        <w:rPr>
          <w:rFonts w:ascii="Century Gothic" w:hAnsi="Century Gothic"/>
        </w:rPr>
        <w:t xml:space="preserve"> </w:t>
      </w:r>
      <w:r w:rsidR="00E931FB" w:rsidRPr="00F75DBD">
        <w:rPr>
          <w:rFonts w:ascii="Century Gothic" w:hAnsi="Century Gothic"/>
        </w:rPr>
        <w:t xml:space="preserve">therefore </w:t>
      </w:r>
      <w:r w:rsidR="002C0AC8" w:rsidRPr="00F75DBD">
        <w:rPr>
          <w:rFonts w:ascii="Century Gothic" w:hAnsi="Century Gothic"/>
        </w:rPr>
        <w:t xml:space="preserve">fell to individuals subjected to false debt allegations generated by income averaging to bring evidence proving that the asserted debt was not due. </w:t>
      </w:r>
      <w:r w:rsidR="0015737D" w:rsidRPr="00F75DBD">
        <w:rPr>
          <w:rFonts w:ascii="Century Gothic" w:hAnsi="Century Gothic"/>
        </w:rPr>
        <w:t>In my view, it</w:t>
      </w:r>
      <w:r w:rsidR="002C0AC8" w:rsidRPr="00F75DBD">
        <w:rPr>
          <w:rFonts w:ascii="Century Gothic" w:hAnsi="Century Gothic"/>
        </w:rPr>
        <w:t xml:space="preserve"> is possible to see this shift as a necessary c</w:t>
      </w:r>
      <w:r w:rsidR="0015737D" w:rsidRPr="00F75DBD">
        <w:rPr>
          <w:rFonts w:ascii="Century Gothic" w:hAnsi="Century Gothic"/>
        </w:rPr>
        <w:t xml:space="preserve">oncomitant of the automation of the social security debt </w:t>
      </w:r>
      <w:r w:rsidR="002C0AC8" w:rsidRPr="00F75DBD">
        <w:rPr>
          <w:rFonts w:ascii="Century Gothic" w:hAnsi="Century Gothic"/>
        </w:rPr>
        <w:t xml:space="preserve">system. Removal of human oversight transferred (or </w:t>
      </w:r>
      <w:r w:rsidR="00F82C2A" w:rsidRPr="00F75DBD">
        <w:rPr>
          <w:rFonts w:ascii="Century Gothic" w:hAnsi="Century Gothic"/>
        </w:rPr>
        <w:t>‘</w:t>
      </w:r>
      <w:r w:rsidR="002C0AC8" w:rsidRPr="00F75DBD">
        <w:rPr>
          <w:rFonts w:ascii="Century Gothic" w:hAnsi="Century Gothic"/>
        </w:rPr>
        <w:t>outsourced</w:t>
      </w:r>
      <w:r w:rsidR="00F82C2A" w:rsidRPr="00F75DBD">
        <w:rPr>
          <w:rFonts w:ascii="Century Gothic" w:hAnsi="Century Gothic"/>
        </w:rPr>
        <w:t>’</w:t>
      </w:r>
      <w:r w:rsidR="005A477A" w:rsidRPr="00F75DBD">
        <w:rPr>
          <w:rStyle w:val="FootnoteReference"/>
          <w:rFonts w:ascii="Century Gothic" w:hAnsi="Century Gothic"/>
        </w:rPr>
        <w:footnoteReference w:id="46"/>
      </w:r>
      <w:r w:rsidR="002C0AC8" w:rsidRPr="00F75DBD">
        <w:rPr>
          <w:rFonts w:ascii="Century Gothic" w:hAnsi="Century Gothic"/>
        </w:rPr>
        <w:t xml:space="preserve">) </w:t>
      </w:r>
      <w:r w:rsidR="00F82C2A" w:rsidRPr="00F75DBD">
        <w:rPr>
          <w:rFonts w:ascii="Century Gothic" w:hAnsi="Century Gothic"/>
        </w:rPr>
        <w:t>the audit process to the victim.</w:t>
      </w:r>
      <w:r w:rsidR="005A477A" w:rsidRPr="00F75DBD">
        <w:rPr>
          <w:rFonts w:ascii="Century Gothic" w:hAnsi="Century Gothic"/>
        </w:rPr>
        <w:t xml:space="preserve"> This, again, reflected a deliberate Government choice, made with knowledge of the nature of the processes being omitted, and the nature of the processes by which they were replaced.</w:t>
      </w:r>
      <w:r w:rsidR="00956AC2" w:rsidRPr="00F75DBD">
        <w:rPr>
          <w:rFonts w:ascii="Century Gothic" w:hAnsi="Century Gothic"/>
        </w:rPr>
        <w:t xml:space="preserve"> This included the knowledge that income averaging would inevitably produce false debts.</w:t>
      </w:r>
    </w:p>
    <w:p w:rsidR="00D71A98" w:rsidRPr="00F75DBD" w:rsidRDefault="00D71A98" w:rsidP="009754BD">
      <w:pPr>
        <w:pStyle w:val="Heading3"/>
        <w:numPr>
          <w:ilvl w:val="0"/>
          <w:numId w:val="23"/>
        </w:numPr>
        <w:rPr>
          <w:rFonts w:ascii="Century Gothic" w:hAnsi="Century Gothic"/>
        </w:rPr>
      </w:pPr>
      <w:bookmarkStart w:id="16" w:name="_Toc116481939"/>
      <w:r w:rsidRPr="00F75DBD">
        <w:rPr>
          <w:rFonts w:ascii="Century Gothic" w:hAnsi="Century Gothic"/>
        </w:rPr>
        <w:t>A retroactive and insurmountable evidential hurdle</w:t>
      </w:r>
      <w:bookmarkEnd w:id="16"/>
    </w:p>
    <w:p w:rsidR="00D02932" w:rsidRPr="00F75DBD" w:rsidRDefault="00410D0C" w:rsidP="00732DB1">
      <w:pPr>
        <w:jc w:val="both"/>
        <w:rPr>
          <w:rFonts w:ascii="Century Gothic" w:hAnsi="Century Gothic"/>
        </w:rPr>
      </w:pPr>
      <w:r w:rsidRPr="00F75DBD">
        <w:rPr>
          <w:rFonts w:ascii="Century Gothic" w:hAnsi="Century Gothic"/>
        </w:rPr>
        <w:t>The true nature of this shift</w:t>
      </w:r>
      <w:r w:rsidR="00956AC2" w:rsidRPr="00F75DBD">
        <w:rPr>
          <w:rFonts w:ascii="Century Gothic" w:hAnsi="Century Gothic"/>
        </w:rPr>
        <w:t xml:space="preserve"> in onus</w:t>
      </w:r>
      <w:r w:rsidRPr="00F75DBD">
        <w:rPr>
          <w:rFonts w:ascii="Century Gothic" w:hAnsi="Century Gothic"/>
        </w:rPr>
        <w:t xml:space="preserve">, as a matter of practice, </w:t>
      </w:r>
      <w:r w:rsidR="0015737D" w:rsidRPr="00F75DBD">
        <w:rPr>
          <w:rFonts w:ascii="Century Gothic" w:hAnsi="Century Gothic"/>
        </w:rPr>
        <w:t xml:space="preserve">also </w:t>
      </w:r>
      <w:r w:rsidR="007F3C07" w:rsidRPr="00F75DBD">
        <w:rPr>
          <w:rFonts w:ascii="Century Gothic" w:hAnsi="Century Gothic"/>
        </w:rPr>
        <w:t>needs to be appreciated</w:t>
      </w:r>
      <w:r w:rsidR="0015737D" w:rsidRPr="00F75DBD">
        <w:rPr>
          <w:rFonts w:ascii="Century Gothic" w:hAnsi="Century Gothic"/>
        </w:rPr>
        <w:t xml:space="preserve"> and </w:t>
      </w:r>
      <w:r w:rsidR="00AD3A11" w:rsidRPr="00F75DBD">
        <w:rPr>
          <w:rFonts w:ascii="Century Gothic" w:hAnsi="Century Gothic"/>
        </w:rPr>
        <w:t>may warrant</w:t>
      </w:r>
      <w:r w:rsidR="0015737D" w:rsidRPr="00F75DBD">
        <w:rPr>
          <w:rFonts w:ascii="Century Gothic" w:hAnsi="Century Gothic"/>
        </w:rPr>
        <w:t xml:space="preserve"> further investigation</w:t>
      </w:r>
      <w:r w:rsidR="007F3C07" w:rsidRPr="00F75DBD">
        <w:rPr>
          <w:rFonts w:ascii="Century Gothic" w:hAnsi="Century Gothic"/>
        </w:rPr>
        <w:t>. Whiteford</w:t>
      </w:r>
      <w:r w:rsidR="005A477A" w:rsidRPr="00F75DBD">
        <w:rPr>
          <w:rStyle w:val="FootnoteReference"/>
          <w:rFonts w:ascii="Century Gothic" w:hAnsi="Century Gothic"/>
        </w:rPr>
        <w:footnoteReference w:id="47"/>
      </w:r>
      <w:r w:rsidR="007F3C07" w:rsidRPr="00F75DBD">
        <w:rPr>
          <w:rFonts w:ascii="Century Gothic" w:hAnsi="Century Gothic"/>
        </w:rPr>
        <w:t xml:space="preserve"> explains how recipients were directed to online portals to check the information </w:t>
      </w:r>
      <w:r w:rsidRPr="00F75DBD">
        <w:rPr>
          <w:rFonts w:ascii="Century Gothic" w:hAnsi="Century Gothic"/>
        </w:rPr>
        <w:t xml:space="preserve">on which asserted </w:t>
      </w:r>
      <w:r w:rsidRPr="00F75DBD">
        <w:rPr>
          <w:rFonts w:ascii="Century Gothic" w:hAnsi="Century Gothic"/>
        </w:rPr>
        <w:lastRenderedPageBreak/>
        <w:t>debts were raised</w:t>
      </w:r>
      <w:r w:rsidR="00CD0ADB" w:rsidRPr="00F75DBD">
        <w:rPr>
          <w:rFonts w:ascii="Century Gothic" w:hAnsi="Century Gothic"/>
        </w:rPr>
        <w:t>,</w:t>
      </w:r>
      <w:r w:rsidRPr="00F75DBD">
        <w:rPr>
          <w:rFonts w:ascii="Century Gothic" w:hAnsi="Century Gothic"/>
        </w:rPr>
        <w:t xml:space="preserve"> </w:t>
      </w:r>
      <w:r w:rsidR="007F3C07" w:rsidRPr="00F75DBD">
        <w:rPr>
          <w:rFonts w:ascii="Century Gothic" w:hAnsi="Century Gothic"/>
        </w:rPr>
        <w:t xml:space="preserve">and </w:t>
      </w:r>
      <w:r w:rsidRPr="00F75DBD">
        <w:rPr>
          <w:rFonts w:ascii="Century Gothic" w:hAnsi="Century Gothic"/>
        </w:rPr>
        <w:t xml:space="preserve">to </w:t>
      </w:r>
      <w:r w:rsidR="007F3C07" w:rsidRPr="00F75DBD">
        <w:rPr>
          <w:rFonts w:ascii="Century Gothic" w:hAnsi="Century Gothic"/>
        </w:rPr>
        <w:t>provide supporting evidence</w:t>
      </w:r>
      <w:r w:rsidRPr="00F75DBD">
        <w:rPr>
          <w:rFonts w:ascii="Century Gothic" w:hAnsi="Century Gothic"/>
        </w:rPr>
        <w:t xml:space="preserve"> disputing the debt</w:t>
      </w:r>
      <w:r w:rsidR="00C9619D" w:rsidRPr="00F75DBD">
        <w:rPr>
          <w:rFonts w:ascii="Century Gothic" w:hAnsi="Century Gothic"/>
        </w:rPr>
        <w:t>. In m</w:t>
      </w:r>
      <w:r w:rsidRPr="00F75DBD">
        <w:rPr>
          <w:rFonts w:ascii="Century Gothic" w:hAnsi="Century Gothic"/>
        </w:rPr>
        <w:t>any cases</w:t>
      </w:r>
      <w:r w:rsidR="00C9619D" w:rsidRPr="00F75DBD">
        <w:rPr>
          <w:rFonts w:ascii="Century Gothic" w:hAnsi="Century Gothic"/>
        </w:rPr>
        <w:t>, this</w:t>
      </w:r>
      <w:r w:rsidR="007F3C07" w:rsidRPr="00F75DBD">
        <w:rPr>
          <w:rFonts w:ascii="Century Gothic" w:hAnsi="Century Gothic"/>
        </w:rPr>
        <w:t xml:space="preserve"> </w:t>
      </w:r>
      <w:r w:rsidRPr="00F75DBD">
        <w:rPr>
          <w:rFonts w:ascii="Century Gothic" w:hAnsi="Century Gothic"/>
        </w:rPr>
        <w:t xml:space="preserve">required retrieval </w:t>
      </w:r>
      <w:r w:rsidR="00CD0ADB" w:rsidRPr="00F75DBD">
        <w:rPr>
          <w:rFonts w:ascii="Century Gothic" w:hAnsi="Century Gothic"/>
        </w:rPr>
        <w:t xml:space="preserve">of records </w:t>
      </w:r>
      <w:r w:rsidRPr="00F75DBD">
        <w:rPr>
          <w:rFonts w:ascii="Century Gothic" w:hAnsi="Century Gothic"/>
        </w:rPr>
        <w:t xml:space="preserve">going </w:t>
      </w:r>
      <w:r w:rsidR="007F3C07" w:rsidRPr="00F75DBD">
        <w:rPr>
          <w:rFonts w:ascii="Century Gothic" w:hAnsi="Century Gothic"/>
        </w:rPr>
        <w:t xml:space="preserve">back many years. Given that recipients were not, at the time of </w:t>
      </w:r>
      <w:r w:rsidRPr="00F75DBD">
        <w:rPr>
          <w:rFonts w:ascii="Century Gothic" w:hAnsi="Century Gothic"/>
        </w:rPr>
        <w:t>original receipt of social security payments</w:t>
      </w:r>
      <w:r w:rsidR="007F3C07" w:rsidRPr="00F75DBD">
        <w:rPr>
          <w:rFonts w:ascii="Century Gothic" w:hAnsi="Century Gothic"/>
        </w:rPr>
        <w:t>, required to keep records of payments for years, this nec</w:t>
      </w:r>
      <w:r w:rsidR="00D71A98" w:rsidRPr="00F75DBD">
        <w:rPr>
          <w:rFonts w:ascii="Century Gothic" w:hAnsi="Century Gothic"/>
        </w:rPr>
        <w:t xml:space="preserve">essarily </w:t>
      </w:r>
      <w:r w:rsidR="00CD0ADB" w:rsidRPr="00F75DBD">
        <w:rPr>
          <w:rFonts w:ascii="Century Gothic" w:hAnsi="Century Gothic"/>
        </w:rPr>
        <w:t>introduced</w:t>
      </w:r>
      <w:r w:rsidR="00D71A98" w:rsidRPr="00F75DBD">
        <w:rPr>
          <w:rFonts w:ascii="Century Gothic" w:hAnsi="Century Gothic"/>
        </w:rPr>
        <w:t xml:space="preserve"> for many </w:t>
      </w:r>
      <w:r w:rsidR="00CD0ADB" w:rsidRPr="00F75DBD">
        <w:rPr>
          <w:rFonts w:ascii="Century Gothic" w:hAnsi="Century Gothic"/>
        </w:rPr>
        <w:t xml:space="preserve">recipients </w:t>
      </w:r>
      <w:r w:rsidR="00D71A98" w:rsidRPr="00F75DBD">
        <w:rPr>
          <w:rFonts w:ascii="Century Gothic" w:hAnsi="Century Gothic"/>
        </w:rPr>
        <w:t>a</w:t>
      </w:r>
      <w:r w:rsidR="007F3C07" w:rsidRPr="00F75DBD">
        <w:rPr>
          <w:rFonts w:ascii="Century Gothic" w:hAnsi="Century Gothic"/>
        </w:rPr>
        <w:t xml:space="preserve"> </w:t>
      </w:r>
      <w:r w:rsidR="00D71A98" w:rsidRPr="00F75DBD">
        <w:rPr>
          <w:rFonts w:ascii="Century Gothic" w:hAnsi="Century Gothic"/>
        </w:rPr>
        <w:t xml:space="preserve">retroactive </w:t>
      </w:r>
      <w:r w:rsidR="007F3C07" w:rsidRPr="00F75DBD">
        <w:rPr>
          <w:rFonts w:ascii="Century Gothic" w:hAnsi="Century Gothic"/>
        </w:rPr>
        <w:t xml:space="preserve">and </w:t>
      </w:r>
      <w:r w:rsidR="00D71A98" w:rsidRPr="00F75DBD">
        <w:rPr>
          <w:rFonts w:ascii="Century Gothic" w:hAnsi="Century Gothic"/>
        </w:rPr>
        <w:t xml:space="preserve">insurmountable </w:t>
      </w:r>
      <w:r w:rsidR="007F3C07" w:rsidRPr="00F75DBD">
        <w:rPr>
          <w:rFonts w:ascii="Century Gothic" w:hAnsi="Century Gothic"/>
        </w:rPr>
        <w:t xml:space="preserve">evidential hurdle. </w:t>
      </w:r>
      <w:r w:rsidR="00956AC2" w:rsidRPr="00F75DBD">
        <w:rPr>
          <w:rFonts w:ascii="Century Gothic" w:hAnsi="Century Gothic"/>
        </w:rPr>
        <w:t xml:space="preserve">This is not to mention the unwarranted ‘assumptions’ of stable internet access implicit in the system as designed, and that it was possible for recipients to source </w:t>
      </w:r>
      <w:r w:rsidR="00CD0ADB" w:rsidRPr="00F75DBD">
        <w:rPr>
          <w:rFonts w:ascii="Century Gothic" w:hAnsi="Century Gothic"/>
        </w:rPr>
        <w:t xml:space="preserve">alternative </w:t>
      </w:r>
      <w:r w:rsidR="00956AC2" w:rsidRPr="00F75DBD">
        <w:rPr>
          <w:rFonts w:ascii="Century Gothic" w:hAnsi="Century Gothic"/>
        </w:rPr>
        <w:t>wage records from past employers.</w:t>
      </w:r>
    </w:p>
    <w:p w:rsidR="00D71A98" w:rsidRPr="00F75DBD" w:rsidRDefault="00D71A98" w:rsidP="00803F9D">
      <w:pPr>
        <w:pStyle w:val="Heading3"/>
        <w:numPr>
          <w:ilvl w:val="0"/>
          <w:numId w:val="20"/>
        </w:numPr>
        <w:rPr>
          <w:rFonts w:ascii="Century Gothic" w:hAnsi="Century Gothic"/>
        </w:rPr>
      </w:pPr>
      <w:bookmarkStart w:id="17" w:name="_Toc116481940"/>
      <w:r w:rsidRPr="00F75DBD">
        <w:rPr>
          <w:rFonts w:ascii="Century Gothic" w:hAnsi="Century Gothic"/>
        </w:rPr>
        <w:t>Removal of limitation period</w:t>
      </w:r>
      <w:bookmarkEnd w:id="17"/>
    </w:p>
    <w:p w:rsidR="00C9619D" w:rsidRPr="00F75DBD" w:rsidRDefault="00D71A98" w:rsidP="00732DB1">
      <w:pPr>
        <w:jc w:val="both"/>
        <w:rPr>
          <w:rFonts w:ascii="Century Gothic" w:hAnsi="Century Gothic"/>
        </w:rPr>
      </w:pPr>
      <w:r w:rsidRPr="00F75DBD">
        <w:rPr>
          <w:rFonts w:ascii="Century Gothic" w:hAnsi="Century Gothic"/>
        </w:rPr>
        <w:t>Further, the</w:t>
      </w:r>
      <w:r w:rsidR="00AD3A11" w:rsidRPr="00F75DBD">
        <w:rPr>
          <w:rFonts w:ascii="Century Gothic" w:hAnsi="Century Gothic"/>
        </w:rPr>
        <w:t xml:space="preserve"> Government </w:t>
      </w:r>
      <w:r w:rsidR="00AD3A11" w:rsidRPr="00F75DBD">
        <w:rPr>
          <w:rFonts w:ascii="Century Gothic" w:hAnsi="Century Gothic"/>
          <w:i/>
        </w:rPr>
        <w:t>removed</w:t>
      </w:r>
      <w:r w:rsidR="00AD3A11" w:rsidRPr="00F75DBD">
        <w:rPr>
          <w:rFonts w:ascii="Century Gothic" w:hAnsi="Century Gothic"/>
        </w:rPr>
        <w:t xml:space="preserve"> the existing 6 year limitation period for asserting debts aga</w:t>
      </w:r>
      <w:r w:rsidRPr="00F75DBD">
        <w:rPr>
          <w:rFonts w:ascii="Century Gothic" w:hAnsi="Century Gothic"/>
        </w:rPr>
        <w:t>inst social securit</w:t>
      </w:r>
      <w:r w:rsidR="00CA6CD2" w:rsidRPr="00F75DBD">
        <w:rPr>
          <w:rFonts w:ascii="Century Gothic" w:hAnsi="Century Gothic"/>
        </w:rPr>
        <w:t>y recipients.</w:t>
      </w:r>
      <w:r w:rsidR="005D0308" w:rsidRPr="00F75DBD">
        <w:rPr>
          <w:rStyle w:val="FootnoteReference"/>
          <w:rFonts w:ascii="Century Gothic" w:hAnsi="Century Gothic"/>
        </w:rPr>
        <w:footnoteReference w:id="48"/>
      </w:r>
      <w:r w:rsidR="00CA6CD2" w:rsidRPr="00F75DBD">
        <w:rPr>
          <w:rFonts w:ascii="Century Gothic" w:hAnsi="Century Gothic"/>
        </w:rPr>
        <w:t xml:space="preserve"> This only exacerb</w:t>
      </w:r>
      <w:r w:rsidRPr="00F75DBD">
        <w:rPr>
          <w:rFonts w:ascii="Century Gothic" w:hAnsi="Century Gothic"/>
        </w:rPr>
        <w:t>ated</w:t>
      </w:r>
      <w:r w:rsidR="00AD3A11" w:rsidRPr="00F75DBD">
        <w:rPr>
          <w:rFonts w:ascii="Century Gothic" w:hAnsi="Century Gothic"/>
        </w:rPr>
        <w:t xml:space="preserve"> </w:t>
      </w:r>
      <w:r w:rsidR="00CA6CD2" w:rsidRPr="00F75DBD">
        <w:rPr>
          <w:rFonts w:ascii="Century Gothic" w:hAnsi="Century Gothic"/>
        </w:rPr>
        <w:t>the new evidential and procedural hurdles facing recipients. Inevitably, it also exacerbated the existing (and known) states of recipient vulnerability. It also reinforces what appears to be the unequal (discriminatory) treatment of</w:t>
      </w:r>
      <w:r w:rsidR="00AD3A11" w:rsidRPr="00F75DBD">
        <w:rPr>
          <w:rFonts w:ascii="Century Gothic" w:hAnsi="Century Gothic"/>
        </w:rPr>
        <w:t xml:space="preserve"> recipients </w:t>
      </w:r>
      <w:r w:rsidR="00CA6CD2" w:rsidRPr="00F75DBD">
        <w:rPr>
          <w:rFonts w:ascii="Century Gothic" w:hAnsi="Century Gothic"/>
        </w:rPr>
        <w:t xml:space="preserve">pursuant to Robodebt, </w:t>
      </w:r>
      <w:r w:rsidR="00AD3A11" w:rsidRPr="00F75DBD">
        <w:rPr>
          <w:rFonts w:ascii="Century Gothic" w:hAnsi="Century Gothic"/>
        </w:rPr>
        <w:t xml:space="preserve">compared to other government debtors. </w:t>
      </w:r>
    </w:p>
    <w:p w:rsidR="00D71A98" w:rsidRPr="00F75DBD" w:rsidRDefault="00D71A98" w:rsidP="00803F9D">
      <w:pPr>
        <w:pStyle w:val="Heading3"/>
        <w:numPr>
          <w:ilvl w:val="0"/>
          <w:numId w:val="20"/>
        </w:numPr>
        <w:rPr>
          <w:rFonts w:ascii="Century Gothic" w:hAnsi="Century Gothic"/>
        </w:rPr>
      </w:pPr>
      <w:bookmarkStart w:id="18" w:name="_Toc116481941"/>
      <w:r w:rsidRPr="00F75DBD">
        <w:rPr>
          <w:rFonts w:ascii="Century Gothic" w:hAnsi="Century Gothic"/>
        </w:rPr>
        <w:t>Penalties</w:t>
      </w:r>
      <w:bookmarkEnd w:id="18"/>
    </w:p>
    <w:p w:rsidR="00B86DF2" w:rsidRPr="00F75DBD" w:rsidRDefault="00956AC2" w:rsidP="00732DB1">
      <w:pPr>
        <w:jc w:val="both"/>
        <w:rPr>
          <w:rFonts w:ascii="Century Gothic" w:hAnsi="Century Gothic"/>
        </w:rPr>
      </w:pPr>
      <w:r w:rsidRPr="00F75DBD">
        <w:rPr>
          <w:rFonts w:ascii="Century Gothic" w:hAnsi="Century Gothic"/>
        </w:rPr>
        <w:t>In</w:t>
      </w:r>
      <w:r w:rsidR="00985ED3" w:rsidRPr="00F75DBD">
        <w:rPr>
          <w:rFonts w:ascii="Century Gothic" w:hAnsi="Century Gothic"/>
        </w:rPr>
        <w:t xml:space="preserve"> addition to </w:t>
      </w:r>
      <w:r w:rsidR="00CD0ADB" w:rsidRPr="00F75DBD">
        <w:rPr>
          <w:rFonts w:ascii="Century Gothic" w:hAnsi="Century Gothic"/>
        </w:rPr>
        <w:t>new</w:t>
      </w:r>
      <w:r w:rsidRPr="00F75DBD">
        <w:rPr>
          <w:rFonts w:ascii="Century Gothic" w:hAnsi="Century Gothic"/>
        </w:rPr>
        <w:t xml:space="preserve"> evidential</w:t>
      </w:r>
      <w:r w:rsidR="00CD0ADB" w:rsidRPr="00F75DBD">
        <w:rPr>
          <w:rFonts w:ascii="Century Gothic" w:hAnsi="Century Gothic"/>
        </w:rPr>
        <w:t xml:space="preserve"> and procedural</w:t>
      </w:r>
      <w:r w:rsidRPr="00F75DBD">
        <w:rPr>
          <w:rFonts w:ascii="Century Gothic" w:hAnsi="Century Gothic"/>
        </w:rPr>
        <w:t xml:space="preserve"> hurdles </w:t>
      </w:r>
      <w:r w:rsidR="00CD0ADB" w:rsidRPr="00F75DBD">
        <w:rPr>
          <w:rFonts w:ascii="Century Gothic" w:hAnsi="Century Gothic"/>
        </w:rPr>
        <w:t>facing</w:t>
      </w:r>
      <w:r w:rsidRPr="00F75DBD">
        <w:rPr>
          <w:rFonts w:ascii="Century Gothic" w:hAnsi="Century Gothic"/>
        </w:rPr>
        <w:t xml:space="preserve"> recipients</w:t>
      </w:r>
      <w:r w:rsidR="00985ED3" w:rsidRPr="00F75DBD">
        <w:rPr>
          <w:rFonts w:ascii="Century Gothic" w:hAnsi="Century Gothic"/>
        </w:rPr>
        <w:t xml:space="preserve">, the Robodebt scheme imposed a </w:t>
      </w:r>
      <w:r w:rsidR="0014002E" w:rsidRPr="00F75DBD">
        <w:rPr>
          <w:rFonts w:ascii="Century Gothic" w:hAnsi="Century Gothic"/>
        </w:rPr>
        <w:t>penalty for any ‘failure’ of recipients to ‘engage’ with Centrelink over the asserted debt.</w:t>
      </w:r>
      <w:r w:rsidR="00751DBD" w:rsidRPr="00F75DBD">
        <w:rPr>
          <w:rStyle w:val="FootnoteReference"/>
          <w:rFonts w:ascii="Century Gothic" w:hAnsi="Century Gothic"/>
        </w:rPr>
        <w:footnoteReference w:id="49"/>
      </w:r>
      <w:r w:rsidR="0014002E" w:rsidRPr="00F75DBD">
        <w:rPr>
          <w:rFonts w:ascii="Century Gothic" w:hAnsi="Century Gothic"/>
        </w:rPr>
        <w:t xml:space="preserve"> This occurred, for example, where Australians had successfully moved off social security and into employment, so had failed to update their contact details.</w:t>
      </w:r>
      <w:r w:rsidR="00C9619D" w:rsidRPr="00F75DBD">
        <w:rPr>
          <w:rFonts w:ascii="Century Gothic" w:hAnsi="Century Gothic"/>
        </w:rPr>
        <w:t xml:space="preserve"> </w:t>
      </w:r>
      <w:r w:rsidRPr="00F75DBD">
        <w:rPr>
          <w:rFonts w:ascii="Century Gothic" w:hAnsi="Century Gothic"/>
        </w:rPr>
        <w:t>Again, this represents a new feature of the debt recovery system and, on Systems Intentionality, a deliberate design choice.</w:t>
      </w:r>
    </w:p>
    <w:p w:rsidR="008967F3" w:rsidRPr="00F75DBD" w:rsidRDefault="008967F3" w:rsidP="00803F9D">
      <w:pPr>
        <w:pStyle w:val="Heading3"/>
        <w:numPr>
          <w:ilvl w:val="0"/>
          <w:numId w:val="20"/>
        </w:numPr>
        <w:rPr>
          <w:rFonts w:ascii="Century Gothic" w:hAnsi="Century Gothic"/>
        </w:rPr>
      </w:pPr>
      <w:bookmarkStart w:id="19" w:name="_Toc116481942"/>
      <w:r w:rsidRPr="00F75DBD">
        <w:rPr>
          <w:rFonts w:ascii="Century Gothic" w:hAnsi="Century Gothic"/>
        </w:rPr>
        <w:t>Garnishing tax returns</w:t>
      </w:r>
      <w:bookmarkEnd w:id="19"/>
    </w:p>
    <w:p w:rsidR="00B86DF2" w:rsidRPr="00F75DBD" w:rsidRDefault="00956AC2" w:rsidP="00732DB1">
      <w:pPr>
        <w:jc w:val="both"/>
        <w:rPr>
          <w:rFonts w:ascii="Century Gothic" w:hAnsi="Century Gothic"/>
        </w:rPr>
      </w:pPr>
      <w:r w:rsidRPr="00F75DBD">
        <w:rPr>
          <w:rFonts w:ascii="Century Gothic" w:hAnsi="Century Gothic"/>
        </w:rPr>
        <w:t>Consistently with the reversal of onus, the Government proceeded through garnishing processes to enforce the debt unilaterally.</w:t>
      </w:r>
      <w:r w:rsidR="00D02932" w:rsidRPr="00F75DBD">
        <w:rPr>
          <w:rStyle w:val="FootnoteReference"/>
          <w:rFonts w:ascii="Century Gothic" w:hAnsi="Century Gothic"/>
        </w:rPr>
        <w:footnoteReference w:id="50"/>
      </w:r>
      <w:r w:rsidRPr="00F75DBD">
        <w:rPr>
          <w:rFonts w:ascii="Century Gothic" w:hAnsi="Century Gothic"/>
        </w:rPr>
        <w:t xml:space="preserve"> This</w:t>
      </w:r>
      <w:r w:rsidR="006C439D" w:rsidRPr="00F75DBD">
        <w:rPr>
          <w:rFonts w:ascii="Century Gothic" w:hAnsi="Century Gothic"/>
        </w:rPr>
        <w:t xml:space="preserve"> </w:t>
      </w:r>
      <w:r w:rsidR="00B86DF2" w:rsidRPr="00F75DBD">
        <w:rPr>
          <w:rFonts w:ascii="Century Gothic" w:hAnsi="Century Gothic"/>
        </w:rPr>
        <w:t xml:space="preserve">practice </w:t>
      </w:r>
      <w:r w:rsidR="008967F3" w:rsidRPr="00F75DBD">
        <w:rPr>
          <w:rFonts w:ascii="Century Gothic" w:hAnsi="Century Gothic"/>
        </w:rPr>
        <w:t>meant</w:t>
      </w:r>
      <w:r w:rsidR="00B86DF2" w:rsidRPr="00F75DBD">
        <w:rPr>
          <w:rFonts w:ascii="Century Gothic" w:hAnsi="Century Gothic"/>
        </w:rPr>
        <w:t xml:space="preserve"> that the scheme was, to a degree, self-executing, rather than being subject to tribunal </w:t>
      </w:r>
      <w:r w:rsidR="00477F97" w:rsidRPr="00F75DBD">
        <w:rPr>
          <w:rFonts w:ascii="Century Gothic" w:hAnsi="Century Gothic"/>
        </w:rPr>
        <w:t>or judicial review</w:t>
      </w:r>
      <w:r w:rsidR="006C439D" w:rsidRPr="00F75DBD">
        <w:rPr>
          <w:rFonts w:ascii="Century Gothic" w:hAnsi="Century Gothic"/>
        </w:rPr>
        <w:t xml:space="preserve"> and, if sustained, </w:t>
      </w:r>
      <w:r w:rsidR="00B86DF2" w:rsidRPr="00F75DBD">
        <w:rPr>
          <w:rFonts w:ascii="Century Gothic" w:hAnsi="Century Gothic"/>
        </w:rPr>
        <w:t xml:space="preserve">enforcement. </w:t>
      </w:r>
      <w:r w:rsidR="006C439D" w:rsidRPr="00F75DBD">
        <w:rPr>
          <w:rFonts w:ascii="Century Gothic" w:hAnsi="Century Gothic"/>
        </w:rPr>
        <w:t>This approach</w:t>
      </w:r>
      <w:r w:rsidR="00B86DF2" w:rsidRPr="00F75DBD">
        <w:rPr>
          <w:rFonts w:ascii="Century Gothic" w:hAnsi="Century Gothic"/>
        </w:rPr>
        <w:t xml:space="preserve"> also had the consequence of further reducing the financial capacity of recipients to challenge the asserted debt</w:t>
      </w:r>
      <w:r w:rsidR="00714065" w:rsidRPr="00F75DBD">
        <w:rPr>
          <w:rFonts w:ascii="Century Gothic" w:hAnsi="Century Gothic"/>
        </w:rPr>
        <w:t>, for example by seeking professional advice</w:t>
      </w:r>
      <w:r w:rsidR="00B86DF2" w:rsidRPr="00F75DBD">
        <w:rPr>
          <w:rFonts w:ascii="Century Gothic" w:hAnsi="Century Gothic"/>
        </w:rPr>
        <w:t>.</w:t>
      </w:r>
      <w:r w:rsidR="00DB273D" w:rsidRPr="00F75DBD">
        <w:rPr>
          <w:rFonts w:ascii="Century Gothic" w:hAnsi="Century Gothic"/>
        </w:rPr>
        <w:t xml:space="preserve"> </w:t>
      </w:r>
      <w:r w:rsidR="00714065" w:rsidRPr="00F75DBD">
        <w:rPr>
          <w:rFonts w:ascii="Century Gothic" w:hAnsi="Century Gothic"/>
        </w:rPr>
        <w:t xml:space="preserve">Given the already disadvantaged position of many recipients, this may be expected to have had a significant impact. </w:t>
      </w:r>
    </w:p>
    <w:p w:rsidR="005905E8" w:rsidRPr="00F75DBD" w:rsidRDefault="005905E8" w:rsidP="00803F9D">
      <w:pPr>
        <w:pStyle w:val="Heading3"/>
        <w:numPr>
          <w:ilvl w:val="0"/>
          <w:numId w:val="20"/>
        </w:numPr>
        <w:rPr>
          <w:rFonts w:ascii="Century Gothic" w:hAnsi="Century Gothic"/>
        </w:rPr>
      </w:pPr>
      <w:bookmarkStart w:id="20" w:name="_Toc116481943"/>
      <w:r w:rsidRPr="00F75DBD">
        <w:rPr>
          <w:rFonts w:ascii="Century Gothic" w:hAnsi="Century Gothic"/>
        </w:rPr>
        <w:t>Li</w:t>
      </w:r>
      <w:r w:rsidR="00742590" w:rsidRPr="00F75DBD">
        <w:rPr>
          <w:rFonts w:ascii="Century Gothic" w:hAnsi="Century Gothic"/>
        </w:rPr>
        <w:t>tig</w:t>
      </w:r>
      <w:r w:rsidRPr="00F75DBD">
        <w:rPr>
          <w:rFonts w:ascii="Century Gothic" w:hAnsi="Century Gothic"/>
        </w:rPr>
        <w:t>ation strategies</w:t>
      </w:r>
      <w:bookmarkEnd w:id="20"/>
    </w:p>
    <w:p w:rsidR="005905E8" w:rsidRPr="00F75DBD" w:rsidRDefault="005905E8" w:rsidP="00732DB1">
      <w:pPr>
        <w:jc w:val="both"/>
        <w:rPr>
          <w:rFonts w:ascii="Century Gothic" w:hAnsi="Century Gothic"/>
        </w:rPr>
      </w:pPr>
      <w:r w:rsidRPr="00F75DBD">
        <w:rPr>
          <w:rFonts w:ascii="Century Gothic" w:hAnsi="Century Gothic"/>
        </w:rPr>
        <w:t xml:space="preserve">In my view, it is open to conclude that the Government adopted a largely consistent approach to applications for legal review of asserted debts, </w:t>
      </w:r>
      <w:r w:rsidR="00BD0B77" w:rsidRPr="00F75DBD">
        <w:rPr>
          <w:rFonts w:ascii="Century Gothic" w:hAnsi="Century Gothic"/>
        </w:rPr>
        <w:t>which</w:t>
      </w:r>
      <w:r w:rsidR="00CD0ADB" w:rsidRPr="00F75DBD">
        <w:rPr>
          <w:rFonts w:ascii="Century Gothic" w:hAnsi="Century Gothic"/>
        </w:rPr>
        <w:t xml:space="preserve"> </w:t>
      </w:r>
      <w:r w:rsidRPr="00F75DBD">
        <w:rPr>
          <w:rFonts w:ascii="Century Gothic" w:hAnsi="Century Gothic"/>
        </w:rPr>
        <w:t xml:space="preserve">(1) reduced the extent to which successful challenges were placed on the public record, while (2) </w:t>
      </w:r>
      <w:r w:rsidR="00D02932" w:rsidRPr="00F75DBD">
        <w:rPr>
          <w:rFonts w:ascii="Century Gothic" w:hAnsi="Century Gothic"/>
        </w:rPr>
        <w:t xml:space="preserve">actively </w:t>
      </w:r>
      <w:r w:rsidR="00BD0B77" w:rsidRPr="00F75DBD">
        <w:rPr>
          <w:rFonts w:ascii="Century Gothic" w:hAnsi="Century Gothic"/>
        </w:rPr>
        <w:t xml:space="preserve">defending and </w:t>
      </w:r>
      <w:r w:rsidRPr="00F75DBD">
        <w:rPr>
          <w:rFonts w:ascii="Century Gothic" w:hAnsi="Century Gothic"/>
        </w:rPr>
        <w:t>maximising the benefit obtained by the Government through having unlawfully raised false debts</w:t>
      </w:r>
      <w:r w:rsidR="00BD0B77" w:rsidRPr="00F75DBD">
        <w:rPr>
          <w:rFonts w:ascii="Century Gothic" w:hAnsi="Century Gothic"/>
        </w:rPr>
        <w:t>, through a range of tactics of denial and delay</w:t>
      </w:r>
      <w:r w:rsidRPr="00F75DBD">
        <w:rPr>
          <w:rFonts w:ascii="Century Gothic" w:hAnsi="Century Gothic"/>
        </w:rPr>
        <w:t>.</w:t>
      </w:r>
      <w:r w:rsidR="00732DB1" w:rsidRPr="00F75DBD">
        <w:rPr>
          <w:rStyle w:val="FootnoteReference"/>
          <w:rFonts w:ascii="Century Gothic" w:hAnsi="Century Gothic"/>
        </w:rPr>
        <w:footnoteReference w:id="51"/>
      </w:r>
      <w:r w:rsidRPr="00F75DBD">
        <w:rPr>
          <w:rFonts w:ascii="Century Gothic" w:hAnsi="Century Gothic"/>
        </w:rPr>
        <w:t xml:space="preserve"> The following examples </w:t>
      </w:r>
      <w:r w:rsidR="00D02932" w:rsidRPr="00F75DBD">
        <w:rPr>
          <w:rFonts w:ascii="Century Gothic" w:hAnsi="Century Gothic"/>
        </w:rPr>
        <w:t>draw particularly on</w:t>
      </w:r>
      <w:r w:rsidRPr="00F75DBD">
        <w:rPr>
          <w:rFonts w:ascii="Century Gothic" w:hAnsi="Century Gothic"/>
        </w:rPr>
        <w:t xml:space="preserve"> </w:t>
      </w:r>
      <w:r w:rsidR="00D02932" w:rsidRPr="00F75DBD">
        <w:rPr>
          <w:rFonts w:ascii="Century Gothic" w:hAnsi="Century Gothic"/>
        </w:rPr>
        <w:t>Whiteford’s analysi</w:t>
      </w:r>
      <w:r w:rsidRPr="00F75DBD">
        <w:rPr>
          <w:rFonts w:ascii="Century Gothic" w:hAnsi="Century Gothic"/>
        </w:rPr>
        <w:t>s,</w:t>
      </w:r>
      <w:r w:rsidRPr="00F75DBD">
        <w:rPr>
          <w:rStyle w:val="FootnoteReference"/>
          <w:rFonts w:ascii="Century Gothic" w:hAnsi="Century Gothic"/>
        </w:rPr>
        <w:footnoteReference w:id="52"/>
      </w:r>
      <w:r w:rsidRPr="00F75DBD">
        <w:rPr>
          <w:rFonts w:ascii="Century Gothic" w:hAnsi="Century Gothic"/>
        </w:rPr>
        <w:t xml:space="preserve"> but </w:t>
      </w:r>
      <w:r w:rsidR="00D02932" w:rsidRPr="00F75DBD">
        <w:rPr>
          <w:rFonts w:ascii="Century Gothic" w:hAnsi="Century Gothic"/>
        </w:rPr>
        <w:t xml:space="preserve">are </w:t>
      </w:r>
      <w:r w:rsidRPr="00F75DBD">
        <w:rPr>
          <w:rFonts w:ascii="Century Gothic" w:hAnsi="Century Gothic"/>
        </w:rPr>
        <w:lastRenderedPageBreak/>
        <w:t>selected by me for their particular relevance for discerning Government intentions manifested by the Robodebt scheme.</w:t>
      </w:r>
    </w:p>
    <w:p w:rsidR="005905E8" w:rsidRPr="00F75DBD" w:rsidRDefault="005905E8" w:rsidP="00732DB1">
      <w:pPr>
        <w:jc w:val="both"/>
        <w:rPr>
          <w:rFonts w:ascii="Century Gothic" w:hAnsi="Century Gothic"/>
        </w:rPr>
      </w:pPr>
      <w:r w:rsidRPr="00F75DBD">
        <w:rPr>
          <w:rFonts w:ascii="Century Gothic" w:hAnsi="Century Gothic"/>
        </w:rPr>
        <w:t xml:space="preserve">The Administrative Appeal Tribunal heard, eventually, a significant number of challenges to the asserted debts. Precisely how many is not clear, in part because first instance decisions are not published and because of overall lack of Government transparency on this point. </w:t>
      </w:r>
      <w:r w:rsidR="00BD0B77" w:rsidRPr="00F75DBD">
        <w:rPr>
          <w:rFonts w:ascii="Century Gothic" w:hAnsi="Century Gothic"/>
        </w:rPr>
        <w:t xml:space="preserve">We may assume that many recipients of false assertion of debts paid (or did not challenge the garnishing of tax returns), rather than face the Government’s debt recovery processes. Where debts were challenged in the AAT, however, the Government actively defended proceedings, notwithstanding the patent unlawfulness of </w:t>
      </w:r>
      <w:r w:rsidR="00956AC2" w:rsidRPr="00F75DBD">
        <w:rPr>
          <w:rFonts w:ascii="Century Gothic" w:hAnsi="Century Gothic"/>
        </w:rPr>
        <w:t>income averaging</w:t>
      </w:r>
      <w:r w:rsidR="00BD0B77" w:rsidRPr="00F75DBD">
        <w:rPr>
          <w:rFonts w:ascii="Century Gothic" w:hAnsi="Century Gothic"/>
        </w:rPr>
        <w:t xml:space="preserve">. </w:t>
      </w:r>
      <w:r w:rsidRPr="00F75DBD">
        <w:rPr>
          <w:rFonts w:ascii="Century Gothic" w:hAnsi="Century Gothic"/>
        </w:rPr>
        <w:t xml:space="preserve">What is </w:t>
      </w:r>
      <w:r w:rsidR="00BD0B77" w:rsidRPr="00F75DBD">
        <w:rPr>
          <w:rFonts w:ascii="Century Gothic" w:hAnsi="Century Gothic"/>
        </w:rPr>
        <w:t xml:space="preserve">further </w:t>
      </w:r>
      <w:r w:rsidRPr="00F75DBD">
        <w:rPr>
          <w:rFonts w:ascii="Century Gothic" w:hAnsi="Century Gothic"/>
        </w:rPr>
        <w:t xml:space="preserve">notable is that the Government never appealed any of the first instance determinations that resulted in debts being reduced or annulled. As only appeal decisions are reported, this practice had the consequence that none of these determinations were made public. This practice created an information silo around Robodebt challenges and had an obvious and inherent chilling effect on potential claims. </w:t>
      </w:r>
    </w:p>
    <w:p w:rsidR="005905E8" w:rsidRPr="00F75DBD" w:rsidRDefault="00BD0B77" w:rsidP="00732DB1">
      <w:pPr>
        <w:jc w:val="both"/>
        <w:rPr>
          <w:rFonts w:ascii="Century Gothic" w:hAnsi="Century Gothic"/>
        </w:rPr>
      </w:pPr>
      <w:r w:rsidRPr="00F75DBD">
        <w:rPr>
          <w:rFonts w:ascii="Century Gothic" w:hAnsi="Century Gothic"/>
        </w:rPr>
        <w:t>A further, striking occurrence is that, s</w:t>
      </w:r>
      <w:r w:rsidR="005905E8" w:rsidRPr="00F75DBD">
        <w:rPr>
          <w:rFonts w:ascii="Century Gothic" w:hAnsi="Century Gothic"/>
        </w:rPr>
        <w:t>hortly after Professor Terry Carney’s five AAT determinations that debts raised through income averaging were unlawful, the Government determined not to review his AAT membership.</w:t>
      </w:r>
      <w:r w:rsidR="00CD0ADB" w:rsidRPr="00F75DBD">
        <w:rPr>
          <w:rStyle w:val="FootnoteReference"/>
          <w:rFonts w:ascii="Century Gothic" w:hAnsi="Century Gothic"/>
        </w:rPr>
        <w:footnoteReference w:id="53"/>
      </w:r>
      <w:r w:rsidR="005905E8" w:rsidRPr="00F75DBD">
        <w:rPr>
          <w:rFonts w:ascii="Century Gothic" w:hAnsi="Century Gothic"/>
        </w:rPr>
        <w:t xml:space="preserve"> </w:t>
      </w:r>
      <w:r w:rsidRPr="00F75DBD">
        <w:rPr>
          <w:rFonts w:ascii="Century Gothic" w:hAnsi="Century Gothic"/>
        </w:rPr>
        <w:t xml:space="preserve">It is undisputed that Professor Carney had engaged in </w:t>
      </w:r>
      <w:r w:rsidR="005905E8" w:rsidRPr="00F75DBD">
        <w:rPr>
          <w:rFonts w:ascii="Century Gothic" w:hAnsi="Century Gothic"/>
        </w:rPr>
        <w:t xml:space="preserve">eminent and longstanding service on the Tribunal. </w:t>
      </w:r>
    </w:p>
    <w:p w:rsidR="005905E8" w:rsidRPr="00F75DBD" w:rsidRDefault="005905E8" w:rsidP="00732DB1">
      <w:pPr>
        <w:jc w:val="both"/>
        <w:rPr>
          <w:rFonts w:ascii="Century Gothic" w:hAnsi="Century Gothic"/>
        </w:rPr>
      </w:pPr>
      <w:r w:rsidRPr="00F75DBD">
        <w:rPr>
          <w:rFonts w:ascii="Century Gothic" w:hAnsi="Century Gothic"/>
        </w:rPr>
        <w:t xml:space="preserve">Three claims were also brought in the Federal Court. </w:t>
      </w:r>
      <w:r w:rsidR="00BD0B77" w:rsidRPr="00F75DBD">
        <w:rPr>
          <w:rFonts w:ascii="Century Gothic" w:hAnsi="Century Gothic"/>
        </w:rPr>
        <w:t>At</w:t>
      </w:r>
      <w:r w:rsidRPr="00F75DBD">
        <w:rPr>
          <w:rFonts w:ascii="Century Gothic" w:hAnsi="Century Gothic"/>
        </w:rPr>
        <w:t xml:space="preserve"> the first directions hearing in the Masterton case, the Government accepted the individual’s, original declared income.</w:t>
      </w:r>
      <w:r w:rsidRPr="00F75DBD">
        <w:rPr>
          <w:rStyle w:val="FootnoteReference"/>
          <w:rFonts w:ascii="Century Gothic" w:hAnsi="Century Gothic"/>
        </w:rPr>
        <w:footnoteReference w:id="54"/>
      </w:r>
      <w:r w:rsidRPr="00F75DBD">
        <w:rPr>
          <w:rFonts w:ascii="Century Gothic" w:hAnsi="Century Gothic"/>
        </w:rPr>
        <w:t xml:space="preserve"> The consequence </w:t>
      </w:r>
      <w:r w:rsidR="00BD0B77" w:rsidRPr="00F75DBD">
        <w:rPr>
          <w:rFonts w:ascii="Century Gothic" w:hAnsi="Century Gothic"/>
        </w:rPr>
        <w:t xml:space="preserve">of this late admission </w:t>
      </w:r>
      <w:r w:rsidRPr="00F75DBD">
        <w:rPr>
          <w:rFonts w:ascii="Century Gothic" w:hAnsi="Century Gothic"/>
        </w:rPr>
        <w:t xml:space="preserve">was that there was no debt and therefore, according to the Government, no justiciable issue.  </w:t>
      </w:r>
      <w:r w:rsidR="00BD0B77" w:rsidRPr="00F75DBD">
        <w:rPr>
          <w:rFonts w:ascii="Century Gothic" w:hAnsi="Century Gothic"/>
        </w:rPr>
        <w:t>As a result, there</w:t>
      </w:r>
      <w:r w:rsidRPr="00F75DBD">
        <w:rPr>
          <w:rFonts w:ascii="Century Gothic" w:hAnsi="Century Gothic"/>
        </w:rPr>
        <w:t xml:space="preserve"> was no final ruling and no published decision.</w:t>
      </w:r>
    </w:p>
    <w:p w:rsidR="005905E8" w:rsidRPr="00F75DBD" w:rsidRDefault="005905E8" w:rsidP="00732DB1">
      <w:pPr>
        <w:jc w:val="both"/>
        <w:rPr>
          <w:rFonts w:ascii="Century Gothic" w:hAnsi="Century Gothic"/>
        </w:rPr>
      </w:pPr>
      <w:r w:rsidRPr="00F75DBD">
        <w:rPr>
          <w:rFonts w:ascii="Century Gothic" w:hAnsi="Century Gothic"/>
        </w:rPr>
        <w:t xml:space="preserve">In the second, Amato case, the Government eventually </w:t>
      </w:r>
      <w:r w:rsidR="00BD0B77" w:rsidRPr="00F75DBD">
        <w:rPr>
          <w:rFonts w:ascii="Century Gothic" w:hAnsi="Century Gothic"/>
        </w:rPr>
        <w:t>withdrew</w:t>
      </w:r>
      <w:r w:rsidRPr="00F75DBD">
        <w:rPr>
          <w:rFonts w:ascii="Century Gothic" w:hAnsi="Century Gothic"/>
        </w:rPr>
        <w:t xml:space="preserve"> the debt but refused to pay interest on the unlawfully exacted sum. This meant that the Government enjoyed the benefit of using unlawfully exacted sums. It may be valuable for the Robodebt Royal Commission to explore how frequently this occurred. It is possible this was a more generalised, and lucrative practice. </w:t>
      </w:r>
      <w:r w:rsidR="00BD0B77" w:rsidRPr="00F75DBD">
        <w:rPr>
          <w:rFonts w:ascii="Century Gothic" w:hAnsi="Century Gothic"/>
        </w:rPr>
        <w:t>The</w:t>
      </w:r>
      <w:r w:rsidRPr="00F75DBD">
        <w:rPr>
          <w:rFonts w:ascii="Century Gothic" w:hAnsi="Century Gothic"/>
        </w:rPr>
        <w:t xml:space="preserve"> Government </w:t>
      </w:r>
      <w:r w:rsidR="00BD0B77" w:rsidRPr="00F75DBD">
        <w:rPr>
          <w:rFonts w:ascii="Century Gothic" w:hAnsi="Century Gothic"/>
        </w:rPr>
        <w:t xml:space="preserve">eventually </w:t>
      </w:r>
      <w:r w:rsidRPr="00F75DBD">
        <w:rPr>
          <w:rFonts w:ascii="Century Gothic" w:hAnsi="Century Gothic"/>
        </w:rPr>
        <w:t xml:space="preserve">conceded that income averaging was unlawful a week before the Amato case came to trial in November 2019. Given that income averaging could patently never support accurate debt recovery on its own, this concession came very late in the day. </w:t>
      </w:r>
    </w:p>
    <w:p w:rsidR="005905E8" w:rsidRPr="00F75DBD" w:rsidRDefault="005905E8" w:rsidP="00732DB1">
      <w:pPr>
        <w:jc w:val="both"/>
        <w:rPr>
          <w:rFonts w:ascii="Century Gothic" w:hAnsi="Century Gothic"/>
        </w:rPr>
      </w:pPr>
      <w:r w:rsidRPr="00F75DBD">
        <w:rPr>
          <w:rFonts w:ascii="Century Gothic" w:hAnsi="Century Gothic"/>
        </w:rPr>
        <w:t>Consistently, the third (class) action brought in the Federal Court was actively defended by the Government through various interlocutory proceedings</w:t>
      </w:r>
      <w:r w:rsidR="00680DD8" w:rsidRPr="00F75DBD">
        <w:rPr>
          <w:rStyle w:val="FootnoteReference"/>
          <w:rFonts w:ascii="Century Gothic" w:hAnsi="Century Gothic"/>
        </w:rPr>
        <w:footnoteReference w:id="55"/>
      </w:r>
      <w:r w:rsidRPr="00F75DBD">
        <w:rPr>
          <w:rFonts w:ascii="Century Gothic" w:hAnsi="Century Gothic"/>
        </w:rPr>
        <w:t xml:space="preserve"> until, eventually, the Government settled the claim on a ‘no liability’ basis in November </w:t>
      </w:r>
      <w:r w:rsidRPr="00F75DBD">
        <w:rPr>
          <w:rFonts w:ascii="Century Gothic" w:hAnsi="Century Gothic"/>
        </w:rPr>
        <w:lastRenderedPageBreak/>
        <w:t>2020. This was a full year after the Federal Court in the Amato case had made clear that debts raised through income averaging were unlawful. Settlement avoided the airing of, and ultimate judgment on, a range of critical matters, including whether the Government should be the subject of exemplary damages awards. This would in part depend on findings of deliberate or reckless conduct, in contumelious disregard of the recipients’ rights.</w:t>
      </w:r>
      <w:r w:rsidRPr="00F75DBD">
        <w:rPr>
          <w:rStyle w:val="FootnoteReference"/>
          <w:rFonts w:ascii="Century Gothic" w:hAnsi="Century Gothic"/>
        </w:rPr>
        <w:footnoteReference w:id="56"/>
      </w:r>
      <w:r w:rsidRPr="00F75DBD">
        <w:rPr>
          <w:rFonts w:ascii="Century Gothic" w:hAnsi="Century Gothic"/>
        </w:rPr>
        <w:t xml:space="preserve"> I return to this outstanding question below.  </w:t>
      </w:r>
    </w:p>
    <w:p w:rsidR="005905E8" w:rsidRPr="00F75DBD" w:rsidRDefault="00742590" w:rsidP="00803F9D">
      <w:pPr>
        <w:pStyle w:val="Heading2"/>
        <w:numPr>
          <w:ilvl w:val="0"/>
          <w:numId w:val="18"/>
        </w:numPr>
        <w:rPr>
          <w:rFonts w:ascii="Century Gothic" w:hAnsi="Century Gothic"/>
        </w:rPr>
      </w:pPr>
      <w:bookmarkStart w:id="22" w:name="_Toc116481944"/>
      <w:r w:rsidRPr="00F75DBD">
        <w:rPr>
          <w:rFonts w:ascii="Century Gothic" w:hAnsi="Century Gothic"/>
        </w:rPr>
        <w:t>The true purpose manifested by Robodebt</w:t>
      </w:r>
      <w:bookmarkEnd w:id="22"/>
    </w:p>
    <w:p w:rsidR="005905E8" w:rsidRPr="00F75DBD" w:rsidRDefault="00742590" w:rsidP="00732DB1">
      <w:pPr>
        <w:jc w:val="both"/>
        <w:rPr>
          <w:rFonts w:ascii="Century Gothic" w:hAnsi="Century Gothic"/>
        </w:rPr>
      </w:pPr>
      <w:r w:rsidRPr="00F75DBD">
        <w:rPr>
          <w:rFonts w:ascii="Century Gothic" w:hAnsi="Century Gothic"/>
        </w:rPr>
        <w:t xml:space="preserve">A range of these broader features are truly Kafka-esque: for example, the reversal of onus, the inevitability </w:t>
      </w:r>
      <w:r w:rsidR="005905E8" w:rsidRPr="00F75DBD">
        <w:rPr>
          <w:rFonts w:ascii="Century Gothic" w:hAnsi="Century Gothic"/>
        </w:rPr>
        <w:t xml:space="preserve">that </w:t>
      </w:r>
      <w:r w:rsidRPr="00F75DBD">
        <w:rPr>
          <w:rFonts w:ascii="Century Gothic" w:hAnsi="Century Gothic"/>
        </w:rPr>
        <w:t xml:space="preserve">wage </w:t>
      </w:r>
      <w:r w:rsidR="005905E8" w:rsidRPr="00F75DBD">
        <w:rPr>
          <w:rFonts w:ascii="Century Gothic" w:hAnsi="Century Gothic"/>
        </w:rPr>
        <w:t>records would be systemically unavailable, combined with the removal of limitation of action protections</w:t>
      </w:r>
      <w:r w:rsidRPr="00F75DBD">
        <w:rPr>
          <w:rFonts w:ascii="Century Gothic" w:hAnsi="Century Gothic"/>
        </w:rPr>
        <w:t>, presented many recipients with an impossible task of defending their rights</w:t>
      </w:r>
      <w:r w:rsidR="005905E8" w:rsidRPr="00F75DBD">
        <w:rPr>
          <w:rFonts w:ascii="Century Gothic" w:hAnsi="Century Gothic"/>
        </w:rPr>
        <w:t xml:space="preserve">. However, these need not be seen as </w:t>
      </w:r>
      <w:r w:rsidR="00CD0ADB" w:rsidRPr="00F75DBD">
        <w:rPr>
          <w:rFonts w:ascii="Century Gothic" w:hAnsi="Century Gothic"/>
        </w:rPr>
        <w:t>reflecting a</w:t>
      </w:r>
      <w:r w:rsidR="005905E8" w:rsidRPr="00F75DBD">
        <w:rPr>
          <w:rFonts w:ascii="Century Gothic" w:hAnsi="Century Gothic"/>
        </w:rPr>
        <w:t xml:space="preserve"> pointless and irrational bureaucracy. From the perspective of Systems Intentionality, these processes embedded within the Robodebt scheme operated in a coordinated way to promote </w:t>
      </w:r>
      <w:r w:rsidR="00CD0ADB" w:rsidRPr="00F75DBD">
        <w:rPr>
          <w:rFonts w:ascii="Century Gothic" w:hAnsi="Century Gothic"/>
        </w:rPr>
        <w:t>effectively the Government’s true purpose</w:t>
      </w:r>
      <w:r w:rsidR="005905E8" w:rsidRPr="00F75DBD">
        <w:rPr>
          <w:rFonts w:ascii="Century Gothic" w:hAnsi="Century Gothic"/>
        </w:rPr>
        <w:t xml:space="preserve">. And, given that it is patent from the system that its purpose was not to recover genuine overpayments, the obvious, alternative purpose was to generate fresh revenue. </w:t>
      </w:r>
    </w:p>
    <w:p w:rsidR="005905E8" w:rsidRPr="00F75DBD" w:rsidRDefault="005905E8" w:rsidP="00732DB1">
      <w:pPr>
        <w:jc w:val="both"/>
        <w:rPr>
          <w:rFonts w:ascii="Century Gothic" w:hAnsi="Century Gothic"/>
        </w:rPr>
      </w:pPr>
      <w:r w:rsidRPr="00F75DBD">
        <w:rPr>
          <w:rFonts w:ascii="Century Gothic" w:hAnsi="Century Gothic"/>
        </w:rPr>
        <w:t xml:space="preserve">Seen in this light, as integrated elements of the scheme, the features of reverse onus and structural hurdles to challenging the false debts operated to ensure effective and optimal revenue-raising from recipients. </w:t>
      </w:r>
      <w:r w:rsidR="00742590" w:rsidRPr="00F75DBD">
        <w:rPr>
          <w:rFonts w:ascii="Century Gothic" w:hAnsi="Century Gothic"/>
        </w:rPr>
        <w:t xml:space="preserve">This was reinforced and made more explicit through collection processes, including </w:t>
      </w:r>
      <w:r w:rsidR="00956AC2" w:rsidRPr="00F75DBD">
        <w:rPr>
          <w:rFonts w:ascii="Century Gothic" w:hAnsi="Century Gothic"/>
        </w:rPr>
        <w:t xml:space="preserve">penalty, </w:t>
      </w:r>
      <w:r w:rsidR="00742590" w:rsidRPr="00F75DBD">
        <w:rPr>
          <w:rFonts w:ascii="Century Gothic" w:hAnsi="Century Gothic"/>
        </w:rPr>
        <w:t xml:space="preserve">garnishment and litigation strategies. </w:t>
      </w:r>
      <w:r w:rsidRPr="00F75DBD">
        <w:rPr>
          <w:rFonts w:ascii="Century Gothic" w:hAnsi="Century Gothic"/>
        </w:rPr>
        <w:t xml:space="preserve">Indeed, seen as a rational system of conduct that operated to achieve Government ends, it is possible to understand something further. This is that the system </w:t>
      </w:r>
      <w:r w:rsidRPr="00F75DBD">
        <w:rPr>
          <w:rFonts w:ascii="Century Gothic" w:hAnsi="Century Gothic"/>
          <w:i/>
        </w:rPr>
        <w:t>would not be successful in achieving the aim of revenue-raising unless a substantial proportion of those subject to false debt claims were unwilling, or unable, to dispute them successfully</w:t>
      </w:r>
      <w:r w:rsidRPr="00F75DBD">
        <w:rPr>
          <w:rFonts w:ascii="Century Gothic" w:hAnsi="Century Gothic"/>
        </w:rPr>
        <w:t xml:space="preserve">. The </w:t>
      </w:r>
      <w:r w:rsidR="00742590" w:rsidRPr="00F75DBD">
        <w:rPr>
          <w:rFonts w:ascii="Century Gothic" w:hAnsi="Century Gothic"/>
        </w:rPr>
        <w:t xml:space="preserve">broader </w:t>
      </w:r>
      <w:r w:rsidRPr="00F75DBD">
        <w:rPr>
          <w:rFonts w:ascii="Century Gothic" w:hAnsi="Century Gothic"/>
        </w:rPr>
        <w:t xml:space="preserve">features of the scheme were, in that light, not only well-suited to promoting that purpose, but necessary features of it. </w:t>
      </w:r>
    </w:p>
    <w:p w:rsidR="00CC07C4" w:rsidRPr="00F75DBD" w:rsidRDefault="00803F9D" w:rsidP="00803F9D">
      <w:pPr>
        <w:pStyle w:val="Heading2"/>
        <w:numPr>
          <w:ilvl w:val="0"/>
          <w:numId w:val="18"/>
        </w:numPr>
        <w:rPr>
          <w:rFonts w:ascii="Century Gothic" w:hAnsi="Century Gothic"/>
        </w:rPr>
      </w:pPr>
      <w:bookmarkStart w:id="23" w:name="_Toc116481945"/>
      <w:r w:rsidRPr="00F75DBD">
        <w:rPr>
          <w:rFonts w:ascii="Century Gothic" w:hAnsi="Century Gothic"/>
        </w:rPr>
        <w:t xml:space="preserve">The </w:t>
      </w:r>
      <w:r w:rsidR="00E931FB" w:rsidRPr="00F75DBD">
        <w:rPr>
          <w:rFonts w:ascii="Century Gothic" w:hAnsi="Century Gothic"/>
        </w:rPr>
        <w:t>G</w:t>
      </w:r>
      <w:r w:rsidR="00CC07C4" w:rsidRPr="00F75DBD">
        <w:rPr>
          <w:rFonts w:ascii="Century Gothic" w:hAnsi="Century Gothic"/>
        </w:rPr>
        <w:t>overnment’s knowledge and intention</w:t>
      </w:r>
      <w:bookmarkEnd w:id="23"/>
    </w:p>
    <w:p w:rsidR="00311A20" w:rsidRPr="00F75DBD" w:rsidRDefault="00D84A38" w:rsidP="00732DB1">
      <w:pPr>
        <w:jc w:val="both"/>
        <w:rPr>
          <w:rFonts w:ascii="Century Gothic" w:hAnsi="Century Gothic"/>
        </w:rPr>
      </w:pPr>
      <w:r w:rsidRPr="00F75DBD">
        <w:rPr>
          <w:rFonts w:ascii="Century Gothic" w:hAnsi="Century Gothic"/>
        </w:rPr>
        <w:t xml:space="preserve">Systems Intentionality strongly suggests that </w:t>
      </w:r>
      <w:r w:rsidR="00956AC2" w:rsidRPr="00F75DBD">
        <w:rPr>
          <w:rFonts w:ascii="Century Gothic" w:hAnsi="Century Gothic"/>
        </w:rPr>
        <w:t>these</w:t>
      </w:r>
      <w:r w:rsidR="00311A20" w:rsidRPr="00F75DBD">
        <w:rPr>
          <w:rFonts w:ascii="Century Gothic" w:hAnsi="Century Gothic"/>
        </w:rPr>
        <w:t xml:space="preserve"> objective features of the Robodebt scheme</w:t>
      </w:r>
      <w:r w:rsidRPr="00F75DBD">
        <w:rPr>
          <w:rFonts w:ascii="Century Gothic" w:hAnsi="Century Gothic"/>
        </w:rPr>
        <w:t>,</w:t>
      </w:r>
      <w:r w:rsidR="00CC07C4" w:rsidRPr="00F75DBD">
        <w:rPr>
          <w:rFonts w:ascii="Century Gothic" w:hAnsi="Century Gothic"/>
        </w:rPr>
        <w:t xml:space="preserve"> assessed holistically</w:t>
      </w:r>
      <w:r w:rsidRPr="00F75DBD">
        <w:rPr>
          <w:rFonts w:ascii="Century Gothic" w:hAnsi="Century Gothic"/>
        </w:rPr>
        <w:t>, manifest the following</w:t>
      </w:r>
      <w:r w:rsidR="00333E88" w:rsidRPr="00F75DBD">
        <w:rPr>
          <w:rFonts w:ascii="Century Gothic" w:hAnsi="Century Gothic"/>
        </w:rPr>
        <w:t>, specific, Government states of mind:</w:t>
      </w:r>
      <w:r w:rsidR="00311A20" w:rsidRPr="00F75DBD">
        <w:rPr>
          <w:rFonts w:ascii="Century Gothic" w:hAnsi="Century Gothic"/>
        </w:rPr>
        <w:t xml:space="preserve"> </w:t>
      </w:r>
    </w:p>
    <w:p w:rsidR="00311A20" w:rsidRPr="00F75DBD" w:rsidRDefault="005C5041" w:rsidP="00732DB1">
      <w:pPr>
        <w:pStyle w:val="ListParagraph"/>
        <w:numPr>
          <w:ilvl w:val="0"/>
          <w:numId w:val="8"/>
        </w:numPr>
        <w:jc w:val="both"/>
        <w:rPr>
          <w:rFonts w:ascii="Century Gothic" w:hAnsi="Century Gothic"/>
        </w:rPr>
      </w:pPr>
      <w:r w:rsidRPr="00F75DBD">
        <w:rPr>
          <w:rFonts w:ascii="Century Gothic" w:hAnsi="Century Gothic"/>
        </w:rPr>
        <w:t>The</w:t>
      </w:r>
      <w:r w:rsidR="00311A20" w:rsidRPr="00F75DBD">
        <w:rPr>
          <w:rFonts w:ascii="Century Gothic" w:hAnsi="Century Gothic"/>
        </w:rPr>
        <w:t xml:space="preserve"> Government knew that income averaging would </w:t>
      </w:r>
      <w:r w:rsidRPr="00F75DBD">
        <w:rPr>
          <w:rFonts w:ascii="Century Gothic" w:hAnsi="Century Gothic"/>
        </w:rPr>
        <w:t xml:space="preserve">necessarily </w:t>
      </w:r>
      <w:r w:rsidR="00311A20" w:rsidRPr="00F75DBD">
        <w:rPr>
          <w:rFonts w:ascii="Century Gothic" w:hAnsi="Century Gothic"/>
        </w:rPr>
        <w:t>generate false debts</w:t>
      </w:r>
      <w:r w:rsidRPr="00F75DBD">
        <w:rPr>
          <w:rFonts w:ascii="Century Gothic" w:hAnsi="Century Gothic"/>
        </w:rPr>
        <w:t>;</w:t>
      </w:r>
    </w:p>
    <w:p w:rsidR="005C5041" w:rsidRPr="00F75DBD" w:rsidRDefault="005C5041" w:rsidP="00732DB1">
      <w:pPr>
        <w:pStyle w:val="ListParagraph"/>
        <w:numPr>
          <w:ilvl w:val="0"/>
          <w:numId w:val="8"/>
        </w:numPr>
        <w:jc w:val="both"/>
        <w:rPr>
          <w:rFonts w:ascii="Century Gothic" w:hAnsi="Century Gothic"/>
        </w:rPr>
      </w:pPr>
      <w:r w:rsidRPr="00F75DBD">
        <w:rPr>
          <w:rFonts w:ascii="Century Gothic" w:hAnsi="Century Gothic"/>
        </w:rPr>
        <w:t>The Government knew that this would impose false debts on vulnerable members of the class of recipients;</w:t>
      </w:r>
    </w:p>
    <w:p w:rsidR="005C5041" w:rsidRPr="00F75DBD" w:rsidRDefault="005C5041" w:rsidP="00732DB1">
      <w:pPr>
        <w:pStyle w:val="ListParagraph"/>
        <w:numPr>
          <w:ilvl w:val="0"/>
          <w:numId w:val="8"/>
        </w:numPr>
        <w:jc w:val="both"/>
        <w:rPr>
          <w:rFonts w:ascii="Century Gothic" w:hAnsi="Century Gothic"/>
        </w:rPr>
      </w:pPr>
      <w:r w:rsidRPr="00F75DBD">
        <w:rPr>
          <w:rFonts w:ascii="Century Gothic" w:hAnsi="Century Gothic"/>
        </w:rPr>
        <w:t xml:space="preserve">The Government </w:t>
      </w:r>
      <w:r w:rsidR="00E931FB" w:rsidRPr="00F75DBD">
        <w:rPr>
          <w:rFonts w:ascii="Century Gothic" w:hAnsi="Century Gothic"/>
        </w:rPr>
        <w:t>chose to remove</w:t>
      </w:r>
      <w:r w:rsidRPr="00F75DBD">
        <w:rPr>
          <w:rFonts w:ascii="Century Gothic" w:hAnsi="Century Gothic"/>
        </w:rPr>
        <w:t xml:space="preserve"> processes of human oversight that could operate to prevent, audit and remedy the raising and enforcement of false debts;</w:t>
      </w:r>
    </w:p>
    <w:p w:rsidR="005C5041" w:rsidRPr="00F75DBD" w:rsidRDefault="005C5041" w:rsidP="00732DB1">
      <w:pPr>
        <w:pStyle w:val="ListParagraph"/>
        <w:numPr>
          <w:ilvl w:val="0"/>
          <w:numId w:val="8"/>
        </w:numPr>
        <w:jc w:val="both"/>
        <w:rPr>
          <w:rFonts w:ascii="Century Gothic" w:hAnsi="Century Gothic"/>
        </w:rPr>
      </w:pPr>
      <w:r w:rsidRPr="00F75DBD">
        <w:rPr>
          <w:rFonts w:ascii="Century Gothic" w:hAnsi="Century Gothic"/>
        </w:rPr>
        <w:t xml:space="preserve">The Government </w:t>
      </w:r>
      <w:r w:rsidR="00E931FB" w:rsidRPr="00F75DBD">
        <w:rPr>
          <w:rFonts w:ascii="Century Gothic" w:hAnsi="Century Gothic"/>
        </w:rPr>
        <w:t>chose to place</w:t>
      </w:r>
      <w:r w:rsidRPr="00F75DBD">
        <w:rPr>
          <w:rFonts w:ascii="Century Gothic" w:hAnsi="Century Gothic"/>
        </w:rPr>
        <w:t xml:space="preserve"> the burden of disproving asserted debts on recipients;</w:t>
      </w:r>
    </w:p>
    <w:p w:rsidR="005C5041" w:rsidRPr="00F75DBD" w:rsidRDefault="005C5041" w:rsidP="00732DB1">
      <w:pPr>
        <w:pStyle w:val="ListParagraph"/>
        <w:numPr>
          <w:ilvl w:val="0"/>
          <w:numId w:val="8"/>
        </w:numPr>
        <w:jc w:val="both"/>
        <w:rPr>
          <w:rFonts w:ascii="Century Gothic" w:hAnsi="Century Gothic"/>
        </w:rPr>
      </w:pPr>
      <w:r w:rsidRPr="00F75DBD">
        <w:rPr>
          <w:rFonts w:ascii="Century Gothic" w:hAnsi="Century Gothic"/>
        </w:rPr>
        <w:lastRenderedPageBreak/>
        <w:t>The Government</w:t>
      </w:r>
      <w:r w:rsidR="00E931FB" w:rsidRPr="00F75DBD">
        <w:rPr>
          <w:rFonts w:ascii="Century Gothic" w:hAnsi="Century Gothic"/>
        </w:rPr>
        <w:t xml:space="preserve"> deliberately</w:t>
      </w:r>
      <w:r w:rsidRPr="00F75DBD">
        <w:rPr>
          <w:rFonts w:ascii="Century Gothic" w:hAnsi="Century Gothic"/>
        </w:rPr>
        <w:t xml:space="preserve"> put in place a range of structural hurdles and practices to recipients challenging unlawful debts</w:t>
      </w:r>
      <w:r w:rsidR="00333E88" w:rsidRPr="00F75DBD">
        <w:rPr>
          <w:rFonts w:ascii="Century Gothic" w:hAnsi="Century Gothic"/>
        </w:rPr>
        <w:t>, and removed existing protections</w:t>
      </w:r>
      <w:r w:rsidRPr="00F75DBD">
        <w:rPr>
          <w:rFonts w:ascii="Century Gothic" w:hAnsi="Century Gothic"/>
        </w:rPr>
        <w:t>;</w:t>
      </w:r>
    </w:p>
    <w:p w:rsidR="005F4EBB" w:rsidRPr="00F75DBD" w:rsidRDefault="00E931FB" w:rsidP="00732DB1">
      <w:pPr>
        <w:pStyle w:val="ListParagraph"/>
        <w:numPr>
          <w:ilvl w:val="0"/>
          <w:numId w:val="8"/>
        </w:numPr>
        <w:jc w:val="both"/>
        <w:rPr>
          <w:rFonts w:ascii="Century Gothic" w:hAnsi="Century Gothic"/>
        </w:rPr>
      </w:pPr>
      <w:r w:rsidRPr="00F75DBD">
        <w:rPr>
          <w:rFonts w:ascii="Century Gothic" w:hAnsi="Century Gothic"/>
        </w:rPr>
        <w:t>In light of these known and intended features of the scheme, the</w:t>
      </w:r>
      <w:r w:rsidR="005C5041" w:rsidRPr="00F75DBD">
        <w:rPr>
          <w:rFonts w:ascii="Century Gothic" w:hAnsi="Century Gothic"/>
        </w:rPr>
        <w:t xml:space="preserve"> </w:t>
      </w:r>
      <w:r w:rsidRPr="00F75DBD">
        <w:rPr>
          <w:rFonts w:ascii="Century Gothic" w:hAnsi="Century Gothic"/>
        </w:rPr>
        <w:t xml:space="preserve">Government’s </w:t>
      </w:r>
      <w:r w:rsidR="005C5041" w:rsidRPr="00F75DBD">
        <w:rPr>
          <w:rFonts w:ascii="Century Gothic" w:hAnsi="Century Gothic"/>
        </w:rPr>
        <w:t>true purpose</w:t>
      </w:r>
      <w:r w:rsidRPr="00F75DBD">
        <w:rPr>
          <w:rFonts w:ascii="Century Gothic" w:hAnsi="Century Gothic"/>
        </w:rPr>
        <w:t>,</w:t>
      </w:r>
      <w:r w:rsidR="005C5041" w:rsidRPr="00F75DBD">
        <w:rPr>
          <w:rFonts w:ascii="Century Gothic" w:hAnsi="Century Gothic"/>
        </w:rPr>
        <w:t xml:space="preserve"> manifested by the </w:t>
      </w:r>
      <w:r w:rsidR="005F4EBB" w:rsidRPr="00F75DBD">
        <w:rPr>
          <w:rFonts w:ascii="Century Gothic" w:hAnsi="Century Gothic"/>
        </w:rPr>
        <w:t>s</w:t>
      </w:r>
      <w:r w:rsidR="005C5041" w:rsidRPr="00F75DBD">
        <w:rPr>
          <w:rFonts w:ascii="Century Gothic" w:hAnsi="Century Gothic"/>
        </w:rPr>
        <w:t>cheme</w:t>
      </w:r>
      <w:r w:rsidRPr="00F75DBD">
        <w:rPr>
          <w:rFonts w:ascii="Century Gothic" w:hAnsi="Century Gothic"/>
        </w:rPr>
        <w:t>,</w:t>
      </w:r>
      <w:r w:rsidR="005F4EBB" w:rsidRPr="00F75DBD">
        <w:rPr>
          <w:rFonts w:ascii="Century Gothic" w:hAnsi="Century Gothic"/>
        </w:rPr>
        <w:t xml:space="preserve"> was to generate fresh revenue from social security recipients. </w:t>
      </w:r>
    </w:p>
    <w:p w:rsidR="005F4EBB" w:rsidRPr="00F75DBD" w:rsidRDefault="005F4EBB" w:rsidP="00732DB1">
      <w:pPr>
        <w:pStyle w:val="ListParagraph"/>
        <w:numPr>
          <w:ilvl w:val="0"/>
          <w:numId w:val="8"/>
        </w:numPr>
        <w:jc w:val="both"/>
        <w:rPr>
          <w:rFonts w:ascii="Century Gothic" w:hAnsi="Century Gothic"/>
        </w:rPr>
      </w:pPr>
      <w:r w:rsidRPr="00F75DBD">
        <w:rPr>
          <w:rFonts w:ascii="Century Gothic" w:hAnsi="Century Gothic"/>
        </w:rPr>
        <w:t>In light of its knowledge, and the objective purpose of the scheme, the Government falsely and knowingly misrepresented the purpose behind the scheme as concerned with welfare integrity.</w:t>
      </w:r>
    </w:p>
    <w:p w:rsidR="005C5041" w:rsidRPr="00F75DBD" w:rsidRDefault="005C5041" w:rsidP="00732DB1">
      <w:pPr>
        <w:jc w:val="both"/>
        <w:rPr>
          <w:rFonts w:ascii="Century Gothic" w:hAnsi="Century Gothic"/>
        </w:rPr>
      </w:pPr>
      <w:r w:rsidRPr="00F75DBD">
        <w:rPr>
          <w:rFonts w:ascii="Century Gothic" w:hAnsi="Century Gothic"/>
        </w:rPr>
        <w:t>It is worthwhile reiterating that</w:t>
      </w:r>
      <w:r w:rsidR="005F4EBB" w:rsidRPr="00F75DBD">
        <w:rPr>
          <w:rFonts w:ascii="Century Gothic" w:hAnsi="Century Gothic"/>
        </w:rPr>
        <w:t>, from the perspective of Systems Intentionality,</w:t>
      </w:r>
      <w:r w:rsidRPr="00F75DBD">
        <w:rPr>
          <w:rFonts w:ascii="Century Gothic" w:hAnsi="Century Gothic"/>
        </w:rPr>
        <w:t xml:space="preserve"> none of </w:t>
      </w:r>
      <w:r w:rsidR="005F4EBB" w:rsidRPr="00F75DBD">
        <w:rPr>
          <w:rFonts w:ascii="Century Gothic" w:hAnsi="Century Gothic"/>
        </w:rPr>
        <w:t>the scheme</w:t>
      </w:r>
      <w:r w:rsidRPr="00F75DBD">
        <w:rPr>
          <w:rFonts w:ascii="Century Gothic" w:hAnsi="Century Gothic"/>
        </w:rPr>
        <w:t xml:space="preserve"> features arose by chance or accident: they represent organisational choices in system design. </w:t>
      </w:r>
      <w:r w:rsidR="005F4EBB" w:rsidRPr="00F75DBD">
        <w:rPr>
          <w:rFonts w:ascii="Century Gothic" w:hAnsi="Century Gothic"/>
        </w:rPr>
        <w:t xml:space="preserve">This is most blatant where those features </w:t>
      </w:r>
      <w:r w:rsidRPr="00F75DBD">
        <w:rPr>
          <w:rFonts w:ascii="Century Gothic" w:hAnsi="Century Gothic"/>
        </w:rPr>
        <w:t>reverse</w:t>
      </w:r>
      <w:r w:rsidR="005F4EBB" w:rsidRPr="00F75DBD">
        <w:rPr>
          <w:rFonts w:ascii="Century Gothic" w:hAnsi="Century Gothic"/>
        </w:rPr>
        <w:t>d</w:t>
      </w:r>
      <w:r w:rsidRPr="00F75DBD">
        <w:rPr>
          <w:rFonts w:ascii="Century Gothic" w:hAnsi="Century Gothic"/>
        </w:rPr>
        <w:t xml:space="preserve"> or removed previous </w:t>
      </w:r>
      <w:r w:rsidR="005F4EBB" w:rsidRPr="00F75DBD">
        <w:rPr>
          <w:rFonts w:ascii="Century Gothic" w:hAnsi="Century Gothic"/>
        </w:rPr>
        <w:t xml:space="preserve">ethical and just </w:t>
      </w:r>
      <w:r w:rsidRPr="00F75DBD">
        <w:rPr>
          <w:rFonts w:ascii="Century Gothic" w:hAnsi="Century Gothic"/>
        </w:rPr>
        <w:t>systems, policies and practices.</w:t>
      </w:r>
      <w:r w:rsidR="005F4EBB" w:rsidRPr="00F75DBD">
        <w:rPr>
          <w:rFonts w:ascii="Century Gothic" w:hAnsi="Century Gothic"/>
        </w:rPr>
        <w:t xml:space="preserve"> However, </w:t>
      </w:r>
      <w:r w:rsidR="00CD0ADB" w:rsidRPr="00F75DBD">
        <w:rPr>
          <w:rFonts w:ascii="Century Gothic" w:hAnsi="Century Gothic"/>
        </w:rPr>
        <w:t xml:space="preserve">Systems Intentionality suggests that </w:t>
      </w:r>
      <w:r w:rsidR="005F4EBB" w:rsidRPr="00F75DBD">
        <w:rPr>
          <w:rFonts w:ascii="Century Gothic" w:hAnsi="Century Gothic"/>
        </w:rPr>
        <w:t>the overall design of the system</w:t>
      </w:r>
      <w:r w:rsidR="00CD0ADB" w:rsidRPr="00F75DBD">
        <w:rPr>
          <w:rFonts w:ascii="Century Gothic" w:hAnsi="Century Gothic"/>
        </w:rPr>
        <w:t>, in any event,</w:t>
      </w:r>
      <w:r w:rsidR="005F4EBB" w:rsidRPr="00F75DBD">
        <w:rPr>
          <w:rFonts w:ascii="Century Gothic" w:hAnsi="Century Gothic"/>
        </w:rPr>
        <w:t xml:space="preserve"> shows a coordinated and consistent set of processes designed to achieve the end of raising new revenue.</w:t>
      </w:r>
    </w:p>
    <w:p w:rsidR="007B0EAF" w:rsidRPr="00F75DBD" w:rsidRDefault="00333E88" w:rsidP="00732DB1">
      <w:pPr>
        <w:jc w:val="both"/>
        <w:rPr>
          <w:rFonts w:ascii="Century Gothic" w:hAnsi="Century Gothic"/>
        </w:rPr>
      </w:pPr>
      <w:r w:rsidRPr="00F75DBD">
        <w:rPr>
          <w:rFonts w:ascii="Century Gothic" w:hAnsi="Century Gothic"/>
        </w:rPr>
        <w:t>Further, if</w:t>
      </w:r>
      <w:r w:rsidR="005F4EBB" w:rsidRPr="00F75DBD">
        <w:rPr>
          <w:rFonts w:ascii="Century Gothic" w:hAnsi="Century Gothic"/>
        </w:rPr>
        <w:t xml:space="preserve"> this system of conduct was carried out by a corporation in trade or commerce, with a view to profit, it would, in my opinion, be open to be classified as </w:t>
      </w:r>
      <w:r w:rsidR="007B0EAF" w:rsidRPr="00F75DBD">
        <w:rPr>
          <w:rFonts w:ascii="Century Gothic" w:hAnsi="Century Gothic"/>
        </w:rPr>
        <w:t xml:space="preserve">reckless, </w:t>
      </w:r>
      <w:r w:rsidR="005F4EBB" w:rsidRPr="00F75DBD">
        <w:rPr>
          <w:rFonts w:ascii="Century Gothic" w:hAnsi="Century Gothic"/>
        </w:rPr>
        <w:t>unconscionable and dishonest</w:t>
      </w:r>
      <w:r w:rsidR="007B0EAF" w:rsidRPr="00F75DBD">
        <w:rPr>
          <w:rFonts w:ascii="Century Gothic" w:hAnsi="Century Gothic"/>
        </w:rPr>
        <w:t xml:space="preserve">. Further, it may be understood as </w:t>
      </w:r>
      <w:r w:rsidR="005F4EBB" w:rsidRPr="00F75DBD">
        <w:rPr>
          <w:rFonts w:ascii="Century Gothic" w:hAnsi="Century Gothic"/>
        </w:rPr>
        <w:t>manifesting a predatory mindset</w:t>
      </w:r>
      <w:r w:rsidR="007B0EAF" w:rsidRPr="00F75DBD">
        <w:rPr>
          <w:rFonts w:ascii="Century Gothic" w:hAnsi="Century Gothic"/>
        </w:rPr>
        <w:t>, in which the harm suffered by victims of false debts was specifically intended</w:t>
      </w:r>
      <w:r w:rsidR="005F4EBB" w:rsidRPr="00F75DBD">
        <w:rPr>
          <w:rFonts w:ascii="Century Gothic" w:hAnsi="Century Gothic"/>
        </w:rPr>
        <w:t>.</w:t>
      </w:r>
      <w:r w:rsidR="007D6B99" w:rsidRPr="00F75DBD">
        <w:rPr>
          <w:rFonts w:ascii="Century Gothic" w:hAnsi="Century Gothic"/>
        </w:rPr>
        <w:t xml:space="preserve"> </w:t>
      </w:r>
      <w:r w:rsidR="008C6467" w:rsidRPr="00F75DBD">
        <w:rPr>
          <w:rFonts w:ascii="Century Gothic" w:hAnsi="Century Gothic"/>
        </w:rPr>
        <w:t xml:space="preserve">These very serious conclusions would warrant the award of exemplary damages, if available, or indeed civil or criminal penalties under various statutes. </w:t>
      </w:r>
      <w:r w:rsidR="007D6B99" w:rsidRPr="00F75DBD">
        <w:rPr>
          <w:rFonts w:ascii="Century Gothic" w:hAnsi="Century Gothic"/>
        </w:rPr>
        <w:t xml:space="preserve">If the facts on which this analysis is based are sustained upon further investigation by the Robodebt Royal Commission, it is unclear to me why a different assessment </w:t>
      </w:r>
      <w:r w:rsidR="008C6467" w:rsidRPr="00F75DBD">
        <w:rPr>
          <w:rFonts w:ascii="Century Gothic" w:hAnsi="Century Gothic"/>
        </w:rPr>
        <w:t xml:space="preserve">of the level of culpability involved </w:t>
      </w:r>
      <w:r w:rsidR="007D6B99" w:rsidRPr="00F75DBD">
        <w:rPr>
          <w:rFonts w:ascii="Century Gothic" w:hAnsi="Century Gothic"/>
        </w:rPr>
        <w:t>should apply with respect to the Government.</w:t>
      </w:r>
      <w:r w:rsidR="008C6467" w:rsidRPr="00F75DBD">
        <w:rPr>
          <w:rFonts w:ascii="Century Gothic" w:hAnsi="Century Gothic"/>
        </w:rPr>
        <w:t xml:space="preserve"> The basis on which these conclusion are open are as follows.</w:t>
      </w:r>
    </w:p>
    <w:p w:rsidR="0028314C" w:rsidRPr="00F75DBD" w:rsidRDefault="0028314C" w:rsidP="00440380">
      <w:pPr>
        <w:pStyle w:val="Heading2"/>
        <w:numPr>
          <w:ilvl w:val="0"/>
          <w:numId w:val="18"/>
        </w:numPr>
        <w:rPr>
          <w:rFonts w:ascii="Century Gothic" w:hAnsi="Century Gothic"/>
        </w:rPr>
      </w:pPr>
      <w:bookmarkStart w:id="24" w:name="_Toc116481946"/>
      <w:r w:rsidRPr="00F75DBD">
        <w:rPr>
          <w:rFonts w:ascii="Century Gothic" w:hAnsi="Century Gothic"/>
        </w:rPr>
        <w:t>Recklessness</w:t>
      </w:r>
      <w:bookmarkEnd w:id="24"/>
    </w:p>
    <w:p w:rsidR="007B0EAF" w:rsidRPr="00F75DBD" w:rsidRDefault="007D6B99" w:rsidP="00732DB1">
      <w:pPr>
        <w:jc w:val="both"/>
        <w:rPr>
          <w:rFonts w:ascii="Century Gothic" w:hAnsi="Century Gothic"/>
        </w:rPr>
      </w:pPr>
      <w:r w:rsidRPr="00F75DBD">
        <w:rPr>
          <w:rFonts w:ascii="Century Gothic" w:hAnsi="Century Gothic"/>
        </w:rPr>
        <w:t>As I explain elsewhere,</w:t>
      </w:r>
      <w:r w:rsidR="00956AC2" w:rsidRPr="00F75DBD">
        <w:rPr>
          <w:rStyle w:val="FootnoteReference"/>
          <w:rFonts w:ascii="Century Gothic" w:hAnsi="Century Gothic"/>
        </w:rPr>
        <w:footnoteReference w:id="57"/>
      </w:r>
      <w:r w:rsidRPr="00F75DBD">
        <w:rPr>
          <w:rFonts w:ascii="Century Gothic" w:hAnsi="Century Gothic"/>
        </w:rPr>
        <w:t xml:space="preserve"> a good working definition of recklessness may be understood to combine: (a) a general intention to engage in some conduct; (b) knowledge or ‘foresight’ of the outcome that the conduct is apt to produce (often described as a ‘risk’ of harm), and (c) the application of a normative standard that a decision to proceed with the conduct in light of that known risk is unreasonable. Where there is a system of conduct, (a) is (by definition) established, for the reasons given earlier. Further, organisational knowledge of key aspects of the system are implicit from its deployment, as we have seen. Consistently, it is possible, and appropriate, to assess organisational ‘foresight’ from the objectively obvious (patent) risks of outcomes arising from the known and intended system of conduct, or from repeated instances of harmful outcomes arising from application of the known and intended system, where there are no audit or remedial steps taken to respond to the materialised harm. An unreasonable decision to proceed in light of those known risks, or repeated harm, manifests recklessness.</w:t>
      </w:r>
    </w:p>
    <w:p w:rsidR="007D6B99" w:rsidRPr="00F75DBD" w:rsidRDefault="007D6B99" w:rsidP="00732DB1">
      <w:pPr>
        <w:jc w:val="both"/>
        <w:rPr>
          <w:rFonts w:ascii="Century Gothic" w:hAnsi="Century Gothic"/>
        </w:rPr>
      </w:pPr>
      <w:r w:rsidRPr="00F75DBD">
        <w:rPr>
          <w:rFonts w:ascii="Century Gothic" w:hAnsi="Century Gothic"/>
        </w:rPr>
        <w:lastRenderedPageBreak/>
        <w:t>On these criteria, and in light of the earlier analysis of the Robodebt scheme, the the scheme manifested serious recklessness on the part of the Government with respect to the rights of vulnerable Australians. The scheme was intended, its key elements well understood because patent on its face</w:t>
      </w:r>
      <w:r w:rsidR="00CD0ADB" w:rsidRPr="00F75DBD">
        <w:rPr>
          <w:rFonts w:ascii="Century Gothic" w:hAnsi="Century Gothic"/>
        </w:rPr>
        <w:t xml:space="preserve"> and necessary for its successful deployment</w:t>
      </w:r>
      <w:r w:rsidRPr="00F75DBD">
        <w:rPr>
          <w:rFonts w:ascii="Century Gothic" w:hAnsi="Century Gothic"/>
        </w:rPr>
        <w:t xml:space="preserve">, and the risks of the scheme were equally obvious. Indeed, the scheme was guaranteed to cause harm of the kinds that in fact occurred. </w:t>
      </w:r>
      <w:r w:rsidR="005B4A4B" w:rsidRPr="00F75DBD">
        <w:rPr>
          <w:rFonts w:ascii="Century Gothic" w:hAnsi="Century Gothic"/>
        </w:rPr>
        <w:t>The</w:t>
      </w:r>
      <w:r w:rsidRPr="00F75DBD">
        <w:rPr>
          <w:rFonts w:ascii="Century Gothic" w:hAnsi="Century Gothic"/>
        </w:rPr>
        <w:t xml:space="preserve"> Government’s </w:t>
      </w:r>
      <w:r w:rsidR="005B4A4B" w:rsidRPr="00F75DBD">
        <w:rPr>
          <w:rFonts w:ascii="Century Gothic" w:hAnsi="Century Gothic"/>
        </w:rPr>
        <w:t>choices to omit, or remove</w:t>
      </w:r>
      <w:r w:rsidR="00333E88" w:rsidRPr="00F75DBD">
        <w:rPr>
          <w:rFonts w:ascii="Century Gothic" w:hAnsi="Century Gothic"/>
        </w:rPr>
        <w:t>,</w:t>
      </w:r>
      <w:r w:rsidRPr="00F75DBD">
        <w:rPr>
          <w:rFonts w:ascii="Century Gothic" w:hAnsi="Century Gothic"/>
        </w:rPr>
        <w:t xml:space="preserve"> audit and workable remedial steps reinforce</w:t>
      </w:r>
      <w:r w:rsidR="00333E88" w:rsidRPr="00F75DBD">
        <w:rPr>
          <w:rFonts w:ascii="Century Gothic" w:hAnsi="Century Gothic"/>
        </w:rPr>
        <w:t>s</w:t>
      </w:r>
      <w:r w:rsidRPr="00F75DBD">
        <w:rPr>
          <w:rFonts w:ascii="Century Gothic" w:hAnsi="Century Gothic"/>
        </w:rPr>
        <w:t xml:space="preserve"> this view.</w:t>
      </w:r>
    </w:p>
    <w:p w:rsidR="0028314C" w:rsidRPr="00F75DBD" w:rsidRDefault="0028314C" w:rsidP="00F75DBD">
      <w:pPr>
        <w:pStyle w:val="Heading2"/>
        <w:numPr>
          <w:ilvl w:val="0"/>
          <w:numId w:val="18"/>
        </w:numPr>
        <w:rPr>
          <w:rFonts w:ascii="Century Gothic" w:hAnsi="Century Gothic"/>
        </w:rPr>
      </w:pPr>
      <w:bookmarkStart w:id="25" w:name="_Toc116481947"/>
      <w:r w:rsidRPr="00F75DBD">
        <w:rPr>
          <w:rFonts w:ascii="Century Gothic" w:hAnsi="Century Gothic"/>
        </w:rPr>
        <w:t>Unconscionability</w:t>
      </w:r>
      <w:bookmarkEnd w:id="25"/>
    </w:p>
    <w:p w:rsidR="007B0EAF" w:rsidRPr="00F75DBD" w:rsidRDefault="00EE7A67" w:rsidP="00732DB1">
      <w:pPr>
        <w:jc w:val="both"/>
        <w:rPr>
          <w:rFonts w:ascii="Century Gothic" w:hAnsi="Century Gothic"/>
        </w:rPr>
      </w:pPr>
      <w:r w:rsidRPr="00F75DBD">
        <w:rPr>
          <w:rFonts w:ascii="Century Gothic" w:hAnsi="Century Gothic"/>
        </w:rPr>
        <w:t>Further, it is arguable that the scheme was</w:t>
      </w:r>
      <w:r w:rsidR="007B0EAF" w:rsidRPr="00F75DBD">
        <w:rPr>
          <w:rFonts w:ascii="Century Gothic" w:hAnsi="Century Gothic"/>
        </w:rPr>
        <w:t xml:space="preserve"> unconscionable</w:t>
      </w:r>
      <w:r w:rsidR="005F4EBB" w:rsidRPr="00F75DBD">
        <w:rPr>
          <w:rFonts w:ascii="Century Gothic" w:hAnsi="Century Gothic"/>
        </w:rPr>
        <w:t xml:space="preserve"> because, as explained, the Government knew that the target class of recipients the subject of Robodebt contained members who would be subjected to false asserted debts, that this would exacerbate their existing positions of special disadvantage and put in place processes calculated (in the sense of objectively apt) to make it as difficult as possible for their rights to be protected. Knowing exploitation of position of special disadvantage is the archetype of unconscionable conduct. </w:t>
      </w:r>
      <w:r w:rsidR="00520FE9" w:rsidRPr="00F75DBD">
        <w:rPr>
          <w:rFonts w:ascii="Century Gothic" w:hAnsi="Century Gothic"/>
        </w:rPr>
        <w:t>Were the Government a corporation and the recipients consumers, there is little doubt, in my view, that it would have also contravened the statutory unconscionable ‘system of conduct’ provisions.</w:t>
      </w:r>
      <w:r w:rsidR="00956AC2" w:rsidRPr="00F75DBD">
        <w:rPr>
          <w:rStyle w:val="FootnoteReference"/>
          <w:rFonts w:ascii="Century Gothic" w:hAnsi="Century Gothic"/>
        </w:rPr>
        <w:footnoteReference w:id="58"/>
      </w:r>
      <w:r w:rsidR="00520FE9" w:rsidRPr="00F75DBD">
        <w:rPr>
          <w:rFonts w:ascii="Century Gothic" w:hAnsi="Century Gothic"/>
        </w:rPr>
        <w:t xml:space="preserve"> Although outside that context, the substance of the Government’s conduct merits characterisation in these serious</w:t>
      </w:r>
      <w:r w:rsidR="00333E88" w:rsidRPr="00F75DBD">
        <w:rPr>
          <w:rFonts w:ascii="Century Gothic" w:hAnsi="Century Gothic"/>
        </w:rPr>
        <w:t>, normative</w:t>
      </w:r>
      <w:r w:rsidR="00520FE9" w:rsidRPr="00F75DBD">
        <w:rPr>
          <w:rFonts w:ascii="Century Gothic" w:hAnsi="Century Gothic"/>
        </w:rPr>
        <w:t xml:space="preserve"> terms. </w:t>
      </w:r>
    </w:p>
    <w:p w:rsidR="0028314C" w:rsidRPr="00F75DBD" w:rsidRDefault="0028314C" w:rsidP="00803F9D">
      <w:pPr>
        <w:pStyle w:val="Heading2"/>
        <w:numPr>
          <w:ilvl w:val="0"/>
          <w:numId w:val="18"/>
        </w:numPr>
        <w:rPr>
          <w:rFonts w:ascii="Century Gothic" w:hAnsi="Century Gothic"/>
        </w:rPr>
      </w:pPr>
      <w:bookmarkStart w:id="26" w:name="_Toc116481948"/>
      <w:r w:rsidRPr="00F75DBD">
        <w:rPr>
          <w:rFonts w:ascii="Century Gothic" w:hAnsi="Century Gothic"/>
        </w:rPr>
        <w:t>Dishonesty</w:t>
      </w:r>
      <w:bookmarkEnd w:id="26"/>
    </w:p>
    <w:p w:rsidR="0028314C" w:rsidRPr="00F75DBD" w:rsidRDefault="005B4A4B" w:rsidP="00732DB1">
      <w:pPr>
        <w:jc w:val="both"/>
        <w:rPr>
          <w:rFonts w:ascii="Century Gothic" w:hAnsi="Century Gothic"/>
        </w:rPr>
      </w:pPr>
      <w:r w:rsidRPr="00F75DBD">
        <w:rPr>
          <w:rFonts w:ascii="Century Gothic" w:hAnsi="Century Gothic"/>
        </w:rPr>
        <w:t xml:space="preserve">An inquiry into dishonesty generally requires us to assess objectively the quality of a person’s conduct </w:t>
      </w:r>
      <w:r w:rsidRPr="00F75DBD">
        <w:rPr>
          <w:rFonts w:ascii="Century Gothic" w:hAnsi="Century Gothic"/>
          <w:iCs/>
        </w:rPr>
        <w:t>in light of the defendant’s</w:t>
      </w:r>
      <w:r w:rsidRPr="00F75DBD">
        <w:rPr>
          <w:rFonts w:ascii="Century Gothic" w:hAnsi="Century Gothic"/>
        </w:rPr>
        <w:t xml:space="preserve"> actual intention and knowledge</w:t>
      </w:r>
      <w:r w:rsidR="00520FE9" w:rsidRPr="00F75DBD">
        <w:rPr>
          <w:rFonts w:ascii="Century Gothic" w:hAnsi="Century Gothic"/>
        </w:rPr>
        <w:t>.</w:t>
      </w:r>
      <w:r w:rsidRPr="00F75DBD">
        <w:rPr>
          <w:rStyle w:val="FootnoteReference"/>
          <w:rFonts w:ascii="Century Gothic" w:hAnsi="Century Gothic"/>
        </w:rPr>
        <w:footnoteReference w:id="59"/>
      </w:r>
      <w:r w:rsidR="00520FE9" w:rsidRPr="00F75DBD">
        <w:rPr>
          <w:rFonts w:ascii="Century Gothic" w:hAnsi="Century Gothic"/>
        </w:rPr>
        <w:t xml:space="preserve"> </w:t>
      </w:r>
      <w:r w:rsidRPr="00F75DBD">
        <w:rPr>
          <w:rFonts w:ascii="Century Gothic" w:hAnsi="Century Gothic"/>
        </w:rPr>
        <w:t xml:space="preserve">The conduct in question must be dishonest according to current standards of ordinary decent people. </w:t>
      </w:r>
      <w:r w:rsidR="0028314C" w:rsidRPr="00F75DBD">
        <w:rPr>
          <w:rFonts w:ascii="Century Gothic" w:hAnsi="Century Gothic"/>
        </w:rPr>
        <w:t xml:space="preserve">It is not relevant </w:t>
      </w:r>
      <w:r w:rsidRPr="00F75DBD">
        <w:rPr>
          <w:rFonts w:ascii="Century Gothic" w:hAnsi="Century Gothic"/>
        </w:rPr>
        <w:t xml:space="preserve">to ask, or consider, </w:t>
      </w:r>
      <w:r w:rsidR="0028314C" w:rsidRPr="00F75DBD">
        <w:rPr>
          <w:rFonts w:ascii="Century Gothic" w:hAnsi="Century Gothic"/>
        </w:rPr>
        <w:t>whether the person themselves subjectively appreciated that the conduct was dishonest by ordinary standards.</w:t>
      </w:r>
      <w:r w:rsidR="00956AC2" w:rsidRPr="00F75DBD">
        <w:rPr>
          <w:rStyle w:val="FootnoteReference"/>
          <w:rFonts w:ascii="Century Gothic" w:hAnsi="Century Gothic"/>
        </w:rPr>
        <w:footnoteReference w:id="60"/>
      </w:r>
    </w:p>
    <w:p w:rsidR="005F4EBB" w:rsidRPr="00F75DBD" w:rsidRDefault="00520FE9" w:rsidP="00732DB1">
      <w:pPr>
        <w:jc w:val="both"/>
        <w:rPr>
          <w:rFonts w:ascii="Century Gothic" w:hAnsi="Century Gothic"/>
        </w:rPr>
      </w:pPr>
      <w:r w:rsidRPr="00F75DBD">
        <w:rPr>
          <w:rFonts w:ascii="Century Gothic" w:hAnsi="Century Gothic"/>
        </w:rPr>
        <w:t>Adjudged by these criteria, the Robodebt scheme clearly fell</w:t>
      </w:r>
      <w:r w:rsidR="005F4EBB" w:rsidRPr="00F75DBD">
        <w:rPr>
          <w:rFonts w:ascii="Century Gothic" w:hAnsi="Century Gothic"/>
        </w:rPr>
        <w:t xml:space="preserve"> well short of the standards of </w:t>
      </w:r>
      <w:r w:rsidR="007B0EAF" w:rsidRPr="00F75DBD">
        <w:rPr>
          <w:rFonts w:ascii="Century Gothic" w:hAnsi="Century Gothic"/>
        </w:rPr>
        <w:t>honesty</w:t>
      </w:r>
      <w:r w:rsidR="00333E88" w:rsidRPr="00F75DBD">
        <w:rPr>
          <w:rFonts w:ascii="Century Gothic" w:hAnsi="Century Gothic"/>
        </w:rPr>
        <w:t>, which are</w:t>
      </w:r>
      <w:r w:rsidR="007B0EAF" w:rsidRPr="00F75DBD">
        <w:rPr>
          <w:rFonts w:ascii="Century Gothic" w:hAnsi="Century Gothic"/>
        </w:rPr>
        <w:t xml:space="preserve"> </w:t>
      </w:r>
      <w:r w:rsidRPr="00F75DBD">
        <w:rPr>
          <w:rFonts w:ascii="Century Gothic" w:hAnsi="Century Gothic"/>
        </w:rPr>
        <w:t xml:space="preserve">properly </w:t>
      </w:r>
      <w:r w:rsidR="007B0EAF" w:rsidRPr="00F75DBD">
        <w:rPr>
          <w:rFonts w:ascii="Century Gothic" w:hAnsi="Century Gothic"/>
        </w:rPr>
        <w:t>expected of governments. This is disclosed most clear</w:t>
      </w:r>
      <w:r w:rsidR="00333E88" w:rsidRPr="00F75DBD">
        <w:rPr>
          <w:rFonts w:ascii="Century Gothic" w:hAnsi="Century Gothic"/>
        </w:rPr>
        <w:t>ly</w:t>
      </w:r>
      <w:r w:rsidR="007B0EAF" w:rsidRPr="00F75DBD">
        <w:rPr>
          <w:rFonts w:ascii="Century Gothic" w:hAnsi="Century Gothic"/>
        </w:rPr>
        <w:t xml:space="preserve"> by the reversal </w:t>
      </w:r>
      <w:r w:rsidR="0028314C" w:rsidRPr="00F75DBD">
        <w:rPr>
          <w:rFonts w:ascii="Century Gothic" w:hAnsi="Century Gothic"/>
        </w:rPr>
        <w:t>and removal of prior, ethical practices, such as the reversal of onus and associated</w:t>
      </w:r>
      <w:r w:rsidR="007B0EAF" w:rsidRPr="00F75DBD">
        <w:rPr>
          <w:rFonts w:ascii="Century Gothic" w:hAnsi="Century Gothic"/>
        </w:rPr>
        <w:t xml:space="preserve"> </w:t>
      </w:r>
      <w:r w:rsidR="005B4A4B" w:rsidRPr="00F75DBD">
        <w:rPr>
          <w:rFonts w:ascii="Century Gothic" w:hAnsi="Century Gothic"/>
        </w:rPr>
        <w:t>processes</w:t>
      </w:r>
      <w:r w:rsidR="007B0EAF" w:rsidRPr="00F75DBD">
        <w:rPr>
          <w:rFonts w:ascii="Century Gothic" w:hAnsi="Century Gothic"/>
        </w:rPr>
        <w:t>, detailed earlier.</w:t>
      </w:r>
      <w:r w:rsidRPr="00F75DBD">
        <w:rPr>
          <w:rFonts w:ascii="Century Gothic" w:hAnsi="Century Gothic"/>
        </w:rPr>
        <w:t xml:space="preserve"> That this conduct was knowing and intended supports an overall assessment of organisational dishonesty.</w:t>
      </w:r>
    </w:p>
    <w:p w:rsidR="0028314C" w:rsidRPr="00F75DBD" w:rsidRDefault="0028314C" w:rsidP="00803F9D">
      <w:pPr>
        <w:pStyle w:val="Heading2"/>
        <w:numPr>
          <w:ilvl w:val="0"/>
          <w:numId w:val="18"/>
        </w:numPr>
        <w:rPr>
          <w:rFonts w:ascii="Century Gothic" w:hAnsi="Century Gothic"/>
        </w:rPr>
      </w:pPr>
      <w:bookmarkStart w:id="27" w:name="_Toc116481949"/>
      <w:r w:rsidRPr="00F75DBD">
        <w:rPr>
          <w:rFonts w:ascii="Century Gothic" w:hAnsi="Century Gothic"/>
        </w:rPr>
        <w:t>A predatory mindset</w:t>
      </w:r>
      <w:bookmarkEnd w:id="27"/>
    </w:p>
    <w:p w:rsidR="00520FE9" w:rsidRPr="00F75DBD" w:rsidRDefault="00520FE9" w:rsidP="00732DB1">
      <w:pPr>
        <w:jc w:val="both"/>
        <w:rPr>
          <w:rFonts w:ascii="Century Gothic" w:hAnsi="Century Gothic"/>
        </w:rPr>
      </w:pPr>
      <w:r w:rsidRPr="00F75DBD">
        <w:rPr>
          <w:rFonts w:ascii="Century Gothic" w:hAnsi="Century Gothic"/>
        </w:rPr>
        <w:t xml:space="preserve">Finally, a predatory mindset may be understood as involving an intentional decision to engage in conduct </w:t>
      </w:r>
      <w:r w:rsidRPr="00F75DBD">
        <w:rPr>
          <w:rFonts w:ascii="Century Gothic" w:hAnsi="Century Gothic"/>
          <w:i/>
        </w:rPr>
        <w:t>in order to</w:t>
      </w:r>
      <w:r w:rsidRPr="00F75DBD">
        <w:rPr>
          <w:rFonts w:ascii="Century Gothic" w:hAnsi="Century Gothic"/>
        </w:rPr>
        <w:t xml:space="preserve"> exploit the known disadvantage of a vulnerable person, or class of persons. That is, </w:t>
      </w:r>
      <w:r w:rsidR="0028314C" w:rsidRPr="00F75DBD">
        <w:rPr>
          <w:rFonts w:ascii="Century Gothic" w:hAnsi="Century Gothic"/>
        </w:rPr>
        <w:t xml:space="preserve">the aim or purpose of the person’s conduct is </w:t>
      </w:r>
      <w:r w:rsidRPr="00F75DBD">
        <w:rPr>
          <w:rFonts w:ascii="Century Gothic" w:hAnsi="Century Gothic"/>
        </w:rPr>
        <w:t>exploitation of the kind that actually occurred</w:t>
      </w:r>
      <w:r w:rsidR="0028314C" w:rsidRPr="00F75DBD">
        <w:rPr>
          <w:rFonts w:ascii="Century Gothic" w:hAnsi="Century Gothic"/>
        </w:rPr>
        <w:t>, with the harms it brings</w:t>
      </w:r>
      <w:r w:rsidRPr="00F75DBD">
        <w:rPr>
          <w:rFonts w:ascii="Century Gothic" w:hAnsi="Century Gothic"/>
        </w:rPr>
        <w:t xml:space="preserve">. This is arguably one of the most culpable states of mind identified in the law. </w:t>
      </w:r>
      <w:r w:rsidR="00BD3C86" w:rsidRPr="00F75DBD">
        <w:rPr>
          <w:rFonts w:ascii="Century Gothic" w:hAnsi="Century Gothic"/>
        </w:rPr>
        <w:t xml:space="preserve">Examples of this form of </w:t>
      </w:r>
      <w:r w:rsidR="00BD3C86" w:rsidRPr="00F75DBD">
        <w:rPr>
          <w:rFonts w:ascii="Century Gothic" w:hAnsi="Century Gothic"/>
        </w:rPr>
        <w:lastRenderedPageBreak/>
        <w:t>mental state</w:t>
      </w:r>
      <w:r w:rsidR="000913D5" w:rsidRPr="00F75DBD">
        <w:rPr>
          <w:rFonts w:ascii="Century Gothic" w:hAnsi="Century Gothic"/>
        </w:rPr>
        <w:t>, again using the lens of Systems Intentionality,</w:t>
      </w:r>
      <w:r w:rsidR="00BD3C86" w:rsidRPr="00F75DBD">
        <w:rPr>
          <w:rFonts w:ascii="Century Gothic" w:hAnsi="Century Gothic"/>
        </w:rPr>
        <w:t xml:space="preserve"> are where, for example, a business model is only able to generate a profit if a vulnerable class of consumers exist who are taken advantage of through the </w:t>
      </w:r>
      <w:r w:rsidR="000913D5" w:rsidRPr="00F75DBD">
        <w:rPr>
          <w:rFonts w:ascii="Century Gothic" w:hAnsi="Century Gothic"/>
        </w:rPr>
        <w:t xml:space="preserve">effective </w:t>
      </w:r>
      <w:r w:rsidR="00BD3C86" w:rsidRPr="00F75DBD">
        <w:rPr>
          <w:rFonts w:ascii="Century Gothic" w:hAnsi="Century Gothic"/>
        </w:rPr>
        <w:t>operation of the business model.</w:t>
      </w:r>
      <w:r w:rsidR="0028314C" w:rsidRPr="00F75DBD">
        <w:rPr>
          <w:rStyle w:val="FootnoteReference"/>
          <w:rFonts w:ascii="Century Gothic" w:hAnsi="Century Gothic"/>
        </w:rPr>
        <w:footnoteReference w:id="61"/>
      </w:r>
      <w:r w:rsidR="00BD3C86" w:rsidRPr="00F75DBD">
        <w:rPr>
          <w:rFonts w:ascii="Century Gothic" w:hAnsi="Century Gothic"/>
        </w:rPr>
        <w:t xml:space="preserve"> </w:t>
      </w:r>
      <w:r w:rsidR="000913D5" w:rsidRPr="00F75DBD">
        <w:rPr>
          <w:rFonts w:ascii="Century Gothic" w:hAnsi="Century Gothic"/>
        </w:rPr>
        <w:t>Another example would be where a business model is objectively designed to create new, or exacerbate existing, special disadvantage that will enable, or increase, business profits.</w:t>
      </w:r>
      <w:r w:rsidR="00EE7A67" w:rsidRPr="00F75DBD">
        <w:rPr>
          <w:rStyle w:val="FootnoteReference"/>
          <w:rFonts w:ascii="Century Gothic" w:hAnsi="Century Gothic"/>
        </w:rPr>
        <w:footnoteReference w:id="62"/>
      </w:r>
    </w:p>
    <w:p w:rsidR="00BD3C86" w:rsidRPr="00F75DBD" w:rsidRDefault="00BD3C86" w:rsidP="00732DB1">
      <w:pPr>
        <w:jc w:val="both"/>
        <w:rPr>
          <w:rFonts w:ascii="Century Gothic" w:hAnsi="Century Gothic"/>
        </w:rPr>
      </w:pPr>
      <w:r w:rsidRPr="00F75DBD">
        <w:rPr>
          <w:rFonts w:ascii="Century Gothic" w:hAnsi="Century Gothic"/>
        </w:rPr>
        <w:t xml:space="preserve">Through this lens, </w:t>
      </w:r>
      <w:r w:rsidR="00803F9D" w:rsidRPr="00F75DBD">
        <w:rPr>
          <w:rFonts w:ascii="Century Gothic" w:hAnsi="Century Gothic"/>
        </w:rPr>
        <w:t xml:space="preserve">and based on the assumed factual framework for analysis, </w:t>
      </w:r>
      <w:r w:rsidRPr="00F75DBD">
        <w:rPr>
          <w:rFonts w:ascii="Century Gothic" w:hAnsi="Century Gothic"/>
        </w:rPr>
        <w:t>the Ro</w:t>
      </w:r>
      <w:r w:rsidR="00333E88" w:rsidRPr="00F75DBD">
        <w:rPr>
          <w:rFonts w:ascii="Century Gothic" w:hAnsi="Century Gothic"/>
        </w:rPr>
        <w:t>bodebt scheme arguably manifested</w:t>
      </w:r>
      <w:r w:rsidRPr="00F75DBD">
        <w:rPr>
          <w:rFonts w:ascii="Century Gothic" w:hAnsi="Century Gothic"/>
        </w:rPr>
        <w:t xml:space="preserve"> a predatory purpose on the part of the Government. As explained earlier, the scheme could only operate to achieve its purpose of raising fresh revenue</w:t>
      </w:r>
      <w:r w:rsidR="000913D5" w:rsidRPr="00F75DBD">
        <w:rPr>
          <w:rFonts w:ascii="Century Gothic" w:hAnsi="Century Gothic"/>
        </w:rPr>
        <w:t xml:space="preserve"> by manufacturing false debts, enforcing these against recipients, who were known to be in a position of special vulnerability and unable (both because of innate powerlessness but also because of the design features of the scheme) to protect their rights.</w:t>
      </w:r>
      <w:r w:rsidR="005B4A4B" w:rsidRPr="00F75DBD">
        <w:rPr>
          <w:rFonts w:ascii="Century Gothic" w:hAnsi="Century Gothic"/>
        </w:rPr>
        <w:t xml:space="preserve"> To put it another way, the scheme would only be successful in achieving the aim of revenue-raising if a </w:t>
      </w:r>
      <w:r w:rsidR="002A1F85" w:rsidRPr="00F75DBD">
        <w:rPr>
          <w:rFonts w:ascii="Century Gothic" w:hAnsi="Century Gothic"/>
        </w:rPr>
        <w:t xml:space="preserve">substantial proportion of those Australians </w:t>
      </w:r>
      <w:r w:rsidR="005B4A4B" w:rsidRPr="00F75DBD">
        <w:rPr>
          <w:rFonts w:ascii="Century Gothic" w:hAnsi="Century Gothic"/>
        </w:rPr>
        <w:t xml:space="preserve">subject to false debt claims were unwilling, or unable, to dispute them successfully. This required the Government to introduce new processes </w:t>
      </w:r>
      <w:r w:rsidR="002A1F85" w:rsidRPr="00F75DBD">
        <w:rPr>
          <w:rFonts w:ascii="Century Gothic" w:hAnsi="Century Gothic"/>
        </w:rPr>
        <w:t>that enabled that purpose to be achieved</w:t>
      </w:r>
      <w:r w:rsidR="005B4A4B" w:rsidRPr="00F75DBD">
        <w:rPr>
          <w:rFonts w:ascii="Century Gothic" w:hAnsi="Century Gothic"/>
        </w:rPr>
        <w:t xml:space="preserve">, and </w:t>
      </w:r>
      <w:r w:rsidR="002A1F85" w:rsidRPr="00F75DBD">
        <w:rPr>
          <w:rFonts w:ascii="Century Gothic" w:hAnsi="Century Gothic"/>
        </w:rPr>
        <w:t xml:space="preserve">to </w:t>
      </w:r>
      <w:r w:rsidR="005B4A4B" w:rsidRPr="00F75DBD">
        <w:rPr>
          <w:rFonts w:ascii="Century Gothic" w:hAnsi="Century Gothic"/>
        </w:rPr>
        <w:t xml:space="preserve">remove </w:t>
      </w:r>
      <w:r w:rsidR="002A1F85" w:rsidRPr="00F75DBD">
        <w:rPr>
          <w:rFonts w:ascii="Century Gothic" w:hAnsi="Century Gothic"/>
        </w:rPr>
        <w:t xml:space="preserve">protective </w:t>
      </w:r>
      <w:r w:rsidR="005B4A4B" w:rsidRPr="00F75DBD">
        <w:rPr>
          <w:rFonts w:ascii="Century Gothic" w:hAnsi="Century Gothic"/>
        </w:rPr>
        <w:t>proc</w:t>
      </w:r>
      <w:r w:rsidR="002A1F85" w:rsidRPr="00F75DBD">
        <w:rPr>
          <w:rFonts w:ascii="Century Gothic" w:hAnsi="Century Gothic"/>
        </w:rPr>
        <w:t>esses that impeded that purpose</w:t>
      </w:r>
      <w:r w:rsidR="005B4A4B" w:rsidRPr="00F75DBD">
        <w:rPr>
          <w:rFonts w:ascii="Century Gothic" w:hAnsi="Century Gothic"/>
        </w:rPr>
        <w:t xml:space="preserve">. This is </w:t>
      </w:r>
      <w:r w:rsidR="002A1F85" w:rsidRPr="00F75DBD">
        <w:rPr>
          <w:rFonts w:ascii="Century Gothic" w:hAnsi="Century Gothic"/>
        </w:rPr>
        <w:t>precisely what occurred</w:t>
      </w:r>
      <w:r w:rsidR="005B4A4B" w:rsidRPr="00F75DBD">
        <w:rPr>
          <w:rFonts w:ascii="Century Gothic" w:hAnsi="Century Gothic"/>
        </w:rPr>
        <w:t>.</w:t>
      </w:r>
    </w:p>
    <w:p w:rsidR="000913D5" w:rsidRPr="00F75DBD" w:rsidRDefault="000913D5" w:rsidP="00732DB1">
      <w:pPr>
        <w:jc w:val="both"/>
        <w:rPr>
          <w:rFonts w:ascii="Century Gothic" w:hAnsi="Century Gothic"/>
        </w:rPr>
      </w:pPr>
      <w:r w:rsidRPr="00F75DBD">
        <w:rPr>
          <w:rFonts w:ascii="Century Gothic" w:hAnsi="Century Gothic"/>
        </w:rPr>
        <w:t>This is</w:t>
      </w:r>
      <w:r w:rsidR="00CD0ADB" w:rsidRPr="00F75DBD">
        <w:rPr>
          <w:rFonts w:ascii="Century Gothic" w:hAnsi="Century Gothic"/>
        </w:rPr>
        <w:t>, I appreciate</w:t>
      </w:r>
      <w:r w:rsidR="00333E88" w:rsidRPr="00F75DBD">
        <w:rPr>
          <w:rFonts w:ascii="Century Gothic" w:hAnsi="Century Gothic"/>
        </w:rPr>
        <w:t>,</w:t>
      </w:r>
      <w:r w:rsidRPr="00F75DBD">
        <w:rPr>
          <w:rFonts w:ascii="Century Gothic" w:hAnsi="Century Gothic"/>
        </w:rPr>
        <w:t xml:space="preserve"> a staggering conclusion to reach with respect to the Government. But it seems clearly open on the facts, and</w:t>
      </w:r>
      <w:r w:rsidR="00333E88" w:rsidRPr="00F75DBD">
        <w:rPr>
          <w:rFonts w:ascii="Century Gothic" w:hAnsi="Century Gothic"/>
        </w:rPr>
        <w:t xml:space="preserve"> may</w:t>
      </w:r>
      <w:r w:rsidRPr="00F75DBD">
        <w:rPr>
          <w:rFonts w:ascii="Century Gothic" w:hAnsi="Century Gothic"/>
        </w:rPr>
        <w:t xml:space="preserve"> even </w:t>
      </w:r>
      <w:r w:rsidR="00333E88" w:rsidRPr="00F75DBD">
        <w:rPr>
          <w:rFonts w:ascii="Century Gothic" w:hAnsi="Century Gothic"/>
        </w:rPr>
        <w:t xml:space="preserve">be </w:t>
      </w:r>
      <w:r w:rsidRPr="00F75DBD">
        <w:rPr>
          <w:rFonts w:ascii="Century Gothic" w:hAnsi="Century Gothic"/>
        </w:rPr>
        <w:t>demanded. Such a conclusion brings shame not only on the Government, but on every Australian purportedly represented by the Government, and on whose behalf this scheme was purportedly introduced.</w:t>
      </w:r>
      <w:r w:rsidR="008C6467" w:rsidRPr="00F75DBD">
        <w:rPr>
          <w:rFonts w:ascii="Century Gothic" w:hAnsi="Century Gothic"/>
        </w:rPr>
        <w:t xml:space="preserve"> </w:t>
      </w:r>
    </w:p>
    <w:p w:rsidR="0028314C" w:rsidRPr="005C3808" w:rsidRDefault="0028314C" w:rsidP="00F75DBD">
      <w:pPr>
        <w:pStyle w:val="Heading1"/>
        <w:numPr>
          <w:ilvl w:val="0"/>
          <w:numId w:val="17"/>
        </w:numPr>
        <w:rPr>
          <w:rFonts w:ascii="Century Gothic" w:hAnsi="Century Gothic"/>
          <w:b/>
        </w:rPr>
      </w:pPr>
      <w:bookmarkStart w:id="28" w:name="_Toc116481950"/>
      <w:r w:rsidRPr="005C3808">
        <w:rPr>
          <w:rFonts w:ascii="Century Gothic" w:hAnsi="Century Gothic"/>
          <w:b/>
        </w:rPr>
        <w:t>Conclusion</w:t>
      </w:r>
      <w:bookmarkEnd w:id="28"/>
    </w:p>
    <w:p w:rsidR="000913D5" w:rsidRPr="00F75DBD" w:rsidRDefault="000913D5" w:rsidP="00732DB1">
      <w:pPr>
        <w:jc w:val="both"/>
        <w:rPr>
          <w:rFonts w:ascii="Century Gothic" w:hAnsi="Century Gothic"/>
        </w:rPr>
      </w:pPr>
      <w:r w:rsidRPr="00F75DBD">
        <w:rPr>
          <w:rFonts w:ascii="Century Gothic" w:hAnsi="Century Gothic"/>
        </w:rPr>
        <w:t xml:space="preserve">In conclusion, in considering the questions of Government knowledge and intention, central to its responsibility for the Robodebt scheme, it is critically important to investigate and assess the scheme (the applied systems, policies and </w:t>
      </w:r>
      <w:r w:rsidR="002A1F85" w:rsidRPr="00F75DBD">
        <w:rPr>
          <w:rFonts w:ascii="Century Gothic" w:hAnsi="Century Gothic"/>
        </w:rPr>
        <w:t>practices</w:t>
      </w:r>
      <w:r w:rsidRPr="00F75DBD">
        <w:rPr>
          <w:rFonts w:ascii="Century Gothic" w:hAnsi="Century Gothic"/>
        </w:rPr>
        <w:t>) as a whole. The automated debt-generation aspect is only one, albeit a vitally important</w:t>
      </w:r>
      <w:r w:rsidR="0028314C" w:rsidRPr="00F75DBD">
        <w:rPr>
          <w:rFonts w:ascii="Century Gothic" w:hAnsi="Century Gothic"/>
        </w:rPr>
        <w:t>,</w:t>
      </w:r>
      <w:r w:rsidRPr="00F75DBD">
        <w:rPr>
          <w:rFonts w:ascii="Century Gothic" w:hAnsi="Century Gothic"/>
        </w:rPr>
        <w:t xml:space="preserve"> component. Also directly relevant are the surrounding </w:t>
      </w:r>
      <w:r w:rsidR="008C6467" w:rsidRPr="00F75DBD">
        <w:rPr>
          <w:rFonts w:ascii="Century Gothic" w:hAnsi="Century Gothic"/>
        </w:rPr>
        <w:t>(including omitted</w:t>
      </w:r>
      <w:r w:rsidR="002A1F85" w:rsidRPr="00F75DBD">
        <w:rPr>
          <w:rFonts w:ascii="Century Gothic" w:hAnsi="Century Gothic"/>
        </w:rPr>
        <w:t xml:space="preserve"> and removed</w:t>
      </w:r>
      <w:r w:rsidR="008C6467" w:rsidRPr="00F75DBD">
        <w:rPr>
          <w:rFonts w:ascii="Century Gothic" w:hAnsi="Century Gothic"/>
        </w:rPr>
        <w:t xml:space="preserve">) audit and remedial </w:t>
      </w:r>
      <w:r w:rsidRPr="00F75DBD">
        <w:rPr>
          <w:rFonts w:ascii="Century Gothic" w:hAnsi="Century Gothic"/>
        </w:rPr>
        <w:t>processes</w:t>
      </w:r>
      <w:r w:rsidR="002A1F85" w:rsidRPr="00F75DBD">
        <w:rPr>
          <w:rFonts w:ascii="Century Gothic" w:hAnsi="Century Gothic"/>
        </w:rPr>
        <w:t>,</w:t>
      </w:r>
      <w:r w:rsidRPr="00F75DBD">
        <w:rPr>
          <w:rFonts w:ascii="Century Gothic" w:hAnsi="Century Gothic"/>
        </w:rPr>
        <w:t xml:space="preserve"> </w:t>
      </w:r>
      <w:r w:rsidR="002A1F85" w:rsidRPr="00F75DBD">
        <w:rPr>
          <w:rFonts w:ascii="Century Gothic" w:hAnsi="Century Gothic"/>
        </w:rPr>
        <w:t>which</w:t>
      </w:r>
      <w:r w:rsidRPr="00F75DBD">
        <w:rPr>
          <w:rFonts w:ascii="Century Gothic" w:hAnsi="Century Gothic"/>
        </w:rPr>
        <w:t xml:space="preserve"> worked together, in a coordinated way, to achieve the true purpose of the scheme.</w:t>
      </w:r>
      <w:r w:rsidR="00F9326D" w:rsidRPr="00F75DBD">
        <w:rPr>
          <w:rFonts w:ascii="Century Gothic" w:hAnsi="Century Gothic"/>
        </w:rPr>
        <w:t xml:space="preserve"> </w:t>
      </w:r>
    </w:p>
    <w:p w:rsidR="000913D5" w:rsidRPr="00F75DBD" w:rsidRDefault="008C6467" w:rsidP="00732DB1">
      <w:pPr>
        <w:jc w:val="both"/>
        <w:rPr>
          <w:rFonts w:ascii="Century Gothic" w:hAnsi="Century Gothic"/>
        </w:rPr>
      </w:pPr>
      <w:r w:rsidRPr="00F75DBD">
        <w:rPr>
          <w:rFonts w:ascii="Century Gothic" w:hAnsi="Century Gothic"/>
        </w:rPr>
        <w:t>I submit that the analysis also provides an important means to probe, and assess, exculpatory narratives, both for Governmental blameworthiness but also the claims of relevant individuals within the Government who seek to deny or negate their personal responsibility for what occurred.</w:t>
      </w:r>
    </w:p>
    <w:p w:rsidR="00CD16F2" w:rsidRPr="00F75DBD" w:rsidRDefault="008C6467" w:rsidP="00732DB1">
      <w:pPr>
        <w:jc w:val="both"/>
        <w:rPr>
          <w:rFonts w:ascii="Century Gothic" w:hAnsi="Century Gothic"/>
        </w:rPr>
      </w:pPr>
      <w:r w:rsidRPr="00F75DBD">
        <w:rPr>
          <w:rFonts w:ascii="Century Gothic" w:hAnsi="Century Gothic"/>
        </w:rPr>
        <w:t>Finally, the analysis provides a means of understanding what is required in order to ensure that this egregious chapter in Australia’s history is never repeated. It is not enough</w:t>
      </w:r>
      <w:r w:rsidR="001B19C2">
        <w:rPr>
          <w:rFonts w:ascii="Century Gothic" w:hAnsi="Century Gothic"/>
        </w:rPr>
        <w:t xml:space="preserve"> to change governments, or the M</w:t>
      </w:r>
      <w:r w:rsidRPr="00F75DBD">
        <w:rPr>
          <w:rFonts w:ascii="Century Gothic" w:hAnsi="Century Gothic"/>
        </w:rPr>
        <w:t xml:space="preserve">inisters, ministerial staff, or senior persons from relevant departments, although </w:t>
      </w:r>
      <w:r w:rsidR="007344B6" w:rsidRPr="00F75DBD">
        <w:rPr>
          <w:rFonts w:ascii="Century Gothic" w:hAnsi="Century Gothic"/>
        </w:rPr>
        <w:t>these steps may</w:t>
      </w:r>
      <w:r w:rsidRPr="00F75DBD">
        <w:rPr>
          <w:rFonts w:ascii="Century Gothic" w:hAnsi="Century Gothic"/>
        </w:rPr>
        <w:t xml:space="preserve"> of course may assist. Close </w:t>
      </w:r>
      <w:r w:rsidRPr="00F75DBD">
        <w:rPr>
          <w:rFonts w:ascii="Century Gothic" w:hAnsi="Century Gothic"/>
        </w:rPr>
        <w:lastRenderedPageBreak/>
        <w:t xml:space="preserve">attention must </w:t>
      </w:r>
      <w:r w:rsidR="007344B6" w:rsidRPr="00F75DBD">
        <w:rPr>
          <w:rFonts w:ascii="Century Gothic" w:hAnsi="Century Gothic"/>
        </w:rPr>
        <w:t xml:space="preserve">also </w:t>
      </w:r>
      <w:r w:rsidRPr="00F75DBD">
        <w:rPr>
          <w:rFonts w:ascii="Century Gothic" w:hAnsi="Century Gothic"/>
        </w:rPr>
        <w:t xml:space="preserve">be paid to </w:t>
      </w:r>
      <w:r w:rsidR="00333E88" w:rsidRPr="00F75DBD">
        <w:rPr>
          <w:rFonts w:ascii="Century Gothic" w:hAnsi="Century Gothic"/>
        </w:rPr>
        <w:t>other necessary</w:t>
      </w:r>
      <w:r w:rsidRPr="00F75DBD">
        <w:rPr>
          <w:rFonts w:ascii="Century Gothic" w:hAnsi="Century Gothic"/>
        </w:rPr>
        <w:t xml:space="preserve"> conditions for ethical governance and these are, I submit, found in the systems of conduct, </w:t>
      </w:r>
      <w:bookmarkStart w:id="29" w:name="_GoBack"/>
      <w:bookmarkEnd w:id="29"/>
      <w:r w:rsidRPr="00F75DBD">
        <w:rPr>
          <w:rFonts w:ascii="Century Gothic" w:hAnsi="Century Gothic"/>
        </w:rPr>
        <w:t>policies and practices that are deployed for public, or purportedly public, ends.</w:t>
      </w:r>
      <w:r w:rsidR="007344B6" w:rsidRPr="00F75DBD">
        <w:rPr>
          <w:rFonts w:ascii="Century Gothic" w:hAnsi="Century Gothic"/>
        </w:rPr>
        <w:t xml:space="preserve"> It is only if these are reformed and subject to appropriate audit and remedial processes that we can be sure that this</w:t>
      </w:r>
      <w:r w:rsidR="00333E88" w:rsidRPr="00F75DBD">
        <w:rPr>
          <w:rFonts w:ascii="Century Gothic" w:hAnsi="Century Gothic"/>
        </w:rPr>
        <w:t xml:space="preserve"> episode</w:t>
      </w:r>
      <w:r w:rsidR="007344B6" w:rsidRPr="00F75DBD">
        <w:rPr>
          <w:rFonts w:ascii="Century Gothic" w:hAnsi="Century Gothic"/>
        </w:rPr>
        <w:t xml:space="preserve"> will never be repeated. Audit processes here include transparent publication of AAT and other relevant decisions that enable governments, and those subject to them, to understand the impact </w:t>
      </w:r>
      <w:r w:rsidR="00333E88" w:rsidRPr="00F75DBD">
        <w:rPr>
          <w:rFonts w:ascii="Century Gothic" w:hAnsi="Century Gothic"/>
        </w:rPr>
        <w:t xml:space="preserve">and legality </w:t>
      </w:r>
      <w:r w:rsidR="007344B6" w:rsidRPr="00F75DBD">
        <w:rPr>
          <w:rFonts w:ascii="Century Gothic" w:hAnsi="Century Gothic"/>
        </w:rPr>
        <w:t>of government policies and programs.</w:t>
      </w:r>
      <w:r w:rsidR="00D02932" w:rsidRPr="00F75DBD">
        <w:rPr>
          <w:rStyle w:val="FootnoteReference"/>
          <w:rFonts w:ascii="Century Gothic" w:hAnsi="Century Gothic"/>
        </w:rPr>
        <w:footnoteReference w:id="63"/>
      </w:r>
      <w:r w:rsidR="007344B6" w:rsidRPr="00F75DBD">
        <w:rPr>
          <w:rFonts w:ascii="Century Gothic" w:hAnsi="Century Gothic"/>
        </w:rPr>
        <w:t xml:space="preserve"> It includes maintaining the independence of these institutions and appointing (and maintaining) members on merit. I hope that the proposed Commonwealth Integrity Commission</w:t>
      </w:r>
      <w:r w:rsidR="007344B6" w:rsidRPr="00F75DBD">
        <w:rPr>
          <w:rStyle w:val="FootnoteReference"/>
          <w:rFonts w:ascii="Century Gothic" w:hAnsi="Century Gothic"/>
        </w:rPr>
        <w:footnoteReference w:id="64"/>
      </w:r>
      <w:r w:rsidR="007344B6" w:rsidRPr="00F75DBD">
        <w:rPr>
          <w:rFonts w:ascii="Century Gothic" w:hAnsi="Century Gothic"/>
        </w:rPr>
        <w:t xml:space="preserve"> may provide another, effective mechanism. What evidently cannot be done is to leave these matters to individuals entrusted with the ethical </w:t>
      </w:r>
      <w:r w:rsidR="00D02932" w:rsidRPr="00F75DBD">
        <w:rPr>
          <w:rFonts w:ascii="Century Gothic" w:hAnsi="Century Gothic"/>
        </w:rPr>
        <w:t>government</w:t>
      </w:r>
      <w:r w:rsidR="007344B6" w:rsidRPr="00F75DBD">
        <w:rPr>
          <w:rFonts w:ascii="Century Gothic" w:hAnsi="Century Gothic"/>
        </w:rPr>
        <w:t xml:space="preserve"> of our most vulnerable and powerless, in the hope that they will carry out their duties.</w:t>
      </w:r>
    </w:p>
    <w:p w:rsidR="00CD16F2" w:rsidRPr="00F75DBD" w:rsidRDefault="00CD16F2" w:rsidP="00732DB1">
      <w:pPr>
        <w:jc w:val="both"/>
        <w:rPr>
          <w:rFonts w:ascii="Century Gothic" w:hAnsi="Century Gothic"/>
        </w:rPr>
      </w:pPr>
    </w:p>
    <w:p w:rsidR="00CD16F2" w:rsidRPr="00F75DBD" w:rsidRDefault="00CD16F2" w:rsidP="00732DB1">
      <w:pPr>
        <w:jc w:val="both"/>
        <w:rPr>
          <w:rFonts w:ascii="Century Gothic" w:hAnsi="Century Gothic"/>
        </w:rPr>
      </w:pPr>
    </w:p>
    <w:sectPr w:rsidR="00CD16F2" w:rsidRPr="00F75DBD" w:rsidSect="00924697">
      <w:headerReference w:type="default" r:id="rId10"/>
      <w:footerReference w:type="default" r:id="rId11"/>
      <w:headerReference w:type="first" r:id="rId12"/>
      <w:footerReference w:type="first" r:id="rId13"/>
      <w:pgSz w:w="11906" w:h="16838" w:code="9"/>
      <w:pgMar w:top="1276" w:right="1276" w:bottom="1531" w:left="1701" w:header="397"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BD" w:rsidRDefault="00F75DBD">
      <w:pPr>
        <w:spacing w:after="0" w:line="240" w:lineRule="auto"/>
      </w:pPr>
      <w:r>
        <w:separator/>
      </w:r>
    </w:p>
  </w:endnote>
  <w:endnote w:type="continuationSeparator" w:id="0">
    <w:p w:rsidR="00F75DBD" w:rsidRDefault="00F7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927497"/>
      <w:docPartObj>
        <w:docPartGallery w:val="Page Numbers (Bottom of Page)"/>
        <w:docPartUnique/>
      </w:docPartObj>
    </w:sdtPr>
    <w:sdtEndPr>
      <w:rPr>
        <w:noProof/>
      </w:rPr>
    </w:sdtEndPr>
    <w:sdtContent>
      <w:p w:rsidR="00F75DBD" w:rsidRDefault="00F75DBD">
        <w:pPr>
          <w:pStyle w:val="Footer"/>
          <w:jc w:val="righ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89"/>
          <w:gridCol w:w="170"/>
          <w:gridCol w:w="150"/>
          <w:gridCol w:w="2499"/>
          <w:gridCol w:w="170"/>
          <w:gridCol w:w="147"/>
          <w:gridCol w:w="2704"/>
        </w:tblGrid>
        <w:tr w:rsidR="00F75DBD" w:rsidRPr="00C854D2" w:rsidTr="00924697">
          <w:trPr>
            <w:trHeight w:val="113"/>
            <w:jc w:val="center"/>
          </w:trPr>
          <w:tc>
            <w:tcPr>
              <w:tcW w:w="1545" w:type="pct"/>
              <w:vMerge w:val="restart"/>
              <w:tcBorders>
                <w:top w:val="single" w:sz="4" w:space="0" w:color="4D4D4F"/>
              </w:tcBorders>
              <w:noWrap/>
              <w:tcMar>
                <w:top w:w="113" w:type="dxa"/>
              </w:tcMar>
            </w:tcPr>
            <w:p w:rsidR="00F75DBD" w:rsidRPr="00CE5066" w:rsidRDefault="00F75DBD" w:rsidP="00924697">
              <w:pPr>
                <w:pStyle w:val="Footer"/>
                <w:rPr>
                  <w:rFonts w:ascii="Century Gothic" w:hAnsi="Century Gothic" w:cs="Arial"/>
                  <w:color w:val="4D4D4F"/>
                  <w:sz w:val="15"/>
                  <w:szCs w:val="15"/>
                </w:rPr>
              </w:pPr>
              <w:r w:rsidRPr="00CE5066">
                <w:rPr>
                  <w:rFonts w:ascii="Century Gothic" w:hAnsi="Century Gothic" w:cs="Arial"/>
                  <w:color w:val="4D4D4F"/>
                  <w:sz w:val="15"/>
                  <w:szCs w:val="15"/>
                </w:rPr>
                <w:t xml:space="preserve">The University of Western Australia </w:t>
              </w:r>
            </w:p>
            <w:p w:rsidR="00F75DBD" w:rsidRPr="00CE5066" w:rsidRDefault="00F75DBD" w:rsidP="00924697">
              <w:pPr>
                <w:pStyle w:val="Footer"/>
                <w:rPr>
                  <w:rFonts w:ascii="Century Gothic" w:hAnsi="Century Gothic" w:cs="Arial"/>
                  <w:color w:val="4D4D4F"/>
                  <w:sz w:val="15"/>
                  <w:szCs w:val="15"/>
                </w:rPr>
              </w:pPr>
              <w:r>
                <w:rPr>
                  <w:rFonts w:ascii="Century Gothic" w:hAnsi="Century Gothic" w:cs="Arial"/>
                  <w:color w:val="4D4D4F"/>
                  <w:sz w:val="15"/>
                  <w:szCs w:val="15"/>
                </w:rPr>
                <w:t>Law School, M253</w:t>
              </w:r>
              <w:r w:rsidRPr="00CE5066">
                <w:rPr>
                  <w:rFonts w:ascii="Century Gothic" w:hAnsi="Century Gothic" w:cs="Arial"/>
                  <w:color w:val="4D4D4F"/>
                  <w:sz w:val="15"/>
                  <w:szCs w:val="15"/>
                </w:rPr>
                <w:t>, Perth WA 6009 Australia</w:t>
              </w:r>
            </w:p>
          </w:tc>
          <w:tc>
            <w:tcPr>
              <w:tcW w:w="126" w:type="pct"/>
              <w:noWrap/>
              <w:tcMar>
                <w:top w:w="0" w:type="dxa"/>
              </w:tcMar>
            </w:tcPr>
            <w:p w:rsidR="00F75DBD" w:rsidRPr="00CE5066" w:rsidRDefault="00F75DBD" w:rsidP="00924697">
              <w:pPr>
                <w:pStyle w:val="Footer"/>
                <w:rPr>
                  <w:rFonts w:ascii="Century Gothic" w:hAnsi="Century Gothic" w:cs="Arial"/>
                  <w:sz w:val="15"/>
                  <w:szCs w:val="15"/>
                </w:rPr>
              </w:pPr>
            </w:p>
          </w:tc>
          <w:tc>
            <w:tcPr>
              <w:tcW w:w="115" w:type="pct"/>
              <w:tcBorders>
                <w:top w:val="single" w:sz="4" w:space="0" w:color="4D4D4F"/>
              </w:tcBorders>
              <w:noWrap/>
              <w:tcMar>
                <w:top w:w="0" w:type="dxa"/>
              </w:tcMar>
            </w:tcPr>
            <w:p w:rsidR="00F75DBD" w:rsidRPr="00CE5066" w:rsidRDefault="00F75DBD" w:rsidP="00924697">
              <w:pPr>
                <w:pStyle w:val="Footer"/>
                <w:rPr>
                  <w:rFonts w:ascii="Century Gothic" w:hAnsi="Century Gothic" w:cs="Arial"/>
                  <w:b/>
                  <w:color w:val="21409A"/>
                  <w:sz w:val="15"/>
                  <w:szCs w:val="15"/>
                </w:rPr>
              </w:pPr>
              <w:r w:rsidRPr="00CE5066">
                <w:rPr>
                  <w:rFonts w:ascii="Century Gothic" w:hAnsi="Century Gothic" w:cs="Arial"/>
                  <w:b/>
                  <w:color w:val="21409A"/>
                  <w:sz w:val="15"/>
                  <w:szCs w:val="15"/>
                </w:rPr>
                <w:t>T</w:t>
              </w:r>
            </w:p>
          </w:tc>
          <w:tc>
            <w:tcPr>
              <w:tcW w:w="1430" w:type="pct"/>
              <w:tcBorders>
                <w:top w:val="single" w:sz="4" w:space="0" w:color="4D4D4F"/>
              </w:tcBorders>
              <w:tcMar>
                <w:top w:w="0" w:type="dxa"/>
              </w:tcMar>
            </w:tcPr>
            <w:p w:rsidR="00F75DBD" w:rsidRPr="00CE5066" w:rsidRDefault="00F75DBD" w:rsidP="00924697">
              <w:pPr>
                <w:pStyle w:val="Footer"/>
                <w:rPr>
                  <w:rFonts w:ascii="Century Gothic" w:hAnsi="Century Gothic" w:cs="Arial"/>
                  <w:sz w:val="15"/>
                  <w:szCs w:val="15"/>
                </w:rPr>
              </w:pPr>
              <w:r w:rsidRPr="00CE5066">
                <w:rPr>
                  <w:rFonts w:ascii="Century Gothic" w:hAnsi="Century Gothic" w:cs="Arial"/>
                  <w:color w:val="4D4D4F"/>
                  <w:sz w:val="15"/>
                  <w:szCs w:val="15"/>
                </w:rPr>
                <w:t xml:space="preserve">+61 8 6488 </w:t>
              </w:r>
              <w:r>
                <w:rPr>
                  <w:rFonts w:ascii="Century Gothic" w:hAnsi="Century Gothic" w:cs="Arial"/>
                  <w:color w:val="4D4D4F"/>
                  <w:sz w:val="15"/>
                  <w:szCs w:val="15"/>
                </w:rPr>
                <w:t>2740</w:t>
              </w:r>
            </w:p>
          </w:tc>
          <w:tc>
            <w:tcPr>
              <w:tcW w:w="126" w:type="pct"/>
              <w:noWrap/>
              <w:tcMar>
                <w:top w:w="0" w:type="dxa"/>
              </w:tcMar>
            </w:tcPr>
            <w:p w:rsidR="00F75DBD" w:rsidRPr="00CE5066" w:rsidRDefault="00F75DBD" w:rsidP="00924697">
              <w:pPr>
                <w:pStyle w:val="Footer"/>
                <w:rPr>
                  <w:rFonts w:ascii="Century Gothic" w:hAnsi="Century Gothic" w:cs="Arial"/>
                  <w:sz w:val="15"/>
                  <w:szCs w:val="15"/>
                </w:rPr>
              </w:pPr>
            </w:p>
          </w:tc>
          <w:tc>
            <w:tcPr>
              <w:tcW w:w="113" w:type="pct"/>
              <w:tcBorders>
                <w:top w:val="single" w:sz="4" w:space="0" w:color="4D4D4F"/>
              </w:tcBorders>
              <w:noWrap/>
              <w:tcMar>
                <w:top w:w="0" w:type="dxa"/>
              </w:tcMar>
            </w:tcPr>
            <w:p w:rsidR="00F75DBD" w:rsidRPr="00CE5066" w:rsidRDefault="00F75DBD" w:rsidP="00924697">
              <w:pPr>
                <w:pStyle w:val="Footer"/>
                <w:rPr>
                  <w:rFonts w:ascii="Century Gothic" w:hAnsi="Century Gothic" w:cs="Arial"/>
                  <w:sz w:val="15"/>
                  <w:szCs w:val="15"/>
                </w:rPr>
              </w:pPr>
              <w:r w:rsidRPr="00CE5066">
                <w:rPr>
                  <w:rFonts w:ascii="Century Gothic" w:hAnsi="Century Gothic" w:cs="Arial"/>
                  <w:b/>
                  <w:color w:val="21409A"/>
                  <w:sz w:val="15"/>
                  <w:szCs w:val="15"/>
                </w:rPr>
                <w:t>E</w:t>
              </w:r>
            </w:p>
          </w:tc>
          <w:tc>
            <w:tcPr>
              <w:tcW w:w="1545" w:type="pct"/>
              <w:tcBorders>
                <w:top w:val="single" w:sz="4" w:space="0" w:color="4D4D4F"/>
              </w:tcBorders>
              <w:tcMar>
                <w:top w:w="0" w:type="dxa"/>
              </w:tcMar>
            </w:tcPr>
            <w:p w:rsidR="00F75DBD" w:rsidRPr="00CE5066" w:rsidRDefault="00F75DBD" w:rsidP="00924697">
              <w:pPr>
                <w:pStyle w:val="Footer"/>
                <w:rPr>
                  <w:rFonts w:ascii="Century Gothic" w:hAnsi="Century Gothic" w:cs="Arial"/>
                  <w:sz w:val="15"/>
                  <w:szCs w:val="15"/>
                </w:rPr>
              </w:pPr>
              <w:r>
                <w:rPr>
                  <w:rFonts w:ascii="Century Gothic" w:hAnsi="Century Gothic" w:cs="Arial"/>
                  <w:color w:val="4D4D4F"/>
                  <w:sz w:val="15"/>
                  <w:szCs w:val="15"/>
                </w:rPr>
                <w:t>elise.bant</w:t>
              </w:r>
              <w:r w:rsidRPr="00CE5066">
                <w:rPr>
                  <w:rFonts w:ascii="Century Gothic" w:hAnsi="Century Gothic" w:cs="Arial"/>
                  <w:color w:val="4D4D4F"/>
                  <w:sz w:val="15"/>
                  <w:szCs w:val="15"/>
                </w:rPr>
                <w:t>@uwa.edu.au</w:t>
              </w:r>
            </w:p>
          </w:tc>
        </w:tr>
        <w:tr w:rsidR="00F75DBD" w:rsidRPr="00C854D2" w:rsidTr="00924697">
          <w:trPr>
            <w:jc w:val="center"/>
          </w:trPr>
          <w:tc>
            <w:tcPr>
              <w:tcW w:w="1545" w:type="pct"/>
              <w:vMerge/>
            </w:tcPr>
            <w:p w:rsidR="00F75DBD" w:rsidRPr="00CE5066" w:rsidRDefault="00F75DBD" w:rsidP="00924697">
              <w:pPr>
                <w:pStyle w:val="Footer"/>
                <w:rPr>
                  <w:rFonts w:ascii="Century Gothic" w:hAnsi="Century Gothic" w:cs="Arial"/>
                  <w:color w:val="4D4D4F"/>
                  <w:sz w:val="15"/>
                  <w:szCs w:val="15"/>
                </w:rPr>
              </w:pPr>
            </w:p>
          </w:tc>
          <w:tc>
            <w:tcPr>
              <w:tcW w:w="126" w:type="pct"/>
            </w:tcPr>
            <w:p w:rsidR="00F75DBD" w:rsidRPr="00CE5066" w:rsidRDefault="00F75DBD" w:rsidP="00924697">
              <w:pPr>
                <w:pStyle w:val="Footer"/>
                <w:rPr>
                  <w:rFonts w:ascii="Century Gothic" w:hAnsi="Century Gothic" w:cs="Arial"/>
                  <w:sz w:val="15"/>
                  <w:szCs w:val="15"/>
                </w:rPr>
              </w:pPr>
            </w:p>
          </w:tc>
          <w:tc>
            <w:tcPr>
              <w:tcW w:w="115" w:type="pct"/>
            </w:tcPr>
            <w:p w:rsidR="00F75DBD" w:rsidRPr="00CE5066" w:rsidRDefault="00F75DBD" w:rsidP="00924697">
              <w:pPr>
                <w:pStyle w:val="Footer"/>
                <w:rPr>
                  <w:rFonts w:ascii="Century Gothic" w:hAnsi="Century Gothic" w:cs="Arial"/>
                  <w:sz w:val="15"/>
                  <w:szCs w:val="15"/>
                </w:rPr>
              </w:pPr>
            </w:p>
          </w:tc>
          <w:tc>
            <w:tcPr>
              <w:tcW w:w="1430" w:type="pct"/>
            </w:tcPr>
            <w:p w:rsidR="00F75DBD" w:rsidRPr="00CE5066" w:rsidRDefault="00F75DBD" w:rsidP="00924697">
              <w:pPr>
                <w:pStyle w:val="Footer"/>
                <w:rPr>
                  <w:rFonts w:ascii="Century Gothic" w:hAnsi="Century Gothic" w:cs="Arial"/>
                  <w:sz w:val="15"/>
                  <w:szCs w:val="15"/>
                </w:rPr>
              </w:pPr>
            </w:p>
          </w:tc>
          <w:tc>
            <w:tcPr>
              <w:tcW w:w="126" w:type="pct"/>
            </w:tcPr>
            <w:p w:rsidR="00F75DBD" w:rsidRPr="00CE5066" w:rsidRDefault="00F75DBD" w:rsidP="00924697">
              <w:pPr>
                <w:pStyle w:val="Footer"/>
                <w:rPr>
                  <w:rFonts w:ascii="Century Gothic" w:hAnsi="Century Gothic" w:cs="Arial"/>
                  <w:sz w:val="15"/>
                  <w:szCs w:val="15"/>
                </w:rPr>
              </w:pPr>
            </w:p>
          </w:tc>
          <w:tc>
            <w:tcPr>
              <w:tcW w:w="1658" w:type="pct"/>
              <w:gridSpan w:val="2"/>
            </w:tcPr>
            <w:p w:rsidR="00F75DBD" w:rsidRPr="00CE5066" w:rsidRDefault="00F75DBD" w:rsidP="00924697">
              <w:pPr>
                <w:pStyle w:val="Footer"/>
                <w:spacing w:before="40"/>
                <w:rPr>
                  <w:rFonts w:ascii="Century Gothic" w:hAnsi="Century Gothic" w:cs="Arial"/>
                  <w:sz w:val="10"/>
                  <w:szCs w:val="10"/>
                </w:rPr>
              </w:pPr>
              <w:r w:rsidRPr="00CE5066">
                <w:rPr>
                  <w:rFonts w:ascii="Century Gothic" w:hAnsi="Century Gothic" w:cs="Arial"/>
                  <w:color w:val="4D4D4F"/>
                  <w:sz w:val="10"/>
                  <w:szCs w:val="10"/>
                </w:rPr>
                <w:t>CRICOS Provider Code 00126G</w:t>
              </w:r>
            </w:p>
          </w:tc>
        </w:tr>
      </w:tbl>
      <w:p w:rsidR="00F75DBD" w:rsidRDefault="00F75DBD">
        <w:pPr>
          <w:pStyle w:val="Footer"/>
          <w:jc w:val="right"/>
        </w:pPr>
        <w:r>
          <w:fldChar w:fldCharType="begin"/>
        </w:r>
        <w:r>
          <w:instrText xml:space="preserve"> PAGE   \* MERGEFORMAT </w:instrText>
        </w:r>
        <w:r>
          <w:fldChar w:fldCharType="separate"/>
        </w:r>
        <w:r w:rsidR="001B19C2">
          <w:rPr>
            <w:noProof/>
          </w:rPr>
          <w:t>22</w:t>
        </w:r>
        <w:r>
          <w:rPr>
            <w:noProof/>
          </w:rPr>
          <w:fldChar w:fldCharType="end"/>
        </w:r>
      </w:p>
    </w:sdtContent>
  </w:sdt>
  <w:p w:rsidR="00F75DBD" w:rsidRDefault="00F75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20939"/>
      <w:docPartObj>
        <w:docPartGallery w:val="Page Numbers (Bottom of Page)"/>
        <w:docPartUnique/>
      </w:docPartObj>
    </w:sdtPr>
    <w:sdtEndPr>
      <w:rPr>
        <w:noProof/>
      </w:rPr>
    </w:sdtEndPr>
    <w:sdtContent>
      <w:p w:rsidR="00F75DBD" w:rsidRDefault="00F75DBD">
        <w:pPr>
          <w:pStyle w:val="Footer"/>
          <w:jc w:val="righ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89"/>
          <w:gridCol w:w="170"/>
          <w:gridCol w:w="150"/>
          <w:gridCol w:w="2499"/>
          <w:gridCol w:w="170"/>
          <w:gridCol w:w="147"/>
          <w:gridCol w:w="2704"/>
        </w:tblGrid>
        <w:tr w:rsidR="00F75DBD" w:rsidRPr="00C854D2" w:rsidTr="00924697">
          <w:trPr>
            <w:trHeight w:val="113"/>
            <w:jc w:val="center"/>
          </w:trPr>
          <w:tc>
            <w:tcPr>
              <w:tcW w:w="1545" w:type="pct"/>
              <w:vMerge w:val="restart"/>
              <w:tcBorders>
                <w:top w:val="single" w:sz="4" w:space="0" w:color="4D4D4F"/>
              </w:tcBorders>
              <w:noWrap/>
              <w:tcMar>
                <w:top w:w="113" w:type="dxa"/>
              </w:tcMar>
            </w:tcPr>
            <w:p w:rsidR="00F75DBD" w:rsidRPr="00CE5066" w:rsidRDefault="00F75DBD" w:rsidP="00924697">
              <w:pPr>
                <w:pStyle w:val="Footer"/>
                <w:rPr>
                  <w:rFonts w:ascii="Century Gothic" w:hAnsi="Century Gothic" w:cs="Arial"/>
                  <w:color w:val="4D4D4F"/>
                  <w:sz w:val="15"/>
                  <w:szCs w:val="15"/>
                </w:rPr>
              </w:pPr>
              <w:r w:rsidRPr="00CE5066">
                <w:rPr>
                  <w:rFonts w:ascii="Century Gothic" w:hAnsi="Century Gothic" w:cs="Arial"/>
                  <w:color w:val="4D4D4F"/>
                  <w:sz w:val="15"/>
                  <w:szCs w:val="15"/>
                </w:rPr>
                <w:t xml:space="preserve">The University of Western Australia </w:t>
              </w:r>
            </w:p>
            <w:p w:rsidR="00F75DBD" w:rsidRPr="00CE5066" w:rsidRDefault="00F75DBD" w:rsidP="00924697">
              <w:pPr>
                <w:pStyle w:val="Footer"/>
                <w:rPr>
                  <w:rFonts w:ascii="Century Gothic" w:hAnsi="Century Gothic" w:cs="Arial"/>
                  <w:color w:val="4D4D4F"/>
                  <w:sz w:val="15"/>
                  <w:szCs w:val="15"/>
                </w:rPr>
              </w:pPr>
              <w:r>
                <w:rPr>
                  <w:rFonts w:ascii="Century Gothic" w:hAnsi="Century Gothic" w:cs="Arial"/>
                  <w:color w:val="4D4D4F"/>
                  <w:sz w:val="15"/>
                  <w:szCs w:val="15"/>
                </w:rPr>
                <w:t>Law School, M253</w:t>
              </w:r>
              <w:r w:rsidRPr="00CE5066">
                <w:rPr>
                  <w:rFonts w:ascii="Century Gothic" w:hAnsi="Century Gothic" w:cs="Arial"/>
                  <w:color w:val="4D4D4F"/>
                  <w:sz w:val="15"/>
                  <w:szCs w:val="15"/>
                </w:rPr>
                <w:t>, Perth WA 6009 Australia</w:t>
              </w:r>
            </w:p>
          </w:tc>
          <w:tc>
            <w:tcPr>
              <w:tcW w:w="126" w:type="pct"/>
              <w:noWrap/>
              <w:tcMar>
                <w:top w:w="0" w:type="dxa"/>
              </w:tcMar>
            </w:tcPr>
            <w:p w:rsidR="00F75DBD" w:rsidRPr="00CE5066" w:rsidRDefault="00F75DBD" w:rsidP="00924697">
              <w:pPr>
                <w:pStyle w:val="Footer"/>
                <w:rPr>
                  <w:rFonts w:ascii="Century Gothic" w:hAnsi="Century Gothic" w:cs="Arial"/>
                  <w:sz w:val="15"/>
                  <w:szCs w:val="15"/>
                </w:rPr>
              </w:pPr>
            </w:p>
          </w:tc>
          <w:tc>
            <w:tcPr>
              <w:tcW w:w="115" w:type="pct"/>
              <w:tcBorders>
                <w:top w:val="single" w:sz="4" w:space="0" w:color="4D4D4F"/>
              </w:tcBorders>
              <w:noWrap/>
              <w:tcMar>
                <w:top w:w="0" w:type="dxa"/>
              </w:tcMar>
            </w:tcPr>
            <w:p w:rsidR="00F75DBD" w:rsidRPr="00CE5066" w:rsidRDefault="00F75DBD" w:rsidP="00924697">
              <w:pPr>
                <w:pStyle w:val="Footer"/>
                <w:rPr>
                  <w:rFonts w:ascii="Century Gothic" w:hAnsi="Century Gothic" w:cs="Arial"/>
                  <w:b/>
                  <w:color w:val="21409A"/>
                  <w:sz w:val="15"/>
                  <w:szCs w:val="15"/>
                </w:rPr>
              </w:pPr>
              <w:r w:rsidRPr="00CE5066">
                <w:rPr>
                  <w:rFonts w:ascii="Century Gothic" w:hAnsi="Century Gothic" w:cs="Arial"/>
                  <w:b/>
                  <w:color w:val="21409A"/>
                  <w:sz w:val="15"/>
                  <w:szCs w:val="15"/>
                </w:rPr>
                <w:t>T</w:t>
              </w:r>
            </w:p>
          </w:tc>
          <w:tc>
            <w:tcPr>
              <w:tcW w:w="1430" w:type="pct"/>
              <w:tcBorders>
                <w:top w:val="single" w:sz="4" w:space="0" w:color="4D4D4F"/>
              </w:tcBorders>
              <w:tcMar>
                <w:top w:w="0" w:type="dxa"/>
              </w:tcMar>
            </w:tcPr>
            <w:p w:rsidR="00F75DBD" w:rsidRPr="00CE5066" w:rsidRDefault="00F75DBD" w:rsidP="00924697">
              <w:pPr>
                <w:pStyle w:val="Footer"/>
                <w:rPr>
                  <w:rFonts w:ascii="Century Gothic" w:hAnsi="Century Gothic" w:cs="Arial"/>
                  <w:sz w:val="15"/>
                  <w:szCs w:val="15"/>
                </w:rPr>
              </w:pPr>
              <w:r w:rsidRPr="00CE5066">
                <w:rPr>
                  <w:rFonts w:ascii="Century Gothic" w:hAnsi="Century Gothic" w:cs="Arial"/>
                  <w:color w:val="4D4D4F"/>
                  <w:sz w:val="15"/>
                  <w:szCs w:val="15"/>
                </w:rPr>
                <w:t xml:space="preserve">+61 8 6488 </w:t>
              </w:r>
              <w:r>
                <w:rPr>
                  <w:rFonts w:ascii="Century Gothic" w:hAnsi="Century Gothic" w:cs="Arial"/>
                  <w:color w:val="4D4D4F"/>
                  <w:sz w:val="15"/>
                  <w:szCs w:val="15"/>
                </w:rPr>
                <w:t>2740</w:t>
              </w:r>
            </w:p>
          </w:tc>
          <w:tc>
            <w:tcPr>
              <w:tcW w:w="126" w:type="pct"/>
              <w:noWrap/>
              <w:tcMar>
                <w:top w:w="0" w:type="dxa"/>
              </w:tcMar>
            </w:tcPr>
            <w:p w:rsidR="00F75DBD" w:rsidRPr="00CE5066" w:rsidRDefault="00F75DBD" w:rsidP="00924697">
              <w:pPr>
                <w:pStyle w:val="Footer"/>
                <w:rPr>
                  <w:rFonts w:ascii="Century Gothic" w:hAnsi="Century Gothic" w:cs="Arial"/>
                  <w:sz w:val="15"/>
                  <w:szCs w:val="15"/>
                </w:rPr>
              </w:pPr>
            </w:p>
          </w:tc>
          <w:tc>
            <w:tcPr>
              <w:tcW w:w="113" w:type="pct"/>
              <w:tcBorders>
                <w:top w:val="single" w:sz="4" w:space="0" w:color="4D4D4F"/>
              </w:tcBorders>
              <w:noWrap/>
              <w:tcMar>
                <w:top w:w="0" w:type="dxa"/>
              </w:tcMar>
            </w:tcPr>
            <w:p w:rsidR="00F75DBD" w:rsidRPr="00CE5066" w:rsidRDefault="00F75DBD" w:rsidP="00924697">
              <w:pPr>
                <w:pStyle w:val="Footer"/>
                <w:rPr>
                  <w:rFonts w:ascii="Century Gothic" w:hAnsi="Century Gothic" w:cs="Arial"/>
                  <w:sz w:val="15"/>
                  <w:szCs w:val="15"/>
                </w:rPr>
              </w:pPr>
              <w:r w:rsidRPr="00CE5066">
                <w:rPr>
                  <w:rFonts w:ascii="Century Gothic" w:hAnsi="Century Gothic" w:cs="Arial"/>
                  <w:b/>
                  <w:color w:val="21409A"/>
                  <w:sz w:val="15"/>
                  <w:szCs w:val="15"/>
                </w:rPr>
                <w:t>E</w:t>
              </w:r>
            </w:p>
          </w:tc>
          <w:tc>
            <w:tcPr>
              <w:tcW w:w="1545" w:type="pct"/>
              <w:tcBorders>
                <w:top w:val="single" w:sz="4" w:space="0" w:color="4D4D4F"/>
              </w:tcBorders>
              <w:tcMar>
                <w:top w:w="0" w:type="dxa"/>
              </w:tcMar>
            </w:tcPr>
            <w:p w:rsidR="00F75DBD" w:rsidRPr="00CE5066" w:rsidRDefault="00F75DBD" w:rsidP="00924697">
              <w:pPr>
                <w:pStyle w:val="Footer"/>
                <w:rPr>
                  <w:rFonts w:ascii="Century Gothic" w:hAnsi="Century Gothic" w:cs="Arial"/>
                  <w:sz w:val="15"/>
                  <w:szCs w:val="15"/>
                </w:rPr>
              </w:pPr>
              <w:r>
                <w:rPr>
                  <w:rFonts w:ascii="Century Gothic" w:hAnsi="Century Gothic" w:cs="Arial"/>
                  <w:color w:val="4D4D4F"/>
                  <w:sz w:val="15"/>
                  <w:szCs w:val="15"/>
                </w:rPr>
                <w:t>elise.bant</w:t>
              </w:r>
              <w:r w:rsidRPr="00CE5066">
                <w:rPr>
                  <w:rFonts w:ascii="Century Gothic" w:hAnsi="Century Gothic" w:cs="Arial"/>
                  <w:color w:val="4D4D4F"/>
                  <w:sz w:val="15"/>
                  <w:szCs w:val="15"/>
                </w:rPr>
                <w:t>@uwa.edu.au</w:t>
              </w:r>
            </w:p>
          </w:tc>
        </w:tr>
        <w:tr w:rsidR="00F75DBD" w:rsidRPr="00C854D2" w:rsidTr="00924697">
          <w:trPr>
            <w:jc w:val="center"/>
          </w:trPr>
          <w:tc>
            <w:tcPr>
              <w:tcW w:w="1545" w:type="pct"/>
              <w:vMerge/>
            </w:tcPr>
            <w:p w:rsidR="00F75DBD" w:rsidRPr="00CE5066" w:rsidRDefault="00F75DBD" w:rsidP="00924697">
              <w:pPr>
                <w:pStyle w:val="Footer"/>
                <w:rPr>
                  <w:rFonts w:ascii="Century Gothic" w:hAnsi="Century Gothic" w:cs="Arial"/>
                  <w:color w:val="4D4D4F"/>
                  <w:sz w:val="15"/>
                  <w:szCs w:val="15"/>
                </w:rPr>
              </w:pPr>
            </w:p>
          </w:tc>
          <w:tc>
            <w:tcPr>
              <w:tcW w:w="126" w:type="pct"/>
            </w:tcPr>
            <w:p w:rsidR="00F75DBD" w:rsidRPr="00CE5066" w:rsidRDefault="00F75DBD" w:rsidP="00924697">
              <w:pPr>
                <w:pStyle w:val="Footer"/>
                <w:rPr>
                  <w:rFonts w:ascii="Century Gothic" w:hAnsi="Century Gothic" w:cs="Arial"/>
                  <w:sz w:val="15"/>
                  <w:szCs w:val="15"/>
                </w:rPr>
              </w:pPr>
            </w:p>
          </w:tc>
          <w:tc>
            <w:tcPr>
              <w:tcW w:w="115" w:type="pct"/>
            </w:tcPr>
            <w:p w:rsidR="00F75DBD" w:rsidRPr="00CE5066" w:rsidRDefault="00F75DBD" w:rsidP="00924697">
              <w:pPr>
                <w:pStyle w:val="Footer"/>
                <w:rPr>
                  <w:rFonts w:ascii="Century Gothic" w:hAnsi="Century Gothic" w:cs="Arial"/>
                  <w:sz w:val="15"/>
                  <w:szCs w:val="15"/>
                </w:rPr>
              </w:pPr>
            </w:p>
          </w:tc>
          <w:tc>
            <w:tcPr>
              <w:tcW w:w="1430" w:type="pct"/>
            </w:tcPr>
            <w:p w:rsidR="00F75DBD" w:rsidRPr="00CE5066" w:rsidRDefault="00F75DBD" w:rsidP="00924697">
              <w:pPr>
                <w:pStyle w:val="Footer"/>
                <w:rPr>
                  <w:rFonts w:ascii="Century Gothic" w:hAnsi="Century Gothic" w:cs="Arial"/>
                  <w:sz w:val="15"/>
                  <w:szCs w:val="15"/>
                </w:rPr>
              </w:pPr>
            </w:p>
          </w:tc>
          <w:tc>
            <w:tcPr>
              <w:tcW w:w="126" w:type="pct"/>
            </w:tcPr>
            <w:p w:rsidR="00F75DBD" w:rsidRPr="00CE5066" w:rsidRDefault="00F75DBD" w:rsidP="00924697">
              <w:pPr>
                <w:pStyle w:val="Footer"/>
                <w:rPr>
                  <w:rFonts w:ascii="Century Gothic" w:hAnsi="Century Gothic" w:cs="Arial"/>
                  <w:sz w:val="15"/>
                  <w:szCs w:val="15"/>
                </w:rPr>
              </w:pPr>
            </w:p>
          </w:tc>
          <w:tc>
            <w:tcPr>
              <w:tcW w:w="1658" w:type="pct"/>
              <w:gridSpan w:val="2"/>
            </w:tcPr>
            <w:p w:rsidR="00F75DBD" w:rsidRPr="00CE5066" w:rsidRDefault="00F75DBD" w:rsidP="00924697">
              <w:pPr>
                <w:pStyle w:val="Footer"/>
                <w:spacing w:before="40"/>
                <w:rPr>
                  <w:rFonts w:ascii="Century Gothic" w:hAnsi="Century Gothic" w:cs="Arial"/>
                  <w:sz w:val="10"/>
                  <w:szCs w:val="10"/>
                </w:rPr>
              </w:pPr>
              <w:r w:rsidRPr="00CE5066">
                <w:rPr>
                  <w:rFonts w:ascii="Century Gothic" w:hAnsi="Century Gothic" w:cs="Arial"/>
                  <w:color w:val="4D4D4F"/>
                  <w:sz w:val="10"/>
                  <w:szCs w:val="10"/>
                </w:rPr>
                <w:t>CRICOS Provider Code 00126G</w:t>
              </w:r>
            </w:p>
          </w:tc>
        </w:tr>
      </w:tbl>
      <w:p w:rsidR="00F75DBD" w:rsidRDefault="00F75DBD">
        <w:pPr>
          <w:pStyle w:val="Footer"/>
          <w:jc w:val="right"/>
        </w:pPr>
        <w:r>
          <w:fldChar w:fldCharType="begin"/>
        </w:r>
        <w:r>
          <w:instrText xml:space="preserve"> PAGE   \* MERGEFORMAT </w:instrText>
        </w:r>
        <w:r>
          <w:fldChar w:fldCharType="separate"/>
        </w:r>
        <w:r w:rsidR="001B19C2">
          <w:rPr>
            <w:noProof/>
          </w:rPr>
          <w:t>1</w:t>
        </w:r>
        <w:r>
          <w:rPr>
            <w:noProof/>
          </w:rPr>
          <w:fldChar w:fldCharType="end"/>
        </w:r>
      </w:p>
    </w:sdtContent>
  </w:sdt>
  <w:p w:rsidR="00F75DBD" w:rsidRDefault="00F75DBD" w:rsidP="00924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BD" w:rsidRDefault="00F75DBD">
      <w:pPr>
        <w:spacing w:after="0" w:line="240" w:lineRule="auto"/>
      </w:pPr>
      <w:r>
        <w:separator/>
      </w:r>
    </w:p>
  </w:footnote>
  <w:footnote w:type="continuationSeparator" w:id="0">
    <w:p w:rsidR="00F75DBD" w:rsidRDefault="00F75DBD">
      <w:pPr>
        <w:spacing w:after="0" w:line="240" w:lineRule="auto"/>
      </w:pPr>
      <w:r>
        <w:continuationSeparator/>
      </w:r>
    </w:p>
  </w:footnote>
  <w:footnote w:id="1">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E Bant, ‘Culpable Corporate Minds’ (2021) 48 </w:t>
      </w:r>
      <w:r w:rsidRPr="00DE0A84">
        <w:rPr>
          <w:rFonts w:ascii="Century Gothic" w:hAnsi="Century Gothic"/>
          <w:i/>
          <w:sz w:val="18"/>
          <w:szCs w:val="18"/>
        </w:rPr>
        <w:t>University of Western Australia Law Review</w:t>
      </w:r>
      <w:r w:rsidRPr="00DE0A84">
        <w:rPr>
          <w:rFonts w:ascii="Century Gothic" w:hAnsi="Century Gothic"/>
          <w:i/>
          <w:iCs/>
          <w:sz w:val="18"/>
          <w:szCs w:val="18"/>
        </w:rPr>
        <w:t xml:space="preserve"> </w:t>
      </w:r>
      <w:r w:rsidRPr="00DE0A84">
        <w:rPr>
          <w:rFonts w:ascii="Century Gothic" w:hAnsi="Century Gothic"/>
          <w:sz w:val="18"/>
          <w:szCs w:val="18"/>
        </w:rPr>
        <w:t>352; E Bant and JM Paterson, ‘Systems of Misconduct: Corporate Culpability and Statutory Unconscionability’ (2021) 15</w:t>
      </w:r>
      <w:r w:rsidRPr="00DE0A84">
        <w:rPr>
          <w:rFonts w:ascii="Century Gothic" w:hAnsi="Century Gothic"/>
          <w:i/>
          <w:sz w:val="18"/>
          <w:szCs w:val="18"/>
        </w:rPr>
        <w:t xml:space="preserve"> </w:t>
      </w:r>
      <w:r w:rsidRPr="00DE0A84">
        <w:rPr>
          <w:rFonts w:ascii="Century Gothic" w:hAnsi="Century Gothic"/>
          <w:i/>
          <w:iCs/>
          <w:sz w:val="18"/>
          <w:szCs w:val="18"/>
        </w:rPr>
        <w:t>Journal of Equity</w:t>
      </w:r>
      <w:r w:rsidRPr="00DE0A84">
        <w:rPr>
          <w:rFonts w:ascii="Century Gothic" w:hAnsi="Century Gothic"/>
          <w:i/>
          <w:sz w:val="18"/>
          <w:szCs w:val="18"/>
        </w:rPr>
        <w:t xml:space="preserve"> </w:t>
      </w:r>
      <w:r w:rsidRPr="00DE0A84">
        <w:rPr>
          <w:rFonts w:ascii="Century Gothic" w:hAnsi="Century Gothic"/>
          <w:sz w:val="18"/>
          <w:szCs w:val="18"/>
        </w:rPr>
        <w:t>63; JM Paterson, E Bant and H Cooney, ‘</w:t>
      </w:r>
      <w:r w:rsidRPr="00DE0A84">
        <w:rPr>
          <w:rFonts w:ascii="Century Gothic" w:hAnsi="Century Gothic"/>
          <w:i/>
          <w:sz w:val="18"/>
          <w:szCs w:val="18"/>
        </w:rPr>
        <w:t>Australian Competition and Consumer Commission v Google</w:t>
      </w:r>
      <w:r w:rsidRPr="00DE0A84">
        <w:rPr>
          <w:rFonts w:ascii="Century Gothic" w:hAnsi="Century Gothic"/>
          <w:sz w:val="18"/>
          <w:szCs w:val="18"/>
        </w:rPr>
        <w:t xml:space="preserve">: Deterring Misleading Conduct in Digital Privacy Policies’ (2021) 26  </w:t>
      </w:r>
      <w:r w:rsidRPr="00DE0A84">
        <w:rPr>
          <w:rFonts w:ascii="Century Gothic" w:hAnsi="Century Gothic"/>
          <w:i/>
          <w:sz w:val="18"/>
          <w:szCs w:val="18"/>
        </w:rPr>
        <w:t>Communications Law</w:t>
      </w:r>
      <w:r w:rsidRPr="00DE0A84">
        <w:rPr>
          <w:rFonts w:ascii="Century Gothic" w:hAnsi="Century Gothic"/>
          <w:sz w:val="18"/>
          <w:szCs w:val="18"/>
        </w:rPr>
        <w:t xml:space="preserve"> 136; E Bant, ‘Catching the Corporate Conscience: A New Model of ‘Systems Intentionality’ (2022) </w:t>
      </w:r>
      <w:r w:rsidRPr="00DE0A84">
        <w:rPr>
          <w:rFonts w:ascii="Century Gothic" w:hAnsi="Century Gothic"/>
          <w:i/>
          <w:iCs/>
          <w:sz w:val="18"/>
          <w:szCs w:val="18"/>
        </w:rPr>
        <w:t>Lloyds Maritime and Commercial Law Quarterly</w:t>
      </w:r>
      <w:r w:rsidRPr="00DE0A84">
        <w:rPr>
          <w:rFonts w:ascii="Century Gothic" w:hAnsi="Century Gothic"/>
          <w:sz w:val="18"/>
          <w:szCs w:val="18"/>
        </w:rPr>
        <w:t xml:space="preserve"> 467; E Bant, ‘Reforming the Laws of Corporate Attribution: “Systems Intentionality” Draft Statutory Provision’ (2022) </w:t>
      </w:r>
      <w:r w:rsidRPr="00DE0A84">
        <w:rPr>
          <w:rFonts w:ascii="Century Gothic" w:hAnsi="Century Gothic"/>
          <w:i/>
          <w:sz w:val="18"/>
          <w:szCs w:val="18"/>
        </w:rPr>
        <w:t>Company &amp; Securities Law Journal</w:t>
      </w:r>
      <w:r w:rsidRPr="00DE0A84">
        <w:rPr>
          <w:rFonts w:ascii="Century Gothic" w:hAnsi="Century Gothic"/>
          <w:sz w:val="18"/>
          <w:szCs w:val="18"/>
        </w:rPr>
        <w:t xml:space="preserve"> (in press); E Bant, ‘</w:t>
      </w:r>
      <w:r w:rsidRPr="00DE0A84">
        <w:rPr>
          <w:rFonts w:ascii="Century Gothic" w:hAnsi="Century Gothic"/>
          <w:bCs/>
          <w:sz w:val="18"/>
          <w:szCs w:val="18"/>
        </w:rPr>
        <w:t xml:space="preserve">The Culpable Corporate Mind: Taxonomy and Synthesis’ (Chapter 1), ‘Systems Intentionality: Theory and Practice’ (Chapter 9), Modelling Corporate States of Mind through Systems Intentionality’ (Ch 11) and, with JM Paterson ‘Automated Mistakes’ (12), all in E Bant (ed) </w:t>
      </w:r>
      <w:r w:rsidRPr="00DE0A84">
        <w:rPr>
          <w:rFonts w:ascii="Century Gothic" w:hAnsi="Century Gothic"/>
          <w:bCs/>
          <w:i/>
          <w:sz w:val="18"/>
          <w:szCs w:val="18"/>
        </w:rPr>
        <w:t>The Culpable Corporate Mind</w:t>
      </w:r>
      <w:r w:rsidRPr="00DE0A84">
        <w:rPr>
          <w:rFonts w:ascii="Century Gothic" w:hAnsi="Century Gothic"/>
          <w:bCs/>
          <w:sz w:val="18"/>
          <w:szCs w:val="18"/>
        </w:rPr>
        <w:t xml:space="preserve"> (Hart Publishing 2023) (in press). In press publications available on request.</w:t>
      </w:r>
    </w:p>
  </w:footnote>
  <w:footnote w:id="2">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eastAsia="Times New Roman" w:hAnsi="Century Gothic" w:cs="Times New Roman"/>
          <w:sz w:val="18"/>
          <w:szCs w:val="18"/>
        </w:rPr>
        <w:t xml:space="preserve">State of Victoria, </w:t>
      </w:r>
      <w:r w:rsidRPr="00DE0A84">
        <w:rPr>
          <w:rFonts w:ascii="Century Gothic" w:eastAsia="Times New Roman" w:hAnsi="Century Gothic" w:cs="Times New Roman"/>
          <w:i/>
          <w:iCs/>
          <w:sz w:val="18"/>
          <w:szCs w:val="18"/>
        </w:rPr>
        <w:t xml:space="preserve">Royal Commission into the Casino Operator and Licence </w:t>
      </w:r>
      <w:r w:rsidRPr="00DE0A84">
        <w:rPr>
          <w:rFonts w:ascii="Century Gothic" w:eastAsia="Times New Roman" w:hAnsi="Century Gothic" w:cs="Times New Roman"/>
          <w:sz w:val="18"/>
          <w:szCs w:val="18"/>
        </w:rPr>
        <w:t xml:space="preserve">(The Report, October 2021) vol 1 (VCCOL Report) </w:t>
      </w:r>
      <w:r w:rsidRPr="00DE0A84">
        <w:rPr>
          <w:rFonts w:ascii="Century Gothic" w:hAnsi="Century Gothic" w:cs="Times New Roman"/>
          <w:sz w:val="18"/>
          <w:szCs w:val="18"/>
        </w:rPr>
        <w:t>174–8 [87]–[102], 58–9 [19]–[25].</w:t>
      </w:r>
    </w:p>
  </w:footnote>
  <w:footnote w:id="3">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eastAsia="Times New Roman" w:hAnsi="Century Gothic" w:cs="Times New Roman"/>
          <w:sz w:val="18"/>
          <w:szCs w:val="18"/>
        </w:rPr>
        <w:t xml:space="preserve">State of Western Australia, </w:t>
      </w:r>
      <w:r w:rsidRPr="00DE0A84">
        <w:rPr>
          <w:rFonts w:ascii="Century Gothic" w:eastAsia="Times New Roman" w:hAnsi="Century Gothic" w:cs="Times New Roman"/>
          <w:i/>
          <w:iCs/>
          <w:sz w:val="18"/>
          <w:szCs w:val="18"/>
        </w:rPr>
        <w:t xml:space="preserve">Perth Casino Royal Commission </w:t>
      </w:r>
      <w:r w:rsidRPr="00DE0A84">
        <w:rPr>
          <w:rFonts w:ascii="Century Gothic" w:eastAsia="Times New Roman" w:hAnsi="Century Gothic" w:cs="Times New Roman"/>
          <w:sz w:val="18"/>
          <w:szCs w:val="18"/>
        </w:rPr>
        <w:t>(Final Report, 4 March 2022)</w:t>
      </w:r>
      <w:r w:rsidRPr="00DE0A84">
        <w:rPr>
          <w:rFonts w:ascii="Century Gothic" w:hAnsi="Century Gothic" w:cs="Times New Roman"/>
          <w:sz w:val="18"/>
          <w:szCs w:val="18"/>
        </w:rPr>
        <w:t xml:space="preserve"> 50–51 [1.61]–[1.64]</w:t>
      </w:r>
      <w:r w:rsidRPr="00DE0A84">
        <w:rPr>
          <w:rFonts w:ascii="Century Gothic" w:eastAsia="Times New Roman" w:hAnsi="Century Gothic" w:cs="Times New Roman"/>
          <w:sz w:val="18"/>
          <w:szCs w:val="18"/>
        </w:rPr>
        <w:t>.</w:t>
      </w:r>
    </w:p>
  </w:footnote>
  <w:footnote w:id="4">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State of New South Wales, Review of The Star Pty Ltd: Inquiry under sections 143 and 143A of the Casino Control Act 1992 (NSW) (Report, 31 August 2022) Chapter 6.3.</w:t>
      </w:r>
    </w:p>
  </w:footnote>
  <w:footnote w:id="5">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See, eg, </w:t>
      </w:r>
      <w:r w:rsidRPr="00DE0A84">
        <w:rPr>
          <w:rFonts w:ascii="Century Gothic" w:hAnsi="Century Gothic" w:cs="Times New Roman"/>
          <w:sz w:val="18"/>
          <w:szCs w:val="18"/>
        </w:rPr>
        <w:t xml:space="preserve">Peter A French, </w:t>
      </w:r>
      <w:r w:rsidRPr="00DE0A84">
        <w:rPr>
          <w:rFonts w:ascii="Century Gothic" w:hAnsi="Century Gothic" w:cs="Times New Roman"/>
          <w:i/>
          <w:iCs/>
          <w:sz w:val="18"/>
          <w:szCs w:val="18"/>
        </w:rPr>
        <w:t>Collective and Corporate Responsibility</w:t>
      </w:r>
      <w:r w:rsidRPr="00DE0A84">
        <w:rPr>
          <w:rFonts w:ascii="Century Gothic" w:hAnsi="Century Gothic" w:cs="Times New Roman"/>
          <w:sz w:val="18"/>
          <w:szCs w:val="18"/>
        </w:rPr>
        <w:t xml:space="preserve"> (Columbia University Press, 1984); Christian List and Philip Pettit, </w:t>
      </w:r>
      <w:r w:rsidRPr="00DE0A84">
        <w:rPr>
          <w:rFonts w:ascii="Century Gothic" w:hAnsi="Century Gothic" w:cs="Times New Roman"/>
          <w:i/>
          <w:sz w:val="18"/>
          <w:szCs w:val="18"/>
        </w:rPr>
        <w:t>Group Agency: The Possibility, Design and Status of Corporate Agents</w:t>
      </w:r>
      <w:r w:rsidRPr="00DE0A84">
        <w:rPr>
          <w:rFonts w:ascii="Century Gothic" w:hAnsi="Century Gothic" w:cs="Times New Roman"/>
          <w:sz w:val="18"/>
          <w:szCs w:val="18"/>
        </w:rPr>
        <w:t xml:space="preserve"> (Oxford University Press, 2011); Chris Chapple, </w:t>
      </w:r>
      <w:r w:rsidRPr="00DE0A84">
        <w:rPr>
          <w:rFonts w:ascii="Century Gothic" w:hAnsi="Century Gothic" w:cs="Times New Roman"/>
          <w:i/>
          <w:sz w:val="18"/>
          <w:szCs w:val="18"/>
        </w:rPr>
        <w:t>The Moral Responsibilities of Companies</w:t>
      </w:r>
      <w:r w:rsidRPr="00DE0A84">
        <w:rPr>
          <w:rFonts w:ascii="Century Gothic" w:hAnsi="Century Gothic" w:cs="Times New Roman"/>
          <w:sz w:val="18"/>
          <w:szCs w:val="18"/>
        </w:rPr>
        <w:t xml:space="preserve"> (Palgrave Macmillan, 2014).</w:t>
      </w:r>
    </w:p>
  </w:footnote>
  <w:footnote w:id="6">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iCs/>
          <w:sz w:val="18"/>
          <w:szCs w:val="18"/>
        </w:rPr>
        <w:t>Prygodicz v Commonwealth of Australia (No 2)</w:t>
      </w:r>
      <w:r w:rsidRPr="00DE0A84">
        <w:rPr>
          <w:rFonts w:ascii="Century Gothic" w:hAnsi="Century Gothic"/>
          <w:iCs/>
          <w:sz w:val="18"/>
          <w:szCs w:val="18"/>
        </w:rPr>
        <w:t xml:space="preserve"> [2021] FCA 634 [5] (Murphy J), extracted below at text to n </w:t>
      </w:r>
      <w:r w:rsidR="00DE0A84" w:rsidRPr="00DE0A84">
        <w:rPr>
          <w:rFonts w:ascii="Century Gothic" w:hAnsi="Century Gothic"/>
          <w:iCs/>
          <w:sz w:val="18"/>
          <w:szCs w:val="18"/>
        </w:rPr>
        <w:t>13</w:t>
      </w:r>
      <w:r w:rsidRPr="00DE0A84">
        <w:rPr>
          <w:rFonts w:ascii="Century Gothic" w:hAnsi="Century Gothic"/>
          <w:iCs/>
          <w:sz w:val="18"/>
          <w:szCs w:val="18"/>
        </w:rPr>
        <w:t>.</w:t>
      </w:r>
    </w:p>
  </w:footnote>
  <w:footnote w:id="7">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Terry Carney, ‘The New Digital Future for Welfare: Debts without legal proofs or moral authority?’ [2018]</w:t>
      </w:r>
      <w:r w:rsidRPr="00DE0A84">
        <w:rPr>
          <w:rFonts w:ascii="Century Gothic" w:hAnsi="Century Gothic"/>
          <w:i/>
          <w:iCs/>
          <w:sz w:val="18"/>
          <w:szCs w:val="18"/>
        </w:rPr>
        <w:t xml:space="preserve"> UNSW Law Journal Forum</w:t>
      </w:r>
      <w:r w:rsidRPr="00DE0A84">
        <w:rPr>
          <w:rFonts w:ascii="Century Gothic" w:hAnsi="Century Gothic"/>
          <w:iCs/>
          <w:sz w:val="18"/>
          <w:szCs w:val="18"/>
        </w:rPr>
        <w:t xml:space="preserve"> 1; Terry Carney, ‘Vulnerability: False Hope for Vulnerable Social Security Clients?’ (2018) 41(3) </w:t>
      </w:r>
      <w:r w:rsidRPr="00DE0A84">
        <w:rPr>
          <w:rFonts w:ascii="Century Gothic" w:hAnsi="Century Gothic"/>
          <w:i/>
          <w:iCs/>
          <w:sz w:val="18"/>
          <w:szCs w:val="18"/>
        </w:rPr>
        <w:t>UNSW Law Journal</w:t>
      </w:r>
      <w:r w:rsidRPr="00DE0A84">
        <w:rPr>
          <w:rFonts w:ascii="Century Gothic" w:hAnsi="Century Gothic"/>
          <w:iCs/>
          <w:sz w:val="18"/>
          <w:szCs w:val="18"/>
        </w:rPr>
        <w:t xml:space="preserve"> 783; </w:t>
      </w:r>
      <w:r w:rsidRPr="00DE0A84">
        <w:rPr>
          <w:rFonts w:ascii="Century Gothic" w:hAnsi="Century Gothic"/>
          <w:i/>
          <w:iCs/>
          <w:sz w:val="18"/>
          <w:szCs w:val="18"/>
        </w:rPr>
        <w:t>Prygodicz v Commonwealth of Australia (No 2)</w:t>
      </w:r>
      <w:r w:rsidRPr="00DE0A84">
        <w:rPr>
          <w:rFonts w:ascii="Century Gothic" w:hAnsi="Century Gothic"/>
          <w:iCs/>
          <w:sz w:val="18"/>
          <w:szCs w:val="18"/>
        </w:rPr>
        <w:t xml:space="preserve"> [2021] FCA 634; Peter Whiteford, ‘Debt by design: The anatomy of a social policy fiasco – Or was it something worse? (2021) 80 </w:t>
      </w:r>
      <w:r w:rsidRPr="00DE0A84">
        <w:rPr>
          <w:rFonts w:ascii="Century Gothic" w:hAnsi="Century Gothic"/>
          <w:i/>
          <w:iCs/>
          <w:sz w:val="18"/>
          <w:szCs w:val="18"/>
        </w:rPr>
        <w:t>Australian Journal of Public Administration</w:t>
      </w:r>
      <w:r w:rsidRPr="00DE0A84">
        <w:rPr>
          <w:rFonts w:ascii="Century Gothic" w:hAnsi="Century Gothic"/>
          <w:iCs/>
          <w:sz w:val="18"/>
          <w:szCs w:val="18"/>
        </w:rPr>
        <w:t xml:space="preserve"> 340.</w:t>
      </w:r>
    </w:p>
  </w:footnote>
  <w:footnote w:id="8">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Fortnightly, as this is the social security payment cycle.</w:t>
      </w:r>
    </w:p>
  </w:footnote>
  <w:footnote w:id="9">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As opposed to providing a basis for further enquiries: see Carney, ‘The New Digital Future’ (n 7) 2-3; Whiteford (n 7) 344 and discussion below at </w:t>
      </w:r>
      <w:r w:rsidR="00DE0A84" w:rsidRPr="00DE0A84">
        <w:rPr>
          <w:rFonts w:ascii="Century Gothic" w:hAnsi="Century Gothic"/>
          <w:sz w:val="18"/>
          <w:szCs w:val="18"/>
        </w:rPr>
        <w:t>6(c)(i)</w:t>
      </w:r>
      <w:r w:rsidRPr="00DE0A84">
        <w:rPr>
          <w:rFonts w:ascii="Century Gothic" w:hAnsi="Century Gothic"/>
          <w:sz w:val="18"/>
          <w:szCs w:val="18"/>
        </w:rPr>
        <w:t xml:space="preserve">. </w:t>
      </w:r>
    </w:p>
  </w:footnote>
  <w:footnote w:id="10">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See Carney (n 7).</w:t>
      </w:r>
    </w:p>
  </w:footnote>
  <w:footnote w:id="11">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See eg Prygodicz v Commonwealth of Australia [2020] FCA 1454 [7] (Murphy J): ‘</w:t>
      </w:r>
      <w:r w:rsidRPr="00DE0A84">
        <w:rPr>
          <w:rFonts w:ascii="Century Gothic" w:eastAsia="Batang" w:hAnsi="Century Gothic" w:cs="Times New Roman"/>
          <w:sz w:val="18"/>
          <w:szCs w:val="18"/>
        </w:rPr>
        <w:t>it is stating the obvious to note that many people who receive social security benefits do not have a stable income’.</w:t>
      </w:r>
    </w:p>
  </w:footnote>
  <w:footnote w:id="12">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iCs/>
          <w:sz w:val="18"/>
          <w:szCs w:val="18"/>
        </w:rPr>
        <w:t>Prygodicz v Commonwealth of Australia (No 2)</w:t>
      </w:r>
      <w:r w:rsidRPr="00DE0A84">
        <w:rPr>
          <w:rFonts w:ascii="Century Gothic" w:hAnsi="Century Gothic"/>
          <w:iCs/>
          <w:sz w:val="18"/>
          <w:szCs w:val="18"/>
        </w:rPr>
        <w:t xml:space="preserve"> [2021] FCA 634 [23] (Murphy J), observing </w:t>
      </w:r>
      <w:r w:rsidRPr="00DE0A84">
        <w:rPr>
          <w:rFonts w:ascii="Century Gothic" w:hAnsi="Century Gothic"/>
          <w:sz w:val="18"/>
          <w:szCs w:val="18"/>
        </w:rPr>
        <w:t xml:space="preserve">the reported consequences included ‘financial hardship, anxiety and distress, including suicidal ideation and in some cases suicide.’ See also, eg, </w:t>
      </w:r>
      <w:hyperlink r:id="rId1" w:history="1">
        <w:r w:rsidRPr="00DE0A84">
          <w:rPr>
            <w:rStyle w:val="Hyperlink"/>
            <w:rFonts w:ascii="Century Gothic" w:hAnsi="Century Gothic"/>
            <w:sz w:val="18"/>
            <w:szCs w:val="18"/>
          </w:rPr>
          <w:t>https://www.legalaid.vic.gov.au/robo-debt-client-stories</w:t>
        </w:r>
      </w:hyperlink>
      <w:r w:rsidRPr="00DE0A84">
        <w:rPr>
          <w:rFonts w:ascii="Century Gothic" w:hAnsi="Century Gothic"/>
          <w:sz w:val="18"/>
          <w:szCs w:val="18"/>
        </w:rPr>
        <w:t xml:space="preserve"> </w:t>
      </w:r>
    </w:p>
  </w:footnote>
  <w:footnote w:id="13">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iCs/>
          <w:sz w:val="18"/>
          <w:szCs w:val="18"/>
        </w:rPr>
        <w:t>Prygodicz v Commonwealth of Australia (No 2)</w:t>
      </w:r>
      <w:r w:rsidRPr="00DE0A84">
        <w:rPr>
          <w:rFonts w:ascii="Century Gothic" w:hAnsi="Century Gothic"/>
          <w:iCs/>
          <w:sz w:val="18"/>
          <w:szCs w:val="18"/>
        </w:rPr>
        <w:t xml:space="preserve"> [2021] FCA 634 [4]-[5]. </w:t>
      </w:r>
    </w:p>
  </w:footnote>
  <w:footnote w:id="14">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Penny Crofts, </w:t>
      </w:r>
      <w:r w:rsidRPr="00DE0A84">
        <w:rPr>
          <w:rFonts w:ascii="Century Gothic" w:hAnsi="Century Gothic"/>
          <w:i/>
          <w:sz w:val="18"/>
          <w:szCs w:val="18"/>
        </w:rPr>
        <w:t>Strategies of denial and the Australian Royal Commission into Misconduct in the Banking, Superannuation and Financial Services Industry</w:t>
      </w:r>
      <w:r w:rsidRPr="00DE0A84">
        <w:rPr>
          <w:rFonts w:ascii="Century Gothic" w:hAnsi="Century Gothic"/>
          <w:sz w:val="18"/>
          <w:szCs w:val="18"/>
        </w:rPr>
        <w:t xml:space="preserve"> (2020) 29 </w:t>
      </w:r>
      <w:r w:rsidRPr="00DE0A84">
        <w:rPr>
          <w:rFonts w:ascii="Century Gothic" w:hAnsi="Century Gothic"/>
          <w:i/>
          <w:sz w:val="18"/>
          <w:szCs w:val="18"/>
        </w:rPr>
        <w:t>Griffith Law Review</w:t>
      </w:r>
      <w:r w:rsidRPr="00DE0A84">
        <w:rPr>
          <w:rFonts w:ascii="Century Gothic" w:hAnsi="Century Gothic"/>
          <w:sz w:val="18"/>
          <w:szCs w:val="18"/>
        </w:rPr>
        <w:t xml:space="preserve"> 21. Importantly, as she explains, the analysis of strategies of denial was originally designed to address state actors: it is therefore highly appropriate in the Robodebt context.</w:t>
      </w:r>
    </w:p>
  </w:footnote>
  <w:footnote w:id="15">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See, eg, </w:t>
      </w:r>
      <w:hyperlink r:id="rId2" w:history="1">
        <w:r w:rsidRPr="00DE0A84">
          <w:rPr>
            <w:rStyle w:val="Hyperlink"/>
            <w:rFonts w:ascii="Century Gothic" w:hAnsi="Century Gothic"/>
            <w:sz w:val="18"/>
            <w:szCs w:val="18"/>
          </w:rPr>
          <w:t>https://probonoaustralia.com.au/news/2017/10/government-rejects-findings-centrelink-robo-debt-inquiry/</w:t>
        </w:r>
      </w:hyperlink>
      <w:r w:rsidRPr="00DE0A84">
        <w:rPr>
          <w:rFonts w:ascii="Century Gothic" w:hAnsi="Century Gothic"/>
          <w:sz w:val="18"/>
          <w:szCs w:val="18"/>
        </w:rPr>
        <w:t xml:space="preserve"> ; </w:t>
      </w:r>
      <w:hyperlink r:id="rId3" w:history="1">
        <w:r w:rsidRPr="00DE0A84">
          <w:rPr>
            <w:rStyle w:val="Hyperlink"/>
            <w:rFonts w:ascii="Century Gothic" w:hAnsi="Century Gothic"/>
            <w:color w:val="5B9BD5" w:themeColor="accent1"/>
            <w:sz w:val="18"/>
            <w:szCs w:val="18"/>
          </w:rPr>
          <w:t>https://www.crikey.com.au/2019/09/02/centrelink-robodebt-government-denial/</w:t>
        </w:r>
      </w:hyperlink>
      <w:r w:rsidRPr="00DE0A84">
        <w:rPr>
          <w:rFonts w:ascii="Century Gothic" w:hAnsi="Century Gothic"/>
          <w:color w:val="5B9BD5" w:themeColor="accent1"/>
          <w:sz w:val="18"/>
          <w:szCs w:val="18"/>
        </w:rPr>
        <w:t xml:space="preserve"> </w:t>
      </w:r>
      <w:r w:rsidRPr="00DE0A84">
        <w:rPr>
          <w:rFonts w:ascii="Century Gothic" w:hAnsi="Century Gothic"/>
          <w:sz w:val="18"/>
          <w:szCs w:val="18"/>
        </w:rPr>
        <w:t xml:space="preserve">and </w:t>
      </w:r>
      <w:hyperlink r:id="rId4" w:history="1">
        <w:r w:rsidRPr="00DE0A84">
          <w:rPr>
            <w:rStyle w:val="Hyperlink"/>
            <w:rFonts w:ascii="Century Gothic" w:hAnsi="Century Gothic"/>
            <w:sz w:val="18"/>
            <w:szCs w:val="18"/>
          </w:rPr>
          <w:t>https://www.aph.gov.au/Parliamentary_Business/Committees/Senate/Community_Affairs/SocialWelfareSystem/Government_Response</w:t>
        </w:r>
      </w:hyperlink>
      <w:r w:rsidRPr="00DE0A84">
        <w:rPr>
          <w:rFonts w:ascii="Century Gothic" w:hAnsi="Century Gothic"/>
          <w:sz w:val="18"/>
          <w:szCs w:val="18"/>
        </w:rPr>
        <w:t xml:space="preserve"> A particular form of this denial was to say, wrongly, that the system simply continued past practice of income averaging: </w:t>
      </w:r>
      <w:hyperlink r:id="rId5" w:history="1">
        <w:r w:rsidRPr="00DE0A84">
          <w:rPr>
            <w:rStyle w:val="Hyperlink"/>
            <w:rFonts w:ascii="Century Gothic" w:hAnsi="Century Gothic"/>
            <w:sz w:val="18"/>
            <w:szCs w:val="18"/>
          </w:rPr>
          <w:t>https://www.smh.com.au/politics/federal/now-is-not-the-time-scott-morrison-blames-welfare-principle-also-followed-by-labor-for-robodebt-scandal-20200601-p54ye2.html</w:t>
        </w:r>
      </w:hyperlink>
      <w:r w:rsidRPr="00DE0A84">
        <w:rPr>
          <w:rFonts w:ascii="Century Gothic" w:hAnsi="Century Gothic"/>
          <w:sz w:val="18"/>
          <w:szCs w:val="18"/>
        </w:rPr>
        <w:t xml:space="preserve"> and see below at </w:t>
      </w:r>
      <w:r w:rsidR="00746B0E">
        <w:rPr>
          <w:rFonts w:ascii="Century Gothic" w:hAnsi="Century Gothic"/>
          <w:sz w:val="18"/>
          <w:szCs w:val="18"/>
        </w:rPr>
        <w:t>6(c)(i)</w:t>
      </w:r>
      <w:r w:rsidRPr="00DE0A84">
        <w:rPr>
          <w:rFonts w:ascii="Century Gothic" w:hAnsi="Century Gothic"/>
          <w:sz w:val="18"/>
          <w:szCs w:val="18"/>
        </w:rPr>
        <w:t>.</w:t>
      </w:r>
    </w:p>
  </w:footnote>
  <w:footnote w:id="16">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hyperlink r:id="rId6" w:history="1">
        <w:r w:rsidRPr="00DE0A84">
          <w:rPr>
            <w:rStyle w:val="Hyperlink"/>
            <w:rFonts w:ascii="Century Gothic" w:hAnsi="Century Gothic"/>
            <w:sz w:val="18"/>
            <w:szCs w:val="18"/>
          </w:rPr>
          <w:t>https://www.canberratimes.com.au/story/7719072/robodebt-problem-has-been-addressed-prime-minister/</w:t>
        </w:r>
      </w:hyperlink>
      <w:r w:rsidRPr="00DE0A84">
        <w:rPr>
          <w:rFonts w:ascii="Century Gothic" w:hAnsi="Century Gothic"/>
          <w:sz w:val="18"/>
          <w:szCs w:val="18"/>
        </w:rPr>
        <w:t xml:space="preserve"> </w:t>
      </w:r>
    </w:p>
  </w:footnote>
  <w:footnote w:id="17">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See Bant, ‘The Culpable Corporate Mind’ (n 1) 361-68.</w:t>
      </w:r>
    </w:p>
  </w:footnote>
  <w:footnote w:id="18">
    <w:p w:rsidR="00F75DBD" w:rsidRPr="00DE0A84" w:rsidRDefault="00F75DBD" w:rsidP="000254E9">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A classic example is the structures and processes at the heart of Crown’s anti money-laundering procedures, discussed in VCCOL (n 2) </w:t>
      </w:r>
      <w:r w:rsidRPr="00DE0A84">
        <w:rPr>
          <w:rFonts w:ascii="Century Gothic" w:hAnsi="Century Gothic" w:cs="Times New Roman"/>
          <w:sz w:val="18"/>
          <w:szCs w:val="18"/>
        </w:rPr>
        <w:t>174–8 [87]–[102].</w:t>
      </w:r>
    </w:p>
  </w:footnote>
  <w:footnote w:id="19">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Royal Commission into Misconduct in the Banking, Superannuation and Financial Services Industry (Final Report, February 2019) vol 1, 139, noting the endemic narratives of ‘bumbling incompetence or the product of poor computer systems’, which had serious affected the regulator, ASIC’s, enforcement strategies.</w:t>
      </w:r>
    </w:p>
  </w:footnote>
  <w:footnote w:id="20">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hyperlink r:id="rId7" w:history="1">
        <w:r w:rsidRPr="00DE0A84">
          <w:rPr>
            <w:rStyle w:val="Hyperlink"/>
            <w:rFonts w:ascii="Century Gothic" w:hAnsi="Century Gothic"/>
            <w:sz w:val="18"/>
            <w:szCs w:val="18"/>
          </w:rPr>
          <w:t>https://www.sbs.com.au/news/article/nab-says-fees-for-no-service-not-dishonest/u838rxy95</w:t>
        </w:r>
      </w:hyperlink>
      <w:r w:rsidRPr="00DE0A84">
        <w:rPr>
          <w:rFonts w:ascii="Century Gothic" w:hAnsi="Century Gothic"/>
          <w:sz w:val="18"/>
          <w:szCs w:val="18"/>
        </w:rPr>
        <w:t xml:space="preserve"> </w:t>
      </w:r>
    </w:p>
  </w:footnote>
  <w:footnote w:id="21">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iCs/>
          <w:sz w:val="18"/>
          <w:szCs w:val="18"/>
        </w:rPr>
        <w:t>Prygodicz v Commonwealth of Australia (No 2)</w:t>
      </w:r>
      <w:r w:rsidRPr="00DE0A84">
        <w:rPr>
          <w:rFonts w:ascii="Century Gothic" w:hAnsi="Century Gothic"/>
          <w:iCs/>
          <w:sz w:val="18"/>
          <w:szCs w:val="18"/>
        </w:rPr>
        <w:t xml:space="preserve"> [2021] FCA 634 [6] (Murphy J).</w:t>
      </w:r>
    </w:p>
  </w:footnote>
  <w:footnote w:id="22">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hyperlink r:id="rId8" w:history="1">
        <w:r w:rsidRPr="00DE0A84">
          <w:rPr>
            <w:rStyle w:val="Hyperlink"/>
            <w:rFonts w:ascii="Century Gothic" w:hAnsi="Century Gothic"/>
            <w:sz w:val="18"/>
            <w:szCs w:val="18"/>
          </w:rPr>
          <w:t>https://www.theguardian.com/australia-news/2020/feb/12/coalition-warned-robodebt-scheme-was-unenforceable-three-years-before-it-acted</w:t>
        </w:r>
      </w:hyperlink>
      <w:r w:rsidRPr="00DE0A84">
        <w:rPr>
          <w:rFonts w:ascii="Century Gothic" w:hAnsi="Century Gothic"/>
          <w:sz w:val="18"/>
          <w:szCs w:val="18"/>
        </w:rPr>
        <w:t xml:space="preserve"> , where Carney is reported as assessing the unlawfulness of the scheme as involving ‘kindergarten law’. As Whiteford notes, dividing annual income by 26 scarcely qualifies as an algorithm: (n 7) 353.</w:t>
      </w:r>
    </w:p>
  </w:footnote>
  <w:footnote w:id="23">
    <w:p w:rsidR="000F2A5F" w:rsidRPr="00DE0A84" w:rsidRDefault="000F2A5F">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JM Paterson and E Bant, ‘Automated Mistakes’ (n 1).</w:t>
      </w:r>
    </w:p>
  </w:footnote>
  <w:footnote w:id="24">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hyperlink r:id="rId9" w:history="1">
        <w:r w:rsidRPr="00DE0A84">
          <w:rPr>
            <w:rStyle w:val="Hyperlink"/>
            <w:rFonts w:ascii="Century Gothic" w:hAnsi="Century Gothic"/>
            <w:sz w:val="18"/>
            <w:szCs w:val="18"/>
          </w:rPr>
          <w:t>https://www.sbs.com.au/news/article/nab-says-fees-for-no-service-not-dishonest/u838rxy95</w:t>
        </w:r>
      </w:hyperlink>
      <w:r w:rsidRPr="00DE0A84">
        <w:rPr>
          <w:rFonts w:ascii="Century Gothic" w:hAnsi="Century Gothic"/>
          <w:sz w:val="18"/>
          <w:szCs w:val="18"/>
        </w:rPr>
        <w:t xml:space="preserve"> ; </w:t>
      </w:r>
      <w:hyperlink r:id="rId10" w:history="1">
        <w:r w:rsidRPr="00DE0A84">
          <w:rPr>
            <w:rStyle w:val="Hyperlink"/>
            <w:rFonts w:ascii="Century Gothic" w:hAnsi="Century Gothic"/>
            <w:sz w:val="18"/>
            <w:szCs w:val="18"/>
          </w:rPr>
          <w:t>https://www.afr.com/companies/financial-services/apra-punishes-cba-s-avanteos-for-charging-the-dead-20191211-p53j3b</w:t>
        </w:r>
      </w:hyperlink>
      <w:r w:rsidRPr="00DE0A84">
        <w:rPr>
          <w:rFonts w:ascii="Century Gothic" w:hAnsi="Century Gothic"/>
          <w:sz w:val="18"/>
          <w:szCs w:val="18"/>
        </w:rPr>
        <w:t xml:space="preserve"> </w:t>
      </w:r>
    </w:p>
  </w:footnote>
  <w:footnote w:id="25">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hyperlink r:id="rId11" w:history="1">
        <w:r w:rsidRPr="00DE0A84">
          <w:rPr>
            <w:rStyle w:val="Hyperlink"/>
            <w:rFonts w:ascii="Century Gothic" w:hAnsi="Century Gothic"/>
            <w:sz w:val="18"/>
            <w:szCs w:val="18"/>
          </w:rPr>
          <w:t>https://www.afr.com/companies/financial-services/banking-royal-commission-amp-took-life-premiums-from-dead-customers-20180917-h15h0j</w:t>
        </w:r>
      </w:hyperlink>
      <w:r w:rsidRPr="00DE0A84">
        <w:rPr>
          <w:rFonts w:ascii="Century Gothic" w:hAnsi="Century Gothic"/>
          <w:sz w:val="18"/>
          <w:szCs w:val="18"/>
        </w:rPr>
        <w:t xml:space="preserve"> </w:t>
      </w:r>
    </w:p>
  </w:footnote>
  <w:footnote w:id="26">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hyperlink r:id="rId12" w:history="1">
        <w:r w:rsidRPr="00DE0A84">
          <w:rPr>
            <w:rStyle w:val="Hyperlink"/>
            <w:rFonts w:ascii="Century Gothic" w:hAnsi="Century Gothic"/>
            <w:sz w:val="18"/>
            <w:szCs w:val="18"/>
          </w:rPr>
          <w:t>https://www.investordaily.com.au/markets/40308-banks-blame-legacy-systems-for-advice-failures</w:t>
        </w:r>
      </w:hyperlink>
      <w:r w:rsidRPr="00DE0A84">
        <w:rPr>
          <w:rFonts w:ascii="Century Gothic" w:hAnsi="Century Gothic"/>
          <w:sz w:val="18"/>
          <w:szCs w:val="18"/>
        </w:rPr>
        <w:t xml:space="preserve"> </w:t>
      </w:r>
    </w:p>
  </w:footnote>
  <w:footnote w:id="27">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Royal Commission into Misconduct in the Banking, Superannuation and Financial Services Industry Interim Report Volume 1 2018) 108-111, 126-133. ‘Platform Fees’ were subject to very similar problems, and narratives, see Interim report at 133.</w:t>
      </w:r>
    </w:p>
  </w:footnote>
  <w:footnote w:id="28">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Royal Commission into Misconduct in the Banking, Superannuation and Financial Services Industry (Final Report, February 2019) vol 1, 138-9, 150-1.</w:t>
      </w:r>
    </w:p>
  </w:footnote>
  <w:footnote w:id="29">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M Diamantis, ‘The Extended Corporate Mind: When Corporations Use AI to Break the Law’ </w:t>
      </w:r>
      <w:r w:rsidRPr="00DE0A84">
        <w:rPr>
          <w:rFonts w:ascii="Century Gothic" w:hAnsi="Century Gothic"/>
          <w:iCs/>
          <w:sz w:val="18"/>
          <w:szCs w:val="18"/>
        </w:rPr>
        <w:t xml:space="preserve">(2020) 98 </w:t>
      </w:r>
      <w:r w:rsidRPr="00DE0A84">
        <w:rPr>
          <w:rFonts w:ascii="Century Gothic" w:hAnsi="Century Gothic"/>
          <w:i/>
          <w:sz w:val="18"/>
          <w:szCs w:val="18"/>
        </w:rPr>
        <w:t>North Carolina Law Review</w:t>
      </w:r>
      <w:r w:rsidRPr="00DE0A84">
        <w:rPr>
          <w:rFonts w:ascii="Century Gothic" w:hAnsi="Century Gothic"/>
          <w:iCs/>
          <w:sz w:val="18"/>
          <w:szCs w:val="18"/>
        </w:rPr>
        <w:t xml:space="preserve"> 893.</w:t>
      </w:r>
    </w:p>
  </w:footnote>
  <w:footnote w:id="30">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See, eg, </w:t>
      </w:r>
      <w:r w:rsidRPr="00DE0A84">
        <w:rPr>
          <w:rFonts w:ascii="Century Gothic" w:hAnsi="Century Gothic"/>
          <w:i/>
          <w:iCs/>
          <w:sz w:val="18"/>
          <w:szCs w:val="18"/>
        </w:rPr>
        <w:t xml:space="preserve">Australian Competition and Consumer Commission v EDirect Pty Ltd </w:t>
      </w:r>
      <w:r w:rsidRPr="00DE0A84">
        <w:rPr>
          <w:rFonts w:ascii="Century Gothic" w:hAnsi="Century Gothic"/>
          <w:sz w:val="18"/>
          <w:szCs w:val="18"/>
        </w:rPr>
        <w:t>[2012] FCA 1045</w:t>
      </w:r>
      <w:r w:rsidRPr="00DE0A84">
        <w:rPr>
          <w:rFonts w:ascii="Century Gothic" w:hAnsi="Century Gothic"/>
          <w:i/>
          <w:iCs/>
          <w:sz w:val="18"/>
          <w:szCs w:val="18"/>
        </w:rPr>
        <w:t xml:space="preserve"> </w:t>
      </w:r>
      <w:r w:rsidRPr="00DE0A84">
        <w:rPr>
          <w:rFonts w:ascii="Century Gothic" w:hAnsi="Century Gothic"/>
          <w:sz w:val="18"/>
          <w:szCs w:val="18"/>
        </w:rPr>
        <w:t xml:space="preserve">[72]–[73] (Reeves J); </w:t>
      </w:r>
      <w:r w:rsidRPr="00DE0A84">
        <w:rPr>
          <w:rFonts w:ascii="Century Gothic" w:hAnsi="Century Gothic"/>
          <w:i/>
          <w:iCs/>
          <w:sz w:val="18"/>
          <w:szCs w:val="18"/>
        </w:rPr>
        <w:t>Australian Securities and Investments Commission v AGM Markets Pty Ltd (in liq) (No 3)</w:t>
      </w:r>
      <w:r w:rsidRPr="00DE0A84">
        <w:rPr>
          <w:rFonts w:ascii="Century Gothic" w:hAnsi="Century Gothic"/>
          <w:sz w:val="18"/>
          <w:szCs w:val="18"/>
        </w:rPr>
        <w:t xml:space="preserve"> [2020] FCA 208 [389]-[391] (Beach J).</w:t>
      </w:r>
    </w:p>
  </w:footnote>
  <w:footnote w:id="31">
    <w:p w:rsidR="00F75DBD" w:rsidRPr="00DE0A84" w:rsidRDefault="00F75DBD" w:rsidP="008660F9">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Royal Commission into Misconduct in the Banking, Superannuation and Financial Services Industry (Final Report, February 2019) vol 1, 157: fees taken were ‘part of an established system and were not matters of accident’.</w:t>
      </w:r>
    </w:p>
  </w:footnote>
  <w:footnote w:id="32">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See Bant, Culpable Corporate Minds (n 1), Bant, ‘Catching the Corporate Conscience’ (n 1) and </w:t>
      </w:r>
      <w:hyperlink r:id="rId13" w:history="1">
        <w:r w:rsidRPr="00DE0A84">
          <w:rPr>
            <w:rStyle w:val="Hyperlink"/>
            <w:rFonts w:ascii="Century Gothic" w:hAnsi="Century Gothic"/>
            <w:sz w:val="18"/>
            <w:szCs w:val="18"/>
          </w:rPr>
          <w:t>https://pursuit.unimelb.edu.au/articles/charging-dead-clients-is-dishonest-really-who-knew</w:t>
        </w:r>
      </w:hyperlink>
      <w:r w:rsidRPr="00DE0A84">
        <w:rPr>
          <w:rFonts w:ascii="Century Gothic" w:hAnsi="Century Gothic"/>
          <w:sz w:val="18"/>
          <w:szCs w:val="18"/>
        </w:rPr>
        <w:t xml:space="preserve"> </w:t>
      </w:r>
    </w:p>
  </w:footnote>
  <w:footnote w:id="33">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sz w:val="18"/>
          <w:szCs w:val="18"/>
        </w:rPr>
        <w:t>Australian Securities and Investments Commission v AMP Financial Planning Proprietary Limited</w:t>
      </w:r>
      <w:r w:rsidRPr="00DE0A84">
        <w:rPr>
          <w:rFonts w:ascii="Century Gothic" w:hAnsi="Century Gothic"/>
          <w:sz w:val="18"/>
          <w:szCs w:val="18"/>
        </w:rPr>
        <w:t xml:space="preserve"> [2022] FCA 1115 [47] (Moshinsky J), accepting a coding error led to fees for no services, but see also [52]-[54], noting that the error was not picked up or remedied, adding to the overall level of blameworthiness. On audit and remedial mechanisms, see below at </w:t>
      </w:r>
      <w:r w:rsidR="00DE0A84">
        <w:rPr>
          <w:rFonts w:ascii="Century Gothic" w:hAnsi="Century Gothic"/>
          <w:sz w:val="18"/>
          <w:szCs w:val="18"/>
        </w:rPr>
        <w:t>6(b) and (c)</w:t>
      </w:r>
      <w:r w:rsidRPr="00DE0A84">
        <w:rPr>
          <w:rFonts w:ascii="Century Gothic" w:hAnsi="Century Gothic"/>
          <w:sz w:val="18"/>
          <w:szCs w:val="18"/>
        </w:rPr>
        <w:t>.</w:t>
      </w:r>
    </w:p>
  </w:footnote>
  <w:footnote w:id="34">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See Whiteford 353-4 and Australian Government response to the Community Affairs References Committee Report: Design, scope, cost-benefit analysis, contracts awarded and implementation associated with the Better Management of the Social Welfare System initiative (2017). The 2015-16 Budget announcement emphasised this aim, naming it the ‘Strengthening the Integrity of Welfare Payments’ scheme.</w:t>
      </w:r>
    </w:p>
  </w:footnote>
  <w:footnote w:id="35">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iCs/>
          <w:sz w:val="18"/>
          <w:szCs w:val="18"/>
        </w:rPr>
        <w:t>Edgington v Fitzmaurice</w:t>
      </w:r>
      <w:r w:rsidRPr="00DE0A84">
        <w:rPr>
          <w:rFonts w:ascii="Century Gothic" w:hAnsi="Century Gothic"/>
          <w:sz w:val="18"/>
          <w:szCs w:val="18"/>
        </w:rPr>
        <w:t xml:space="preserve"> (1885) 29 Ch D 459 (CA) 483 (Bowen LJ); </w:t>
      </w:r>
      <w:r w:rsidRPr="00DE0A84">
        <w:rPr>
          <w:rFonts w:ascii="Century Gothic" w:hAnsi="Century Gothic"/>
          <w:i/>
          <w:sz w:val="18"/>
          <w:szCs w:val="18"/>
        </w:rPr>
        <w:t>Generics (UK) v Warner-Lambert Company LLC</w:t>
      </w:r>
      <w:r w:rsidRPr="00DE0A84">
        <w:rPr>
          <w:rFonts w:ascii="Century Gothic" w:hAnsi="Century Gothic"/>
          <w:sz w:val="18"/>
          <w:szCs w:val="18"/>
        </w:rPr>
        <w:t xml:space="preserve"> [2018] UKSC 56, [2018] RPC 21 [171] (Lord Briggs).</w:t>
      </w:r>
    </w:p>
  </w:footnote>
  <w:footnote w:id="36">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VCCOL</w:t>
      </w:r>
      <w:r w:rsidRPr="00DE0A84">
        <w:rPr>
          <w:rFonts w:ascii="Century Gothic" w:hAnsi="Century Gothic" w:cs="Times New Roman"/>
          <w:sz w:val="18"/>
          <w:szCs w:val="18"/>
        </w:rPr>
        <w:t xml:space="preserve"> (n 2) 174–8 [87]–[102]</w:t>
      </w:r>
      <w:r w:rsidR="00DE0A84">
        <w:rPr>
          <w:rFonts w:ascii="Century Gothic" w:hAnsi="Century Gothic" w:cs="Times New Roman"/>
          <w:sz w:val="18"/>
          <w:szCs w:val="18"/>
        </w:rPr>
        <w:t>.</w:t>
      </w:r>
    </w:p>
  </w:footnote>
  <w:footnote w:id="37">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sz w:val="18"/>
          <w:szCs w:val="18"/>
          <w:lang w:val="en-GB"/>
        </w:rPr>
        <w:t>SZTAL v Minister for Immigration and Border Protection</w:t>
      </w:r>
      <w:r w:rsidRPr="00DE0A84">
        <w:rPr>
          <w:rFonts w:ascii="Century Gothic" w:hAnsi="Century Gothic"/>
          <w:sz w:val="18"/>
          <w:szCs w:val="18"/>
          <w:lang w:val="en-GB"/>
        </w:rPr>
        <w:t xml:space="preserve"> [2017] HCA 34 [97] (Edelman J); Bant, ‘Modelling’ (n 1): one can intend a consequence while thinking it undesirable or regrettable.</w:t>
      </w:r>
    </w:p>
  </w:footnote>
  <w:footnote w:id="38">
    <w:p w:rsidR="00F75DBD" w:rsidRPr="00DE0A84" w:rsidRDefault="00F75DBD" w:rsidP="00DE38E7">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Whiteford argues persuasively that the revenue supported, in a horrible irony, the upgrade of Centrelink’s outmoded ICT systems: at 350.</w:t>
      </w:r>
    </w:p>
  </w:footnote>
  <w:footnote w:id="39">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Brent Fisse’s powerful concept of ‘reactive corporate fault’ is highly pertinent to understanding organisational blameworthiness for harmful systems: see, eg, B Fisse, ‘The Social Policy of Corporate Criminal Responsibility’ (1978) 6 </w:t>
      </w:r>
      <w:r w:rsidRPr="00DE0A84">
        <w:rPr>
          <w:rFonts w:ascii="Century Gothic" w:hAnsi="Century Gothic"/>
          <w:i/>
          <w:sz w:val="18"/>
          <w:szCs w:val="18"/>
        </w:rPr>
        <w:t>Adelaide Law Review</w:t>
      </w:r>
      <w:r w:rsidRPr="00DE0A84">
        <w:rPr>
          <w:rFonts w:ascii="Century Gothic" w:hAnsi="Century Gothic"/>
          <w:sz w:val="18"/>
          <w:szCs w:val="18"/>
        </w:rPr>
        <w:t xml:space="preserve"> 361; B Fisse, ‘Recent Developments in Corporate Criminal Law and Corporate Liability to Monetary Penalties’ (1990) 13 </w:t>
      </w:r>
      <w:r w:rsidRPr="00DE0A84">
        <w:rPr>
          <w:rFonts w:ascii="Century Gothic" w:hAnsi="Century Gothic"/>
          <w:i/>
          <w:sz w:val="18"/>
          <w:szCs w:val="18"/>
        </w:rPr>
        <w:t xml:space="preserve">University of New South Wales Law Journal </w:t>
      </w:r>
      <w:r w:rsidRPr="00DE0A84">
        <w:rPr>
          <w:rFonts w:ascii="Century Gothic" w:hAnsi="Century Gothic"/>
          <w:sz w:val="18"/>
          <w:szCs w:val="18"/>
        </w:rPr>
        <w:t xml:space="preserve">1; B Fisse, ‘The Attribution of Criminal Liability to Corporations: A Statutory Model’ (1991) 13 </w:t>
      </w:r>
      <w:r w:rsidRPr="00DE0A84">
        <w:rPr>
          <w:rFonts w:ascii="Century Gothic" w:hAnsi="Century Gothic"/>
          <w:i/>
          <w:sz w:val="18"/>
          <w:szCs w:val="18"/>
        </w:rPr>
        <w:t xml:space="preserve">Sydney Law Review </w:t>
      </w:r>
      <w:r w:rsidRPr="00DE0A84">
        <w:rPr>
          <w:rFonts w:ascii="Century Gothic" w:hAnsi="Century Gothic"/>
          <w:sz w:val="18"/>
          <w:szCs w:val="18"/>
        </w:rPr>
        <w:t xml:space="preserve">277; B Fisse and J Braithwaite, </w:t>
      </w:r>
      <w:r w:rsidRPr="00DE0A84">
        <w:rPr>
          <w:rFonts w:ascii="Century Gothic" w:hAnsi="Century Gothic"/>
          <w:i/>
          <w:iCs/>
          <w:sz w:val="18"/>
          <w:szCs w:val="18"/>
        </w:rPr>
        <w:t xml:space="preserve">Corporations, Crime and Accountability </w:t>
      </w:r>
      <w:r w:rsidRPr="00DE0A84">
        <w:rPr>
          <w:rFonts w:ascii="Century Gothic" w:hAnsi="Century Gothic"/>
          <w:sz w:val="18"/>
          <w:szCs w:val="18"/>
        </w:rPr>
        <w:t>(Cambridge, Cambridge University Press, 1993).</w:t>
      </w:r>
    </w:p>
  </w:footnote>
  <w:footnote w:id="40">
    <w:p w:rsidR="00F75DBD" w:rsidRPr="00DE0A84" w:rsidRDefault="00F75DBD" w:rsidP="00F006EC">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Bant, ‘Systems Intentionality: Theory and Practice’ (n 1).</w:t>
      </w:r>
    </w:p>
  </w:footnote>
  <w:footnote w:id="41">
    <w:p w:rsidR="00F75DBD" w:rsidRPr="00DE0A84" w:rsidRDefault="00F75DBD" w:rsidP="00FF0C8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On the necessity to choose a greater or lesser level of generality to obtain the correct ‘angle of focus’ in identifying and assessing a system of conduct, see Bant, ibid.</w:t>
      </w:r>
    </w:p>
  </w:footnote>
  <w:footnote w:id="42">
    <w:p w:rsidR="00F75DBD" w:rsidRPr="00DE0A84" w:rsidRDefault="00F75DBD" w:rsidP="00FF0C8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On the temporal perspective, see above nn 37-38.</w:t>
      </w:r>
    </w:p>
  </w:footnote>
  <w:footnote w:id="43">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Above (n 9).</w:t>
      </w:r>
    </w:p>
  </w:footnote>
  <w:footnote w:id="44">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Carney, ‘The New Digital Future’ (n 7) 3, 9-10.</w:t>
      </w:r>
    </w:p>
  </w:footnote>
  <w:footnote w:id="45">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Ibid, 3-8, explaining the correct ‘default’ position, namely that there is no recipient debt unless Centrelink establishes its existence and size, consistently with the requirements of the fortnightly rate calculation imposed by legislation. </w:t>
      </w:r>
    </w:p>
  </w:footnote>
  <w:footnote w:id="46">
    <w:p w:rsidR="00F75DBD" w:rsidRPr="00DE0A84" w:rsidRDefault="00F75DBD">
      <w:pPr>
        <w:pStyle w:val="FootnoteText"/>
        <w:rPr>
          <w:rFonts w:ascii="Century Gothic" w:hAnsi="Century Gothic"/>
          <w:i/>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Whiteford (n 7) 345, quoting the Commonwealth of Australia, Senate Community Affairs Reference Committee Report (Final Report, 2017), </w:t>
      </w:r>
      <w:r w:rsidRPr="00DE0A84">
        <w:rPr>
          <w:rFonts w:ascii="Century Gothic" w:hAnsi="Century Gothic"/>
          <w:i/>
          <w:sz w:val="18"/>
          <w:szCs w:val="18"/>
        </w:rPr>
        <w:t>Design, scope, cost-benefit analysis, contracts awarded and implementation associated with the Better Management of the Social Welfare Systems initiative.</w:t>
      </w:r>
    </w:p>
  </w:footnote>
  <w:footnote w:id="47">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Ibid.</w:t>
      </w:r>
    </w:p>
  </w:footnote>
  <w:footnote w:id="48">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Ibid, 345.</w:t>
      </w:r>
    </w:p>
  </w:footnote>
  <w:footnote w:id="49">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Ibid, 348.</w:t>
      </w:r>
    </w:p>
  </w:footnote>
  <w:footnote w:id="50">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Ibid, 349.</w:t>
      </w:r>
    </w:p>
  </w:footnote>
  <w:footnote w:id="51">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See also the considered assessment of Carney, ‘The New Digital Future’ (n 7) 9, on the wholesale failure of Centrelink to act as a ‘model litigant’.</w:t>
      </w:r>
    </w:p>
  </w:footnote>
  <w:footnote w:id="52">
    <w:p w:rsidR="00F75DBD" w:rsidRPr="00DE0A84" w:rsidRDefault="00F75DBD" w:rsidP="005905E8">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Ibid.</w:t>
      </w:r>
    </w:p>
  </w:footnote>
  <w:footnote w:id="53">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Whiteford provides a very helpful, and illuminating, Robodebt timeline: Whiteford (n 7) 346. </w:t>
      </w:r>
    </w:p>
  </w:footnote>
  <w:footnote w:id="54">
    <w:p w:rsidR="00F75DBD" w:rsidRPr="00DE0A84" w:rsidRDefault="00F75DBD" w:rsidP="005905E8">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hyperlink r:id="rId14" w:history="1">
        <w:r w:rsidRPr="00DE0A84">
          <w:rPr>
            <w:rStyle w:val="Hyperlink"/>
            <w:rFonts w:ascii="Century Gothic" w:hAnsi="Century Gothic"/>
            <w:sz w:val="18"/>
            <w:szCs w:val="18"/>
          </w:rPr>
          <w:t>https://www.smh.com.au/national/centrelink-wipes-robo-debt-at-centre-of-test-case-20190505-p51kac.html</w:t>
        </w:r>
      </w:hyperlink>
      <w:r w:rsidRPr="00DE0A84">
        <w:rPr>
          <w:rFonts w:ascii="Century Gothic" w:hAnsi="Century Gothic"/>
          <w:sz w:val="18"/>
          <w:szCs w:val="18"/>
        </w:rPr>
        <w:t xml:space="preserve"> </w:t>
      </w:r>
    </w:p>
  </w:footnote>
  <w:footnote w:id="55">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bookmarkStart w:id="21" w:name="MNC"/>
      <w:r w:rsidRPr="00DE0A84">
        <w:rPr>
          <w:rFonts w:ascii="Century Gothic" w:hAnsi="Century Gothic"/>
          <w:sz w:val="18"/>
          <w:szCs w:val="18"/>
        </w:rPr>
        <w:t>See Prygodicz v Commonwealth of Australia [2020] FCA 1454</w:t>
      </w:r>
      <w:bookmarkEnd w:id="21"/>
      <w:r w:rsidRPr="00DE0A84">
        <w:rPr>
          <w:rFonts w:ascii="Century Gothic" w:hAnsi="Century Gothic"/>
          <w:sz w:val="18"/>
          <w:szCs w:val="18"/>
        </w:rPr>
        <w:t>; Commonwealth of Australia v Prygodicz [2020] FCA 1516, in which leave to introduce claims for exemplary damages was given. Even at the 11</w:t>
      </w:r>
      <w:r w:rsidRPr="00DE0A84">
        <w:rPr>
          <w:rFonts w:ascii="Century Gothic" w:hAnsi="Century Gothic"/>
          <w:sz w:val="18"/>
          <w:szCs w:val="18"/>
          <w:vertAlign w:val="superscript"/>
        </w:rPr>
        <w:t>th</w:t>
      </w:r>
      <w:r w:rsidRPr="00DE0A84">
        <w:rPr>
          <w:rFonts w:ascii="Century Gothic" w:hAnsi="Century Gothic"/>
          <w:sz w:val="18"/>
          <w:szCs w:val="18"/>
        </w:rPr>
        <w:t xml:space="preserve"> hour, the Government claimed that it would have a ‘juristic reason’ to retain any payments where the alleged and unlawful debt fortuitiously coincided with a real and lawful debt, owed by the recipient: see eg [2020] FCA 1454 [11](Murphy J) and [2021] FCA 634 [60]-[72] and [149]-[154] (Murphy J).</w:t>
      </w:r>
    </w:p>
  </w:footnote>
  <w:footnote w:id="56">
    <w:p w:rsidR="00F75DBD" w:rsidRPr="00DE0A84" w:rsidRDefault="00F75DBD" w:rsidP="005905E8">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sz w:val="18"/>
          <w:szCs w:val="18"/>
        </w:rPr>
        <w:t>Lamb v Cotogno</w:t>
      </w:r>
      <w:r w:rsidRPr="00DE0A84">
        <w:rPr>
          <w:rFonts w:ascii="Century Gothic" w:hAnsi="Century Gothic"/>
          <w:sz w:val="18"/>
          <w:szCs w:val="18"/>
        </w:rPr>
        <w:t xml:space="preserve"> (1987) 164 CLR 1, [8].</w:t>
      </w:r>
    </w:p>
  </w:footnote>
  <w:footnote w:id="57">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Bant, ‘Modelling’ (n 1).</w:t>
      </w:r>
    </w:p>
  </w:footnote>
  <w:footnote w:id="58">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On both equitable and statutory unconscionability, see Bant and Paterson, ‘Systems of Misconduct’ (n 1).</w:t>
      </w:r>
    </w:p>
  </w:footnote>
  <w:footnote w:id="59">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iCs/>
          <w:sz w:val="18"/>
          <w:szCs w:val="18"/>
        </w:rPr>
        <w:t xml:space="preserve">Peters v The Queen </w:t>
      </w:r>
      <w:r w:rsidRPr="00DE0A84">
        <w:rPr>
          <w:rFonts w:ascii="Century Gothic" w:hAnsi="Century Gothic"/>
          <w:sz w:val="18"/>
          <w:szCs w:val="18"/>
        </w:rPr>
        <w:t xml:space="preserve">(1998) 192 CLR 493, </w:t>
      </w:r>
      <w:r w:rsidRPr="00DE0A84">
        <w:rPr>
          <w:rFonts w:ascii="Century Gothic" w:hAnsi="Century Gothic"/>
          <w:sz w:val="18"/>
          <w:szCs w:val="18"/>
          <w:lang w:val="en-GB"/>
        </w:rPr>
        <w:t>503 [15] (Toohey and Gummow JJ).</w:t>
      </w:r>
    </w:p>
  </w:footnote>
  <w:footnote w:id="60">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The so-called second limb of </w:t>
      </w:r>
      <w:r w:rsidRPr="00DE0A84">
        <w:rPr>
          <w:rFonts w:ascii="Century Gothic" w:hAnsi="Century Gothic"/>
          <w:i/>
          <w:iCs/>
          <w:sz w:val="18"/>
          <w:szCs w:val="18"/>
          <w:lang w:val="en-GB"/>
        </w:rPr>
        <w:t xml:space="preserve">R v Ghosh </w:t>
      </w:r>
      <w:r w:rsidRPr="00DE0A84">
        <w:rPr>
          <w:rFonts w:ascii="Century Gothic" w:hAnsi="Century Gothic"/>
          <w:sz w:val="18"/>
          <w:szCs w:val="18"/>
          <w:lang w:val="en-GB"/>
        </w:rPr>
        <w:t xml:space="preserve">[1982] QB 1053, [1982] 2 All ER 689 has now been rejected: see eg </w:t>
      </w:r>
      <w:r w:rsidRPr="00DE0A84">
        <w:rPr>
          <w:rFonts w:ascii="Century Gothic" w:hAnsi="Century Gothic"/>
          <w:i/>
          <w:iCs/>
          <w:sz w:val="18"/>
          <w:szCs w:val="18"/>
        </w:rPr>
        <w:t xml:space="preserve">Peters v The Queen </w:t>
      </w:r>
      <w:r w:rsidRPr="00DE0A84">
        <w:rPr>
          <w:rFonts w:ascii="Century Gothic" w:hAnsi="Century Gothic"/>
          <w:sz w:val="18"/>
          <w:szCs w:val="18"/>
        </w:rPr>
        <w:t xml:space="preserve">(1998) 192 CLR 493; [2014] NSWCA 266, (2014) 87 NSWLR 609, 636 [124] (Leeming JA, Barrett and Gleeson JJA concurring); </w:t>
      </w:r>
      <w:r w:rsidRPr="00DE0A84">
        <w:rPr>
          <w:rFonts w:ascii="Century Gothic" w:hAnsi="Century Gothic"/>
          <w:i/>
          <w:sz w:val="18"/>
          <w:szCs w:val="18"/>
          <w:lang w:val="en-GB"/>
        </w:rPr>
        <w:t xml:space="preserve">Ivey v Genting Casinos (UK) Ltd </w:t>
      </w:r>
      <w:r w:rsidRPr="00DE0A84">
        <w:rPr>
          <w:rFonts w:ascii="Century Gothic" w:hAnsi="Century Gothic"/>
          <w:iCs/>
          <w:sz w:val="18"/>
          <w:szCs w:val="18"/>
          <w:lang w:val="en-GB"/>
        </w:rPr>
        <w:t xml:space="preserve">[2017] UKSC 67, </w:t>
      </w:r>
      <w:r w:rsidRPr="00DE0A84">
        <w:rPr>
          <w:rFonts w:ascii="Century Gothic" w:hAnsi="Century Gothic"/>
          <w:sz w:val="18"/>
          <w:szCs w:val="18"/>
          <w:lang w:val="en-GB"/>
        </w:rPr>
        <w:t xml:space="preserve">[2018] AC 391[74]–[75]; </w:t>
      </w:r>
      <w:r w:rsidRPr="00DE0A84">
        <w:rPr>
          <w:rFonts w:ascii="Century Gothic" w:hAnsi="Century Gothic"/>
          <w:i/>
          <w:sz w:val="18"/>
          <w:szCs w:val="18"/>
          <w:lang w:val="en-GB"/>
        </w:rPr>
        <w:t>R v Barton</w:t>
      </w:r>
      <w:r w:rsidRPr="00DE0A84">
        <w:rPr>
          <w:rFonts w:ascii="Century Gothic" w:hAnsi="Century Gothic"/>
          <w:sz w:val="18"/>
          <w:szCs w:val="18"/>
          <w:lang w:val="en-GB"/>
        </w:rPr>
        <w:t xml:space="preserve"> [2020] EWCA Crim 575, [1] (Lord Burnett CJ). See also </w:t>
      </w:r>
      <w:r w:rsidRPr="00DE0A84">
        <w:rPr>
          <w:rFonts w:ascii="Century Gothic" w:hAnsi="Century Gothic"/>
          <w:i/>
          <w:sz w:val="18"/>
          <w:szCs w:val="18"/>
        </w:rPr>
        <w:t xml:space="preserve">Group Seven Ltd v Notable Services LLP </w:t>
      </w:r>
      <w:r w:rsidRPr="00DE0A84">
        <w:rPr>
          <w:rFonts w:ascii="Century Gothic" w:hAnsi="Century Gothic"/>
          <w:sz w:val="18"/>
          <w:szCs w:val="18"/>
        </w:rPr>
        <w:t xml:space="preserve">[2019] EWCA Civ 614, [2020] Ch 129 </w:t>
      </w:r>
      <w:r w:rsidRPr="00DE0A84">
        <w:rPr>
          <w:rFonts w:ascii="Century Gothic" w:hAnsi="Century Gothic"/>
          <w:sz w:val="18"/>
          <w:szCs w:val="18"/>
          <w:lang w:val="en-GB"/>
        </w:rPr>
        <w:t>[52]–[58] (Henderson, Peter Jackson, Asplin LJJ).</w:t>
      </w:r>
    </w:p>
  </w:footnote>
  <w:footnote w:id="61">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r w:rsidRPr="00DE0A84">
        <w:rPr>
          <w:rFonts w:ascii="Century Gothic" w:hAnsi="Century Gothic"/>
          <w:i/>
          <w:iCs/>
          <w:sz w:val="18"/>
          <w:szCs w:val="18"/>
          <w:lang w:val="en-GB"/>
        </w:rPr>
        <w:t>Australian Securities and Investments Commission v National Exchange Pty Ltd</w:t>
      </w:r>
      <w:r w:rsidRPr="00DE0A84">
        <w:rPr>
          <w:rFonts w:ascii="Century Gothic" w:hAnsi="Century Gothic"/>
          <w:sz w:val="18"/>
          <w:szCs w:val="18"/>
          <w:lang w:val="en-GB"/>
        </w:rPr>
        <w:t xml:space="preserve"> [2005] FCAFC 226, (2005) 148 FCR 132 [33], 142-43 [43], discussed in Bant and Paterson, ‘Systems of Misconduct’ (</w:t>
      </w:r>
      <w:r w:rsidRPr="00DE0A84">
        <w:rPr>
          <w:rFonts w:ascii="Century Gothic" w:hAnsi="Century Gothic"/>
          <w:sz w:val="18"/>
          <w:szCs w:val="18"/>
        </w:rPr>
        <w:t>n 1</w:t>
      </w:r>
      <w:r w:rsidRPr="00DE0A84">
        <w:rPr>
          <w:rFonts w:ascii="Century Gothic" w:hAnsi="Century Gothic"/>
          <w:sz w:val="18"/>
          <w:szCs w:val="18"/>
          <w:lang w:val="en-GB"/>
        </w:rPr>
        <w:t xml:space="preserve">) 81–82. A consistent analysis is contained in </w:t>
      </w:r>
      <w:r w:rsidRPr="00DE0A84">
        <w:rPr>
          <w:rFonts w:ascii="Century Gothic" w:hAnsi="Century Gothic"/>
          <w:i/>
          <w:iCs/>
          <w:sz w:val="18"/>
          <w:szCs w:val="18"/>
          <w:lang w:val="en-GB"/>
        </w:rPr>
        <w:t xml:space="preserve">Stubbings v Jams 2 Pty Ltd </w:t>
      </w:r>
      <w:r w:rsidRPr="00DE0A84">
        <w:rPr>
          <w:rFonts w:ascii="Century Gothic" w:hAnsi="Century Gothic"/>
          <w:iCs/>
          <w:sz w:val="18"/>
          <w:szCs w:val="18"/>
          <w:lang w:val="en-GB"/>
        </w:rPr>
        <w:t xml:space="preserve">[2022] HCA 6 </w:t>
      </w:r>
      <w:r w:rsidRPr="00DE0A84">
        <w:rPr>
          <w:rFonts w:ascii="Century Gothic" w:hAnsi="Century Gothic"/>
          <w:sz w:val="18"/>
          <w:szCs w:val="18"/>
          <w:lang w:val="en-GB"/>
        </w:rPr>
        <w:t>[81] (Gordon J).</w:t>
      </w:r>
    </w:p>
  </w:footnote>
  <w:footnote w:id="62">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Paterson and Bant, ‘Automated Mistakes’ (n 1).</w:t>
      </w:r>
    </w:p>
  </w:footnote>
  <w:footnote w:id="63">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Carney, ‘The New Digital Future’ (n 7) 14.</w:t>
      </w:r>
    </w:p>
  </w:footnote>
  <w:footnote w:id="64">
    <w:p w:rsidR="00F75DBD" w:rsidRPr="00DE0A84" w:rsidRDefault="00F75DBD">
      <w:pPr>
        <w:pStyle w:val="FootnoteText"/>
        <w:rPr>
          <w:rFonts w:ascii="Century Gothic" w:hAnsi="Century Gothic"/>
          <w:sz w:val="18"/>
          <w:szCs w:val="18"/>
        </w:rPr>
      </w:pPr>
      <w:r w:rsidRPr="00DE0A84">
        <w:rPr>
          <w:rStyle w:val="FootnoteReference"/>
          <w:rFonts w:ascii="Century Gothic" w:hAnsi="Century Gothic"/>
          <w:sz w:val="18"/>
          <w:szCs w:val="18"/>
        </w:rPr>
        <w:footnoteRef/>
      </w:r>
      <w:r w:rsidRPr="00DE0A84">
        <w:rPr>
          <w:rFonts w:ascii="Century Gothic" w:hAnsi="Century Gothic"/>
          <w:sz w:val="18"/>
          <w:szCs w:val="18"/>
        </w:rPr>
        <w:t xml:space="preserve"> </w:t>
      </w:r>
      <w:hyperlink r:id="rId15" w:history="1">
        <w:r w:rsidRPr="00DE0A84">
          <w:rPr>
            <w:rStyle w:val="Hyperlink"/>
            <w:rFonts w:ascii="Century Gothic" w:hAnsi="Century Gothic"/>
            <w:sz w:val="18"/>
            <w:szCs w:val="18"/>
          </w:rPr>
          <w:t>https://www.ag.gov.au/integrity/publications/commonwealth-integrity-commission-bill-exposure-draft</w:t>
        </w:r>
      </w:hyperlink>
      <w:r w:rsidRPr="00DE0A84">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DBD" w:rsidRDefault="00F75DBD" w:rsidP="00924697">
    <w:pPr>
      <w:pStyle w:val="Header"/>
      <w:spacing w:before="360" w:after="6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DBD" w:rsidRDefault="00F75DBD" w:rsidP="00924697">
    <w:pPr>
      <w:pStyle w:val="Header"/>
      <w:tabs>
        <w:tab w:val="clear" w:pos="4513"/>
        <w:tab w:val="clear" w:pos="9026"/>
        <w:tab w:val="left" w:pos="2450"/>
        <w:tab w:val="left" w:pos="6634"/>
      </w:tabs>
      <w:ind w:left="14"/>
    </w:pPr>
    <w:r>
      <w:rPr>
        <w:noProof/>
        <w:lang w:eastAsia="en-AU"/>
      </w:rPr>
      <w:drawing>
        <wp:anchor distT="0" distB="0" distL="114300" distR="114300" simplePos="0" relativeHeight="251659264" behindDoc="1" locked="0" layoutInCell="1" allowOverlap="1" wp14:anchorId="71E15D6E" wp14:editId="6DCA459C">
          <wp:simplePos x="0" y="0"/>
          <wp:positionH relativeFrom="page">
            <wp:posOffset>825463</wp:posOffset>
          </wp:positionH>
          <wp:positionV relativeFrom="page">
            <wp:posOffset>568960</wp:posOffset>
          </wp:positionV>
          <wp:extent cx="1799590" cy="5899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A-Full-Hor-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8991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60288" behindDoc="0" locked="0" layoutInCell="1" allowOverlap="1" wp14:anchorId="03DD6D3C" wp14:editId="60B43823">
              <wp:simplePos x="0" y="0"/>
              <wp:positionH relativeFrom="column">
                <wp:posOffset>-252730</wp:posOffset>
              </wp:positionH>
              <wp:positionV relativeFrom="paragraph">
                <wp:posOffset>-251823</wp:posOffset>
              </wp:positionV>
              <wp:extent cx="6911975" cy="287655"/>
              <wp:effectExtent l="0" t="0" r="3175" b="0"/>
              <wp:wrapNone/>
              <wp:docPr id="6" name="Group 6"/>
              <wp:cNvGraphicFramePr/>
              <a:graphic xmlns:a="http://schemas.openxmlformats.org/drawingml/2006/main">
                <a:graphicData uri="http://schemas.microsoft.com/office/word/2010/wordprocessingGroup">
                  <wpg:wgp>
                    <wpg:cNvGrpSpPr/>
                    <wpg:grpSpPr>
                      <a:xfrm>
                        <a:off x="0" y="0"/>
                        <a:ext cx="6911975" cy="287655"/>
                        <a:chOff x="0" y="0"/>
                        <a:chExt cx="6911975" cy="287655"/>
                      </a:xfrm>
                    </wpg:grpSpPr>
                    <wps:wsp>
                      <wps:cNvPr id="16" name="Rectangle 16"/>
                      <wps:cNvSpPr/>
                      <wps:spPr>
                        <a:xfrm>
                          <a:off x="0" y="0"/>
                          <a:ext cx="6911975" cy="287655"/>
                        </a:xfrm>
                        <a:prstGeom prst="rect">
                          <a:avLst/>
                        </a:prstGeom>
                        <a:solidFill>
                          <a:srgbClr val="DDB10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ectangle 17"/>
                      <wps:cNvSpPr/>
                      <wps:spPr>
                        <a:xfrm>
                          <a:off x="5443" y="0"/>
                          <a:ext cx="1794510" cy="287655"/>
                        </a:xfrm>
                        <a:prstGeom prst="rect">
                          <a:avLst/>
                        </a:prstGeom>
                        <a:solidFill>
                          <a:srgbClr val="21409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92F0AA5" id="Group 6" o:spid="_x0000_s1026" style="position:absolute;margin-left:-19.9pt;margin-top:-19.85pt;width:544.25pt;height:22.65pt;z-index:251660288;mso-width-relative:margin" coordsize="69119,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">
              <v:rect id="Rectangle 16" o:spid="_x0000_s1027" style="position:absolute;width:691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" fillcolor="#ddb10a" stroked="f" strokeweight="2pt">
                <v:textbox inset="0,0,0,0"/>
              </v:rect>
              <v:rect id="Rectangle 17" o:spid="_x0000_s1028" style="position:absolute;left:54;width:1794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" fillcolor="#21409a" stroked="f" strokeweight="2pt">
                <v:textbox inset="0,0,0,0"/>
              </v:rect>
            </v:group>
          </w:pict>
        </mc:Fallback>
      </mc:AlternateContent>
    </w:r>
    <w:r w:rsidRPr="00C511BA">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B6B"/>
    <w:multiLevelType w:val="hybridMultilevel"/>
    <w:tmpl w:val="F392C6C6"/>
    <w:lvl w:ilvl="0" w:tplc="F3D606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1B2B9B"/>
    <w:multiLevelType w:val="hybridMultilevel"/>
    <w:tmpl w:val="E7BE0E7A"/>
    <w:lvl w:ilvl="0" w:tplc="BD725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C6FEC"/>
    <w:multiLevelType w:val="hybridMultilevel"/>
    <w:tmpl w:val="225C8FB8"/>
    <w:lvl w:ilvl="0" w:tplc="3F84288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0B3AB9"/>
    <w:multiLevelType w:val="hybridMultilevel"/>
    <w:tmpl w:val="647204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967F04"/>
    <w:multiLevelType w:val="hybridMultilevel"/>
    <w:tmpl w:val="25802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101D4"/>
    <w:multiLevelType w:val="hybridMultilevel"/>
    <w:tmpl w:val="1256D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C1080"/>
    <w:multiLevelType w:val="multilevel"/>
    <w:tmpl w:val="5FD49E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30F3D81"/>
    <w:multiLevelType w:val="hybridMultilevel"/>
    <w:tmpl w:val="58B0D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06E59"/>
    <w:multiLevelType w:val="hybridMultilevel"/>
    <w:tmpl w:val="3FB09258"/>
    <w:lvl w:ilvl="0" w:tplc="D648389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1C7223"/>
    <w:multiLevelType w:val="hybridMultilevel"/>
    <w:tmpl w:val="7E029CA6"/>
    <w:lvl w:ilvl="0" w:tplc="25C2D2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BA61FA"/>
    <w:multiLevelType w:val="hybridMultilevel"/>
    <w:tmpl w:val="29C612AE"/>
    <w:lvl w:ilvl="0" w:tplc="8116BEE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D983FF4"/>
    <w:multiLevelType w:val="hybridMultilevel"/>
    <w:tmpl w:val="838273CC"/>
    <w:lvl w:ilvl="0" w:tplc="3C0885D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DE094A"/>
    <w:multiLevelType w:val="hybridMultilevel"/>
    <w:tmpl w:val="CC3E0E46"/>
    <w:lvl w:ilvl="0" w:tplc="531E04E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E73EBE"/>
    <w:multiLevelType w:val="hybridMultilevel"/>
    <w:tmpl w:val="FF108DFE"/>
    <w:lvl w:ilvl="0" w:tplc="038675C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5642898"/>
    <w:multiLevelType w:val="hybridMultilevel"/>
    <w:tmpl w:val="C6EE30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73605A"/>
    <w:multiLevelType w:val="hybridMultilevel"/>
    <w:tmpl w:val="47946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D04346"/>
    <w:multiLevelType w:val="hybridMultilevel"/>
    <w:tmpl w:val="C31CA89E"/>
    <w:lvl w:ilvl="0" w:tplc="1960016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64725E0"/>
    <w:multiLevelType w:val="hybridMultilevel"/>
    <w:tmpl w:val="97182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C1B92"/>
    <w:multiLevelType w:val="hybridMultilevel"/>
    <w:tmpl w:val="4C829022"/>
    <w:lvl w:ilvl="0" w:tplc="1EB0C6F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5AC527E"/>
    <w:multiLevelType w:val="hybridMultilevel"/>
    <w:tmpl w:val="EBB08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A929BD"/>
    <w:multiLevelType w:val="hybridMultilevel"/>
    <w:tmpl w:val="71345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8C0E9E"/>
    <w:multiLevelType w:val="hybridMultilevel"/>
    <w:tmpl w:val="E7BE0E7A"/>
    <w:lvl w:ilvl="0" w:tplc="BD725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125FFB"/>
    <w:multiLevelType w:val="hybridMultilevel"/>
    <w:tmpl w:val="0BB6C3F4"/>
    <w:lvl w:ilvl="0" w:tplc="6D2A548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
  </w:num>
  <w:num w:numId="3">
    <w:abstractNumId w:val="7"/>
  </w:num>
  <w:num w:numId="4">
    <w:abstractNumId w:val="14"/>
  </w:num>
  <w:num w:numId="5">
    <w:abstractNumId w:val="15"/>
  </w:num>
  <w:num w:numId="6">
    <w:abstractNumId w:val="17"/>
  </w:num>
  <w:num w:numId="7">
    <w:abstractNumId w:val="5"/>
  </w:num>
  <w:num w:numId="8">
    <w:abstractNumId w:val="4"/>
  </w:num>
  <w:num w:numId="9">
    <w:abstractNumId w:val="21"/>
  </w:num>
  <w:num w:numId="10">
    <w:abstractNumId w:val="0"/>
  </w:num>
  <w:num w:numId="11">
    <w:abstractNumId w:val="1"/>
  </w:num>
  <w:num w:numId="12">
    <w:abstractNumId w:val="18"/>
  </w:num>
  <w:num w:numId="13">
    <w:abstractNumId w:val="16"/>
  </w:num>
  <w:num w:numId="14">
    <w:abstractNumId w:val="13"/>
  </w:num>
  <w:num w:numId="15">
    <w:abstractNumId w:val="6"/>
  </w:num>
  <w:num w:numId="16">
    <w:abstractNumId w:val="9"/>
  </w:num>
  <w:num w:numId="17">
    <w:abstractNumId w:val="20"/>
  </w:num>
  <w:num w:numId="18">
    <w:abstractNumId w:val="22"/>
  </w:num>
  <w:num w:numId="19">
    <w:abstractNumId w:val="10"/>
  </w:num>
  <w:num w:numId="20">
    <w:abstractNumId w:val="11"/>
  </w:num>
  <w:num w:numId="21">
    <w:abstractNumId w:val="8"/>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FF"/>
    <w:rsid w:val="0000343F"/>
    <w:rsid w:val="000077EC"/>
    <w:rsid w:val="000204A5"/>
    <w:rsid w:val="000254E9"/>
    <w:rsid w:val="00034A21"/>
    <w:rsid w:val="00035C8B"/>
    <w:rsid w:val="0004327D"/>
    <w:rsid w:val="000878DE"/>
    <w:rsid w:val="000913D5"/>
    <w:rsid w:val="000A62CE"/>
    <w:rsid w:val="000B49C8"/>
    <w:rsid w:val="000E654A"/>
    <w:rsid w:val="000E70BC"/>
    <w:rsid w:val="000F2A5F"/>
    <w:rsid w:val="00102B8A"/>
    <w:rsid w:val="00125CFB"/>
    <w:rsid w:val="0014002E"/>
    <w:rsid w:val="0015737D"/>
    <w:rsid w:val="00163A47"/>
    <w:rsid w:val="001B19C2"/>
    <w:rsid w:val="001C748D"/>
    <w:rsid w:val="001D540D"/>
    <w:rsid w:val="001D6B17"/>
    <w:rsid w:val="001E0122"/>
    <w:rsid w:val="001E6710"/>
    <w:rsid w:val="0021505A"/>
    <w:rsid w:val="00241B30"/>
    <w:rsid w:val="00245747"/>
    <w:rsid w:val="00246382"/>
    <w:rsid w:val="0025575D"/>
    <w:rsid w:val="00266030"/>
    <w:rsid w:val="002661AE"/>
    <w:rsid w:val="0028314C"/>
    <w:rsid w:val="00291DD7"/>
    <w:rsid w:val="002A1F85"/>
    <w:rsid w:val="002C0AC8"/>
    <w:rsid w:val="002C591C"/>
    <w:rsid w:val="002D096B"/>
    <w:rsid w:val="002D632F"/>
    <w:rsid w:val="002E42B0"/>
    <w:rsid w:val="002F265E"/>
    <w:rsid w:val="00311A20"/>
    <w:rsid w:val="00322466"/>
    <w:rsid w:val="00330463"/>
    <w:rsid w:val="00333E88"/>
    <w:rsid w:val="00366F95"/>
    <w:rsid w:val="0038339F"/>
    <w:rsid w:val="003A2436"/>
    <w:rsid w:val="003C1ABD"/>
    <w:rsid w:val="003D06AF"/>
    <w:rsid w:val="003D0CB9"/>
    <w:rsid w:val="003D0D73"/>
    <w:rsid w:val="003D51C6"/>
    <w:rsid w:val="003D6206"/>
    <w:rsid w:val="003D7812"/>
    <w:rsid w:val="00410D0C"/>
    <w:rsid w:val="00412FFF"/>
    <w:rsid w:val="00440380"/>
    <w:rsid w:val="004478EB"/>
    <w:rsid w:val="004779AD"/>
    <w:rsid w:val="00477F97"/>
    <w:rsid w:val="0048001E"/>
    <w:rsid w:val="00480B93"/>
    <w:rsid w:val="004B0467"/>
    <w:rsid w:val="004C1DBC"/>
    <w:rsid w:val="004D7440"/>
    <w:rsid w:val="004E075A"/>
    <w:rsid w:val="004E19EB"/>
    <w:rsid w:val="00505DB4"/>
    <w:rsid w:val="0050715F"/>
    <w:rsid w:val="00520FE9"/>
    <w:rsid w:val="005361DA"/>
    <w:rsid w:val="00553D33"/>
    <w:rsid w:val="0056375F"/>
    <w:rsid w:val="005905E8"/>
    <w:rsid w:val="005A477A"/>
    <w:rsid w:val="005B4A4B"/>
    <w:rsid w:val="005C3808"/>
    <w:rsid w:val="005C5041"/>
    <w:rsid w:val="005D0308"/>
    <w:rsid w:val="005D121D"/>
    <w:rsid w:val="005D14E6"/>
    <w:rsid w:val="005D15AB"/>
    <w:rsid w:val="005E0A64"/>
    <w:rsid w:val="005E6875"/>
    <w:rsid w:val="005F4EBB"/>
    <w:rsid w:val="00601FD7"/>
    <w:rsid w:val="006037AE"/>
    <w:rsid w:val="006219FA"/>
    <w:rsid w:val="006314B4"/>
    <w:rsid w:val="006530B7"/>
    <w:rsid w:val="006678A8"/>
    <w:rsid w:val="006734D9"/>
    <w:rsid w:val="00677867"/>
    <w:rsid w:val="00680DD8"/>
    <w:rsid w:val="0068324C"/>
    <w:rsid w:val="006A1681"/>
    <w:rsid w:val="006A528C"/>
    <w:rsid w:val="006B4BF2"/>
    <w:rsid w:val="006C439D"/>
    <w:rsid w:val="006E7C16"/>
    <w:rsid w:val="00704C10"/>
    <w:rsid w:val="00714065"/>
    <w:rsid w:val="00722662"/>
    <w:rsid w:val="00732DB1"/>
    <w:rsid w:val="007344B6"/>
    <w:rsid w:val="00742590"/>
    <w:rsid w:val="00746B0E"/>
    <w:rsid w:val="00751DBD"/>
    <w:rsid w:val="00760995"/>
    <w:rsid w:val="0076354F"/>
    <w:rsid w:val="0079241F"/>
    <w:rsid w:val="007B0EAF"/>
    <w:rsid w:val="007C7C80"/>
    <w:rsid w:val="007D6B99"/>
    <w:rsid w:val="007E1A62"/>
    <w:rsid w:val="007E2F68"/>
    <w:rsid w:val="007E5B0A"/>
    <w:rsid w:val="007F3C07"/>
    <w:rsid w:val="00803F9D"/>
    <w:rsid w:val="00832D9C"/>
    <w:rsid w:val="00841DEB"/>
    <w:rsid w:val="008660F9"/>
    <w:rsid w:val="008967F3"/>
    <w:rsid w:val="008C49E5"/>
    <w:rsid w:val="008C6467"/>
    <w:rsid w:val="008E1814"/>
    <w:rsid w:val="009052CC"/>
    <w:rsid w:val="009137AB"/>
    <w:rsid w:val="00924697"/>
    <w:rsid w:val="00930965"/>
    <w:rsid w:val="00945703"/>
    <w:rsid w:val="00951092"/>
    <w:rsid w:val="0095371F"/>
    <w:rsid w:val="00956AC2"/>
    <w:rsid w:val="00964C38"/>
    <w:rsid w:val="009754BD"/>
    <w:rsid w:val="00985ED3"/>
    <w:rsid w:val="009D3477"/>
    <w:rsid w:val="009F4D4F"/>
    <w:rsid w:val="00A23F61"/>
    <w:rsid w:val="00A30FD0"/>
    <w:rsid w:val="00A34B98"/>
    <w:rsid w:val="00A974A9"/>
    <w:rsid w:val="00AB7AD4"/>
    <w:rsid w:val="00AD3A11"/>
    <w:rsid w:val="00AE39DD"/>
    <w:rsid w:val="00AE6A0F"/>
    <w:rsid w:val="00AF3389"/>
    <w:rsid w:val="00B137A7"/>
    <w:rsid w:val="00B24A7C"/>
    <w:rsid w:val="00B35B29"/>
    <w:rsid w:val="00B86DF2"/>
    <w:rsid w:val="00B938B3"/>
    <w:rsid w:val="00BA5E55"/>
    <w:rsid w:val="00BB6B17"/>
    <w:rsid w:val="00BD0B77"/>
    <w:rsid w:val="00BD3C86"/>
    <w:rsid w:val="00BF78C6"/>
    <w:rsid w:val="00C3209B"/>
    <w:rsid w:val="00C36208"/>
    <w:rsid w:val="00C56F5D"/>
    <w:rsid w:val="00C7000D"/>
    <w:rsid w:val="00C73D21"/>
    <w:rsid w:val="00C93F51"/>
    <w:rsid w:val="00C9619D"/>
    <w:rsid w:val="00CA6CD2"/>
    <w:rsid w:val="00CC07C4"/>
    <w:rsid w:val="00CD0ADB"/>
    <w:rsid w:val="00CD16F2"/>
    <w:rsid w:val="00CE1FBE"/>
    <w:rsid w:val="00D02932"/>
    <w:rsid w:val="00D06CE3"/>
    <w:rsid w:val="00D71A98"/>
    <w:rsid w:val="00D734EB"/>
    <w:rsid w:val="00D84A38"/>
    <w:rsid w:val="00D91EAE"/>
    <w:rsid w:val="00DB1540"/>
    <w:rsid w:val="00DB273D"/>
    <w:rsid w:val="00DC058C"/>
    <w:rsid w:val="00DE0A84"/>
    <w:rsid w:val="00DE38E7"/>
    <w:rsid w:val="00E06E3B"/>
    <w:rsid w:val="00E21376"/>
    <w:rsid w:val="00E53E8C"/>
    <w:rsid w:val="00E764B0"/>
    <w:rsid w:val="00E931FB"/>
    <w:rsid w:val="00E94993"/>
    <w:rsid w:val="00E94EBD"/>
    <w:rsid w:val="00EB321F"/>
    <w:rsid w:val="00EB4D96"/>
    <w:rsid w:val="00EB7115"/>
    <w:rsid w:val="00EB7684"/>
    <w:rsid w:val="00EE7A67"/>
    <w:rsid w:val="00EF7BE8"/>
    <w:rsid w:val="00F00544"/>
    <w:rsid w:val="00F006EC"/>
    <w:rsid w:val="00F0484D"/>
    <w:rsid w:val="00F724F8"/>
    <w:rsid w:val="00F75DBD"/>
    <w:rsid w:val="00F82C2A"/>
    <w:rsid w:val="00F9326D"/>
    <w:rsid w:val="00F94C53"/>
    <w:rsid w:val="00FB360D"/>
    <w:rsid w:val="00FB458C"/>
    <w:rsid w:val="00FE12BB"/>
    <w:rsid w:val="00FF0C8D"/>
    <w:rsid w:val="00FF1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65A2"/>
  <w15:chartTrackingRefBased/>
  <w15:docId w15:val="{2CEB0DEF-0889-4497-8B1C-DDDFAA61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AE"/>
  </w:style>
  <w:style w:type="paragraph" w:styleId="Heading1">
    <w:name w:val="heading 1"/>
    <w:basedOn w:val="Normal"/>
    <w:next w:val="Normal"/>
    <w:link w:val="Heading1Char"/>
    <w:uiPriority w:val="9"/>
    <w:qFormat/>
    <w:rsid w:val="00E53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3E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03F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2F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2FFF"/>
  </w:style>
  <w:style w:type="table" w:styleId="TableGrid">
    <w:name w:val="Table Grid"/>
    <w:basedOn w:val="TableNormal"/>
    <w:uiPriority w:val="39"/>
    <w:rsid w:val="0041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12F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2FFF"/>
  </w:style>
  <w:style w:type="paragraph" w:customStyle="1" w:styleId="Pa14">
    <w:name w:val="Pa14"/>
    <w:basedOn w:val="Normal"/>
    <w:next w:val="Normal"/>
    <w:uiPriority w:val="99"/>
    <w:rsid w:val="003D0CB9"/>
    <w:pPr>
      <w:autoSpaceDE w:val="0"/>
      <w:autoSpaceDN w:val="0"/>
      <w:adjustRightInd w:val="0"/>
      <w:spacing w:after="0" w:line="201" w:lineRule="atLeast"/>
    </w:pPr>
    <w:rPr>
      <w:rFonts w:ascii="Arial" w:hAnsi="Arial" w:cs="Arial"/>
      <w:sz w:val="24"/>
      <w:szCs w:val="24"/>
    </w:rPr>
  </w:style>
  <w:style w:type="paragraph" w:styleId="ListParagraph">
    <w:name w:val="List Paragraph"/>
    <w:basedOn w:val="Normal"/>
    <w:uiPriority w:val="34"/>
    <w:qFormat/>
    <w:rsid w:val="00964C38"/>
    <w:pPr>
      <w:ind w:left="720"/>
      <w:contextualSpacing/>
    </w:pPr>
  </w:style>
  <w:style w:type="character" w:styleId="Hyperlink">
    <w:name w:val="Hyperlink"/>
    <w:basedOn w:val="DefaultParagraphFont"/>
    <w:uiPriority w:val="99"/>
    <w:unhideWhenUsed/>
    <w:rsid w:val="00D91EAE"/>
    <w:rPr>
      <w:color w:val="0563C1" w:themeColor="hyperlink"/>
      <w:u w:val="single"/>
    </w:rPr>
  </w:style>
  <w:style w:type="paragraph" w:styleId="FootnoteText">
    <w:name w:val="footnote text"/>
    <w:basedOn w:val="Normal"/>
    <w:link w:val="FootnoteTextChar"/>
    <w:uiPriority w:val="99"/>
    <w:semiHidden/>
    <w:unhideWhenUsed/>
    <w:rsid w:val="00480B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B93"/>
    <w:rPr>
      <w:sz w:val="20"/>
      <w:szCs w:val="20"/>
    </w:rPr>
  </w:style>
  <w:style w:type="character" w:styleId="FootnoteReference">
    <w:name w:val="footnote reference"/>
    <w:basedOn w:val="DefaultParagraphFont"/>
    <w:uiPriority w:val="99"/>
    <w:semiHidden/>
    <w:unhideWhenUsed/>
    <w:rsid w:val="00480B93"/>
    <w:rPr>
      <w:vertAlign w:val="superscript"/>
    </w:rPr>
  </w:style>
  <w:style w:type="character" w:styleId="FollowedHyperlink">
    <w:name w:val="FollowedHyperlink"/>
    <w:basedOn w:val="DefaultParagraphFont"/>
    <w:uiPriority w:val="99"/>
    <w:semiHidden/>
    <w:unhideWhenUsed/>
    <w:rsid w:val="004E075A"/>
    <w:rPr>
      <w:color w:val="954F72" w:themeColor="followedHyperlink"/>
      <w:u w:val="single"/>
    </w:rPr>
  </w:style>
  <w:style w:type="paragraph" w:styleId="BalloonText">
    <w:name w:val="Balloon Text"/>
    <w:basedOn w:val="Normal"/>
    <w:link w:val="BalloonTextChar"/>
    <w:uiPriority w:val="99"/>
    <w:semiHidden/>
    <w:unhideWhenUsed/>
    <w:rsid w:val="00F93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26D"/>
    <w:rPr>
      <w:rFonts w:ascii="Segoe UI" w:hAnsi="Segoe UI" w:cs="Segoe UI"/>
      <w:sz w:val="18"/>
      <w:szCs w:val="18"/>
    </w:rPr>
  </w:style>
  <w:style w:type="character" w:customStyle="1" w:styleId="Heading1Char">
    <w:name w:val="Heading 1 Char"/>
    <w:basedOn w:val="DefaultParagraphFont"/>
    <w:link w:val="Heading1"/>
    <w:uiPriority w:val="9"/>
    <w:rsid w:val="00E53E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3E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03F9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9754BD"/>
    <w:pPr>
      <w:outlineLvl w:val="9"/>
    </w:pPr>
    <w:rPr>
      <w:lang w:val="en-US"/>
    </w:rPr>
  </w:style>
  <w:style w:type="paragraph" w:styleId="TOC1">
    <w:name w:val="toc 1"/>
    <w:basedOn w:val="Normal"/>
    <w:next w:val="Normal"/>
    <w:autoRedefine/>
    <w:uiPriority w:val="39"/>
    <w:unhideWhenUsed/>
    <w:rsid w:val="009754BD"/>
    <w:pPr>
      <w:spacing w:after="100"/>
    </w:pPr>
  </w:style>
  <w:style w:type="paragraph" w:styleId="TOC2">
    <w:name w:val="toc 2"/>
    <w:basedOn w:val="Normal"/>
    <w:next w:val="Normal"/>
    <w:autoRedefine/>
    <w:uiPriority w:val="39"/>
    <w:unhideWhenUsed/>
    <w:rsid w:val="009754BD"/>
    <w:pPr>
      <w:spacing w:after="100"/>
      <w:ind w:left="220"/>
    </w:pPr>
  </w:style>
  <w:style w:type="paragraph" w:styleId="TOC3">
    <w:name w:val="toc 3"/>
    <w:basedOn w:val="Normal"/>
    <w:next w:val="Normal"/>
    <w:autoRedefine/>
    <w:uiPriority w:val="39"/>
    <w:unhideWhenUsed/>
    <w:rsid w:val="009754B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451">
      <w:bodyDiv w:val="1"/>
      <w:marLeft w:val="0"/>
      <w:marRight w:val="0"/>
      <w:marTop w:val="0"/>
      <w:marBottom w:val="0"/>
      <w:divBdr>
        <w:top w:val="none" w:sz="0" w:space="0" w:color="auto"/>
        <w:left w:val="none" w:sz="0" w:space="0" w:color="auto"/>
        <w:bottom w:val="none" w:sz="0" w:space="0" w:color="auto"/>
        <w:right w:val="none" w:sz="0" w:space="0" w:color="auto"/>
      </w:divBdr>
    </w:div>
    <w:div w:id="1392801309">
      <w:bodyDiv w:val="1"/>
      <w:marLeft w:val="0"/>
      <w:marRight w:val="0"/>
      <w:marTop w:val="0"/>
      <w:marBottom w:val="0"/>
      <w:divBdr>
        <w:top w:val="none" w:sz="0" w:space="0" w:color="auto"/>
        <w:left w:val="none" w:sz="0" w:space="0" w:color="auto"/>
        <w:bottom w:val="none" w:sz="0" w:space="0" w:color="auto"/>
        <w:right w:val="none" w:sz="0" w:space="0" w:color="auto"/>
      </w:divBdr>
    </w:div>
    <w:div w:id="14123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odebt.royalcommission.gov.au/publications/letters-pat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wa.edu.au/schools/research/unravelling-corporate-fraud-re-purposing-ancient-doctrines-for-modern-tim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australia-news/2020/feb/12/coalition-warned-robodebt-scheme-was-unenforceable-three-years-before-it-acted" TargetMode="External"/><Relationship Id="rId13" Type="http://schemas.openxmlformats.org/officeDocument/2006/relationships/hyperlink" Target="https://pursuit.unimelb.edu.au/articles/charging-dead-clients-is-dishonest-really-who-knew" TargetMode="External"/><Relationship Id="rId3" Type="http://schemas.openxmlformats.org/officeDocument/2006/relationships/hyperlink" Target="https://www.crikey.com.au/2019/09/02/centrelink-robodebt-government-denial/" TargetMode="External"/><Relationship Id="rId7" Type="http://schemas.openxmlformats.org/officeDocument/2006/relationships/hyperlink" Target="https://www.sbs.com.au/news/article/nab-says-fees-for-no-service-not-dishonest/u838rxy95" TargetMode="External"/><Relationship Id="rId12" Type="http://schemas.openxmlformats.org/officeDocument/2006/relationships/hyperlink" Target="https://www.investordaily.com.au/markets/40308-banks-blame-legacy-systems-for-advice-failures" TargetMode="External"/><Relationship Id="rId2" Type="http://schemas.openxmlformats.org/officeDocument/2006/relationships/hyperlink" Target="https://probonoaustralia.com.au/news/2017/10/government-rejects-findings-centrelink-robo-debt-inquiry/" TargetMode="External"/><Relationship Id="rId1" Type="http://schemas.openxmlformats.org/officeDocument/2006/relationships/hyperlink" Target="https://www.legalaid.vic.gov.au/robo-debt-client-stories" TargetMode="External"/><Relationship Id="rId6" Type="http://schemas.openxmlformats.org/officeDocument/2006/relationships/hyperlink" Target="https://www.canberratimes.com.au/story/7719072/robodebt-problem-has-been-addressed-prime-minister/" TargetMode="External"/><Relationship Id="rId11" Type="http://schemas.openxmlformats.org/officeDocument/2006/relationships/hyperlink" Target="https://www.afr.com/companies/financial-services/banking-royal-commission-amp-took-life-premiums-from-dead-customers-20180917-h15h0j" TargetMode="External"/><Relationship Id="rId5" Type="http://schemas.openxmlformats.org/officeDocument/2006/relationships/hyperlink" Target="https://www.smh.com.au/politics/federal/now-is-not-the-time-scott-morrison-blames-welfare-principle-also-followed-by-labor-for-robodebt-scandal-20200601-p54ye2.html" TargetMode="External"/><Relationship Id="rId15" Type="http://schemas.openxmlformats.org/officeDocument/2006/relationships/hyperlink" Target="https://www.ag.gov.au/integrity/publications/commonwealth-integrity-commission-bill-exposure-draft" TargetMode="External"/><Relationship Id="rId10" Type="http://schemas.openxmlformats.org/officeDocument/2006/relationships/hyperlink" Target="https://www.afr.com/companies/financial-services/apra-punishes-cba-s-avanteos-for-charging-the-dead-20191211-p53j3b" TargetMode="External"/><Relationship Id="rId4" Type="http://schemas.openxmlformats.org/officeDocument/2006/relationships/hyperlink" Target="https://www.aph.gov.au/Parliamentary_Business/Committees/Senate/Community_Affairs/SocialWelfareSystem/Government_Response" TargetMode="External"/><Relationship Id="rId9" Type="http://schemas.openxmlformats.org/officeDocument/2006/relationships/hyperlink" Target="https://www.sbs.com.au/news/article/nab-says-fees-for-no-service-not-dishonest/u838rxy95" TargetMode="External"/><Relationship Id="rId14" Type="http://schemas.openxmlformats.org/officeDocument/2006/relationships/hyperlink" Target="https://www.smh.com.au/national/centrelink-wipes-robo-debt-at-centre-of-test-case-20190505-p51kac.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384D-0DE8-487D-91D1-AB45BB64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12823</TotalTime>
  <Pages>22</Pages>
  <Words>8567</Words>
  <Characters>48837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57290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Bant</dc:creator>
  <cp:keywords/>
  <dc:description/>
  <cp:lastModifiedBy>Elise Bant</cp:lastModifiedBy>
  <cp:revision>10</cp:revision>
  <cp:lastPrinted>2022-10-07T03:26:00Z</cp:lastPrinted>
  <dcterms:created xsi:type="dcterms:W3CDTF">2022-09-27T04:11:00Z</dcterms:created>
  <dcterms:modified xsi:type="dcterms:W3CDTF">2022-10-12T07:52:00Z</dcterms:modified>
</cp:coreProperties>
</file>