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D278" w14:textId="200C7C4B" w:rsidR="00711938" w:rsidRPr="00521BF5" w:rsidRDefault="00711938" w:rsidP="00711938">
      <w:pPr>
        <w:spacing w:after="0" w:line="240" w:lineRule="auto"/>
        <w:jc w:val="center"/>
        <w:textAlignment w:val="baseline"/>
        <w:rPr>
          <w:rFonts w:ascii="Segoe UI" w:eastAsia="Times New Roman" w:hAnsi="Segoe UI" w:cs="Segoe UI"/>
          <w:sz w:val="18"/>
          <w:szCs w:val="18"/>
          <w:lang w:eastAsia="en-AU"/>
        </w:rPr>
      </w:pPr>
      <w:r w:rsidRPr="00521BF5">
        <w:rPr>
          <w:rFonts w:ascii="Calibri" w:eastAsia="Times New Roman" w:hAnsi="Calibri" w:cs="Calibri"/>
          <w:i/>
          <w:iCs/>
          <w:sz w:val="28"/>
          <w:szCs w:val="28"/>
          <w:lang w:eastAsia="en-AU"/>
        </w:rPr>
        <w:t xml:space="preserve">NRCoP Webinar </w:t>
      </w:r>
      <w:r w:rsidR="0085498D">
        <w:rPr>
          <w:rFonts w:ascii="Calibri" w:eastAsia="Times New Roman" w:hAnsi="Calibri" w:cs="Calibri"/>
          <w:i/>
          <w:iCs/>
          <w:sz w:val="28"/>
          <w:szCs w:val="28"/>
          <w:lang w:eastAsia="en-AU"/>
        </w:rPr>
        <w:t>25 October</w:t>
      </w:r>
      <w:r w:rsidR="004853C8">
        <w:rPr>
          <w:rFonts w:ascii="Calibri" w:eastAsia="Times New Roman" w:hAnsi="Calibri" w:cs="Calibri"/>
          <w:i/>
          <w:iCs/>
          <w:sz w:val="28"/>
          <w:szCs w:val="28"/>
          <w:lang w:eastAsia="en-AU"/>
        </w:rPr>
        <w:t xml:space="preserve"> </w:t>
      </w:r>
      <w:r w:rsidRPr="00521BF5">
        <w:rPr>
          <w:rFonts w:ascii="Calibri" w:eastAsia="Times New Roman" w:hAnsi="Calibri" w:cs="Calibri"/>
          <w:i/>
          <w:iCs/>
          <w:sz w:val="28"/>
          <w:szCs w:val="28"/>
          <w:lang w:eastAsia="en-AU"/>
        </w:rPr>
        <w:t>2022</w:t>
      </w:r>
      <w:r w:rsidRPr="00521BF5">
        <w:rPr>
          <w:rFonts w:ascii="Calibri" w:eastAsia="Times New Roman" w:hAnsi="Calibri" w:cs="Calibri"/>
          <w:sz w:val="28"/>
          <w:szCs w:val="28"/>
          <w:lang w:eastAsia="en-AU"/>
        </w:rPr>
        <w:t> </w:t>
      </w:r>
    </w:p>
    <w:p w14:paraId="282D1D09" w14:textId="5C0FD266" w:rsidR="00711938" w:rsidRPr="00CB7232" w:rsidRDefault="0085498D" w:rsidP="00711938">
      <w:pPr>
        <w:spacing w:after="0" w:line="240" w:lineRule="auto"/>
        <w:jc w:val="center"/>
        <w:textAlignment w:val="baseline"/>
        <w:rPr>
          <w:rFonts w:ascii="Segoe UI" w:eastAsia="Times New Roman" w:hAnsi="Segoe UI" w:cs="Segoe UI"/>
          <w:sz w:val="16"/>
          <w:szCs w:val="16"/>
          <w:lang w:val="en-GB" w:eastAsia="en-AU"/>
        </w:rPr>
      </w:pPr>
      <w:r>
        <w:rPr>
          <w:rFonts w:ascii="Calibri" w:eastAsia="Times New Roman" w:hAnsi="Calibri" w:cs="Calibri"/>
          <w:b/>
          <w:bCs/>
          <w:i/>
          <w:iCs/>
          <w:sz w:val="28"/>
          <w:szCs w:val="28"/>
          <w:lang w:eastAsia="en-AU"/>
        </w:rPr>
        <w:t>Guilty Corporate Minds: old and new approaches to regulating corporate (mis)conduct</w:t>
      </w:r>
    </w:p>
    <w:p w14:paraId="65BFBB22" w14:textId="4FED9B39" w:rsidR="00711938" w:rsidRPr="00521BF5" w:rsidRDefault="00711938" w:rsidP="00711938">
      <w:pPr>
        <w:spacing w:after="0" w:line="240" w:lineRule="auto"/>
        <w:jc w:val="center"/>
        <w:textAlignment w:val="baseline"/>
        <w:rPr>
          <w:rFonts w:ascii="Calibri" w:eastAsia="Times New Roman" w:hAnsi="Calibri" w:cs="Calibri"/>
          <w:sz w:val="28"/>
          <w:szCs w:val="28"/>
          <w:lang w:eastAsia="en-AU"/>
        </w:rPr>
      </w:pPr>
      <w:r w:rsidRPr="5A6BC662">
        <w:rPr>
          <w:rFonts w:ascii="Calibri" w:eastAsia="Times New Roman" w:hAnsi="Calibri" w:cs="Calibri"/>
          <w:i/>
          <w:iCs/>
          <w:sz w:val="28"/>
          <w:szCs w:val="28"/>
          <w:lang w:eastAsia="en-AU"/>
        </w:rPr>
        <w:t>Additional Q&amp;A</w:t>
      </w:r>
      <w:r w:rsidRPr="5A6BC662">
        <w:rPr>
          <w:rFonts w:ascii="Calibri" w:eastAsia="Times New Roman" w:hAnsi="Calibri" w:cs="Calibri"/>
          <w:sz w:val="28"/>
          <w:szCs w:val="28"/>
          <w:lang w:eastAsia="en-AU"/>
        </w:rPr>
        <w:t> </w:t>
      </w:r>
    </w:p>
    <w:p w14:paraId="2F8AC6EC" w14:textId="7206A84E" w:rsidR="5A6BC662" w:rsidRDefault="5A6BC662" w:rsidP="5A6BC662">
      <w:pPr>
        <w:spacing w:after="0" w:line="240" w:lineRule="auto"/>
        <w:jc w:val="center"/>
        <w:rPr>
          <w:rFonts w:ascii="Calibri" w:eastAsia="Times New Roman" w:hAnsi="Calibri" w:cs="Calibri"/>
          <w:sz w:val="28"/>
          <w:szCs w:val="28"/>
          <w:lang w:eastAsia="en-AU"/>
        </w:rPr>
      </w:pPr>
    </w:p>
    <w:p w14:paraId="416362E2" w14:textId="12764A65" w:rsidR="6C600110" w:rsidRDefault="6C600110" w:rsidP="5A6BC662">
      <w:pPr>
        <w:jc w:val="center"/>
        <w:rPr>
          <w:rFonts w:ascii="Calibri" w:eastAsia="Times New Roman" w:hAnsi="Calibri" w:cs="Calibri"/>
          <w:b/>
          <w:bCs/>
          <w:sz w:val="28"/>
          <w:szCs w:val="28"/>
          <w:lang w:eastAsia="en-AU"/>
        </w:rPr>
      </w:pPr>
      <w:r w:rsidRPr="5A6BC662">
        <w:rPr>
          <w:rFonts w:ascii="Calibri" w:eastAsia="Times New Roman" w:hAnsi="Calibri" w:cs="Calibri"/>
          <w:b/>
          <w:bCs/>
          <w:sz w:val="28"/>
          <w:szCs w:val="28"/>
          <w:lang w:eastAsia="en-AU"/>
        </w:rPr>
        <w:t xml:space="preserve">Dr Elise Bant, </w:t>
      </w:r>
      <w:r w:rsidR="5AAAF147" w:rsidRPr="5A6BC662">
        <w:rPr>
          <w:rFonts w:ascii="Calibri" w:eastAsia="Times New Roman" w:hAnsi="Calibri" w:cs="Calibri"/>
          <w:b/>
          <w:bCs/>
          <w:sz w:val="28"/>
          <w:szCs w:val="28"/>
          <w:lang w:eastAsia="en-AU"/>
        </w:rPr>
        <w:t>Professor of Private Law and Commercial Regulation, UWA</w:t>
      </w:r>
    </w:p>
    <w:p w14:paraId="17B496DB" w14:textId="77777777" w:rsidR="00F567DC" w:rsidRPr="00711938" w:rsidRDefault="00F567DC" w:rsidP="00711938">
      <w:pPr>
        <w:spacing w:after="0" w:line="240" w:lineRule="auto"/>
        <w:jc w:val="center"/>
        <w:textAlignment w:val="baseline"/>
        <w:rPr>
          <w:rFonts w:ascii="Segoe UI" w:eastAsia="Times New Roman" w:hAnsi="Segoe UI" w:cs="Segoe UI"/>
          <w:sz w:val="18"/>
          <w:szCs w:val="18"/>
          <w:lang w:eastAsia="en-AU"/>
        </w:rPr>
      </w:pPr>
    </w:p>
    <w:tbl>
      <w:tblPr>
        <w:tblW w:w="9842" w:type="dxa"/>
        <w:tblInd w:w="-7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842"/>
      </w:tblGrid>
      <w:tr w:rsidR="1914D7AB" w14:paraId="6AD6FB79" w14:textId="77777777" w:rsidTr="5A6BC662">
        <w:tc>
          <w:tcPr>
            <w:tcW w:w="984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3935063" w14:textId="70388486" w:rsidR="1914D7AB" w:rsidRPr="002D2DBB" w:rsidRDefault="00521BF5" w:rsidP="005E53F2">
            <w:pPr>
              <w:rPr>
                <w:rFonts w:ascii="Calibri" w:hAnsi="Calibri" w:cs="Calibri"/>
                <w:color w:val="000000"/>
                <w:shd w:val="clear" w:color="auto" w:fill="FFFFFF"/>
              </w:rPr>
            </w:pPr>
            <w:r w:rsidRPr="00B049F3">
              <w:rPr>
                <w:rFonts w:ascii="Calibri" w:eastAsia="Times New Roman" w:hAnsi="Calibri" w:cs="Calibri"/>
                <w:b/>
                <w:bCs/>
                <w:lang w:eastAsia="en-AU"/>
              </w:rPr>
              <w:t>Q</w:t>
            </w:r>
            <w:r w:rsidR="00056E65" w:rsidRPr="00B049F3">
              <w:rPr>
                <w:rFonts w:ascii="Calibri" w:eastAsia="Times New Roman" w:hAnsi="Calibri" w:cs="Calibri"/>
                <w:b/>
                <w:bCs/>
                <w:lang w:eastAsia="en-AU"/>
              </w:rPr>
              <w:t>1</w:t>
            </w:r>
            <w:r w:rsidRPr="00B049F3">
              <w:rPr>
                <w:rFonts w:ascii="Calibri" w:eastAsia="Times New Roman" w:hAnsi="Calibri" w:cs="Calibri"/>
                <w:b/>
                <w:bCs/>
                <w:lang w:eastAsia="en-AU"/>
              </w:rPr>
              <w:t xml:space="preserve">:  </w:t>
            </w:r>
            <w:r w:rsidR="00B049F3" w:rsidRPr="00B049F3">
              <w:rPr>
                <w:rFonts w:ascii="Calibri" w:eastAsia="Times New Roman" w:hAnsi="Calibri" w:cs="Calibri"/>
                <w:b/>
                <w:bCs/>
                <w:lang w:eastAsia="en-AU"/>
              </w:rPr>
              <w:t>Parliament and law are traditional sources/influences here. But would either presenter care to muse on 'the executive' input here? Do you see changes in expectation and understanding of what a company should do, arising from the executive's actions (in WA consider, for example, Ministerial public statements following Rio Tinto and Juukan Gorge or Hancock and sponsorship decisions).</w:t>
            </w:r>
          </w:p>
        </w:tc>
      </w:tr>
      <w:tr w:rsidR="1914D7AB" w14:paraId="51458373" w14:textId="77777777" w:rsidTr="5A6BC662">
        <w:tc>
          <w:tcPr>
            <w:tcW w:w="9842" w:type="dxa"/>
            <w:tcBorders>
              <w:top w:val="nil"/>
              <w:left w:val="single" w:sz="6" w:space="0" w:color="auto"/>
              <w:bottom w:val="single" w:sz="6" w:space="0" w:color="auto"/>
              <w:right w:val="single" w:sz="6" w:space="0" w:color="auto"/>
            </w:tcBorders>
            <w:shd w:val="clear" w:color="auto" w:fill="E7E6E6" w:themeFill="background2"/>
          </w:tcPr>
          <w:p w14:paraId="2652E969" w14:textId="2E0BECD3" w:rsidR="00521BF5" w:rsidRPr="00B049F3" w:rsidRDefault="00521BF5" w:rsidP="00B049F3">
            <w:pPr>
              <w:pStyle w:val="paragraph"/>
              <w:spacing w:before="0" w:beforeAutospacing="0" w:after="0" w:afterAutospacing="0"/>
              <w:textAlignment w:val="baseline"/>
              <w:rPr>
                <w:rFonts w:ascii="Segoe UI" w:hAnsi="Segoe UI" w:cs="Segoe UI"/>
                <w:sz w:val="18"/>
                <w:szCs w:val="18"/>
              </w:rPr>
            </w:pPr>
          </w:p>
        </w:tc>
      </w:tr>
      <w:tr w:rsidR="1914D7AB" w14:paraId="316DEFCD" w14:textId="77777777" w:rsidTr="5A6BC662">
        <w:tc>
          <w:tcPr>
            <w:tcW w:w="9842" w:type="dxa"/>
            <w:tcBorders>
              <w:top w:val="nil"/>
              <w:left w:val="single" w:sz="6" w:space="0" w:color="auto"/>
              <w:bottom w:val="single" w:sz="6" w:space="0" w:color="auto"/>
              <w:right w:val="single" w:sz="6" w:space="0" w:color="auto"/>
            </w:tcBorders>
            <w:shd w:val="clear" w:color="auto" w:fill="auto"/>
          </w:tcPr>
          <w:p w14:paraId="4336AF38" w14:textId="77777777" w:rsidR="1914D7AB" w:rsidRDefault="1914D7AB" w:rsidP="00664965">
            <w:pPr>
              <w:spacing w:after="0" w:line="240" w:lineRule="auto"/>
              <w:ind w:left="720"/>
              <w:rPr>
                <w:rFonts w:ascii="Calibri" w:eastAsia="Times New Roman" w:hAnsi="Calibri" w:cs="Calibri"/>
                <w:sz w:val="20"/>
                <w:szCs w:val="20"/>
                <w:lang w:eastAsia="en-AU"/>
              </w:rPr>
            </w:pPr>
          </w:p>
          <w:p w14:paraId="24C6D270" w14:textId="657A4641" w:rsidR="00EB4854" w:rsidRPr="00EF65D9" w:rsidRDefault="00504E59" w:rsidP="00EF65D9">
            <w:pPr>
              <w:ind w:left="720"/>
              <w:rPr>
                <w:sz w:val="20"/>
                <w:szCs w:val="20"/>
              </w:rPr>
            </w:pPr>
            <w:r>
              <w:rPr>
                <w:sz w:val="20"/>
                <w:szCs w:val="20"/>
              </w:rPr>
              <w:t>EB: Yes, great point, I do think all these broader inputs are very important in shaping commercial norms. Parliament and courts are only one source, as a matter of practice, although of course the impact of other sources of influence before courts (as opposed to shaping corporate daily practices) may be far less direct and obvious. Beyond (for example) statements of Senate inquiries and ministerial statements, Royal Commissions, for example, are a significant way of broadcasting expectations of corporate responsibility. So are public submissions to inquiries, particular where they are conveying a strong and fairly consistent message.  So are Codes, regulator guidance and other soft law sources. Indeed, regulator guidance may be, as a matter of practice, of principle importance! Hence the significance (from my perspective) of regulators having a clear sense of how corporate manifest their intentions through their systems. If regulators make clear that this is a basis on which they will proceed (in addition to more traditional common law and statutory approaches) then corporations will swiftly realise the importance of embedding ethical practices.</w:t>
            </w:r>
          </w:p>
        </w:tc>
      </w:tr>
    </w:tbl>
    <w:p w14:paraId="228B9840" w14:textId="26CAD4E1" w:rsidR="00C70738" w:rsidRDefault="00C70738" w:rsidP="1914D7AB">
      <w:pPr>
        <w:rPr>
          <w:rFonts w:ascii="Calibri" w:hAnsi="Calibri" w:cs="Calibri"/>
          <w:color w:val="000000"/>
          <w:shd w:val="clear" w:color="auto" w:fill="FFFFFF"/>
        </w:rPr>
      </w:pPr>
    </w:p>
    <w:tbl>
      <w:tblPr>
        <w:tblW w:w="0" w:type="auto"/>
        <w:tblInd w:w="-7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730"/>
      </w:tblGrid>
      <w:tr w:rsidR="002D2DBB" w14:paraId="2E6E2553" w14:textId="77777777" w:rsidTr="00DE0884">
        <w:tc>
          <w:tcPr>
            <w:tcW w:w="973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35F69E3" w14:textId="7606FBFB" w:rsidR="002D2DBB" w:rsidRPr="002D2DBB" w:rsidRDefault="002D2DBB" w:rsidP="00DE0884">
            <w:pPr>
              <w:rPr>
                <w:rFonts w:ascii="Calibri" w:hAnsi="Calibri" w:cs="Calibri"/>
                <w:color w:val="000000"/>
                <w:shd w:val="clear" w:color="auto" w:fill="FFFFFF"/>
              </w:rPr>
            </w:pPr>
            <w:r w:rsidRPr="00B049F3">
              <w:rPr>
                <w:rFonts w:ascii="Calibri" w:eastAsia="Times New Roman" w:hAnsi="Calibri" w:cs="Calibri"/>
                <w:b/>
                <w:bCs/>
                <w:lang w:eastAsia="en-AU"/>
              </w:rPr>
              <w:t>Q</w:t>
            </w:r>
            <w:r w:rsidR="00EB4854">
              <w:rPr>
                <w:rFonts w:ascii="Calibri" w:eastAsia="Times New Roman" w:hAnsi="Calibri" w:cs="Calibri"/>
                <w:b/>
                <w:bCs/>
                <w:lang w:eastAsia="en-AU"/>
              </w:rPr>
              <w:t>2</w:t>
            </w:r>
            <w:r w:rsidRPr="00B049F3">
              <w:rPr>
                <w:rFonts w:ascii="Calibri" w:eastAsia="Times New Roman" w:hAnsi="Calibri" w:cs="Calibri"/>
                <w:b/>
                <w:bCs/>
                <w:lang w:eastAsia="en-AU"/>
              </w:rPr>
              <w:t xml:space="preserve">:  </w:t>
            </w:r>
            <w:r w:rsidR="008F4568" w:rsidRPr="008F4568">
              <w:rPr>
                <w:rFonts w:ascii="Calibri" w:eastAsia="Times New Roman" w:hAnsi="Calibri" w:cs="Calibri"/>
                <w:b/>
                <w:bCs/>
                <w:lang w:eastAsia="en-AU"/>
              </w:rPr>
              <w:t>Would love to hear more about the ASIC vs National Exchange case and how National Exchanges knowledge of vulnerable consumers enabled their business model, what flow on effects has this had on the way other corporate bodies treat vulnerable or disadvantaged consumers?</w:t>
            </w:r>
          </w:p>
        </w:tc>
      </w:tr>
      <w:tr w:rsidR="002D2DBB" w14:paraId="59CEE212" w14:textId="77777777" w:rsidTr="00DE0884">
        <w:tc>
          <w:tcPr>
            <w:tcW w:w="9730" w:type="dxa"/>
            <w:tcBorders>
              <w:top w:val="nil"/>
              <w:left w:val="single" w:sz="6" w:space="0" w:color="auto"/>
              <w:bottom w:val="single" w:sz="6" w:space="0" w:color="auto"/>
              <w:right w:val="single" w:sz="6" w:space="0" w:color="auto"/>
            </w:tcBorders>
            <w:shd w:val="clear" w:color="auto" w:fill="E7E6E6" w:themeFill="background2"/>
          </w:tcPr>
          <w:p w14:paraId="10BA655A" w14:textId="63D205BA" w:rsidR="002D2DBB" w:rsidRPr="00B049F3" w:rsidRDefault="002D2DBB" w:rsidP="00DE0884">
            <w:pPr>
              <w:pStyle w:val="paragraph"/>
              <w:spacing w:before="0" w:beforeAutospacing="0" w:after="0" w:afterAutospacing="0"/>
              <w:textAlignment w:val="baseline"/>
              <w:rPr>
                <w:rFonts w:ascii="Segoe UI" w:hAnsi="Segoe UI" w:cs="Segoe UI"/>
                <w:sz w:val="18"/>
                <w:szCs w:val="18"/>
              </w:rPr>
            </w:pPr>
          </w:p>
        </w:tc>
      </w:tr>
      <w:tr w:rsidR="002D2DBB" w14:paraId="05F9C3F9" w14:textId="77777777" w:rsidTr="00DE0884">
        <w:tc>
          <w:tcPr>
            <w:tcW w:w="9730" w:type="dxa"/>
            <w:tcBorders>
              <w:top w:val="nil"/>
              <w:left w:val="single" w:sz="6" w:space="0" w:color="auto"/>
              <w:bottom w:val="single" w:sz="6" w:space="0" w:color="auto"/>
              <w:right w:val="single" w:sz="6" w:space="0" w:color="auto"/>
            </w:tcBorders>
            <w:shd w:val="clear" w:color="auto" w:fill="auto"/>
          </w:tcPr>
          <w:p w14:paraId="70C3A51A" w14:textId="77777777" w:rsidR="002D2DBB" w:rsidRDefault="002D2DBB" w:rsidP="00DE0884">
            <w:pPr>
              <w:spacing w:after="0" w:line="240" w:lineRule="auto"/>
              <w:ind w:left="720"/>
              <w:rPr>
                <w:rFonts w:ascii="Calibri" w:eastAsia="Times New Roman" w:hAnsi="Calibri" w:cs="Calibri"/>
                <w:sz w:val="20"/>
                <w:szCs w:val="20"/>
                <w:lang w:eastAsia="en-AU"/>
              </w:rPr>
            </w:pPr>
          </w:p>
          <w:p w14:paraId="1CA1CB1C" w14:textId="1EE6291F" w:rsidR="00EB4854" w:rsidRPr="00EF65D9" w:rsidRDefault="00504E59" w:rsidP="00EF65D9">
            <w:pPr>
              <w:ind w:left="720"/>
              <w:rPr>
                <w:sz w:val="20"/>
                <w:szCs w:val="20"/>
              </w:rPr>
            </w:pPr>
            <w:r>
              <w:rPr>
                <w:sz w:val="20"/>
                <w:szCs w:val="20"/>
              </w:rPr>
              <w:t xml:space="preserve">EB: In </w:t>
            </w:r>
            <w:r>
              <w:rPr>
                <w:i/>
                <w:iCs/>
                <w:sz w:val="20"/>
                <w:szCs w:val="20"/>
              </w:rPr>
              <w:t>National Exchange</w:t>
            </w:r>
            <w:r>
              <w:rPr>
                <w:sz w:val="20"/>
                <w:szCs w:val="20"/>
              </w:rPr>
              <w:t xml:space="preserve">, the business model could only work (be profitable) if the target group for the low-ball offer contained inexperienced and commercially irrational members who would be tricked (misled) into thinking that the offer was at a fair price. And that is precisely what occurred. So knowledge of the presence of vulnerable persons, and even (in this case) the nature of the special disadvantage was implicit in the system. In that case, there was in fact an individual ‘directing mind and will’ who was the mastermind of it all. But of course, with larger companies (eg Crown…) that won’t always, or often, be the case. National Exchange is discussed in Bant and Paterson, ‘Systems of Misconduct: corporate culpability and statutory unconscionability’ (2021) 15 </w:t>
            </w:r>
            <w:r>
              <w:rPr>
                <w:i/>
                <w:iCs/>
                <w:sz w:val="20"/>
                <w:szCs w:val="20"/>
              </w:rPr>
              <w:t>Journal of Equity</w:t>
            </w:r>
            <w:r>
              <w:rPr>
                <w:sz w:val="20"/>
                <w:szCs w:val="20"/>
              </w:rPr>
              <w:t xml:space="preserve"> 63, alongside a range of other cases that might be relevant to your work. The recent High Court of Australia decision in </w:t>
            </w:r>
            <w:r>
              <w:rPr>
                <w:i/>
                <w:iCs/>
                <w:sz w:val="20"/>
                <w:szCs w:val="20"/>
              </w:rPr>
              <w:t>Stubbings v Jams</w:t>
            </w:r>
            <w:r>
              <w:rPr>
                <w:sz w:val="20"/>
                <w:szCs w:val="20"/>
              </w:rPr>
              <w:t xml:space="preserve"> 2 </w:t>
            </w:r>
            <w:r>
              <w:rPr>
                <w:i/>
                <w:iCs/>
              </w:rPr>
              <w:t>Pty Ltd</w:t>
            </w:r>
            <w:r>
              <w:t xml:space="preserve"> [2022] HCA 6 is another example of a business model that was inherently predatory, and where knowledge of special disadvantage was implicit in the model. Gordon J’s judgment is the interesting one there – see in particular her statement at [81] and citation of… </w:t>
            </w:r>
            <w:r>
              <w:rPr>
                <w:i/>
                <w:iCs/>
              </w:rPr>
              <w:t>National Exchange</w:t>
            </w:r>
            <w:r>
              <w:t>!</w:t>
            </w:r>
          </w:p>
        </w:tc>
      </w:tr>
    </w:tbl>
    <w:p w14:paraId="2A1B9A1F" w14:textId="7FF461E3" w:rsidR="002D2DBB" w:rsidRDefault="002D2DBB" w:rsidP="1914D7AB">
      <w:pPr>
        <w:rPr>
          <w:rFonts w:ascii="Calibri" w:hAnsi="Calibri" w:cs="Calibri"/>
          <w:color w:val="000000"/>
          <w:shd w:val="clear" w:color="auto" w:fill="FFFFFF"/>
        </w:rPr>
      </w:pPr>
    </w:p>
    <w:tbl>
      <w:tblPr>
        <w:tblW w:w="0" w:type="auto"/>
        <w:tblInd w:w="-7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730"/>
      </w:tblGrid>
      <w:tr w:rsidR="002D2DBB" w14:paraId="213D07D2" w14:textId="77777777" w:rsidTr="00DE0884">
        <w:tc>
          <w:tcPr>
            <w:tcW w:w="973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6D1948F" w14:textId="09993E29" w:rsidR="002D2DBB" w:rsidRPr="002D2DBB" w:rsidRDefault="002D2DBB" w:rsidP="00DE0884">
            <w:pPr>
              <w:rPr>
                <w:rFonts w:ascii="Calibri" w:hAnsi="Calibri" w:cs="Calibri"/>
                <w:color w:val="000000"/>
                <w:shd w:val="clear" w:color="auto" w:fill="FFFFFF"/>
              </w:rPr>
            </w:pPr>
            <w:r w:rsidRPr="00B049F3">
              <w:rPr>
                <w:rFonts w:ascii="Calibri" w:eastAsia="Times New Roman" w:hAnsi="Calibri" w:cs="Calibri"/>
                <w:b/>
                <w:bCs/>
                <w:lang w:eastAsia="en-AU"/>
              </w:rPr>
              <w:lastRenderedPageBreak/>
              <w:t>Q</w:t>
            </w:r>
            <w:r w:rsidR="00EB4854">
              <w:rPr>
                <w:rFonts w:ascii="Calibri" w:eastAsia="Times New Roman" w:hAnsi="Calibri" w:cs="Calibri"/>
                <w:b/>
                <w:bCs/>
                <w:lang w:eastAsia="en-AU"/>
              </w:rPr>
              <w:t>3:</w:t>
            </w:r>
            <w:r w:rsidRPr="00B049F3">
              <w:rPr>
                <w:rFonts w:ascii="Calibri" w:eastAsia="Times New Roman" w:hAnsi="Calibri" w:cs="Calibri"/>
                <w:b/>
                <w:bCs/>
                <w:lang w:eastAsia="en-AU"/>
              </w:rPr>
              <w:t xml:space="preserve">  </w:t>
            </w:r>
            <w:r w:rsidR="00EB4854" w:rsidRPr="00EB4854">
              <w:rPr>
                <w:rFonts w:ascii="Calibri" w:eastAsia="Times New Roman" w:hAnsi="Calibri" w:cs="Calibri"/>
                <w:b/>
                <w:bCs/>
                <w:lang w:eastAsia="en-AU"/>
              </w:rPr>
              <w:t>Health professionals working in corporations are required to act only in accord with that code, but clearly the requirements of this code might conflict with the interests of shareholders. How would systems intentionality apply?</w:t>
            </w:r>
          </w:p>
        </w:tc>
      </w:tr>
      <w:tr w:rsidR="002D2DBB" w14:paraId="2E45ABCD" w14:textId="77777777" w:rsidTr="00DE0884">
        <w:tc>
          <w:tcPr>
            <w:tcW w:w="9730" w:type="dxa"/>
            <w:tcBorders>
              <w:top w:val="nil"/>
              <w:left w:val="single" w:sz="6" w:space="0" w:color="auto"/>
              <w:bottom w:val="single" w:sz="6" w:space="0" w:color="auto"/>
              <w:right w:val="single" w:sz="6" w:space="0" w:color="auto"/>
            </w:tcBorders>
            <w:shd w:val="clear" w:color="auto" w:fill="E7E6E6" w:themeFill="background2"/>
          </w:tcPr>
          <w:p w14:paraId="69990445" w14:textId="5513053E" w:rsidR="002D2DBB" w:rsidRPr="00B049F3" w:rsidRDefault="002D2DBB" w:rsidP="00DE0884">
            <w:pPr>
              <w:pStyle w:val="paragraph"/>
              <w:spacing w:before="0" w:beforeAutospacing="0" w:after="0" w:afterAutospacing="0"/>
              <w:textAlignment w:val="baseline"/>
              <w:rPr>
                <w:rFonts w:ascii="Segoe UI" w:hAnsi="Segoe UI" w:cs="Segoe UI"/>
                <w:sz w:val="18"/>
                <w:szCs w:val="18"/>
              </w:rPr>
            </w:pPr>
          </w:p>
        </w:tc>
      </w:tr>
      <w:tr w:rsidR="002D2DBB" w14:paraId="210386CA" w14:textId="77777777" w:rsidTr="00DE0884">
        <w:tc>
          <w:tcPr>
            <w:tcW w:w="9730" w:type="dxa"/>
            <w:tcBorders>
              <w:top w:val="nil"/>
              <w:left w:val="single" w:sz="6" w:space="0" w:color="auto"/>
              <w:bottom w:val="single" w:sz="6" w:space="0" w:color="auto"/>
              <w:right w:val="single" w:sz="6" w:space="0" w:color="auto"/>
            </w:tcBorders>
            <w:shd w:val="clear" w:color="auto" w:fill="auto"/>
          </w:tcPr>
          <w:p w14:paraId="41DC9E0E" w14:textId="77777777" w:rsidR="002D2DBB" w:rsidRDefault="002D2DBB" w:rsidP="00DE0884">
            <w:pPr>
              <w:spacing w:after="0" w:line="240" w:lineRule="auto"/>
              <w:ind w:left="720"/>
              <w:rPr>
                <w:rFonts w:ascii="Calibri" w:eastAsia="Times New Roman" w:hAnsi="Calibri" w:cs="Calibri"/>
                <w:sz w:val="20"/>
                <w:szCs w:val="20"/>
                <w:lang w:eastAsia="en-AU"/>
              </w:rPr>
            </w:pPr>
          </w:p>
          <w:p w14:paraId="47A85CF9" w14:textId="3351D58D" w:rsidR="00EB4854" w:rsidRPr="00EF65D9" w:rsidRDefault="00504E59" w:rsidP="00EF65D9">
            <w:pPr>
              <w:ind w:left="720"/>
              <w:rPr>
                <w:sz w:val="20"/>
                <w:szCs w:val="20"/>
              </w:rPr>
            </w:pPr>
            <w:r>
              <w:rPr>
                <w:sz w:val="20"/>
                <w:szCs w:val="20"/>
              </w:rPr>
              <w:t>EB: Systems Intentionality is concerned with the reasoning of corporations, rather than the individual people who are embedded in (and carrying out) the system of conduct. Individual employees might have a range of reasons for acting: promotion, prestige, work ethic, loyalty to the corporation, impressing their co-worker, laziness, following instructions (including the requirements of a law, or an industry Code)… and sometimes, some workers won’t do their job and yet, overall, the system of conduct will work. And when a system of conduct is deployed, whatever the individuals think, it manifests the corporation’s intentions. This is why it should be no excuse for corporations to point to individual or group employees and say ‘see, our employees are hardworking and honest, so therefore so is the corporation’. Employees may have little idea of, or control over, the systems in which they are embedded. They are the corporation’s systems, which manifest intended conduct, for which the corporation is responsible. As to how a corporation develops its systems, and the values manifest in those systems (profit at all cost v law-abiding v benevolent v other…), no doubt there will be a lot of influences – see answer to Qu 1, and Q6 below!</w:t>
            </w:r>
          </w:p>
        </w:tc>
      </w:tr>
    </w:tbl>
    <w:p w14:paraId="3F22FD30" w14:textId="3C57F28E" w:rsidR="002D2DBB" w:rsidRDefault="002D2DBB" w:rsidP="1914D7AB">
      <w:pPr>
        <w:rPr>
          <w:rFonts w:ascii="Calibri" w:hAnsi="Calibri" w:cs="Calibri"/>
          <w:color w:val="000000"/>
          <w:shd w:val="clear" w:color="auto" w:fill="FFFFFF"/>
        </w:rPr>
      </w:pPr>
    </w:p>
    <w:tbl>
      <w:tblPr>
        <w:tblW w:w="0" w:type="auto"/>
        <w:tblInd w:w="-7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730"/>
      </w:tblGrid>
      <w:tr w:rsidR="002D2DBB" w14:paraId="19664453" w14:textId="77777777" w:rsidTr="00DE0884">
        <w:tc>
          <w:tcPr>
            <w:tcW w:w="973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1E14022" w14:textId="780FEC13" w:rsidR="002D2DBB" w:rsidRPr="002D2DBB" w:rsidRDefault="002D2DBB" w:rsidP="00DE0884">
            <w:pPr>
              <w:rPr>
                <w:rFonts w:ascii="Calibri" w:hAnsi="Calibri" w:cs="Calibri"/>
                <w:color w:val="000000"/>
                <w:shd w:val="clear" w:color="auto" w:fill="FFFFFF"/>
              </w:rPr>
            </w:pPr>
            <w:r w:rsidRPr="00B049F3">
              <w:rPr>
                <w:rFonts w:ascii="Calibri" w:eastAsia="Times New Roman" w:hAnsi="Calibri" w:cs="Calibri"/>
                <w:b/>
                <w:bCs/>
                <w:lang w:eastAsia="en-AU"/>
              </w:rPr>
              <w:t>Q</w:t>
            </w:r>
            <w:r w:rsidR="00EB4854">
              <w:rPr>
                <w:rFonts w:ascii="Calibri" w:eastAsia="Times New Roman" w:hAnsi="Calibri" w:cs="Calibri"/>
                <w:b/>
                <w:bCs/>
                <w:lang w:eastAsia="en-AU"/>
              </w:rPr>
              <w:t>4</w:t>
            </w:r>
            <w:r w:rsidRPr="00B049F3">
              <w:rPr>
                <w:rFonts w:ascii="Calibri" w:eastAsia="Times New Roman" w:hAnsi="Calibri" w:cs="Calibri"/>
                <w:b/>
                <w:bCs/>
                <w:lang w:eastAsia="en-AU"/>
              </w:rPr>
              <w:t xml:space="preserve">:  </w:t>
            </w:r>
            <w:r w:rsidR="00EB4854" w:rsidRPr="00EB4854">
              <w:rPr>
                <w:rFonts w:ascii="Calibri" w:eastAsia="Times New Roman" w:hAnsi="Calibri" w:cs="Calibri"/>
                <w:b/>
                <w:bCs/>
                <w:lang w:eastAsia="en-AU"/>
              </w:rPr>
              <w:t>Would be interested if any views on how far should regulators go in mandating what compliance systems look like? Could this relieve the corporation of taking responsibility for designing and operating an effective system?</w:t>
            </w:r>
          </w:p>
        </w:tc>
      </w:tr>
      <w:tr w:rsidR="002D2DBB" w14:paraId="74E94FA0" w14:textId="77777777" w:rsidTr="00DE0884">
        <w:tc>
          <w:tcPr>
            <w:tcW w:w="9730" w:type="dxa"/>
            <w:tcBorders>
              <w:top w:val="nil"/>
              <w:left w:val="single" w:sz="6" w:space="0" w:color="auto"/>
              <w:bottom w:val="single" w:sz="6" w:space="0" w:color="auto"/>
              <w:right w:val="single" w:sz="6" w:space="0" w:color="auto"/>
            </w:tcBorders>
            <w:shd w:val="clear" w:color="auto" w:fill="E7E6E6" w:themeFill="background2"/>
          </w:tcPr>
          <w:p w14:paraId="603F3BE3" w14:textId="3E7F53FB" w:rsidR="002D2DBB" w:rsidRPr="00B049F3" w:rsidRDefault="002D2DBB" w:rsidP="00DE0884">
            <w:pPr>
              <w:pStyle w:val="paragraph"/>
              <w:spacing w:before="0" w:beforeAutospacing="0" w:after="0" w:afterAutospacing="0"/>
              <w:textAlignment w:val="baseline"/>
              <w:rPr>
                <w:rFonts w:ascii="Segoe UI" w:hAnsi="Segoe UI" w:cs="Segoe UI"/>
                <w:sz w:val="18"/>
                <w:szCs w:val="18"/>
              </w:rPr>
            </w:pPr>
          </w:p>
        </w:tc>
      </w:tr>
      <w:tr w:rsidR="002D2DBB" w14:paraId="28AB4448" w14:textId="77777777" w:rsidTr="00DE0884">
        <w:tc>
          <w:tcPr>
            <w:tcW w:w="9730" w:type="dxa"/>
            <w:tcBorders>
              <w:top w:val="nil"/>
              <w:left w:val="single" w:sz="6" w:space="0" w:color="auto"/>
              <w:bottom w:val="single" w:sz="6" w:space="0" w:color="auto"/>
              <w:right w:val="single" w:sz="6" w:space="0" w:color="auto"/>
            </w:tcBorders>
            <w:shd w:val="clear" w:color="auto" w:fill="auto"/>
          </w:tcPr>
          <w:p w14:paraId="35A09700" w14:textId="58804D47" w:rsidR="002D2DBB" w:rsidRDefault="002D2DBB" w:rsidP="00DE0884">
            <w:pPr>
              <w:spacing w:after="0" w:line="240" w:lineRule="auto"/>
              <w:ind w:left="720"/>
              <w:rPr>
                <w:rFonts w:ascii="Calibri" w:eastAsia="Times New Roman" w:hAnsi="Calibri" w:cs="Calibri"/>
                <w:sz w:val="20"/>
                <w:szCs w:val="20"/>
                <w:lang w:eastAsia="en-AU"/>
              </w:rPr>
            </w:pPr>
          </w:p>
          <w:p w14:paraId="6CCDA7CD" w14:textId="1C147D0A" w:rsidR="002D2DBB" w:rsidRPr="00EF65D9" w:rsidRDefault="00EF65D9" w:rsidP="00EF65D9">
            <w:pPr>
              <w:ind w:left="720"/>
              <w:rPr>
                <w:sz w:val="20"/>
                <w:szCs w:val="20"/>
              </w:rPr>
            </w:pPr>
            <w:r>
              <w:rPr>
                <w:sz w:val="20"/>
                <w:szCs w:val="20"/>
              </w:rPr>
              <w:t xml:space="preserve">EB: </w:t>
            </w:r>
            <w:r w:rsidR="007A6F9E">
              <w:rPr>
                <w:sz w:val="20"/>
                <w:szCs w:val="20"/>
              </w:rPr>
              <w:t xml:space="preserve">I do think it is possible for there to be a degree of direction on the part of regulators. But I also think that corporations are supposedly the experts in their business and it is for corporations to take responsibility for acting lawfully! So the onus lies on the corporation to embed systems of conduct that reflect their good corporate character – the Vic Casino Royal Commission final report is excellent on both aspects (what sorts of things can be mandated, and how systems bear on corporate responsibility). </w:t>
            </w:r>
          </w:p>
        </w:tc>
      </w:tr>
    </w:tbl>
    <w:p w14:paraId="01A42803" w14:textId="119FAE58" w:rsidR="002D2DBB" w:rsidRDefault="002D2DBB" w:rsidP="1914D7AB">
      <w:pPr>
        <w:rPr>
          <w:rFonts w:ascii="Calibri" w:hAnsi="Calibri" w:cs="Calibri"/>
          <w:color w:val="000000"/>
          <w:shd w:val="clear" w:color="auto" w:fill="FFFFFF"/>
        </w:rPr>
      </w:pPr>
    </w:p>
    <w:tbl>
      <w:tblPr>
        <w:tblW w:w="0" w:type="auto"/>
        <w:tblInd w:w="-7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730"/>
      </w:tblGrid>
      <w:tr w:rsidR="002D2DBB" w14:paraId="140437F0" w14:textId="77777777" w:rsidTr="00DE0884">
        <w:tc>
          <w:tcPr>
            <w:tcW w:w="973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871778D" w14:textId="32200C84" w:rsidR="002D2DBB" w:rsidRPr="002D2DBB" w:rsidRDefault="002D2DBB" w:rsidP="00DE0884">
            <w:pPr>
              <w:rPr>
                <w:rFonts w:ascii="Calibri" w:hAnsi="Calibri" w:cs="Calibri"/>
                <w:color w:val="000000"/>
                <w:shd w:val="clear" w:color="auto" w:fill="FFFFFF"/>
              </w:rPr>
            </w:pPr>
            <w:r w:rsidRPr="00B049F3">
              <w:rPr>
                <w:rFonts w:ascii="Calibri" w:eastAsia="Times New Roman" w:hAnsi="Calibri" w:cs="Calibri"/>
                <w:b/>
                <w:bCs/>
                <w:lang w:eastAsia="en-AU"/>
              </w:rPr>
              <w:t>Q</w:t>
            </w:r>
            <w:r w:rsidR="00EB4854">
              <w:rPr>
                <w:rFonts w:ascii="Calibri" w:eastAsia="Times New Roman" w:hAnsi="Calibri" w:cs="Calibri"/>
                <w:b/>
                <w:bCs/>
                <w:lang w:eastAsia="en-AU"/>
              </w:rPr>
              <w:t>5</w:t>
            </w:r>
            <w:r w:rsidRPr="00B049F3">
              <w:rPr>
                <w:rFonts w:ascii="Calibri" w:eastAsia="Times New Roman" w:hAnsi="Calibri" w:cs="Calibri"/>
                <w:b/>
                <w:bCs/>
                <w:lang w:eastAsia="en-AU"/>
              </w:rPr>
              <w:t xml:space="preserve">:  </w:t>
            </w:r>
            <w:r w:rsidR="00CF4DF4" w:rsidRPr="00CF4DF4">
              <w:rPr>
                <w:rFonts w:ascii="Calibri" w:eastAsia="Times New Roman" w:hAnsi="Calibri" w:cs="Calibri"/>
                <w:b/>
                <w:bCs/>
                <w:lang w:eastAsia="en-AU"/>
              </w:rPr>
              <w:t>Can we learn anything from comparable jurisdictions about how to make our approach to regulating criminal corporate conduct more effective?</w:t>
            </w:r>
          </w:p>
        </w:tc>
      </w:tr>
      <w:tr w:rsidR="002D2DBB" w14:paraId="26229EFC" w14:textId="77777777" w:rsidTr="00DE0884">
        <w:tc>
          <w:tcPr>
            <w:tcW w:w="9730" w:type="dxa"/>
            <w:tcBorders>
              <w:top w:val="nil"/>
              <w:left w:val="single" w:sz="6" w:space="0" w:color="auto"/>
              <w:bottom w:val="single" w:sz="6" w:space="0" w:color="auto"/>
              <w:right w:val="single" w:sz="6" w:space="0" w:color="auto"/>
            </w:tcBorders>
            <w:shd w:val="clear" w:color="auto" w:fill="E7E6E6" w:themeFill="background2"/>
          </w:tcPr>
          <w:p w14:paraId="13DD26B5" w14:textId="4532A367" w:rsidR="002D2DBB" w:rsidRPr="00B049F3" w:rsidRDefault="002D2DBB" w:rsidP="00DE0884">
            <w:pPr>
              <w:pStyle w:val="paragraph"/>
              <w:spacing w:before="0" w:beforeAutospacing="0" w:after="0" w:afterAutospacing="0"/>
              <w:textAlignment w:val="baseline"/>
              <w:rPr>
                <w:rFonts w:ascii="Segoe UI" w:hAnsi="Segoe UI" w:cs="Segoe UI"/>
                <w:sz w:val="18"/>
                <w:szCs w:val="18"/>
              </w:rPr>
            </w:pPr>
          </w:p>
        </w:tc>
      </w:tr>
      <w:tr w:rsidR="002D2DBB" w14:paraId="06B891E4" w14:textId="77777777" w:rsidTr="00DE0884">
        <w:tc>
          <w:tcPr>
            <w:tcW w:w="9730" w:type="dxa"/>
            <w:tcBorders>
              <w:top w:val="nil"/>
              <w:left w:val="single" w:sz="6" w:space="0" w:color="auto"/>
              <w:bottom w:val="single" w:sz="6" w:space="0" w:color="auto"/>
              <w:right w:val="single" w:sz="6" w:space="0" w:color="auto"/>
            </w:tcBorders>
            <w:shd w:val="clear" w:color="auto" w:fill="auto"/>
          </w:tcPr>
          <w:p w14:paraId="7A13B0E0" w14:textId="77777777" w:rsidR="00EF65D9" w:rsidRDefault="00EF65D9" w:rsidP="00EF65D9">
            <w:pPr>
              <w:ind w:left="720"/>
              <w:rPr>
                <w:sz w:val="20"/>
                <w:szCs w:val="20"/>
              </w:rPr>
            </w:pPr>
          </w:p>
          <w:p w14:paraId="5F8B86A0" w14:textId="590D9B82" w:rsidR="00CF4DF4" w:rsidRPr="00EF65D9" w:rsidRDefault="007A6F9E" w:rsidP="00EF65D9">
            <w:pPr>
              <w:ind w:left="720"/>
              <w:rPr>
                <w:color w:val="000000"/>
                <w:sz w:val="20"/>
                <w:szCs w:val="20"/>
                <w:shd w:val="clear" w:color="auto" w:fill="FFFFFF"/>
              </w:rPr>
            </w:pPr>
            <w:r>
              <w:rPr>
                <w:sz w:val="20"/>
                <w:szCs w:val="20"/>
              </w:rPr>
              <w:t xml:space="preserve">EB: To be honest, I think Australia has been leading the way for some time through its corporate culture provisions, which haven’t been a success in liability terms, but have been extremely effective as a governance/licensing concept (see, again, the leading role it plays in the Casino Royal Commissions). England’s ‘failure to prevent’ offences have been a useful addition to the regulator’s armoury, both there and elsewhere (including Australia). Note that systems of conduct again play a leading role in those offences. If a corporation has taken ‘reasonable precautions’ or demonstrates ‘due diligence’ in how it runs its business then, notwithstanding that one of its associates committed the predicate offence, the corporation has a defence. I would see this as establishing that the ‘good’ systems manifest that the corporation didn’t know of, intend or authorise/permit the misconduct, thereby establishing innocence of any wrongdoing on its own part. In my view, these sorts of recurrent patterns of reasoning (namely, that a corporation’s systems of conduct are highly relevant to questions of culpability and, conversely, good character) go to show that all corporations should be reflecting on, reviewing and remedying their systems of conduct on a regular basis. </w:t>
            </w:r>
          </w:p>
        </w:tc>
      </w:tr>
    </w:tbl>
    <w:p w14:paraId="35F022BD" w14:textId="5FEF78E0" w:rsidR="002D2DBB" w:rsidRDefault="002D2DBB" w:rsidP="1914D7AB">
      <w:pPr>
        <w:rPr>
          <w:rFonts w:ascii="Calibri" w:hAnsi="Calibri" w:cs="Calibri"/>
          <w:color w:val="000000"/>
          <w:shd w:val="clear" w:color="auto" w:fill="FFFFFF"/>
        </w:rPr>
      </w:pPr>
    </w:p>
    <w:tbl>
      <w:tblPr>
        <w:tblW w:w="0" w:type="auto"/>
        <w:tblInd w:w="-7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730"/>
      </w:tblGrid>
      <w:tr w:rsidR="002D2DBB" w14:paraId="08FBB421" w14:textId="77777777" w:rsidTr="00DE0884">
        <w:tc>
          <w:tcPr>
            <w:tcW w:w="973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CEADBB6" w14:textId="032935E3" w:rsidR="002D2DBB" w:rsidRPr="002D2DBB" w:rsidRDefault="002D2DBB" w:rsidP="00DE0884">
            <w:pPr>
              <w:rPr>
                <w:rFonts w:ascii="Calibri" w:hAnsi="Calibri" w:cs="Calibri"/>
                <w:color w:val="000000"/>
                <w:shd w:val="clear" w:color="auto" w:fill="FFFFFF"/>
              </w:rPr>
            </w:pPr>
            <w:r w:rsidRPr="00B049F3">
              <w:rPr>
                <w:rFonts w:ascii="Calibri" w:eastAsia="Times New Roman" w:hAnsi="Calibri" w:cs="Calibri"/>
                <w:b/>
                <w:bCs/>
                <w:lang w:eastAsia="en-AU"/>
              </w:rPr>
              <w:t>Q</w:t>
            </w:r>
            <w:r w:rsidR="00CF4DF4">
              <w:rPr>
                <w:rFonts w:ascii="Calibri" w:eastAsia="Times New Roman" w:hAnsi="Calibri" w:cs="Calibri"/>
                <w:b/>
                <w:bCs/>
                <w:lang w:eastAsia="en-AU"/>
              </w:rPr>
              <w:t>6</w:t>
            </w:r>
            <w:r w:rsidR="00EB4854">
              <w:rPr>
                <w:rFonts w:ascii="Calibri" w:eastAsia="Times New Roman" w:hAnsi="Calibri" w:cs="Calibri"/>
                <w:b/>
                <w:bCs/>
                <w:lang w:eastAsia="en-AU"/>
              </w:rPr>
              <w:t xml:space="preserve">: </w:t>
            </w:r>
            <w:r w:rsidR="00EB4854" w:rsidRPr="00EB4854">
              <w:rPr>
                <w:rFonts w:ascii="Calibri" w:eastAsia="Times New Roman" w:hAnsi="Calibri" w:cs="Calibri"/>
                <w:b/>
                <w:bCs/>
                <w:lang w:eastAsia="en-AU"/>
              </w:rPr>
              <w:t>What is the role of shareholders in setting or monitoring systems?</w:t>
            </w:r>
          </w:p>
        </w:tc>
      </w:tr>
      <w:tr w:rsidR="002D2DBB" w14:paraId="3747AC61" w14:textId="77777777" w:rsidTr="00DE0884">
        <w:tc>
          <w:tcPr>
            <w:tcW w:w="9730" w:type="dxa"/>
            <w:tcBorders>
              <w:top w:val="nil"/>
              <w:left w:val="single" w:sz="6" w:space="0" w:color="auto"/>
              <w:bottom w:val="single" w:sz="6" w:space="0" w:color="auto"/>
              <w:right w:val="single" w:sz="6" w:space="0" w:color="auto"/>
            </w:tcBorders>
            <w:shd w:val="clear" w:color="auto" w:fill="E7E6E6" w:themeFill="background2"/>
          </w:tcPr>
          <w:p w14:paraId="3E6156B1" w14:textId="2E37AC22" w:rsidR="002D2DBB" w:rsidRPr="00B049F3" w:rsidRDefault="002D2DBB" w:rsidP="00DE0884">
            <w:pPr>
              <w:pStyle w:val="paragraph"/>
              <w:spacing w:before="0" w:beforeAutospacing="0" w:after="0" w:afterAutospacing="0"/>
              <w:textAlignment w:val="baseline"/>
              <w:rPr>
                <w:rFonts w:ascii="Segoe UI" w:hAnsi="Segoe UI" w:cs="Segoe UI"/>
                <w:sz w:val="18"/>
                <w:szCs w:val="18"/>
              </w:rPr>
            </w:pPr>
          </w:p>
        </w:tc>
      </w:tr>
      <w:tr w:rsidR="002D2DBB" w14:paraId="586EF8D4" w14:textId="77777777" w:rsidTr="00DE0884">
        <w:tc>
          <w:tcPr>
            <w:tcW w:w="9730" w:type="dxa"/>
            <w:tcBorders>
              <w:top w:val="nil"/>
              <w:left w:val="single" w:sz="6" w:space="0" w:color="auto"/>
              <w:bottom w:val="single" w:sz="6" w:space="0" w:color="auto"/>
              <w:right w:val="single" w:sz="6" w:space="0" w:color="auto"/>
            </w:tcBorders>
            <w:shd w:val="clear" w:color="auto" w:fill="auto"/>
          </w:tcPr>
          <w:p w14:paraId="53ACC42D" w14:textId="49AD11EE" w:rsidR="002D2DBB" w:rsidRDefault="002D2DBB" w:rsidP="00DE0884">
            <w:pPr>
              <w:spacing w:after="0" w:line="240" w:lineRule="auto"/>
              <w:ind w:left="720"/>
              <w:rPr>
                <w:rFonts w:ascii="Calibri" w:eastAsia="Times New Roman" w:hAnsi="Calibri" w:cs="Calibri"/>
                <w:sz w:val="20"/>
                <w:szCs w:val="20"/>
                <w:lang w:eastAsia="en-AU"/>
              </w:rPr>
            </w:pPr>
          </w:p>
          <w:p w14:paraId="25EEE25E" w14:textId="49CD57A6" w:rsidR="002D2DBB" w:rsidRPr="00EF65D9" w:rsidRDefault="007A6F9E" w:rsidP="00EF65D9">
            <w:pPr>
              <w:ind w:left="720"/>
              <w:rPr>
                <w:sz w:val="20"/>
                <w:szCs w:val="20"/>
              </w:rPr>
            </w:pPr>
            <w:r>
              <w:rPr>
                <w:sz w:val="20"/>
                <w:szCs w:val="20"/>
              </w:rPr>
              <w:t>EB: Shareholders can of course exert pressure on Boards to adopt more vigilant stances towards the role of systems in manifesting the corporate values, intentions and so on, through voting on bonuses etc. But there are other routes, too, for shareholders to hold their corporations to account. ‘Greenwashing’, for example, is a classic example of where corporations’ formal statements about their values are belied by the reality of their daily practices. On Systems Intentionality, this is a form of misleading conduct in trade and commerce and actionable as such! Wouldn’t take many class actions by disgruntled shareholders to send a message that corporate walk must match its talk!</w:t>
            </w:r>
          </w:p>
        </w:tc>
      </w:tr>
    </w:tbl>
    <w:p w14:paraId="62DE72D8" w14:textId="77777777" w:rsidR="00CF4DF4" w:rsidRDefault="00CF4DF4" w:rsidP="00CF4DF4">
      <w:pPr>
        <w:rPr>
          <w:rFonts w:ascii="Calibri" w:hAnsi="Calibri" w:cs="Calibri"/>
          <w:color w:val="000000"/>
          <w:shd w:val="clear" w:color="auto" w:fill="FFFFFF"/>
        </w:rPr>
      </w:pPr>
    </w:p>
    <w:tbl>
      <w:tblPr>
        <w:tblW w:w="0" w:type="auto"/>
        <w:tblInd w:w="-7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730"/>
      </w:tblGrid>
      <w:tr w:rsidR="00CF4DF4" w14:paraId="1AE973E4" w14:textId="77777777" w:rsidTr="00DE0884">
        <w:tc>
          <w:tcPr>
            <w:tcW w:w="973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AE8AAB4" w14:textId="3340951A" w:rsidR="00CF4DF4" w:rsidRPr="007E31A0" w:rsidRDefault="00CF4DF4" w:rsidP="00DE0884">
            <w:pPr>
              <w:rPr>
                <w:rFonts w:ascii="Calibri" w:eastAsia="Times New Roman" w:hAnsi="Calibri" w:cs="Calibri"/>
                <w:b/>
                <w:bCs/>
                <w:lang w:eastAsia="en-AU"/>
              </w:rPr>
            </w:pPr>
            <w:r w:rsidRPr="00B049F3">
              <w:rPr>
                <w:rFonts w:ascii="Calibri" w:eastAsia="Times New Roman" w:hAnsi="Calibri" w:cs="Calibri"/>
                <w:b/>
                <w:bCs/>
                <w:lang w:eastAsia="en-AU"/>
              </w:rPr>
              <w:t>Q</w:t>
            </w:r>
            <w:r w:rsidR="007E31A0">
              <w:rPr>
                <w:rFonts w:ascii="Calibri" w:eastAsia="Times New Roman" w:hAnsi="Calibri" w:cs="Calibri"/>
                <w:b/>
                <w:bCs/>
                <w:lang w:eastAsia="en-AU"/>
              </w:rPr>
              <w:t>7</w:t>
            </w:r>
            <w:r>
              <w:rPr>
                <w:rFonts w:ascii="Calibri" w:eastAsia="Times New Roman" w:hAnsi="Calibri" w:cs="Calibri"/>
                <w:b/>
                <w:bCs/>
                <w:lang w:eastAsia="en-AU"/>
              </w:rPr>
              <w:t xml:space="preserve">: </w:t>
            </w:r>
            <w:r w:rsidR="007E31A0" w:rsidRPr="007E31A0">
              <w:rPr>
                <w:rFonts w:ascii="Calibri" w:eastAsia="Times New Roman" w:hAnsi="Calibri" w:cs="Calibri"/>
                <w:b/>
                <w:bCs/>
                <w:lang w:eastAsia="en-AU"/>
              </w:rPr>
              <w:t>Is this intentionality at play in tax avoidance cases and what should we then make of robodebt...?</w:t>
            </w:r>
          </w:p>
        </w:tc>
      </w:tr>
      <w:tr w:rsidR="00CF4DF4" w14:paraId="614CD385" w14:textId="77777777" w:rsidTr="00DE0884">
        <w:tc>
          <w:tcPr>
            <w:tcW w:w="9730" w:type="dxa"/>
            <w:tcBorders>
              <w:top w:val="nil"/>
              <w:left w:val="single" w:sz="6" w:space="0" w:color="auto"/>
              <w:bottom w:val="single" w:sz="6" w:space="0" w:color="auto"/>
              <w:right w:val="single" w:sz="6" w:space="0" w:color="auto"/>
            </w:tcBorders>
            <w:shd w:val="clear" w:color="auto" w:fill="E7E6E6" w:themeFill="background2"/>
          </w:tcPr>
          <w:p w14:paraId="380635DB" w14:textId="7AE2A3E2" w:rsidR="00CF4DF4" w:rsidRPr="00B049F3" w:rsidRDefault="00CF4DF4" w:rsidP="00DE0884">
            <w:pPr>
              <w:pStyle w:val="paragraph"/>
              <w:spacing w:before="0" w:beforeAutospacing="0" w:after="0" w:afterAutospacing="0"/>
              <w:textAlignment w:val="baseline"/>
              <w:rPr>
                <w:rFonts w:ascii="Segoe UI" w:hAnsi="Segoe UI" w:cs="Segoe UI"/>
                <w:sz w:val="18"/>
                <w:szCs w:val="18"/>
              </w:rPr>
            </w:pPr>
          </w:p>
        </w:tc>
      </w:tr>
      <w:tr w:rsidR="00CF4DF4" w14:paraId="267DCAEE" w14:textId="77777777" w:rsidTr="00DE0884">
        <w:tc>
          <w:tcPr>
            <w:tcW w:w="9730" w:type="dxa"/>
            <w:tcBorders>
              <w:top w:val="nil"/>
              <w:left w:val="single" w:sz="6" w:space="0" w:color="auto"/>
              <w:bottom w:val="single" w:sz="6" w:space="0" w:color="auto"/>
              <w:right w:val="single" w:sz="6" w:space="0" w:color="auto"/>
            </w:tcBorders>
            <w:shd w:val="clear" w:color="auto" w:fill="auto"/>
          </w:tcPr>
          <w:p w14:paraId="5B5B81A9" w14:textId="77777777" w:rsidR="00CF4DF4" w:rsidRDefault="00CF4DF4" w:rsidP="00DE0884">
            <w:pPr>
              <w:spacing w:after="0" w:line="240" w:lineRule="auto"/>
              <w:ind w:left="720"/>
              <w:rPr>
                <w:rFonts w:ascii="Calibri" w:eastAsia="Times New Roman" w:hAnsi="Calibri" w:cs="Calibri"/>
                <w:sz w:val="20"/>
                <w:szCs w:val="20"/>
                <w:lang w:eastAsia="en-AU"/>
              </w:rPr>
            </w:pPr>
          </w:p>
          <w:p w14:paraId="1DE2F280" w14:textId="6D6C2B82" w:rsidR="00CF4DF4" w:rsidRPr="00EF65D9" w:rsidRDefault="00EF65D9" w:rsidP="00EF65D9">
            <w:pPr>
              <w:ind w:left="720"/>
              <w:rPr>
                <w:sz w:val="20"/>
                <w:szCs w:val="20"/>
              </w:rPr>
            </w:pPr>
            <w:r>
              <w:rPr>
                <w:sz w:val="20"/>
                <w:szCs w:val="20"/>
              </w:rPr>
              <w:t xml:space="preserve">EB: Ah yes, this has all potentially all sorts of implications, for understanding systems of tax avoidance, corporate groups (many of the unconscionability cases discussed in the ‘Systems of Misconduct’ article in (2021) 15 </w:t>
            </w:r>
            <w:r>
              <w:rPr>
                <w:i/>
                <w:iCs/>
                <w:sz w:val="20"/>
                <w:szCs w:val="20"/>
              </w:rPr>
              <w:t>Journal of Equity</w:t>
            </w:r>
            <w:r>
              <w:rPr>
                <w:sz w:val="20"/>
                <w:szCs w:val="20"/>
              </w:rPr>
              <w:t xml:space="preserve"> 63 concern systems of conduct carried out by a mix of natural and corporate persons) and governments! As for the shameful case of Robodebt, please do see my submissions, posted to the website.</w:t>
            </w:r>
          </w:p>
        </w:tc>
      </w:tr>
    </w:tbl>
    <w:p w14:paraId="1E4150CA" w14:textId="4AC52A0D" w:rsidR="002E7D38" w:rsidRDefault="002E7D38" w:rsidP="1914D7AB">
      <w:pPr>
        <w:rPr>
          <w:rFonts w:ascii="Calibri" w:hAnsi="Calibri" w:cs="Calibri"/>
          <w:color w:val="000000"/>
          <w:shd w:val="clear" w:color="auto" w:fill="FFFFFF"/>
        </w:rPr>
      </w:pPr>
    </w:p>
    <w:sectPr w:rsidR="002E7D3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0AC4" w14:textId="77777777" w:rsidR="0076621B" w:rsidRDefault="0076621B" w:rsidP="000A2C41">
      <w:pPr>
        <w:spacing w:after="0" w:line="240" w:lineRule="auto"/>
      </w:pPr>
      <w:r>
        <w:separator/>
      </w:r>
    </w:p>
  </w:endnote>
  <w:endnote w:type="continuationSeparator" w:id="0">
    <w:p w14:paraId="187458D1" w14:textId="77777777" w:rsidR="0076621B" w:rsidRDefault="0076621B" w:rsidP="000A2C41">
      <w:pPr>
        <w:spacing w:after="0" w:line="240" w:lineRule="auto"/>
      </w:pPr>
      <w:r>
        <w:continuationSeparator/>
      </w:r>
    </w:p>
  </w:endnote>
  <w:endnote w:type="continuationNotice" w:id="1">
    <w:p w14:paraId="43F26109" w14:textId="77777777" w:rsidR="0076621B" w:rsidRDefault="00766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FD50" w14:textId="0B6D531D" w:rsidR="002B483C" w:rsidRDefault="002B483C">
    <w:pPr>
      <w:pStyle w:val="Footer"/>
    </w:pPr>
    <w:r>
      <w:rPr>
        <w:noProof/>
      </w:rPr>
      <mc:AlternateContent>
        <mc:Choice Requires="wps">
          <w:drawing>
            <wp:anchor distT="0" distB="0" distL="114300" distR="114300" simplePos="0" relativeHeight="251658240" behindDoc="0" locked="0" layoutInCell="0" allowOverlap="1" wp14:anchorId="7C1A4956" wp14:editId="45D267E6">
              <wp:simplePos x="0" y="0"/>
              <wp:positionH relativeFrom="page">
                <wp:posOffset>0</wp:posOffset>
              </wp:positionH>
              <wp:positionV relativeFrom="page">
                <wp:posOffset>10227945</wp:posOffset>
              </wp:positionV>
              <wp:extent cx="7560310" cy="273050"/>
              <wp:effectExtent l="0" t="0" r="0" b="12700"/>
              <wp:wrapNone/>
              <wp:docPr id="1" name="MSIPCMe4224613be79eacf70c1d174" descr="{&quot;HashCode&quot;:185957052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58DD1B" w14:textId="7024CE38" w:rsidR="002B483C" w:rsidRPr="002B483C" w:rsidRDefault="002B483C" w:rsidP="002B483C">
                          <w:pPr>
                            <w:spacing w:after="0"/>
                            <w:rPr>
                              <w:rFonts w:ascii="Calibri" w:hAnsi="Calibri" w:cs="Calibri"/>
                              <w:color w:val="000000"/>
                            </w:rPr>
                          </w:pPr>
                          <w:r w:rsidRPr="002B483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7C1A4956">
              <v:stroke joinstyle="miter"/>
              <v:path gradientshapeok="t" o:connecttype="rect"/>
            </v:shapetype>
            <v:shape id="MSIPCMe4224613be79eacf70c1d174"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859570527,&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2B483C" w:rsidR="002B483C" w:rsidP="002B483C" w:rsidRDefault="002B483C" w14:paraId="5D58DD1B" w14:textId="7024CE38">
                    <w:pPr>
                      <w:spacing w:after="0"/>
                      <w:rPr>
                        <w:rFonts w:ascii="Calibri" w:hAnsi="Calibri" w:cs="Calibri"/>
                        <w:color w:val="000000"/>
                      </w:rPr>
                    </w:pPr>
                    <w:r w:rsidRPr="002B483C">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B1E3" w14:textId="77777777" w:rsidR="0076621B" w:rsidRDefault="0076621B" w:rsidP="000A2C41">
      <w:pPr>
        <w:spacing w:after="0" w:line="240" w:lineRule="auto"/>
      </w:pPr>
      <w:r>
        <w:separator/>
      </w:r>
    </w:p>
  </w:footnote>
  <w:footnote w:type="continuationSeparator" w:id="0">
    <w:p w14:paraId="42B703D0" w14:textId="77777777" w:rsidR="0076621B" w:rsidRDefault="0076621B" w:rsidP="000A2C41">
      <w:pPr>
        <w:spacing w:after="0" w:line="240" w:lineRule="auto"/>
      </w:pPr>
      <w:r>
        <w:continuationSeparator/>
      </w:r>
    </w:p>
  </w:footnote>
  <w:footnote w:type="continuationNotice" w:id="1">
    <w:p w14:paraId="40CFE565" w14:textId="77777777" w:rsidR="0076621B" w:rsidRDefault="007662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0D7"/>
    <w:multiLevelType w:val="hybridMultilevel"/>
    <w:tmpl w:val="B9603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546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938"/>
    <w:rsid w:val="00000074"/>
    <w:rsid w:val="00001B10"/>
    <w:rsid w:val="00003CC2"/>
    <w:rsid w:val="00005A0C"/>
    <w:rsid w:val="00022FFC"/>
    <w:rsid w:val="00056AB4"/>
    <w:rsid w:val="00056E65"/>
    <w:rsid w:val="0006401F"/>
    <w:rsid w:val="00072CF0"/>
    <w:rsid w:val="00074EEB"/>
    <w:rsid w:val="0008205E"/>
    <w:rsid w:val="000A2900"/>
    <w:rsid w:val="000A2C41"/>
    <w:rsid w:val="000A351F"/>
    <w:rsid w:val="000A7FC4"/>
    <w:rsid w:val="000B1F29"/>
    <w:rsid w:val="000B564B"/>
    <w:rsid w:val="000C6ECE"/>
    <w:rsid w:val="000C7D29"/>
    <w:rsid w:val="000E18A2"/>
    <w:rsid w:val="001303CD"/>
    <w:rsid w:val="00182E5B"/>
    <w:rsid w:val="00192377"/>
    <w:rsid w:val="001D3427"/>
    <w:rsid w:val="001E19DD"/>
    <w:rsid w:val="001E5D22"/>
    <w:rsid w:val="001E713D"/>
    <w:rsid w:val="00207265"/>
    <w:rsid w:val="00214871"/>
    <w:rsid w:val="0022381E"/>
    <w:rsid w:val="002262B2"/>
    <w:rsid w:val="0023182E"/>
    <w:rsid w:val="00232B4C"/>
    <w:rsid w:val="00233568"/>
    <w:rsid w:val="00233C4B"/>
    <w:rsid w:val="00244354"/>
    <w:rsid w:val="00247E78"/>
    <w:rsid w:val="002665B8"/>
    <w:rsid w:val="002772FF"/>
    <w:rsid w:val="002B483C"/>
    <w:rsid w:val="002C6893"/>
    <w:rsid w:val="002D10F7"/>
    <w:rsid w:val="002D2DBB"/>
    <w:rsid w:val="002E7D38"/>
    <w:rsid w:val="00331CB2"/>
    <w:rsid w:val="00361E5F"/>
    <w:rsid w:val="00383D0B"/>
    <w:rsid w:val="003D2E67"/>
    <w:rsid w:val="003E637C"/>
    <w:rsid w:val="003E6EF8"/>
    <w:rsid w:val="00404A35"/>
    <w:rsid w:val="0042357D"/>
    <w:rsid w:val="004304E6"/>
    <w:rsid w:val="004400D2"/>
    <w:rsid w:val="0045582A"/>
    <w:rsid w:val="00481286"/>
    <w:rsid w:val="00481D45"/>
    <w:rsid w:val="004853C8"/>
    <w:rsid w:val="00493F13"/>
    <w:rsid w:val="004966AC"/>
    <w:rsid w:val="004A2320"/>
    <w:rsid w:val="004F2D9B"/>
    <w:rsid w:val="00504E59"/>
    <w:rsid w:val="00513257"/>
    <w:rsid w:val="00513890"/>
    <w:rsid w:val="00521BF5"/>
    <w:rsid w:val="00527AE4"/>
    <w:rsid w:val="0053354F"/>
    <w:rsid w:val="005568B7"/>
    <w:rsid w:val="005729E0"/>
    <w:rsid w:val="00573DDE"/>
    <w:rsid w:val="0057438F"/>
    <w:rsid w:val="00582620"/>
    <w:rsid w:val="005E53F2"/>
    <w:rsid w:val="0060208F"/>
    <w:rsid w:val="0062442B"/>
    <w:rsid w:val="00640C06"/>
    <w:rsid w:val="00645B41"/>
    <w:rsid w:val="00653E65"/>
    <w:rsid w:val="00654360"/>
    <w:rsid w:val="00664965"/>
    <w:rsid w:val="00666179"/>
    <w:rsid w:val="00674553"/>
    <w:rsid w:val="006C198A"/>
    <w:rsid w:val="006D3633"/>
    <w:rsid w:val="0070662F"/>
    <w:rsid w:val="00711938"/>
    <w:rsid w:val="0073404E"/>
    <w:rsid w:val="00734A81"/>
    <w:rsid w:val="00736B06"/>
    <w:rsid w:val="00741E73"/>
    <w:rsid w:val="00751E22"/>
    <w:rsid w:val="007547A0"/>
    <w:rsid w:val="00765656"/>
    <w:rsid w:val="0076621B"/>
    <w:rsid w:val="0078065B"/>
    <w:rsid w:val="007A0D06"/>
    <w:rsid w:val="007A6F9E"/>
    <w:rsid w:val="007E00FD"/>
    <w:rsid w:val="007E136D"/>
    <w:rsid w:val="007E31A0"/>
    <w:rsid w:val="00813C0A"/>
    <w:rsid w:val="00825CCC"/>
    <w:rsid w:val="00831FE7"/>
    <w:rsid w:val="008521EC"/>
    <w:rsid w:val="0085498D"/>
    <w:rsid w:val="00870D49"/>
    <w:rsid w:val="008752EE"/>
    <w:rsid w:val="008A200A"/>
    <w:rsid w:val="008D2FF6"/>
    <w:rsid w:val="008E6808"/>
    <w:rsid w:val="008E7076"/>
    <w:rsid w:val="008F3755"/>
    <w:rsid w:val="008F4568"/>
    <w:rsid w:val="00917CD4"/>
    <w:rsid w:val="00917D6F"/>
    <w:rsid w:val="00931C06"/>
    <w:rsid w:val="009944A0"/>
    <w:rsid w:val="009D45A5"/>
    <w:rsid w:val="009E5B74"/>
    <w:rsid w:val="009F5967"/>
    <w:rsid w:val="009F5AB7"/>
    <w:rsid w:val="00A07A69"/>
    <w:rsid w:val="00A328B5"/>
    <w:rsid w:val="00A32E26"/>
    <w:rsid w:val="00A343EE"/>
    <w:rsid w:val="00A42AF3"/>
    <w:rsid w:val="00A67FB0"/>
    <w:rsid w:val="00A76D4D"/>
    <w:rsid w:val="00A8123E"/>
    <w:rsid w:val="00A84D5B"/>
    <w:rsid w:val="00A93FC5"/>
    <w:rsid w:val="00AB0E12"/>
    <w:rsid w:val="00B00761"/>
    <w:rsid w:val="00B049F3"/>
    <w:rsid w:val="00B126D7"/>
    <w:rsid w:val="00B1333C"/>
    <w:rsid w:val="00B20377"/>
    <w:rsid w:val="00B546DD"/>
    <w:rsid w:val="00B63F3A"/>
    <w:rsid w:val="00B715DF"/>
    <w:rsid w:val="00B87895"/>
    <w:rsid w:val="00BA0475"/>
    <w:rsid w:val="00BB33E7"/>
    <w:rsid w:val="00BD6B84"/>
    <w:rsid w:val="00BD7360"/>
    <w:rsid w:val="00BE73B8"/>
    <w:rsid w:val="00BF44A6"/>
    <w:rsid w:val="00C335F0"/>
    <w:rsid w:val="00C455C1"/>
    <w:rsid w:val="00C47977"/>
    <w:rsid w:val="00C678FE"/>
    <w:rsid w:val="00C70738"/>
    <w:rsid w:val="00C71688"/>
    <w:rsid w:val="00C80067"/>
    <w:rsid w:val="00CA11AA"/>
    <w:rsid w:val="00CB5375"/>
    <w:rsid w:val="00CB7232"/>
    <w:rsid w:val="00CC2F83"/>
    <w:rsid w:val="00CF4DF4"/>
    <w:rsid w:val="00D15CCF"/>
    <w:rsid w:val="00D200B0"/>
    <w:rsid w:val="00D2160A"/>
    <w:rsid w:val="00D40C41"/>
    <w:rsid w:val="00D50B12"/>
    <w:rsid w:val="00D5658E"/>
    <w:rsid w:val="00D7270B"/>
    <w:rsid w:val="00D81006"/>
    <w:rsid w:val="00DA0645"/>
    <w:rsid w:val="00DB7B10"/>
    <w:rsid w:val="00DD4D5F"/>
    <w:rsid w:val="00E16FDB"/>
    <w:rsid w:val="00E2109B"/>
    <w:rsid w:val="00E24EF9"/>
    <w:rsid w:val="00E352D8"/>
    <w:rsid w:val="00E40B08"/>
    <w:rsid w:val="00E457D7"/>
    <w:rsid w:val="00E55184"/>
    <w:rsid w:val="00E61D51"/>
    <w:rsid w:val="00E635F3"/>
    <w:rsid w:val="00E65867"/>
    <w:rsid w:val="00EA2A74"/>
    <w:rsid w:val="00EA4454"/>
    <w:rsid w:val="00EB4854"/>
    <w:rsid w:val="00EC2BCD"/>
    <w:rsid w:val="00ED2E3E"/>
    <w:rsid w:val="00EE25F6"/>
    <w:rsid w:val="00EF65D9"/>
    <w:rsid w:val="00F108F5"/>
    <w:rsid w:val="00F370AF"/>
    <w:rsid w:val="00F4769B"/>
    <w:rsid w:val="00F503E8"/>
    <w:rsid w:val="00F50A26"/>
    <w:rsid w:val="00F567DC"/>
    <w:rsid w:val="00F63F79"/>
    <w:rsid w:val="00F64F1E"/>
    <w:rsid w:val="00F7371D"/>
    <w:rsid w:val="00F92D9A"/>
    <w:rsid w:val="00F958F3"/>
    <w:rsid w:val="00FD3F3D"/>
    <w:rsid w:val="00FD7273"/>
    <w:rsid w:val="00FE3E6C"/>
    <w:rsid w:val="00FE462C"/>
    <w:rsid w:val="00FF047E"/>
    <w:rsid w:val="010BB031"/>
    <w:rsid w:val="07049826"/>
    <w:rsid w:val="0AA33B16"/>
    <w:rsid w:val="0EF681AE"/>
    <w:rsid w:val="1914D7AB"/>
    <w:rsid w:val="1E64980A"/>
    <w:rsid w:val="2A3E1D48"/>
    <w:rsid w:val="2D98F839"/>
    <w:rsid w:val="3783A27E"/>
    <w:rsid w:val="4C231714"/>
    <w:rsid w:val="52A803E9"/>
    <w:rsid w:val="53C2C04D"/>
    <w:rsid w:val="5443D44A"/>
    <w:rsid w:val="5A6BC662"/>
    <w:rsid w:val="5AAAF147"/>
    <w:rsid w:val="5E6634DE"/>
    <w:rsid w:val="6C600110"/>
    <w:rsid w:val="6E2C020F"/>
    <w:rsid w:val="6FA49841"/>
    <w:rsid w:val="703D3F4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B1773"/>
  <w15:chartTrackingRefBased/>
  <w15:docId w15:val="{9BC23DD4-EC9F-4656-B6D2-1FFE55E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193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11938"/>
  </w:style>
  <w:style w:type="character" w:customStyle="1" w:styleId="eop">
    <w:name w:val="eop"/>
    <w:basedOn w:val="DefaultParagraphFont"/>
    <w:rsid w:val="00711938"/>
  </w:style>
  <w:style w:type="character" w:customStyle="1" w:styleId="scxw81630549">
    <w:name w:val="scxw81630549"/>
    <w:basedOn w:val="DefaultParagraphFont"/>
    <w:rsid w:val="00711938"/>
  </w:style>
  <w:style w:type="paragraph" w:styleId="Header">
    <w:name w:val="header"/>
    <w:basedOn w:val="Normal"/>
    <w:link w:val="HeaderChar"/>
    <w:uiPriority w:val="99"/>
    <w:unhideWhenUsed/>
    <w:rsid w:val="000A2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C41"/>
  </w:style>
  <w:style w:type="paragraph" w:styleId="Footer">
    <w:name w:val="footer"/>
    <w:basedOn w:val="Normal"/>
    <w:link w:val="FooterChar"/>
    <w:uiPriority w:val="99"/>
    <w:unhideWhenUsed/>
    <w:rsid w:val="000A2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C4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40B08"/>
    <w:pPr>
      <w:spacing w:after="0" w:line="240" w:lineRule="auto"/>
    </w:pPr>
  </w:style>
  <w:style w:type="character" w:styleId="CommentReference">
    <w:name w:val="annotation reference"/>
    <w:basedOn w:val="DefaultParagraphFont"/>
    <w:uiPriority w:val="99"/>
    <w:semiHidden/>
    <w:unhideWhenUsed/>
    <w:rsid w:val="00E40B08"/>
    <w:rPr>
      <w:sz w:val="16"/>
      <w:szCs w:val="16"/>
    </w:rPr>
  </w:style>
  <w:style w:type="paragraph" w:styleId="CommentText">
    <w:name w:val="annotation text"/>
    <w:basedOn w:val="Normal"/>
    <w:link w:val="CommentTextChar"/>
    <w:uiPriority w:val="99"/>
    <w:unhideWhenUsed/>
    <w:rsid w:val="00E40B08"/>
    <w:pPr>
      <w:spacing w:line="240" w:lineRule="auto"/>
    </w:pPr>
    <w:rPr>
      <w:sz w:val="20"/>
      <w:szCs w:val="20"/>
    </w:rPr>
  </w:style>
  <w:style w:type="character" w:customStyle="1" w:styleId="CommentTextChar">
    <w:name w:val="Comment Text Char"/>
    <w:basedOn w:val="DefaultParagraphFont"/>
    <w:link w:val="CommentText"/>
    <w:uiPriority w:val="99"/>
    <w:rsid w:val="00E40B08"/>
    <w:rPr>
      <w:sz w:val="20"/>
      <w:szCs w:val="20"/>
    </w:rPr>
  </w:style>
  <w:style w:type="paragraph" w:styleId="CommentSubject">
    <w:name w:val="annotation subject"/>
    <w:basedOn w:val="CommentText"/>
    <w:next w:val="CommentText"/>
    <w:link w:val="CommentSubjectChar"/>
    <w:uiPriority w:val="99"/>
    <w:semiHidden/>
    <w:unhideWhenUsed/>
    <w:rsid w:val="00E40B08"/>
    <w:rPr>
      <w:b/>
      <w:bCs/>
    </w:rPr>
  </w:style>
  <w:style w:type="character" w:customStyle="1" w:styleId="CommentSubjectChar">
    <w:name w:val="Comment Subject Char"/>
    <w:basedOn w:val="CommentTextChar"/>
    <w:link w:val="CommentSubject"/>
    <w:uiPriority w:val="99"/>
    <w:semiHidden/>
    <w:rsid w:val="00E40B08"/>
    <w:rPr>
      <w:b/>
      <w:bCs/>
      <w:sz w:val="20"/>
      <w:szCs w:val="20"/>
    </w:rPr>
  </w:style>
  <w:style w:type="paragraph" w:styleId="ListParagraph">
    <w:name w:val="List Paragraph"/>
    <w:basedOn w:val="Normal"/>
    <w:uiPriority w:val="34"/>
    <w:qFormat/>
    <w:rsid w:val="00E40B08"/>
    <w:pPr>
      <w:ind w:left="720"/>
      <w:contextualSpacing/>
    </w:pPr>
  </w:style>
  <w:style w:type="character" w:styleId="Mention">
    <w:name w:val="Mention"/>
    <w:basedOn w:val="DefaultParagraphFont"/>
    <w:uiPriority w:val="99"/>
    <w:unhideWhenUsed/>
    <w:rsid w:val="00E40B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033">
      <w:bodyDiv w:val="1"/>
      <w:marLeft w:val="0"/>
      <w:marRight w:val="0"/>
      <w:marTop w:val="0"/>
      <w:marBottom w:val="0"/>
      <w:divBdr>
        <w:top w:val="none" w:sz="0" w:space="0" w:color="auto"/>
        <w:left w:val="none" w:sz="0" w:space="0" w:color="auto"/>
        <w:bottom w:val="none" w:sz="0" w:space="0" w:color="auto"/>
        <w:right w:val="none" w:sz="0" w:space="0" w:color="auto"/>
      </w:divBdr>
      <w:divsChild>
        <w:div w:id="840395948">
          <w:marLeft w:val="0"/>
          <w:marRight w:val="0"/>
          <w:marTop w:val="0"/>
          <w:marBottom w:val="0"/>
          <w:divBdr>
            <w:top w:val="none" w:sz="0" w:space="0" w:color="auto"/>
            <w:left w:val="none" w:sz="0" w:space="0" w:color="auto"/>
            <w:bottom w:val="none" w:sz="0" w:space="0" w:color="auto"/>
            <w:right w:val="none" w:sz="0" w:space="0" w:color="auto"/>
          </w:divBdr>
          <w:divsChild>
            <w:div w:id="328022511">
              <w:marLeft w:val="0"/>
              <w:marRight w:val="0"/>
              <w:marTop w:val="0"/>
              <w:marBottom w:val="0"/>
              <w:divBdr>
                <w:top w:val="none" w:sz="0" w:space="0" w:color="auto"/>
                <w:left w:val="none" w:sz="0" w:space="0" w:color="auto"/>
                <w:bottom w:val="none" w:sz="0" w:space="0" w:color="auto"/>
                <w:right w:val="none" w:sz="0" w:space="0" w:color="auto"/>
              </w:divBdr>
            </w:div>
            <w:div w:id="425660689">
              <w:marLeft w:val="0"/>
              <w:marRight w:val="0"/>
              <w:marTop w:val="0"/>
              <w:marBottom w:val="0"/>
              <w:divBdr>
                <w:top w:val="none" w:sz="0" w:space="0" w:color="auto"/>
                <w:left w:val="none" w:sz="0" w:space="0" w:color="auto"/>
                <w:bottom w:val="none" w:sz="0" w:space="0" w:color="auto"/>
                <w:right w:val="none" w:sz="0" w:space="0" w:color="auto"/>
              </w:divBdr>
            </w:div>
            <w:div w:id="1240942141">
              <w:marLeft w:val="0"/>
              <w:marRight w:val="0"/>
              <w:marTop w:val="0"/>
              <w:marBottom w:val="0"/>
              <w:divBdr>
                <w:top w:val="none" w:sz="0" w:space="0" w:color="auto"/>
                <w:left w:val="none" w:sz="0" w:space="0" w:color="auto"/>
                <w:bottom w:val="none" w:sz="0" w:space="0" w:color="auto"/>
                <w:right w:val="none" w:sz="0" w:space="0" w:color="auto"/>
              </w:divBdr>
            </w:div>
            <w:div w:id="1422290001">
              <w:marLeft w:val="0"/>
              <w:marRight w:val="0"/>
              <w:marTop w:val="0"/>
              <w:marBottom w:val="0"/>
              <w:divBdr>
                <w:top w:val="none" w:sz="0" w:space="0" w:color="auto"/>
                <w:left w:val="none" w:sz="0" w:space="0" w:color="auto"/>
                <w:bottom w:val="none" w:sz="0" w:space="0" w:color="auto"/>
                <w:right w:val="none" w:sz="0" w:space="0" w:color="auto"/>
              </w:divBdr>
            </w:div>
          </w:divsChild>
        </w:div>
        <w:div w:id="1425304889">
          <w:marLeft w:val="0"/>
          <w:marRight w:val="0"/>
          <w:marTop w:val="0"/>
          <w:marBottom w:val="0"/>
          <w:divBdr>
            <w:top w:val="none" w:sz="0" w:space="0" w:color="auto"/>
            <w:left w:val="none" w:sz="0" w:space="0" w:color="auto"/>
            <w:bottom w:val="none" w:sz="0" w:space="0" w:color="auto"/>
            <w:right w:val="none" w:sz="0" w:space="0" w:color="auto"/>
          </w:divBdr>
          <w:divsChild>
            <w:div w:id="4068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7047">
      <w:bodyDiv w:val="1"/>
      <w:marLeft w:val="0"/>
      <w:marRight w:val="0"/>
      <w:marTop w:val="0"/>
      <w:marBottom w:val="0"/>
      <w:divBdr>
        <w:top w:val="none" w:sz="0" w:space="0" w:color="auto"/>
        <w:left w:val="none" w:sz="0" w:space="0" w:color="auto"/>
        <w:bottom w:val="none" w:sz="0" w:space="0" w:color="auto"/>
        <w:right w:val="none" w:sz="0" w:space="0" w:color="auto"/>
      </w:divBdr>
    </w:div>
    <w:div w:id="549655066">
      <w:bodyDiv w:val="1"/>
      <w:marLeft w:val="0"/>
      <w:marRight w:val="0"/>
      <w:marTop w:val="0"/>
      <w:marBottom w:val="0"/>
      <w:divBdr>
        <w:top w:val="none" w:sz="0" w:space="0" w:color="auto"/>
        <w:left w:val="none" w:sz="0" w:space="0" w:color="auto"/>
        <w:bottom w:val="none" w:sz="0" w:space="0" w:color="auto"/>
        <w:right w:val="none" w:sz="0" w:space="0" w:color="auto"/>
      </w:divBdr>
    </w:div>
    <w:div w:id="622201030">
      <w:bodyDiv w:val="1"/>
      <w:marLeft w:val="0"/>
      <w:marRight w:val="0"/>
      <w:marTop w:val="0"/>
      <w:marBottom w:val="0"/>
      <w:divBdr>
        <w:top w:val="none" w:sz="0" w:space="0" w:color="auto"/>
        <w:left w:val="none" w:sz="0" w:space="0" w:color="auto"/>
        <w:bottom w:val="none" w:sz="0" w:space="0" w:color="auto"/>
        <w:right w:val="none" w:sz="0" w:space="0" w:color="auto"/>
      </w:divBdr>
    </w:div>
    <w:div w:id="719329000">
      <w:bodyDiv w:val="1"/>
      <w:marLeft w:val="0"/>
      <w:marRight w:val="0"/>
      <w:marTop w:val="0"/>
      <w:marBottom w:val="0"/>
      <w:divBdr>
        <w:top w:val="none" w:sz="0" w:space="0" w:color="auto"/>
        <w:left w:val="none" w:sz="0" w:space="0" w:color="auto"/>
        <w:bottom w:val="none" w:sz="0" w:space="0" w:color="auto"/>
        <w:right w:val="none" w:sz="0" w:space="0" w:color="auto"/>
      </w:divBdr>
      <w:divsChild>
        <w:div w:id="1536308929">
          <w:marLeft w:val="0"/>
          <w:marRight w:val="0"/>
          <w:marTop w:val="0"/>
          <w:marBottom w:val="0"/>
          <w:divBdr>
            <w:top w:val="none" w:sz="0" w:space="0" w:color="auto"/>
            <w:left w:val="none" w:sz="0" w:space="0" w:color="auto"/>
            <w:bottom w:val="none" w:sz="0" w:space="0" w:color="auto"/>
            <w:right w:val="none" w:sz="0" w:space="0" w:color="auto"/>
          </w:divBdr>
        </w:div>
        <w:div w:id="1906648199">
          <w:marLeft w:val="0"/>
          <w:marRight w:val="0"/>
          <w:marTop w:val="0"/>
          <w:marBottom w:val="0"/>
          <w:divBdr>
            <w:top w:val="none" w:sz="0" w:space="0" w:color="auto"/>
            <w:left w:val="none" w:sz="0" w:space="0" w:color="auto"/>
            <w:bottom w:val="none" w:sz="0" w:space="0" w:color="auto"/>
            <w:right w:val="none" w:sz="0" w:space="0" w:color="auto"/>
          </w:divBdr>
        </w:div>
      </w:divsChild>
    </w:div>
    <w:div w:id="750657704">
      <w:bodyDiv w:val="1"/>
      <w:marLeft w:val="0"/>
      <w:marRight w:val="0"/>
      <w:marTop w:val="0"/>
      <w:marBottom w:val="0"/>
      <w:divBdr>
        <w:top w:val="none" w:sz="0" w:space="0" w:color="auto"/>
        <w:left w:val="none" w:sz="0" w:space="0" w:color="auto"/>
        <w:bottom w:val="none" w:sz="0" w:space="0" w:color="auto"/>
        <w:right w:val="none" w:sz="0" w:space="0" w:color="auto"/>
      </w:divBdr>
    </w:div>
    <w:div w:id="820925905">
      <w:bodyDiv w:val="1"/>
      <w:marLeft w:val="0"/>
      <w:marRight w:val="0"/>
      <w:marTop w:val="0"/>
      <w:marBottom w:val="0"/>
      <w:divBdr>
        <w:top w:val="none" w:sz="0" w:space="0" w:color="auto"/>
        <w:left w:val="none" w:sz="0" w:space="0" w:color="auto"/>
        <w:bottom w:val="none" w:sz="0" w:space="0" w:color="auto"/>
        <w:right w:val="none" w:sz="0" w:space="0" w:color="auto"/>
      </w:divBdr>
    </w:div>
    <w:div w:id="916012231">
      <w:bodyDiv w:val="1"/>
      <w:marLeft w:val="0"/>
      <w:marRight w:val="0"/>
      <w:marTop w:val="0"/>
      <w:marBottom w:val="0"/>
      <w:divBdr>
        <w:top w:val="none" w:sz="0" w:space="0" w:color="auto"/>
        <w:left w:val="none" w:sz="0" w:space="0" w:color="auto"/>
        <w:bottom w:val="none" w:sz="0" w:space="0" w:color="auto"/>
        <w:right w:val="none" w:sz="0" w:space="0" w:color="auto"/>
      </w:divBdr>
    </w:div>
    <w:div w:id="933511307">
      <w:bodyDiv w:val="1"/>
      <w:marLeft w:val="0"/>
      <w:marRight w:val="0"/>
      <w:marTop w:val="0"/>
      <w:marBottom w:val="0"/>
      <w:divBdr>
        <w:top w:val="none" w:sz="0" w:space="0" w:color="auto"/>
        <w:left w:val="none" w:sz="0" w:space="0" w:color="auto"/>
        <w:bottom w:val="none" w:sz="0" w:space="0" w:color="auto"/>
        <w:right w:val="none" w:sz="0" w:space="0" w:color="auto"/>
      </w:divBdr>
    </w:div>
    <w:div w:id="1021472322">
      <w:bodyDiv w:val="1"/>
      <w:marLeft w:val="0"/>
      <w:marRight w:val="0"/>
      <w:marTop w:val="0"/>
      <w:marBottom w:val="0"/>
      <w:divBdr>
        <w:top w:val="none" w:sz="0" w:space="0" w:color="auto"/>
        <w:left w:val="none" w:sz="0" w:space="0" w:color="auto"/>
        <w:bottom w:val="none" w:sz="0" w:space="0" w:color="auto"/>
        <w:right w:val="none" w:sz="0" w:space="0" w:color="auto"/>
      </w:divBdr>
    </w:div>
    <w:div w:id="1076777793">
      <w:bodyDiv w:val="1"/>
      <w:marLeft w:val="0"/>
      <w:marRight w:val="0"/>
      <w:marTop w:val="0"/>
      <w:marBottom w:val="0"/>
      <w:divBdr>
        <w:top w:val="none" w:sz="0" w:space="0" w:color="auto"/>
        <w:left w:val="none" w:sz="0" w:space="0" w:color="auto"/>
        <w:bottom w:val="none" w:sz="0" w:space="0" w:color="auto"/>
        <w:right w:val="none" w:sz="0" w:space="0" w:color="auto"/>
      </w:divBdr>
    </w:div>
    <w:div w:id="1123353561">
      <w:bodyDiv w:val="1"/>
      <w:marLeft w:val="0"/>
      <w:marRight w:val="0"/>
      <w:marTop w:val="0"/>
      <w:marBottom w:val="0"/>
      <w:divBdr>
        <w:top w:val="none" w:sz="0" w:space="0" w:color="auto"/>
        <w:left w:val="none" w:sz="0" w:space="0" w:color="auto"/>
        <w:bottom w:val="none" w:sz="0" w:space="0" w:color="auto"/>
        <w:right w:val="none" w:sz="0" w:space="0" w:color="auto"/>
      </w:divBdr>
      <w:divsChild>
        <w:div w:id="182667504">
          <w:marLeft w:val="0"/>
          <w:marRight w:val="0"/>
          <w:marTop w:val="0"/>
          <w:marBottom w:val="0"/>
          <w:divBdr>
            <w:top w:val="none" w:sz="0" w:space="0" w:color="auto"/>
            <w:left w:val="none" w:sz="0" w:space="0" w:color="auto"/>
            <w:bottom w:val="none" w:sz="0" w:space="0" w:color="auto"/>
            <w:right w:val="none" w:sz="0" w:space="0" w:color="auto"/>
          </w:divBdr>
        </w:div>
        <w:div w:id="877401534">
          <w:marLeft w:val="0"/>
          <w:marRight w:val="0"/>
          <w:marTop w:val="0"/>
          <w:marBottom w:val="0"/>
          <w:divBdr>
            <w:top w:val="none" w:sz="0" w:space="0" w:color="auto"/>
            <w:left w:val="none" w:sz="0" w:space="0" w:color="auto"/>
            <w:bottom w:val="none" w:sz="0" w:space="0" w:color="auto"/>
            <w:right w:val="none" w:sz="0" w:space="0" w:color="auto"/>
          </w:divBdr>
        </w:div>
        <w:div w:id="879632009">
          <w:marLeft w:val="0"/>
          <w:marRight w:val="0"/>
          <w:marTop w:val="0"/>
          <w:marBottom w:val="0"/>
          <w:divBdr>
            <w:top w:val="none" w:sz="0" w:space="0" w:color="auto"/>
            <w:left w:val="none" w:sz="0" w:space="0" w:color="auto"/>
            <w:bottom w:val="none" w:sz="0" w:space="0" w:color="auto"/>
            <w:right w:val="none" w:sz="0" w:space="0" w:color="auto"/>
          </w:divBdr>
        </w:div>
      </w:divsChild>
    </w:div>
    <w:div w:id="1137261584">
      <w:bodyDiv w:val="1"/>
      <w:marLeft w:val="0"/>
      <w:marRight w:val="0"/>
      <w:marTop w:val="0"/>
      <w:marBottom w:val="0"/>
      <w:divBdr>
        <w:top w:val="none" w:sz="0" w:space="0" w:color="auto"/>
        <w:left w:val="none" w:sz="0" w:space="0" w:color="auto"/>
        <w:bottom w:val="none" w:sz="0" w:space="0" w:color="auto"/>
        <w:right w:val="none" w:sz="0" w:space="0" w:color="auto"/>
      </w:divBdr>
    </w:div>
    <w:div w:id="1184242471">
      <w:bodyDiv w:val="1"/>
      <w:marLeft w:val="0"/>
      <w:marRight w:val="0"/>
      <w:marTop w:val="0"/>
      <w:marBottom w:val="0"/>
      <w:divBdr>
        <w:top w:val="none" w:sz="0" w:space="0" w:color="auto"/>
        <w:left w:val="none" w:sz="0" w:space="0" w:color="auto"/>
        <w:bottom w:val="none" w:sz="0" w:space="0" w:color="auto"/>
        <w:right w:val="none" w:sz="0" w:space="0" w:color="auto"/>
      </w:divBdr>
    </w:div>
    <w:div w:id="1275331484">
      <w:bodyDiv w:val="1"/>
      <w:marLeft w:val="0"/>
      <w:marRight w:val="0"/>
      <w:marTop w:val="0"/>
      <w:marBottom w:val="0"/>
      <w:divBdr>
        <w:top w:val="none" w:sz="0" w:space="0" w:color="auto"/>
        <w:left w:val="none" w:sz="0" w:space="0" w:color="auto"/>
        <w:bottom w:val="none" w:sz="0" w:space="0" w:color="auto"/>
        <w:right w:val="none" w:sz="0" w:space="0" w:color="auto"/>
      </w:divBdr>
      <w:divsChild>
        <w:div w:id="744841829">
          <w:marLeft w:val="0"/>
          <w:marRight w:val="0"/>
          <w:marTop w:val="0"/>
          <w:marBottom w:val="0"/>
          <w:divBdr>
            <w:top w:val="none" w:sz="0" w:space="0" w:color="auto"/>
            <w:left w:val="none" w:sz="0" w:space="0" w:color="auto"/>
            <w:bottom w:val="none" w:sz="0" w:space="0" w:color="auto"/>
            <w:right w:val="none" w:sz="0" w:space="0" w:color="auto"/>
          </w:divBdr>
        </w:div>
        <w:div w:id="936445874">
          <w:marLeft w:val="0"/>
          <w:marRight w:val="0"/>
          <w:marTop w:val="0"/>
          <w:marBottom w:val="0"/>
          <w:divBdr>
            <w:top w:val="none" w:sz="0" w:space="0" w:color="auto"/>
            <w:left w:val="none" w:sz="0" w:space="0" w:color="auto"/>
            <w:bottom w:val="none" w:sz="0" w:space="0" w:color="auto"/>
            <w:right w:val="none" w:sz="0" w:space="0" w:color="auto"/>
          </w:divBdr>
        </w:div>
        <w:div w:id="1150905209">
          <w:marLeft w:val="0"/>
          <w:marRight w:val="0"/>
          <w:marTop w:val="0"/>
          <w:marBottom w:val="0"/>
          <w:divBdr>
            <w:top w:val="none" w:sz="0" w:space="0" w:color="auto"/>
            <w:left w:val="none" w:sz="0" w:space="0" w:color="auto"/>
            <w:bottom w:val="none" w:sz="0" w:space="0" w:color="auto"/>
            <w:right w:val="none" w:sz="0" w:space="0" w:color="auto"/>
          </w:divBdr>
          <w:divsChild>
            <w:div w:id="2116438737">
              <w:marLeft w:val="-75"/>
              <w:marRight w:val="0"/>
              <w:marTop w:val="30"/>
              <w:marBottom w:val="30"/>
              <w:divBdr>
                <w:top w:val="none" w:sz="0" w:space="0" w:color="auto"/>
                <w:left w:val="none" w:sz="0" w:space="0" w:color="auto"/>
                <w:bottom w:val="none" w:sz="0" w:space="0" w:color="auto"/>
                <w:right w:val="none" w:sz="0" w:space="0" w:color="auto"/>
              </w:divBdr>
              <w:divsChild>
                <w:div w:id="12415561">
                  <w:marLeft w:val="0"/>
                  <w:marRight w:val="0"/>
                  <w:marTop w:val="0"/>
                  <w:marBottom w:val="0"/>
                  <w:divBdr>
                    <w:top w:val="none" w:sz="0" w:space="0" w:color="auto"/>
                    <w:left w:val="none" w:sz="0" w:space="0" w:color="auto"/>
                    <w:bottom w:val="none" w:sz="0" w:space="0" w:color="auto"/>
                    <w:right w:val="none" w:sz="0" w:space="0" w:color="auto"/>
                  </w:divBdr>
                  <w:divsChild>
                    <w:div w:id="2027977436">
                      <w:marLeft w:val="0"/>
                      <w:marRight w:val="0"/>
                      <w:marTop w:val="0"/>
                      <w:marBottom w:val="0"/>
                      <w:divBdr>
                        <w:top w:val="none" w:sz="0" w:space="0" w:color="auto"/>
                        <w:left w:val="none" w:sz="0" w:space="0" w:color="auto"/>
                        <w:bottom w:val="none" w:sz="0" w:space="0" w:color="auto"/>
                        <w:right w:val="none" w:sz="0" w:space="0" w:color="auto"/>
                      </w:divBdr>
                    </w:div>
                  </w:divsChild>
                </w:div>
                <w:div w:id="650519601">
                  <w:marLeft w:val="0"/>
                  <w:marRight w:val="0"/>
                  <w:marTop w:val="0"/>
                  <w:marBottom w:val="0"/>
                  <w:divBdr>
                    <w:top w:val="none" w:sz="0" w:space="0" w:color="auto"/>
                    <w:left w:val="none" w:sz="0" w:space="0" w:color="auto"/>
                    <w:bottom w:val="none" w:sz="0" w:space="0" w:color="auto"/>
                    <w:right w:val="none" w:sz="0" w:space="0" w:color="auto"/>
                  </w:divBdr>
                  <w:divsChild>
                    <w:div w:id="369576523">
                      <w:marLeft w:val="0"/>
                      <w:marRight w:val="0"/>
                      <w:marTop w:val="0"/>
                      <w:marBottom w:val="0"/>
                      <w:divBdr>
                        <w:top w:val="none" w:sz="0" w:space="0" w:color="auto"/>
                        <w:left w:val="none" w:sz="0" w:space="0" w:color="auto"/>
                        <w:bottom w:val="none" w:sz="0" w:space="0" w:color="auto"/>
                        <w:right w:val="none" w:sz="0" w:space="0" w:color="auto"/>
                      </w:divBdr>
                    </w:div>
                    <w:div w:id="622541299">
                      <w:marLeft w:val="0"/>
                      <w:marRight w:val="0"/>
                      <w:marTop w:val="0"/>
                      <w:marBottom w:val="0"/>
                      <w:divBdr>
                        <w:top w:val="none" w:sz="0" w:space="0" w:color="auto"/>
                        <w:left w:val="none" w:sz="0" w:space="0" w:color="auto"/>
                        <w:bottom w:val="none" w:sz="0" w:space="0" w:color="auto"/>
                        <w:right w:val="none" w:sz="0" w:space="0" w:color="auto"/>
                      </w:divBdr>
                    </w:div>
                    <w:div w:id="640379180">
                      <w:marLeft w:val="0"/>
                      <w:marRight w:val="0"/>
                      <w:marTop w:val="0"/>
                      <w:marBottom w:val="0"/>
                      <w:divBdr>
                        <w:top w:val="none" w:sz="0" w:space="0" w:color="auto"/>
                        <w:left w:val="none" w:sz="0" w:space="0" w:color="auto"/>
                        <w:bottom w:val="none" w:sz="0" w:space="0" w:color="auto"/>
                        <w:right w:val="none" w:sz="0" w:space="0" w:color="auto"/>
                      </w:divBdr>
                    </w:div>
                    <w:div w:id="1195074728">
                      <w:marLeft w:val="0"/>
                      <w:marRight w:val="0"/>
                      <w:marTop w:val="0"/>
                      <w:marBottom w:val="0"/>
                      <w:divBdr>
                        <w:top w:val="none" w:sz="0" w:space="0" w:color="auto"/>
                        <w:left w:val="none" w:sz="0" w:space="0" w:color="auto"/>
                        <w:bottom w:val="none" w:sz="0" w:space="0" w:color="auto"/>
                        <w:right w:val="none" w:sz="0" w:space="0" w:color="auto"/>
                      </w:divBdr>
                    </w:div>
                    <w:div w:id="1252547333">
                      <w:marLeft w:val="0"/>
                      <w:marRight w:val="0"/>
                      <w:marTop w:val="0"/>
                      <w:marBottom w:val="0"/>
                      <w:divBdr>
                        <w:top w:val="none" w:sz="0" w:space="0" w:color="auto"/>
                        <w:left w:val="none" w:sz="0" w:space="0" w:color="auto"/>
                        <w:bottom w:val="none" w:sz="0" w:space="0" w:color="auto"/>
                        <w:right w:val="none" w:sz="0" w:space="0" w:color="auto"/>
                      </w:divBdr>
                    </w:div>
                    <w:div w:id="1465390242">
                      <w:marLeft w:val="0"/>
                      <w:marRight w:val="0"/>
                      <w:marTop w:val="0"/>
                      <w:marBottom w:val="0"/>
                      <w:divBdr>
                        <w:top w:val="none" w:sz="0" w:space="0" w:color="auto"/>
                        <w:left w:val="none" w:sz="0" w:space="0" w:color="auto"/>
                        <w:bottom w:val="none" w:sz="0" w:space="0" w:color="auto"/>
                        <w:right w:val="none" w:sz="0" w:space="0" w:color="auto"/>
                      </w:divBdr>
                    </w:div>
                    <w:div w:id="1840921007">
                      <w:marLeft w:val="0"/>
                      <w:marRight w:val="0"/>
                      <w:marTop w:val="0"/>
                      <w:marBottom w:val="0"/>
                      <w:divBdr>
                        <w:top w:val="none" w:sz="0" w:space="0" w:color="auto"/>
                        <w:left w:val="none" w:sz="0" w:space="0" w:color="auto"/>
                        <w:bottom w:val="none" w:sz="0" w:space="0" w:color="auto"/>
                        <w:right w:val="none" w:sz="0" w:space="0" w:color="auto"/>
                      </w:divBdr>
                    </w:div>
                    <w:div w:id="1900162564">
                      <w:marLeft w:val="0"/>
                      <w:marRight w:val="0"/>
                      <w:marTop w:val="0"/>
                      <w:marBottom w:val="0"/>
                      <w:divBdr>
                        <w:top w:val="none" w:sz="0" w:space="0" w:color="auto"/>
                        <w:left w:val="none" w:sz="0" w:space="0" w:color="auto"/>
                        <w:bottom w:val="none" w:sz="0" w:space="0" w:color="auto"/>
                        <w:right w:val="none" w:sz="0" w:space="0" w:color="auto"/>
                      </w:divBdr>
                    </w:div>
                  </w:divsChild>
                </w:div>
                <w:div w:id="706181408">
                  <w:marLeft w:val="0"/>
                  <w:marRight w:val="0"/>
                  <w:marTop w:val="0"/>
                  <w:marBottom w:val="0"/>
                  <w:divBdr>
                    <w:top w:val="none" w:sz="0" w:space="0" w:color="auto"/>
                    <w:left w:val="none" w:sz="0" w:space="0" w:color="auto"/>
                    <w:bottom w:val="none" w:sz="0" w:space="0" w:color="auto"/>
                    <w:right w:val="none" w:sz="0" w:space="0" w:color="auto"/>
                  </w:divBdr>
                  <w:divsChild>
                    <w:div w:id="1559395741">
                      <w:marLeft w:val="0"/>
                      <w:marRight w:val="0"/>
                      <w:marTop w:val="0"/>
                      <w:marBottom w:val="0"/>
                      <w:divBdr>
                        <w:top w:val="none" w:sz="0" w:space="0" w:color="auto"/>
                        <w:left w:val="none" w:sz="0" w:space="0" w:color="auto"/>
                        <w:bottom w:val="none" w:sz="0" w:space="0" w:color="auto"/>
                        <w:right w:val="none" w:sz="0" w:space="0" w:color="auto"/>
                      </w:divBdr>
                    </w:div>
                  </w:divsChild>
                </w:div>
                <w:div w:id="1194807556">
                  <w:marLeft w:val="0"/>
                  <w:marRight w:val="0"/>
                  <w:marTop w:val="0"/>
                  <w:marBottom w:val="0"/>
                  <w:divBdr>
                    <w:top w:val="none" w:sz="0" w:space="0" w:color="auto"/>
                    <w:left w:val="none" w:sz="0" w:space="0" w:color="auto"/>
                    <w:bottom w:val="none" w:sz="0" w:space="0" w:color="auto"/>
                    <w:right w:val="none" w:sz="0" w:space="0" w:color="auto"/>
                  </w:divBdr>
                  <w:divsChild>
                    <w:div w:id="1752507476">
                      <w:marLeft w:val="0"/>
                      <w:marRight w:val="0"/>
                      <w:marTop w:val="0"/>
                      <w:marBottom w:val="0"/>
                      <w:divBdr>
                        <w:top w:val="none" w:sz="0" w:space="0" w:color="auto"/>
                        <w:left w:val="none" w:sz="0" w:space="0" w:color="auto"/>
                        <w:bottom w:val="none" w:sz="0" w:space="0" w:color="auto"/>
                        <w:right w:val="none" w:sz="0" w:space="0" w:color="auto"/>
                      </w:divBdr>
                    </w:div>
                  </w:divsChild>
                </w:div>
                <w:div w:id="1377463526">
                  <w:marLeft w:val="0"/>
                  <w:marRight w:val="0"/>
                  <w:marTop w:val="0"/>
                  <w:marBottom w:val="0"/>
                  <w:divBdr>
                    <w:top w:val="none" w:sz="0" w:space="0" w:color="auto"/>
                    <w:left w:val="none" w:sz="0" w:space="0" w:color="auto"/>
                    <w:bottom w:val="none" w:sz="0" w:space="0" w:color="auto"/>
                    <w:right w:val="none" w:sz="0" w:space="0" w:color="auto"/>
                  </w:divBdr>
                  <w:divsChild>
                    <w:div w:id="88477856">
                      <w:marLeft w:val="0"/>
                      <w:marRight w:val="0"/>
                      <w:marTop w:val="0"/>
                      <w:marBottom w:val="0"/>
                      <w:divBdr>
                        <w:top w:val="none" w:sz="0" w:space="0" w:color="auto"/>
                        <w:left w:val="none" w:sz="0" w:space="0" w:color="auto"/>
                        <w:bottom w:val="none" w:sz="0" w:space="0" w:color="auto"/>
                        <w:right w:val="none" w:sz="0" w:space="0" w:color="auto"/>
                      </w:divBdr>
                    </w:div>
                    <w:div w:id="2007781065">
                      <w:marLeft w:val="0"/>
                      <w:marRight w:val="0"/>
                      <w:marTop w:val="0"/>
                      <w:marBottom w:val="0"/>
                      <w:divBdr>
                        <w:top w:val="none" w:sz="0" w:space="0" w:color="auto"/>
                        <w:left w:val="none" w:sz="0" w:space="0" w:color="auto"/>
                        <w:bottom w:val="none" w:sz="0" w:space="0" w:color="auto"/>
                        <w:right w:val="none" w:sz="0" w:space="0" w:color="auto"/>
                      </w:divBdr>
                    </w:div>
                  </w:divsChild>
                </w:div>
                <w:div w:id="1628662814">
                  <w:marLeft w:val="0"/>
                  <w:marRight w:val="0"/>
                  <w:marTop w:val="0"/>
                  <w:marBottom w:val="0"/>
                  <w:divBdr>
                    <w:top w:val="none" w:sz="0" w:space="0" w:color="auto"/>
                    <w:left w:val="none" w:sz="0" w:space="0" w:color="auto"/>
                    <w:bottom w:val="none" w:sz="0" w:space="0" w:color="auto"/>
                    <w:right w:val="none" w:sz="0" w:space="0" w:color="auto"/>
                  </w:divBdr>
                  <w:divsChild>
                    <w:div w:id="1790126292">
                      <w:marLeft w:val="0"/>
                      <w:marRight w:val="0"/>
                      <w:marTop w:val="0"/>
                      <w:marBottom w:val="0"/>
                      <w:divBdr>
                        <w:top w:val="none" w:sz="0" w:space="0" w:color="auto"/>
                        <w:left w:val="none" w:sz="0" w:space="0" w:color="auto"/>
                        <w:bottom w:val="none" w:sz="0" w:space="0" w:color="auto"/>
                        <w:right w:val="none" w:sz="0" w:space="0" w:color="auto"/>
                      </w:divBdr>
                    </w:div>
                  </w:divsChild>
                </w:div>
                <w:div w:id="1774010128">
                  <w:marLeft w:val="0"/>
                  <w:marRight w:val="0"/>
                  <w:marTop w:val="0"/>
                  <w:marBottom w:val="0"/>
                  <w:divBdr>
                    <w:top w:val="none" w:sz="0" w:space="0" w:color="auto"/>
                    <w:left w:val="none" w:sz="0" w:space="0" w:color="auto"/>
                    <w:bottom w:val="none" w:sz="0" w:space="0" w:color="auto"/>
                    <w:right w:val="none" w:sz="0" w:space="0" w:color="auto"/>
                  </w:divBdr>
                  <w:divsChild>
                    <w:div w:id="1031957604">
                      <w:marLeft w:val="0"/>
                      <w:marRight w:val="0"/>
                      <w:marTop w:val="0"/>
                      <w:marBottom w:val="0"/>
                      <w:divBdr>
                        <w:top w:val="none" w:sz="0" w:space="0" w:color="auto"/>
                        <w:left w:val="none" w:sz="0" w:space="0" w:color="auto"/>
                        <w:bottom w:val="none" w:sz="0" w:space="0" w:color="auto"/>
                        <w:right w:val="none" w:sz="0" w:space="0" w:color="auto"/>
                      </w:divBdr>
                    </w:div>
                    <w:div w:id="1229146000">
                      <w:marLeft w:val="0"/>
                      <w:marRight w:val="0"/>
                      <w:marTop w:val="0"/>
                      <w:marBottom w:val="0"/>
                      <w:divBdr>
                        <w:top w:val="none" w:sz="0" w:space="0" w:color="auto"/>
                        <w:left w:val="none" w:sz="0" w:space="0" w:color="auto"/>
                        <w:bottom w:val="none" w:sz="0" w:space="0" w:color="auto"/>
                        <w:right w:val="none" w:sz="0" w:space="0" w:color="auto"/>
                      </w:divBdr>
                    </w:div>
                    <w:div w:id="1384014134">
                      <w:marLeft w:val="0"/>
                      <w:marRight w:val="0"/>
                      <w:marTop w:val="0"/>
                      <w:marBottom w:val="0"/>
                      <w:divBdr>
                        <w:top w:val="none" w:sz="0" w:space="0" w:color="auto"/>
                        <w:left w:val="none" w:sz="0" w:space="0" w:color="auto"/>
                        <w:bottom w:val="none" w:sz="0" w:space="0" w:color="auto"/>
                        <w:right w:val="none" w:sz="0" w:space="0" w:color="auto"/>
                      </w:divBdr>
                    </w:div>
                    <w:div w:id="1828325876">
                      <w:marLeft w:val="0"/>
                      <w:marRight w:val="0"/>
                      <w:marTop w:val="0"/>
                      <w:marBottom w:val="0"/>
                      <w:divBdr>
                        <w:top w:val="none" w:sz="0" w:space="0" w:color="auto"/>
                        <w:left w:val="none" w:sz="0" w:space="0" w:color="auto"/>
                        <w:bottom w:val="none" w:sz="0" w:space="0" w:color="auto"/>
                        <w:right w:val="none" w:sz="0" w:space="0" w:color="auto"/>
                      </w:divBdr>
                    </w:div>
                    <w:div w:id="1993413755">
                      <w:marLeft w:val="0"/>
                      <w:marRight w:val="0"/>
                      <w:marTop w:val="0"/>
                      <w:marBottom w:val="0"/>
                      <w:divBdr>
                        <w:top w:val="none" w:sz="0" w:space="0" w:color="auto"/>
                        <w:left w:val="none" w:sz="0" w:space="0" w:color="auto"/>
                        <w:bottom w:val="none" w:sz="0" w:space="0" w:color="auto"/>
                        <w:right w:val="none" w:sz="0" w:space="0" w:color="auto"/>
                      </w:divBdr>
                    </w:div>
                    <w:div w:id="2094668506">
                      <w:marLeft w:val="0"/>
                      <w:marRight w:val="0"/>
                      <w:marTop w:val="0"/>
                      <w:marBottom w:val="0"/>
                      <w:divBdr>
                        <w:top w:val="none" w:sz="0" w:space="0" w:color="auto"/>
                        <w:left w:val="none" w:sz="0" w:space="0" w:color="auto"/>
                        <w:bottom w:val="none" w:sz="0" w:space="0" w:color="auto"/>
                        <w:right w:val="none" w:sz="0" w:space="0" w:color="auto"/>
                      </w:divBdr>
                    </w:div>
                  </w:divsChild>
                </w:div>
                <w:div w:id="1954822793">
                  <w:marLeft w:val="0"/>
                  <w:marRight w:val="0"/>
                  <w:marTop w:val="0"/>
                  <w:marBottom w:val="0"/>
                  <w:divBdr>
                    <w:top w:val="none" w:sz="0" w:space="0" w:color="auto"/>
                    <w:left w:val="none" w:sz="0" w:space="0" w:color="auto"/>
                    <w:bottom w:val="none" w:sz="0" w:space="0" w:color="auto"/>
                    <w:right w:val="none" w:sz="0" w:space="0" w:color="auto"/>
                  </w:divBdr>
                  <w:divsChild>
                    <w:div w:id="279529268">
                      <w:marLeft w:val="0"/>
                      <w:marRight w:val="0"/>
                      <w:marTop w:val="0"/>
                      <w:marBottom w:val="0"/>
                      <w:divBdr>
                        <w:top w:val="none" w:sz="0" w:space="0" w:color="auto"/>
                        <w:left w:val="none" w:sz="0" w:space="0" w:color="auto"/>
                        <w:bottom w:val="none" w:sz="0" w:space="0" w:color="auto"/>
                        <w:right w:val="none" w:sz="0" w:space="0" w:color="auto"/>
                      </w:divBdr>
                    </w:div>
                    <w:div w:id="575168374">
                      <w:marLeft w:val="0"/>
                      <w:marRight w:val="0"/>
                      <w:marTop w:val="0"/>
                      <w:marBottom w:val="0"/>
                      <w:divBdr>
                        <w:top w:val="none" w:sz="0" w:space="0" w:color="auto"/>
                        <w:left w:val="none" w:sz="0" w:space="0" w:color="auto"/>
                        <w:bottom w:val="none" w:sz="0" w:space="0" w:color="auto"/>
                        <w:right w:val="none" w:sz="0" w:space="0" w:color="auto"/>
                      </w:divBdr>
                    </w:div>
                    <w:div w:id="989096802">
                      <w:marLeft w:val="0"/>
                      <w:marRight w:val="0"/>
                      <w:marTop w:val="0"/>
                      <w:marBottom w:val="0"/>
                      <w:divBdr>
                        <w:top w:val="none" w:sz="0" w:space="0" w:color="auto"/>
                        <w:left w:val="none" w:sz="0" w:space="0" w:color="auto"/>
                        <w:bottom w:val="none" w:sz="0" w:space="0" w:color="auto"/>
                        <w:right w:val="none" w:sz="0" w:space="0" w:color="auto"/>
                      </w:divBdr>
                    </w:div>
                    <w:div w:id="1214973944">
                      <w:marLeft w:val="0"/>
                      <w:marRight w:val="0"/>
                      <w:marTop w:val="0"/>
                      <w:marBottom w:val="0"/>
                      <w:divBdr>
                        <w:top w:val="none" w:sz="0" w:space="0" w:color="auto"/>
                        <w:left w:val="none" w:sz="0" w:space="0" w:color="auto"/>
                        <w:bottom w:val="none" w:sz="0" w:space="0" w:color="auto"/>
                        <w:right w:val="none" w:sz="0" w:space="0" w:color="auto"/>
                      </w:divBdr>
                    </w:div>
                    <w:div w:id="1234075158">
                      <w:marLeft w:val="0"/>
                      <w:marRight w:val="0"/>
                      <w:marTop w:val="0"/>
                      <w:marBottom w:val="0"/>
                      <w:divBdr>
                        <w:top w:val="none" w:sz="0" w:space="0" w:color="auto"/>
                        <w:left w:val="none" w:sz="0" w:space="0" w:color="auto"/>
                        <w:bottom w:val="none" w:sz="0" w:space="0" w:color="auto"/>
                        <w:right w:val="none" w:sz="0" w:space="0" w:color="auto"/>
                      </w:divBdr>
                    </w:div>
                    <w:div w:id="1334450575">
                      <w:marLeft w:val="0"/>
                      <w:marRight w:val="0"/>
                      <w:marTop w:val="0"/>
                      <w:marBottom w:val="0"/>
                      <w:divBdr>
                        <w:top w:val="none" w:sz="0" w:space="0" w:color="auto"/>
                        <w:left w:val="none" w:sz="0" w:space="0" w:color="auto"/>
                        <w:bottom w:val="none" w:sz="0" w:space="0" w:color="auto"/>
                        <w:right w:val="none" w:sz="0" w:space="0" w:color="auto"/>
                      </w:divBdr>
                    </w:div>
                    <w:div w:id="1739084882">
                      <w:marLeft w:val="0"/>
                      <w:marRight w:val="0"/>
                      <w:marTop w:val="0"/>
                      <w:marBottom w:val="0"/>
                      <w:divBdr>
                        <w:top w:val="none" w:sz="0" w:space="0" w:color="auto"/>
                        <w:left w:val="none" w:sz="0" w:space="0" w:color="auto"/>
                        <w:bottom w:val="none" w:sz="0" w:space="0" w:color="auto"/>
                        <w:right w:val="none" w:sz="0" w:space="0" w:color="auto"/>
                      </w:divBdr>
                    </w:div>
                    <w:div w:id="1850025064">
                      <w:marLeft w:val="0"/>
                      <w:marRight w:val="0"/>
                      <w:marTop w:val="0"/>
                      <w:marBottom w:val="0"/>
                      <w:divBdr>
                        <w:top w:val="none" w:sz="0" w:space="0" w:color="auto"/>
                        <w:left w:val="none" w:sz="0" w:space="0" w:color="auto"/>
                        <w:bottom w:val="none" w:sz="0" w:space="0" w:color="auto"/>
                        <w:right w:val="none" w:sz="0" w:space="0" w:color="auto"/>
                      </w:divBdr>
                    </w:div>
                    <w:div w:id="1865827869">
                      <w:marLeft w:val="0"/>
                      <w:marRight w:val="0"/>
                      <w:marTop w:val="0"/>
                      <w:marBottom w:val="0"/>
                      <w:divBdr>
                        <w:top w:val="none" w:sz="0" w:space="0" w:color="auto"/>
                        <w:left w:val="none" w:sz="0" w:space="0" w:color="auto"/>
                        <w:bottom w:val="none" w:sz="0" w:space="0" w:color="auto"/>
                        <w:right w:val="none" w:sz="0" w:space="0" w:color="auto"/>
                      </w:divBdr>
                    </w:div>
                  </w:divsChild>
                </w:div>
                <w:div w:id="2105612273">
                  <w:marLeft w:val="0"/>
                  <w:marRight w:val="0"/>
                  <w:marTop w:val="0"/>
                  <w:marBottom w:val="0"/>
                  <w:divBdr>
                    <w:top w:val="none" w:sz="0" w:space="0" w:color="auto"/>
                    <w:left w:val="none" w:sz="0" w:space="0" w:color="auto"/>
                    <w:bottom w:val="none" w:sz="0" w:space="0" w:color="auto"/>
                    <w:right w:val="none" w:sz="0" w:space="0" w:color="auto"/>
                  </w:divBdr>
                  <w:divsChild>
                    <w:div w:id="2961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86440">
          <w:marLeft w:val="0"/>
          <w:marRight w:val="0"/>
          <w:marTop w:val="0"/>
          <w:marBottom w:val="0"/>
          <w:divBdr>
            <w:top w:val="none" w:sz="0" w:space="0" w:color="auto"/>
            <w:left w:val="none" w:sz="0" w:space="0" w:color="auto"/>
            <w:bottom w:val="none" w:sz="0" w:space="0" w:color="auto"/>
            <w:right w:val="none" w:sz="0" w:space="0" w:color="auto"/>
          </w:divBdr>
        </w:div>
        <w:div w:id="1902906027">
          <w:marLeft w:val="0"/>
          <w:marRight w:val="0"/>
          <w:marTop w:val="0"/>
          <w:marBottom w:val="0"/>
          <w:divBdr>
            <w:top w:val="none" w:sz="0" w:space="0" w:color="auto"/>
            <w:left w:val="none" w:sz="0" w:space="0" w:color="auto"/>
            <w:bottom w:val="none" w:sz="0" w:space="0" w:color="auto"/>
            <w:right w:val="none" w:sz="0" w:space="0" w:color="auto"/>
          </w:divBdr>
        </w:div>
      </w:divsChild>
    </w:div>
    <w:div w:id="1288974261">
      <w:bodyDiv w:val="1"/>
      <w:marLeft w:val="0"/>
      <w:marRight w:val="0"/>
      <w:marTop w:val="0"/>
      <w:marBottom w:val="0"/>
      <w:divBdr>
        <w:top w:val="none" w:sz="0" w:space="0" w:color="auto"/>
        <w:left w:val="none" w:sz="0" w:space="0" w:color="auto"/>
        <w:bottom w:val="none" w:sz="0" w:space="0" w:color="auto"/>
        <w:right w:val="none" w:sz="0" w:space="0" w:color="auto"/>
      </w:divBdr>
      <w:divsChild>
        <w:div w:id="216168689">
          <w:marLeft w:val="0"/>
          <w:marRight w:val="0"/>
          <w:marTop w:val="0"/>
          <w:marBottom w:val="0"/>
          <w:divBdr>
            <w:top w:val="none" w:sz="0" w:space="0" w:color="auto"/>
            <w:left w:val="none" w:sz="0" w:space="0" w:color="auto"/>
            <w:bottom w:val="none" w:sz="0" w:space="0" w:color="auto"/>
            <w:right w:val="none" w:sz="0" w:space="0" w:color="auto"/>
          </w:divBdr>
        </w:div>
        <w:div w:id="1036731791">
          <w:marLeft w:val="0"/>
          <w:marRight w:val="0"/>
          <w:marTop w:val="0"/>
          <w:marBottom w:val="0"/>
          <w:divBdr>
            <w:top w:val="none" w:sz="0" w:space="0" w:color="auto"/>
            <w:left w:val="none" w:sz="0" w:space="0" w:color="auto"/>
            <w:bottom w:val="none" w:sz="0" w:space="0" w:color="auto"/>
            <w:right w:val="none" w:sz="0" w:space="0" w:color="auto"/>
          </w:divBdr>
        </w:div>
        <w:div w:id="1847674069">
          <w:marLeft w:val="0"/>
          <w:marRight w:val="0"/>
          <w:marTop w:val="0"/>
          <w:marBottom w:val="0"/>
          <w:divBdr>
            <w:top w:val="none" w:sz="0" w:space="0" w:color="auto"/>
            <w:left w:val="none" w:sz="0" w:space="0" w:color="auto"/>
            <w:bottom w:val="none" w:sz="0" w:space="0" w:color="auto"/>
            <w:right w:val="none" w:sz="0" w:space="0" w:color="auto"/>
          </w:divBdr>
        </w:div>
      </w:divsChild>
    </w:div>
    <w:div w:id="1403912401">
      <w:bodyDiv w:val="1"/>
      <w:marLeft w:val="0"/>
      <w:marRight w:val="0"/>
      <w:marTop w:val="0"/>
      <w:marBottom w:val="0"/>
      <w:divBdr>
        <w:top w:val="none" w:sz="0" w:space="0" w:color="auto"/>
        <w:left w:val="none" w:sz="0" w:space="0" w:color="auto"/>
        <w:bottom w:val="none" w:sz="0" w:space="0" w:color="auto"/>
        <w:right w:val="none" w:sz="0" w:space="0" w:color="auto"/>
      </w:divBdr>
      <w:divsChild>
        <w:div w:id="428431765">
          <w:marLeft w:val="0"/>
          <w:marRight w:val="0"/>
          <w:marTop w:val="0"/>
          <w:marBottom w:val="0"/>
          <w:divBdr>
            <w:top w:val="none" w:sz="0" w:space="0" w:color="auto"/>
            <w:left w:val="none" w:sz="0" w:space="0" w:color="auto"/>
            <w:bottom w:val="none" w:sz="0" w:space="0" w:color="auto"/>
            <w:right w:val="none" w:sz="0" w:space="0" w:color="auto"/>
          </w:divBdr>
        </w:div>
        <w:div w:id="1006059723">
          <w:marLeft w:val="0"/>
          <w:marRight w:val="0"/>
          <w:marTop w:val="0"/>
          <w:marBottom w:val="0"/>
          <w:divBdr>
            <w:top w:val="none" w:sz="0" w:space="0" w:color="auto"/>
            <w:left w:val="none" w:sz="0" w:space="0" w:color="auto"/>
            <w:bottom w:val="none" w:sz="0" w:space="0" w:color="auto"/>
            <w:right w:val="none" w:sz="0" w:space="0" w:color="auto"/>
          </w:divBdr>
        </w:div>
        <w:div w:id="1581790245">
          <w:marLeft w:val="0"/>
          <w:marRight w:val="0"/>
          <w:marTop w:val="0"/>
          <w:marBottom w:val="0"/>
          <w:divBdr>
            <w:top w:val="none" w:sz="0" w:space="0" w:color="auto"/>
            <w:left w:val="none" w:sz="0" w:space="0" w:color="auto"/>
            <w:bottom w:val="none" w:sz="0" w:space="0" w:color="auto"/>
            <w:right w:val="none" w:sz="0" w:space="0" w:color="auto"/>
          </w:divBdr>
        </w:div>
      </w:divsChild>
    </w:div>
    <w:div w:id="1477184658">
      <w:bodyDiv w:val="1"/>
      <w:marLeft w:val="0"/>
      <w:marRight w:val="0"/>
      <w:marTop w:val="0"/>
      <w:marBottom w:val="0"/>
      <w:divBdr>
        <w:top w:val="none" w:sz="0" w:space="0" w:color="auto"/>
        <w:left w:val="none" w:sz="0" w:space="0" w:color="auto"/>
        <w:bottom w:val="none" w:sz="0" w:space="0" w:color="auto"/>
        <w:right w:val="none" w:sz="0" w:space="0" w:color="auto"/>
      </w:divBdr>
    </w:div>
    <w:div w:id="1631010881">
      <w:bodyDiv w:val="1"/>
      <w:marLeft w:val="0"/>
      <w:marRight w:val="0"/>
      <w:marTop w:val="0"/>
      <w:marBottom w:val="0"/>
      <w:divBdr>
        <w:top w:val="none" w:sz="0" w:space="0" w:color="auto"/>
        <w:left w:val="none" w:sz="0" w:space="0" w:color="auto"/>
        <w:bottom w:val="none" w:sz="0" w:space="0" w:color="auto"/>
        <w:right w:val="none" w:sz="0" w:space="0" w:color="auto"/>
      </w:divBdr>
      <w:divsChild>
        <w:div w:id="893925529">
          <w:marLeft w:val="0"/>
          <w:marRight w:val="0"/>
          <w:marTop w:val="0"/>
          <w:marBottom w:val="0"/>
          <w:divBdr>
            <w:top w:val="none" w:sz="0" w:space="0" w:color="auto"/>
            <w:left w:val="none" w:sz="0" w:space="0" w:color="auto"/>
            <w:bottom w:val="none" w:sz="0" w:space="0" w:color="auto"/>
            <w:right w:val="none" w:sz="0" w:space="0" w:color="auto"/>
          </w:divBdr>
        </w:div>
        <w:div w:id="1449809441">
          <w:marLeft w:val="0"/>
          <w:marRight w:val="0"/>
          <w:marTop w:val="0"/>
          <w:marBottom w:val="0"/>
          <w:divBdr>
            <w:top w:val="none" w:sz="0" w:space="0" w:color="auto"/>
            <w:left w:val="none" w:sz="0" w:space="0" w:color="auto"/>
            <w:bottom w:val="none" w:sz="0" w:space="0" w:color="auto"/>
            <w:right w:val="none" w:sz="0" w:space="0" w:color="auto"/>
          </w:divBdr>
        </w:div>
        <w:div w:id="1486311921">
          <w:marLeft w:val="0"/>
          <w:marRight w:val="0"/>
          <w:marTop w:val="0"/>
          <w:marBottom w:val="0"/>
          <w:divBdr>
            <w:top w:val="none" w:sz="0" w:space="0" w:color="auto"/>
            <w:left w:val="none" w:sz="0" w:space="0" w:color="auto"/>
            <w:bottom w:val="none" w:sz="0" w:space="0" w:color="auto"/>
            <w:right w:val="none" w:sz="0" w:space="0" w:color="auto"/>
          </w:divBdr>
        </w:div>
      </w:divsChild>
    </w:div>
    <w:div w:id="1766414335">
      <w:bodyDiv w:val="1"/>
      <w:marLeft w:val="0"/>
      <w:marRight w:val="0"/>
      <w:marTop w:val="0"/>
      <w:marBottom w:val="0"/>
      <w:divBdr>
        <w:top w:val="none" w:sz="0" w:space="0" w:color="auto"/>
        <w:left w:val="none" w:sz="0" w:space="0" w:color="auto"/>
        <w:bottom w:val="none" w:sz="0" w:space="0" w:color="auto"/>
        <w:right w:val="none" w:sz="0" w:space="0" w:color="auto"/>
      </w:divBdr>
    </w:div>
    <w:div w:id="1802264517">
      <w:bodyDiv w:val="1"/>
      <w:marLeft w:val="0"/>
      <w:marRight w:val="0"/>
      <w:marTop w:val="0"/>
      <w:marBottom w:val="0"/>
      <w:divBdr>
        <w:top w:val="none" w:sz="0" w:space="0" w:color="auto"/>
        <w:left w:val="none" w:sz="0" w:space="0" w:color="auto"/>
        <w:bottom w:val="none" w:sz="0" w:space="0" w:color="auto"/>
        <w:right w:val="none" w:sz="0" w:space="0" w:color="auto"/>
      </w:divBdr>
    </w:div>
    <w:div w:id="1923755479">
      <w:bodyDiv w:val="1"/>
      <w:marLeft w:val="0"/>
      <w:marRight w:val="0"/>
      <w:marTop w:val="0"/>
      <w:marBottom w:val="0"/>
      <w:divBdr>
        <w:top w:val="none" w:sz="0" w:space="0" w:color="auto"/>
        <w:left w:val="none" w:sz="0" w:space="0" w:color="auto"/>
        <w:bottom w:val="none" w:sz="0" w:space="0" w:color="auto"/>
        <w:right w:val="none" w:sz="0" w:space="0" w:color="auto"/>
      </w:divBdr>
    </w:div>
    <w:div w:id="214704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E19E2D2D060458DF76154E5156AC1" ma:contentTypeVersion="22" ma:contentTypeDescription="Create a new document." ma:contentTypeScope="" ma:versionID="966e3596e6485039c31b97c4caef4b4e">
  <xsd:schema xmlns:xsd="http://www.w3.org/2001/XMLSchema" xmlns:xs="http://www.w3.org/2001/XMLSchema" xmlns:p="http://schemas.microsoft.com/office/2006/metadata/properties" xmlns:ns1="http://schemas.microsoft.com/sharepoint/v3" xmlns:ns2="ea3da3a8-7d9f-4b13-ba38-df5afc181b2a" xmlns:ns3="d74dfbb6-b8b8-4576-b07c-554943f10550" targetNamespace="http://schemas.microsoft.com/office/2006/metadata/properties" ma:root="true" ma:fieldsID="6b1812c6d50db166fa3f50cec491bba0" ns1:_="" ns2:_="" ns3:_="">
    <xsd:import namespace="http://schemas.microsoft.com/sharepoint/v3"/>
    <xsd:import namespace="ea3da3a8-7d9f-4b13-ba38-df5afc181b2a"/>
    <xsd:import namespace="d74dfbb6-b8b8-4576-b07c-554943f105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element ref="ns1:_ip_UnifiedCompliancePolicyProperties" minOccurs="0"/>
                <xsd:element ref="ns1:_ip_UnifiedCompliancePolicyUIAction" minOccurs="0"/>
                <xsd:element ref="ns3:comments" minOccurs="0"/>
                <xsd:element ref="ns3:follow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da3a8-7d9f-4b13-ba38-df5afc181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dae37d-9cc6-4be6-b4a8-56ae5b41f3ce}" ma:internalName="TaxCatchAll" ma:showField="CatchAllData" ma:web="ea3da3a8-7d9f-4b13-ba38-df5afc181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4dfbb6-b8b8-4576-b07c-554943f105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69956d-e2dd-49b5-a39b-a9fe3f4b9c5f" ma:termSetId="09814cd3-568e-fe90-9814-8d621ff8fb84" ma:anchorId="fba54fb3-c3e1-fe81-a776-ca4b69148c4d" ma:open="true" ma:isKeyword="false">
      <xsd:complexType>
        <xsd:sequence>
          <xsd:element ref="pc:Terms" minOccurs="0" maxOccurs="1"/>
        </xsd:sequence>
      </xsd:complexType>
    </xsd:element>
    <xsd:element name="comments" ma:index="26" nillable="true" ma:displayName="comments" ma:description="Follow up" ma:internalName="comments">
      <xsd:simpleType>
        <xsd:restriction base="dms:Text">
          <xsd:maxLength value="255"/>
        </xsd:restriction>
      </xsd:simpleType>
    </xsd:element>
    <xsd:element name="followup" ma:index="27" nillable="true" ma:displayName="follow up" ma:default="1" ma:format="Dropdown" ma:internalName="follow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4dfbb6-b8b8-4576-b07c-554943f10550">
      <Terms xmlns="http://schemas.microsoft.com/office/infopath/2007/PartnerControls"/>
    </lcf76f155ced4ddcb4097134ff3c332f>
    <TaxCatchAll xmlns="ea3da3a8-7d9f-4b13-ba38-df5afc181b2a" xsi:nil="true"/>
    <SharedWithUsers xmlns="ea3da3a8-7d9f-4b13-ba38-df5afc181b2a">
      <UserInfo>
        <DisplayName>Carol McCormack</DisplayName>
        <AccountId>189</AccountId>
        <AccountType/>
      </UserInfo>
      <UserInfo>
        <DisplayName>Darren Whitelaw</DisplayName>
        <AccountId>31</AccountId>
        <AccountType/>
      </UserInfo>
      <UserInfo>
        <DisplayName>Bianca Carroll</DisplayName>
        <AccountId>2010</AccountId>
        <AccountType/>
      </UserInfo>
    </SharedWithUsers>
    <_ip_UnifiedCompliancePolicyUIAction xmlns="http://schemas.microsoft.com/sharepoint/v3" xsi:nil="true"/>
    <followup xmlns="d74dfbb6-b8b8-4576-b07c-554943f10550">true</followup>
    <_ip_UnifiedCompliancePolicyProperties xmlns="http://schemas.microsoft.com/sharepoint/v3" xsi:nil="true"/>
    <comments xmlns="d74dfbb6-b8b8-4576-b07c-554943f10550" xsi:nil="true"/>
  </documentManagement>
</p:properties>
</file>

<file path=customXml/itemProps1.xml><?xml version="1.0" encoding="utf-8"?>
<ds:datastoreItem xmlns:ds="http://schemas.openxmlformats.org/officeDocument/2006/customXml" ds:itemID="{5B77D40C-638C-4A30-81B5-FBEC15080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3da3a8-7d9f-4b13-ba38-df5afc181b2a"/>
    <ds:schemaRef ds:uri="d74dfbb6-b8b8-4576-b07c-554943f10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FE00C-8BA6-4D7C-84BD-6783FE3CD1FC}">
  <ds:schemaRefs>
    <ds:schemaRef ds:uri="http://schemas.microsoft.com/sharepoint/v3/contenttype/forms"/>
  </ds:schemaRefs>
</ds:datastoreItem>
</file>

<file path=customXml/itemProps3.xml><?xml version="1.0" encoding="utf-8"?>
<ds:datastoreItem xmlns:ds="http://schemas.openxmlformats.org/officeDocument/2006/customXml" ds:itemID="{6199C0C9-2092-4F28-B9DC-52734430E12F}">
  <ds:schemaRefs>
    <ds:schemaRef ds:uri="http://schemas.microsoft.com/office/2006/metadata/properties"/>
    <ds:schemaRef ds:uri="http://schemas.microsoft.com/office/infopath/2007/PartnerControls"/>
    <ds:schemaRef ds:uri="d74dfbb6-b8b8-4576-b07c-554943f10550"/>
    <ds:schemaRef ds:uri="ea3da3a8-7d9f-4b13-ba38-df5afc181b2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Frere</dc:creator>
  <cp:keywords/>
  <dc:description/>
  <cp:lastModifiedBy>Marion Frere</cp:lastModifiedBy>
  <cp:revision>25</cp:revision>
  <dcterms:created xsi:type="dcterms:W3CDTF">2022-08-31T01:27:00Z</dcterms:created>
  <dcterms:modified xsi:type="dcterms:W3CDTF">2022-11-17T04:28:00Z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0x01010070BE19E2D2D060458DF76154E5156AC1</vt:lpwstr>
  </property>
  <property fmtid="{D5CDD505-2E9C-101B-9397-08002B2CF9AE}" pid="3" name="MediaServiceImageTags">
    <vt:lpwstr/>
  </property>
  <property fmtid="{D5CDD505-2E9C-101B-9397-08002B2CF9AE}" pid="4" name="MSIP_Label_42097bcf-767d-4bde-9b8f-e2ca699deb11_Enabled">
    <vt:lpwstr>true</vt:lpwstr>
  </property>
  <property fmtid="{D5CDD505-2E9C-101B-9397-08002B2CF9AE}" pid="5" name="MSIP_Label_42097bcf-767d-4bde-9b8f-e2ca699deb11_SetDate">
    <vt:lpwstr>2022-08-25T01:08:41Z</vt:lpwstr>
  </property>
  <property fmtid="{D5CDD505-2E9C-101B-9397-08002B2CF9AE}" pid="6" name="MSIP_Label_42097bcf-767d-4bde-9b8f-e2ca699deb11_Method">
    <vt:lpwstr>Standard</vt:lpwstr>
  </property>
  <property fmtid="{D5CDD505-2E9C-101B-9397-08002B2CF9AE}" pid="7" name="MSIP_Label_42097bcf-767d-4bde-9b8f-e2ca699deb11_Name">
    <vt:lpwstr>OFFICIAL</vt:lpwstr>
  </property>
  <property fmtid="{D5CDD505-2E9C-101B-9397-08002B2CF9AE}" pid="8" name="MSIP_Label_42097bcf-767d-4bde-9b8f-e2ca699deb11_SiteId">
    <vt:lpwstr>80ca8ec4-bf5c-4f00-b906-ab298a1afa03</vt:lpwstr>
  </property>
  <property fmtid="{D5CDD505-2E9C-101B-9397-08002B2CF9AE}" pid="9" name="MSIP_Label_42097bcf-767d-4bde-9b8f-e2ca699deb11_ActionId">
    <vt:lpwstr>b02d8023-bb42-4990-9c54-248f64084e8a</vt:lpwstr>
  </property>
  <property fmtid="{D5CDD505-2E9C-101B-9397-08002B2CF9AE}" pid="10" name="MSIP_Label_42097bcf-767d-4bde-9b8f-e2ca699deb11_ContentBits">
    <vt:lpwstr>2</vt:lpwstr>
  </property>
</Properties>
</file>