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8AC8" w14:textId="77777777" w:rsidR="00DE18BB" w:rsidRDefault="00DE18BB" w:rsidP="00DE18BB">
      <w:pPr>
        <w:rPr>
          <w:rFonts w:ascii="Arial" w:hAnsi="Arial" w:cs="Arial"/>
        </w:rPr>
      </w:pPr>
    </w:p>
    <w:p w14:paraId="2EBEDDCB" w14:textId="77777777" w:rsidR="00DE18BB" w:rsidRPr="00304A6E" w:rsidRDefault="00DE18BB" w:rsidP="00DE18BB"/>
    <w:p w14:paraId="6B4F907E" w14:textId="77777777" w:rsidR="00DE18BB" w:rsidRDefault="00DE18BB" w:rsidP="00DE18BB">
      <w:r>
        <w:rPr>
          <w:noProof/>
        </w:rPr>
        <mc:AlternateContent>
          <mc:Choice Requires="wps">
            <w:drawing>
              <wp:anchor distT="0" distB="0" distL="114300" distR="114300" simplePos="0" relativeHeight="251660288" behindDoc="0" locked="0" layoutInCell="1" allowOverlap="1" wp14:anchorId="15D2F3EF" wp14:editId="58E4C7B4">
                <wp:simplePos x="0" y="0"/>
                <wp:positionH relativeFrom="column">
                  <wp:posOffset>2028498</wp:posOffset>
                </wp:positionH>
                <wp:positionV relativeFrom="paragraph">
                  <wp:posOffset>2175641</wp:posOffset>
                </wp:positionV>
                <wp:extent cx="3962400" cy="4813738"/>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5845DC12" w14:textId="684BD80E" w:rsidR="00DB4684" w:rsidRPr="008F4526" w:rsidRDefault="008F4526" w:rsidP="00DB4684">
                            <w:pPr>
                              <w:spacing w:line="276" w:lineRule="auto"/>
                              <w:jc w:val="left"/>
                              <w:rPr>
                                <w:rFonts w:ascii="Arial" w:hAnsi="Arial" w:cs="Arial"/>
                                <w:color w:val="FFFFFF" w:themeColor="background1"/>
                                <w:sz w:val="65"/>
                                <w:szCs w:val="65"/>
                              </w:rPr>
                            </w:pPr>
                            <w:r w:rsidRPr="008F4526">
                              <w:rPr>
                                <w:rFonts w:ascii="Arial" w:hAnsi="Arial" w:cs="Arial"/>
                                <w:color w:val="FFFFFF" w:themeColor="background1"/>
                                <w:sz w:val="65"/>
                                <w:szCs w:val="65"/>
                              </w:rPr>
                              <w:t xml:space="preserve">Queensland Building and Construction Commission: </w:t>
                            </w:r>
                            <w:bookmarkStart w:id="0" w:name="_Hlk110257818"/>
                            <w:r w:rsidRPr="008F4526">
                              <w:rPr>
                                <w:rFonts w:ascii="Arial" w:hAnsi="Arial" w:cs="Arial"/>
                                <w:color w:val="FFFFFF" w:themeColor="background1"/>
                                <w:sz w:val="65"/>
                                <w:szCs w:val="65"/>
                              </w:rPr>
                              <w:t>An analysis of governance, regulatory approach and capability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2F3EF" id="_x0000_t202" coordsize="21600,21600" o:spt="202" path="m,l,21600r21600,l21600,xe">
                <v:stroke joinstyle="miter"/>
                <v:path gradientshapeok="t" o:connecttype="rect"/>
              </v:shapetype>
              <v:shape id="Text Box 2" o:spid="_x0000_s1026" type="#_x0000_t202" style="position:absolute;left:0;text-align:left;margin-left:159.7pt;margin-top:171.3pt;width:312pt;height:3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" filled="f" stroked="f" strokeweight=".5pt">
                <v:textbox>
                  <w:txbxContent>
                    <w:p w14:paraId="5845DC12" w14:textId="684BD80E" w:rsidR="00DB4684" w:rsidRPr="008F4526" w:rsidRDefault="008F4526" w:rsidP="00DB4684">
                      <w:pPr>
                        <w:spacing w:line="276" w:lineRule="auto"/>
                        <w:jc w:val="left"/>
                        <w:rPr>
                          <w:rFonts w:ascii="Arial" w:hAnsi="Arial" w:cs="Arial"/>
                          <w:color w:val="FFFFFF" w:themeColor="background1"/>
                          <w:sz w:val="65"/>
                          <w:szCs w:val="65"/>
                        </w:rPr>
                      </w:pPr>
                      <w:r w:rsidRPr="008F4526">
                        <w:rPr>
                          <w:rFonts w:ascii="Arial" w:hAnsi="Arial" w:cs="Arial"/>
                          <w:color w:val="FFFFFF" w:themeColor="background1"/>
                          <w:sz w:val="65"/>
                          <w:szCs w:val="65"/>
                        </w:rPr>
                        <w:t xml:space="preserve">Queensland Building and Construction Commission: </w:t>
                      </w:r>
                      <w:bookmarkStart w:id="1" w:name="_Hlk110257818"/>
                      <w:r w:rsidRPr="008F4526">
                        <w:rPr>
                          <w:rFonts w:ascii="Arial" w:hAnsi="Arial" w:cs="Arial"/>
                          <w:color w:val="FFFFFF" w:themeColor="background1"/>
                          <w:sz w:val="65"/>
                          <w:szCs w:val="65"/>
                        </w:rPr>
                        <w:t>An analysis of governance, regulatory approach and capability</w:t>
                      </w:r>
                      <w:bookmarkEnd w:id="1"/>
                    </w:p>
                  </w:txbxContent>
                </v:textbox>
              </v:shape>
            </w:pict>
          </mc:Fallback>
        </mc:AlternateContent>
      </w:r>
      <w:r>
        <w:rPr>
          <w:noProof/>
        </w:rPr>
        <w:drawing>
          <wp:anchor distT="0" distB="0" distL="114300" distR="114300" simplePos="0" relativeHeight="251659264" behindDoc="1" locked="0" layoutInCell="1" allowOverlap="1" wp14:anchorId="5BCE20DA" wp14:editId="0DCF2A95">
            <wp:simplePos x="0" y="0"/>
            <wp:positionH relativeFrom="page">
              <wp:posOffset>0</wp:posOffset>
            </wp:positionH>
            <wp:positionV relativeFrom="page">
              <wp:posOffset>0</wp:posOffset>
            </wp:positionV>
            <wp:extent cx="7556400" cy="10692000"/>
            <wp:effectExtent l="0" t="0" r="63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66671ABF" w14:textId="77777777" w:rsidR="00DE18BB" w:rsidRPr="00304A6E" w:rsidRDefault="00DE18BB" w:rsidP="00DE18BB">
      <w:pPr>
        <w:spacing w:after="0"/>
        <w:rPr>
          <w:rFonts w:ascii="Sommet" w:hAnsi="Sommet"/>
          <w:sz w:val="56"/>
          <w:szCs w:val="60"/>
        </w:rPr>
      </w:pPr>
    </w:p>
    <w:p w14:paraId="1C79FDA9" w14:textId="77777777" w:rsidR="00DE18BB" w:rsidRPr="00304A6E" w:rsidRDefault="00DE18BB" w:rsidP="00DE18BB">
      <w:pPr>
        <w:spacing w:after="0"/>
        <w:rPr>
          <w:rFonts w:ascii="Sommet" w:hAnsi="Sommet"/>
          <w:sz w:val="56"/>
          <w:szCs w:val="60"/>
        </w:rPr>
      </w:pPr>
    </w:p>
    <w:p w14:paraId="0F0501EE" w14:textId="77777777" w:rsidR="00DE18BB" w:rsidRPr="00304A6E" w:rsidRDefault="00DE18BB" w:rsidP="00DE18BB">
      <w:pPr>
        <w:pStyle w:val="Title"/>
        <w:rPr>
          <w:sz w:val="48"/>
          <w:szCs w:val="48"/>
        </w:rPr>
      </w:pPr>
    </w:p>
    <w:p w14:paraId="4E27D084" w14:textId="77777777" w:rsidR="00DE18BB" w:rsidRDefault="00DE18BB" w:rsidP="00DE18BB">
      <w:pPr>
        <w:pStyle w:val="Title"/>
      </w:pPr>
    </w:p>
    <w:p w14:paraId="6877359D" w14:textId="77777777" w:rsidR="00DE18BB" w:rsidRDefault="00DE18BB" w:rsidP="00DE18BB">
      <w:pPr>
        <w:pStyle w:val="Title"/>
      </w:pPr>
    </w:p>
    <w:p w14:paraId="4050A3D3" w14:textId="77777777" w:rsidR="00DE18BB" w:rsidRDefault="00DE18BB" w:rsidP="00DE18BB">
      <w:pPr>
        <w:pStyle w:val="Title"/>
      </w:pPr>
    </w:p>
    <w:p w14:paraId="70A99CAF" w14:textId="77777777" w:rsidR="00DE18BB" w:rsidRDefault="00DE18BB" w:rsidP="00DE18BB">
      <w:pPr>
        <w:pStyle w:val="Title"/>
      </w:pPr>
    </w:p>
    <w:p w14:paraId="35ECC6E8" w14:textId="77777777" w:rsidR="00DE18BB" w:rsidRDefault="00DE18BB" w:rsidP="00DE18BB">
      <w:pPr>
        <w:pStyle w:val="Title"/>
      </w:pPr>
    </w:p>
    <w:p w14:paraId="57978A52" w14:textId="77777777" w:rsidR="00DE18BB" w:rsidRDefault="00DE18BB" w:rsidP="00DE18BB">
      <w:pPr>
        <w:pStyle w:val="Title"/>
      </w:pPr>
    </w:p>
    <w:p w14:paraId="6BA25609" w14:textId="77777777" w:rsidR="00DE18BB" w:rsidRDefault="00DE18BB" w:rsidP="00DE18BB">
      <w:pPr>
        <w:pStyle w:val="Title"/>
      </w:pPr>
    </w:p>
    <w:p w14:paraId="4DCB86D6" w14:textId="77777777" w:rsidR="00DE18BB" w:rsidRDefault="00DE18BB" w:rsidP="00DE18BB">
      <w:pPr>
        <w:pStyle w:val="Title"/>
      </w:pPr>
    </w:p>
    <w:p w14:paraId="1400AB6B" w14:textId="77777777" w:rsidR="00DE18BB" w:rsidRDefault="00DE18BB" w:rsidP="00DE18BB">
      <w:pPr>
        <w:pStyle w:val="Title"/>
      </w:pPr>
    </w:p>
    <w:p w14:paraId="78BCDC05" w14:textId="77777777" w:rsidR="00DE18BB" w:rsidRDefault="00DE18BB" w:rsidP="00DE18BB">
      <w:pPr>
        <w:pStyle w:val="Title"/>
      </w:pPr>
    </w:p>
    <w:p w14:paraId="005195D8" w14:textId="77777777" w:rsidR="00DE18BB" w:rsidRDefault="00DE18BB" w:rsidP="00DE18BB">
      <w:pPr>
        <w:pStyle w:val="Title"/>
      </w:pPr>
    </w:p>
    <w:p w14:paraId="54EE33D8" w14:textId="77777777" w:rsidR="00DE18BB" w:rsidRDefault="00DE18BB" w:rsidP="00DE18BB">
      <w:pPr>
        <w:pStyle w:val="Title"/>
      </w:pPr>
    </w:p>
    <w:p w14:paraId="5147BE09" w14:textId="77777777" w:rsidR="00DE18BB" w:rsidRDefault="00DE18BB" w:rsidP="00DE18BB">
      <w:pPr>
        <w:pStyle w:val="Title"/>
      </w:pPr>
    </w:p>
    <w:p w14:paraId="48523BF5" w14:textId="77777777" w:rsidR="00DE18BB" w:rsidRPr="00304A6E" w:rsidRDefault="00DE18BB" w:rsidP="00DE18BB"/>
    <w:p w14:paraId="0D51A17F" w14:textId="77777777" w:rsidR="00F4425A" w:rsidRDefault="00F4425A" w:rsidP="00E50B8F">
      <w:pPr>
        <w:spacing w:after="0" w:line="192" w:lineRule="auto"/>
        <w:jc w:val="left"/>
        <w:rPr>
          <w:rFonts w:ascii="Nunito" w:hAnsi="Nunito"/>
          <w:sz w:val="80"/>
          <w:szCs w:val="80"/>
        </w:rPr>
      </w:pPr>
    </w:p>
    <w:p w14:paraId="28BB3C49" w14:textId="77777777" w:rsidR="00395AAB" w:rsidRDefault="00395AAB" w:rsidP="00E50B8F">
      <w:pPr>
        <w:spacing w:after="0" w:line="192" w:lineRule="auto"/>
        <w:jc w:val="left"/>
        <w:rPr>
          <w:rFonts w:ascii="Nunito" w:hAnsi="Nunito"/>
          <w:sz w:val="80"/>
          <w:szCs w:val="80"/>
        </w:rPr>
      </w:pPr>
    </w:p>
    <w:p w14:paraId="702F50F6" w14:textId="77777777" w:rsidR="00395AAB" w:rsidRDefault="00395AAB">
      <w:pPr>
        <w:rPr>
          <w:rFonts w:ascii="Nunito" w:hAnsi="Nunito"/>
          <w:sz w:val="80"/>
          <w:szCs w:val="80"/>
        </w:rPr>
      </w:pPr>
      <w:r>
        <w:rPr>
          <w:rFonts w:ascii="Nunito" w:hAnsi="Nunito"/>
          <w:sz w:val="80"/>
          <w:szCs w:val="80"/>
        </w:rPr>
        <w:br w:type="page"/>
      </w:r>
    </w:p>
    <w:p w14:paraId="3C12B1F9" w14:textId="0A9D3A71" w:rsidR="00224616" w:rsidRPr="008F4526" w:rsidRDefault="005A2FC6" w:rsidP="00E50B8F">
      <w:pPr>
        <w:spacing w:after="0" w:line="192" w:lineRule="auto"/>
        <w:jc w:val="left"/>
        <w:rPr>
          <w:rFonts w:ascii="Nunito" w:hAnsi="Nunito"/>
          <w:sz w:val="56"/>
          <w:szCs w:val="56"/>
        </w:rPr>
      </w:pPr>
      <w:r w:rsidRPr="008F4526">
        <w:rPr>
          <w:rFonts w:ascii="Nunito" w:hAnsi="Nunito"/>
          <w:sz w:val="56"/>
          <w:szCs w:val="56"/>
        </w:rPr>
        <w:lastRenderedPageBreak/>
        <w:t>THE QUEENSLAND BUILDING AND CONSTRUCTION COMMISSION</w:t>
      </w:r>
      <w:r w:rsidR="008F4526" w:rsidRPr="008F4526">
        <w:rPr>
          <w:rFonts w:ascii="Nunito" w:hAnsi="Nunito"/>
          <w:sz w:val="56"/>
          <w:szCs w:val="56"/>
        </w:rPr>
        <w:t>: AN ANALYSIS OF GOVERNANCE, REGULATORY APPROACH AND CAPABILITY</w:t>
      </w:r>
      <w:r w:rsidR="008F4526" w:rsidRPr="008F4526">
        <w:rPr>
          <w:sz w:val="18"/>
          <w:szCs w:val="18"/>
        </w:rPr>
        <w:t xml:space="preserve"> </w:t>
      </w:r>
    </w:p>
    <w:p w14:paraId="458D2894" w14:textId="16E32980" w:rsidR="004E7AA1" w:rsidRPr="007D116C" w:rsidRDefault="004E7AA1" w:rsidP="00BF26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0"/>
        <w:gridCol w:w="3426"/>
      </w:tblGrid>
      <w:tr w:rsidR="00AE1C37" w14:paraId="2DC5E329" w14:textId="77777777" w:rsidTr="00E434AE">
        <w:tc>
          <w:tcPr>
            <w:tcW w:w="4508" w:type="dxa"/>
          </w:tcPr>
          <w:p w14:paraId="1A23EDB1" w14:textId="78780B42" w:rsidR="00CB0B26" w:rsidRDefault="00B835DF" w:rsidP="00BF26B2">
            <w:r>
              <w:rPr>
                <w:noProof/>
              </w:rPr>
              <w:drawing>
                <wp:inline distT="0" distB="0" distL="0" distR="0" wp14:anchorId="3054DA44" wp14:editId="3D400AB3">
                  <wp:extent cx="3419061" cy="5366359"/>
                  <wp:effectExtent l="0" t="0" r="0" b="6350"/>
                  <wp:docPr id="11" name="Picture 1"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group of people in a room&#10;&#10;Description automatically generated with medium confidence"/>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8743" r="28743"/>
                          <a:stretch/>
                        </pic:blipFill>
                        <pic:spPr bwMode="auto">
                          <a:xfrm>
                            <a:off x="0" y="0"/>
                            <a:ext cx="3428392" cy="53810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vAlign w:val="center"/>
          </w:tcPr>
          <w:p w14:paraId="4A7A82AC" w14:textId="77777777" w:rsidR="00FF06FA" w:rsidRPr="00E434AE" w:rsidRDefault="00FF06FA" w:rsidP="00E434AE">
            <w:pPr>
              <w:jc w:val="left"/>
              <w:rPr>
                <w:rFonts w:ascii="Arial" w:hAnsi="Arial" w:cs="Arial"/>
              </w:rPr>
            </w:pPr>
            <w:r w:rsidRPr="00E434AE">
              <w:rPr>
                <w:rFonts w:ascii="Arial" w:hAnsi="Arial" w:cs="Arial"/>
              </w:rPr>
              <w:t>11 April 2022</w:t>
            </w:r>
          </w:p>
          <w:p w14:paraId="212D6FBF" w14:textId="77777777" w:rsidR="00FF06FA" w:rsidRPr="006351E7" w:rsidRDefault="00FF06FA" w:rsidP="00E434AE">
            <w:pPr>
              <w:jc w:val="left"/>
              <w:rPr>
                <w:rFonts w:ascii="Arial" w:hAnsi="Arial" w:cs="Arial"/>
                <w:sz w:val="24"/>
                <w:szCs w:val="24"/>
              </w:rPr>
            </w:pPr>
          </w:p>
          <w:p w14:paraId="6F626B93" w14:textId="58F3EF3A" w:rsidR="009E3098" w:rsidRPr="00E434AE" w:rsidRDefault="009E3098" w:rsidP="00E434AE">
            <w:pPr>
              <w:jc w:val="left"/>
              <w:rPr>
                <w:b/>
                <w:bCs/>
              </w:rPr>
            </w:pPr>
            <w:r w:rsidRPr="00E434AE">
              <w:rPr>
                <w:rFonts w:ascii="Arial" w:hAnsi="Arial" w:cs="Arial"/>
              </w:rPr>
              <w:t>Bushnell, A., Brownlee, P. and Banerjee, S.</w:t>
            </w:r>
          </w:p>
        </w:tc>
      </w:tr>
    </w:tbl>
    <w:p w14:paraId="4AE4854E" w14:textId="77777777" w:rsidR="007E3D16" w:rsidRPr="007D116C" w:rsidRDefault="007E3D16" w:rsidP="00BF26B2"/>
    <w:p w14:paraId="7E8EA3C7" w14:textId="77777777" w:rsidR="00581423" w:rsidRDefault="00581423" w:rsidP="00B91C7D">
      <w:pPr>
        <w:sectPr w:rsidR="00581423" w:rsidSect="00F928FE">
          <w:headerReference w:type="default" r:id="rId14"/>
          <w:footerReference w:type="default" r:id="rId15"/>
          <w:pgSz w:w="11906" w:h="16838"/>
          <w:pgMar w:top="1440" w:right="1440" w:bottom="1440" w:left="1440" w:header="567" w:footer="708" w:gutter="0"/>
          <w:cols w:space="708"/>
          <w:titlePg/>
          <w:docGrid w:linePitch="360"/>
        </w:sectPr>
      </w:pPr>
    </w:p>
    <w:p w14:paraId="7F17795C" w14:textId="76278262" w:rsidR="005003C2" w:rsidRPr="007D116C" w:rsidRDefault="005003C2" w:rsidP="00B91C7D">
      <w:r w:rsidRPr="007D116C">
        <w:lastRenderedPageBreak/>
        <w:t>Contents</w:t>
      </w:r>
    </w:p>
    <w:sdt>
      <w:sdtPr>
        <w:rPr>
          <w:shd w:val="clear" w:color="auto" w:fill="E6E6E6"/>
        </w:rPr>
        <w:id w:val="1812893374"/>
        <w:docPartObj>
          <w:docPartGallery w:val="Table of Contents"/>
          <w:docPartUnique/>
        </w:docPartObj>
      </w:sdtPr>
      <w:sdtEndPr>
        <w:rPr>
          <w:shd w:val="clear" w:color="auto" w:fill="auto"/>
        </w:rPr>
      </w:sdtEndPr>
      <w:sdtContent>
        <w:p w14:paraId="34B25214" w14:textId="0BAD1980" w:rsidR="0021241C" w:rsidRDefault="4837C68A">
          <w:pPr>
            <w:pStyle w:val="TOC1"/>
            <w:tabs>
              <w:tab w:val="right" w:leader="dot" w:pos="9016"/>
            </w:tabs>
            <w:rPr>
              <w:rFonts w:eastAsiaTheme="minorEastAsia"/>
              <w:noProof/>
              <w:lang w:eastAsia="en-GB"/>
            </w:rPr>
          </w:pPr>
          <w:r w:rsidRPr="007D116C">
            <w:rPr>
              <w:shd w:val="clear" w:color="auto" w:fill="E6E6E6"/>
            </w:rPr>
            <w:fldChar w:fldCharType="begin"/>
          </w:r>
          <w:r w:rsidR="4341A428" w:rsidRPr="007D116C">
            <w:instrText>TOC \o "1-3" \h \z \u</w:instrText>
          </w:r>
          <w:r w:rsidRPr="007D116C">
            <w:rPr>
              <w:shd w:val="clear" w:color="auto" w:fill="E6E6E6"/>
            </w:rPr>
            <w:fldChar w:fldCharType="separate"/>
          </w:r>
          <w:hyperlink w:anchor="_Toc100599118" w:history="1">
            <w:r w:rsidR="0021241C" w:rsidRPr="0089173A">
              <w:rPr>
                <w:rStyle w:val="Hyperlink"/>
                <w:noProof/>
              </w:rPr>
              <w:t>Executive Summary</w:t>
            </w:r>
            <w:r w:rsidR="0021241C">
              <w:rPr>
                <w:noProof/>
                <w:webHidden/>
              </w:rPr>
              <w:tab/>
            </w:r>
            <w:r w:rsidR="0021241C">
              <w:rPr>
                <w:noProof/>
                <w:webHidden/>
              </w:rPr>
              <w:fldChar w:fldCharType="begin"/>
            </w:r>
            <w:r w:rsidR="0021241C">
              <w:rPr>
                <w:noProof/>
                <w:webHidden/>
              </w:rPr>
              <w:instrText xml:space="preserve"> PAGEREF _Toc100599118 \h </w:instrText>
            </w:r>
            <w:r w:rsidR="0021241C">
              <w:rPr>
                <w:noProof/>
                <w:webHidden/>
              </w:rPr>
            </w:r>
            <w:r w:rsidR="0021241C">
              <w:rPr>
                <w:noProof/>
                <w:webHidden/>
              </w:rPr>
              <w:fldChar w:fldCharType="separate"/>
            </w:r>
            <w:r w:rsidR="004D47AF">
              <w:rPr>
                <w:noProof/>
                <w:webHidden/>
              </w:rPr>
              <w:t>4</w:t>
            </w:r>
            <w:r w:rsidR="0021241C">
              <w:rPr>
                <w:noProof/>
                <w:webHidden/>
              </w:rPr>
              <w:fldChar w:fldCharType="end"/>
            </w:r>
          </w:hyperlink>
        </w:p>
        <w:p w14:paraId="38038CDA" w14:textId="37C4B1D8" w:rsidR="0021241C" w:rsidRDefault="00000000">
          <w:pPr>
            <w:pStyle w:val="TOC1"/>
            <w:tabs>
              <w:tab w:val="right" w:leader="dot" w:pos="9016"/>
            </w:tabs>
            <w:rPr>
              <w:rFonts w:eastAsiaTheme="minorEastAsia"/>
              <w:noProof/>
              <w:lang w:eastAsia="en-GB"/>
            </w:rPr>
          </w:pPr>
          <w:hyperlink w:anchor="_Toc100599119" w:history="1">
            <w:r w:rsidR="0021241C" w:rsidRPr="0089173A">
              <w:rPr>
                <w:rStyle w:val="Hyperlink"/>
                <w:noProof/>
              </w:rPr>
              <w:t>Introduction</w:t>
            </w:r>
            <w:r w:rsidR="0021241C">
              <w:rPr>
                <w:noProof/>
                <w:webHidden/>
              </w:rPr>
              <w:tab/>
            </w:r>
            <w:r w:rsidR="0021241C">
              <w:rPr>
                <w:noProof/>
                <w:webHidden/>
              </w:rPr>
              <w:fldChar w:fldCharType="begin"/>
            </w:r>
            <w:r w:rsidR="0021241C">
              <w:rPr>
                <w:noProof/>
                <w:webHidden/>
              </w:rPr>
              <w:instrText xml:space="preserve"> PAGEREF _Toc100599119 \h </w:instrText>
            </w:r>
            <w:r w:rsidR="0021241C">
              <w:rPr>
                <w:noProof/>
                <w:webHidden/>
              </w:rPr>
            </w:r>
            <w:r w:rsidR="0021241C">
              <w:rPr>
                <w:noProof/>
                <w:webHidden/>
              </w:rPr>
              <w:fldChar w:fldCharType="separate"/>
            </w:r>
            <w:r w:rsidR="004D47AF">
              <w:rPr>
                <w:noProof/>
                <w:webHidden/>
              </w:rPr>
              <w:t>6</w:t>
            </w:r>
            <w:r w:rsidR="0021241C">
              <w:rPr>
                <w:noProof/>
                <w:webHidden/>
              </w:rPr>
              <w:fldChar w:fldCharType="end"/>
            </w:r>
          </w:hyperlink>
        </w:p>
        <w:p w14:paraId="7B3F5AE3" w14:textId="60DC2934" w:rsidR="0021241C" w:rsidRDefault="00000000">
          <w:pPr>
            <w:pStyle w:val="TOC2"/>
            <w:tabs>
              <w:tab w:val="right" w:leader="dot" w:pos="9016"/>
            </w:tabs>
            <w:rPr>
              <w:rFonts w:eastAsiaTheme="minorEastAsia"/>
              <w:noProof/>
              <w:lang w:eastAsia="en-GB"/>
            </w:rPr>
          </w:pPr>
          <w:hyperlink w:anchor="_Toc100599120" w:history="1">
            <w:r w:rsidR="0021241C" w:rsidRPr="0089173A">
              <w:rPr>
                <w:rStyle w:val="Hyperlink"/>
                <w:noProof/>
              </w:rPr>
              <w:t>Background</w:t>
            </w:r>
            <w:r w:rsidR="0021241C">
              <w:rPr>
                <w:noProof/>
                <w:webHidden/>
              </w:rPr>
              <w:tab/>
            </w:r>
            <w:r w:rsidR="0021241C">
              <w:rPr>
                <w:noProof/>
                <w:webHidden/>
              </w:rPr>
              <w:fldChar w:fldCharType="begin"/>
            </w:r>
            <w:r w:rsidR="0021241C">
              <w:rPr>
                <w:noProof/>
                <w:webHidden/>
              </w:rPr>
              <w:instrText xml:space="preserve"> PAGEREF _Toc100599120 \h </w:instrText>
            </w:r>
            <w:r w:rsidR="0021241C">
              <w:rPr>
                <w:noProof/>
                <w:webHidden/>
              </w:rPr>
            </w:r>
            <w:r w:rsidR="0021241C">
              <w:rPr>
                <w:noProof/>
                <w:webHidden/>
              </w:rPr>
              <w:fldChar w:fldCharType="separate"/>
            </w:r>
            <w:r w:rsidR="004D47AF">
              <w:rPr>
                <w:noProof/>
                <w:webHidden/>
              </w:rPr>
              <w:t>6</w:t>
            </w:r>
            <w:r w:rsidR="0021241C">
              <w:rPr>
                <w:noProof/>
                <w:webHidden/>
              </w:rPr>
              <w:fldChar w:fldCharType="end"/>
            </w:r>
          </w:hyperlink>
        </w:p>
        <w:p w14:paraId="488EB28C" w14:textId="15CD124E" w:rsidR="0021241C" w:rsidRDefault="00000000">
          <w:pPr>
            <w:pStyle w:val="TOC2"/>
            <w:tabs>
              <w:tab w:val="right" w:leader="dot" w:pos="9016"/>
            </w:tabs>
            <w:rPr>
              <w:rFonts w:eastAsiaTheme="minorEastAsia"/>
              <w:noProof/>
              <w:lang w:eastAsia="en-GB"/>
            </w:rPr>
          </w:pPr>
          <w:hyperlink w:anchor="_Toc100599121" w:history="1">
            <w:r w:rsidR="0021241C" w:rsidRPr="0089173A">
              <w:rPr>
                <w:rStyle w:val="Hyperlink"/>
                <w:noProof/>
              </w:rPr>
              <w:t>The QBCC in Context</w:t>
            </w:r>
            <w:r w:rsidR="0021241C">
              <w:rPr>
                <w:noProof/>
                <w:webHidden/>
              </w:rPr>
              <w:tab/>
            </w:r>
            <w:r w:rsidR="0021241C">
              <w:rPr>
                <w:noProof/>
                <w:webHidden/>
              </w:rPr>
              <w:fldChar w:fldCharType="begin"/>
            </w:r>
            <w:r w:rsidR="0021241C">
              <w:rPr>
                <w:noProof/>
                <w:webHidden/>
              </w:rPr>
              <w:instrText xml:space="preserve"> PAGEREF _Toc100599121 \h </w:instrText>
            </w:r>
            <w:r w:rsidR="0021241C">
              <w:rPr>
                <w:noProof/>
                <w:webHidden/>
              </w:rPr>
            </w:r>
            <w:r w:rsidR="0021241C">
              <w:rPr>
                <w:noProof/>
                <w:webHidden/>
              </w:rPr>
              <w:fldChar w:fldCharType="separate"/>
            </w:r>
            <w:r w:rsidR="004D47AF">
              <w:rPr>
                <w:noProof/>
                <w:webHidden/>
              </w:rPr>
              <w:t>8</w:t>
            </w:r>
            <w:r w:rsidR="0021241C">
              <w:rPr>
                <w:noProof/>
                <w:webHidden/>
              </w:rPr>
              <w:fldChar w:fldCharType="end"/>
            </w:r>
          </w:hyperlink>
        </w:p>
        <w:p w14:paraId="256476E8" w14:textId="49DC74A1" w:rsidR="0021241C" w:rsidRDefault="00000000">
          <w:pPr>
            <w:pStyle w:val="TOC1"/>
            <w:tabs>
              <w:tab w:val="right" w:leader="dot" w:pos="9016"/>
            </w:tabs>
            <w:rPr>
              <w:rFonts w:eastAsiaTheme="minorEastAsia"/>
              <w:noProof/>
              <w:lang w:eastAsia="en-GB"/>
            </w:rPr>
          </w:pPr>
          <w:hyperlink w:anchor="_Toc100599122" w:history="1">
            <w:r w:rsidR="0021241C" w:rsidRPr="0089173A">
              <w:rPr>
                <w:rStyle w:val="Hyperlink"/>
                <w:noProof/>
              </w:rPr>
              <w:t>Part A: The QBCC’s governance model </w:t>
            </w:r>
            <w:r w:rsidR="0021241C">
              <w:rPr>
                <w:noProof/>
                <w:webHidden/>
              </w:rPr>
              <w:tab/>
            </w:r>
            <w:r w:rsidR="0021241C">
              <w:rPr>
                <w:noProof/>
                <w:webHidden/>
              </w:rPr>
              <w:fldChar w:fldCharType="begin"/>
            </w:r>
            <w:r w:rsidR="0021241C">
              <w:rPr>
                <w:noProof/>
                <w:webHidden/>
              </w:rPr>
              <w:instrText xml:space="preserve"> PAGEREF _Toc100599122 \h </w:instrText>
            </w:r>
            <w:r w:rsidR="0021241C">
              <w:rPr>
                <w:noProof/>
                <w:webHidden/>
              </w:rPr>
            </w:r>
            <w:r w:rsidR="0021241C">
              <w:rPr>
                <w:noProof/>
                <w:webHidden/>
              </w:rPr>
              <w:fldChar w:fldCharType="separate"/>
            </w:r>
            <w:r w:rsidR="004D47AF">
              <w:rPr>
                <w:noProof/>
                <w:webHidden/>
              </w:rPr>
              <w:t>11</w:t>
            </w:r>
            <w:r w:rsidR="0021241C">
              <w:rPr>
                <w:noProof/>
                <w:webHidden/>
              </w:rPr>
              <w:fldChar w:fldCharType="end"/>
            </w:r>
          </w:hyperlink>
        </w:p>
        <w:p w14:paraId="1A327827" w14:textId="2B404868" w:rsidR="0021241C" w:rsidRDefault="00000000">
          <w:pPr>
            <w:pStyle w:val="TOC2"/>
            <w:tabs>
              <w:tab w:val="right" w:leader="dot" w:pos="9016"/>
            </w:tabs>
            <w:rPr>
              <w:rFonts w:eastAsiaTheme="minorEastAsia"/>
              <w:noProof/>
              <w:lang w:eastAsia="en-GB"/>
            </w:rPr>
          </w:pPr>
          <w:hyperlink w:anchor="_Toc100599123" w:history="1">
            <w:r w:rsidR="0021241C" w:rsidRPr="0089173A">
              <w:rPr>
                <w:rStyle w:val="Hyperlink"/>
                <w:rFonts w:ascii="Calibri Light" w:hAnsi="Calibri Light" w:cs="Calibri Light"/>
                <w:noProof/>
              </w:rPr>
              <w:t>Summary Analysis of QBCC Governance Model</w:t>
            </w:r>
            <w:r w:rsidR="0021241C">
              <w:rPr>
                <w:noProof/>
                <w:webHidden/>
              </w:rPr>
              <w:tab/>
            </w:r>
            <w:r w:rsidR="0021241C">
              <w:rPr>
                <w:noProof/>
                <w:webHidden/>
              </w:rPr>
              <w:fldChar w:fldCharType="begin"/>
            </w:r>
            <w:r w:rsidR="0021241C">
              <w:rPr>
                <w:noProof/>
                <w:webHidden/>
              </w:rPr>
              <w:instrText xml:space="preserve"> PAGEREF _Toc100599123 \h </w:instrText>
            </w:r>
            <w:r w:rsidR="0021241C">
              <w:rPr>
                <w:noProof/>
                <w:webHidden/>
              </w:rPr>
            </w:r>
            <w:r w:rsidR="0021241C">
              <w:rPr>
                <w:noProof/>
                <w:webHidden/>
              </w:rPr>
              <w:fldChar w:fldCharType="separate"/>
            </w:r>
            <w:r w:rsidR="004D47AF">
              <w:rPr>
                <w:noProof/>
                <w:webHidden/>
              </w:rPr>
              <w:t>18</w:t>
            </w:r>
            <w:r w:rsidR="0021241C">
              <w:rPr>
                <w:noProof/>
                <w:webHidden/>
              </w:rPr>
              <w:fldChar w:fldCharType="end"/>
            </w:r>
          </w:hyperlink>
        </w:p>
        <w:p w14:paraId="1D3829CA" w14:textId="4BED648B" w:rsidR="0021241C" w:rsidRDefault="00000000">
          <w:pPr>
            <w:pStyle w:val="TOC1"/>
            <w:tabs>
              <w:tab w:val="right" w:leader="dot" w:pos="9016"/>
            </w:tabs>
            <w:rPr>
              <w:rFonts w:eastAsiaTheme="minorEastAsia"/>
              <w:noProof/>
              <w:lang w:eastAsia="en-GB"/>
            </w:rPr>
          </w:pPr>
          <w:hyperlink w:anchor="_Toc100599124" w:history="1">
            <w:r w:rsidR="0021241C" w:rsidRPr="0089173A">
              <w:rPr>
                <w:rStyle w:val="Hyperlink"/>
                <w:noProof/>
              </w:rPr>
              <w:t>Part B: OECD best practice principles for regulators</w:t>
            </w:r>
            <w:r w:rsidR="0021241C">
              <w:rPr>
                <w:noProof/>
                <w:webHidden/>
              </w:rPr>
              <w:tab/>
            </w:r>
            <w:r w:rsidR="0021241C">
              <w:rPr>
                <w:noProof/>
                <w:webHidden/>
              </w:rPr>
              <w:fldChar w:fldCharType="begin"/>
            </w:r>
            <w:r w:rsidR="0021241C">
              <w:rPr>
                <w:noProof/>
                <w:webHidden/>
              </w:rPr>
              <w:instrText xml:space="preserve"> PAGEREF _Toc100599124 \h </w:instrText>
            </w:r>
            <w:r w:rsidR="0021241C">
              <w:rPr>
                <w:noProof/>
                <w:webHidden/>
              </w:rPr>
            </w:r>
            <w:r w:rsidR="0021241C">
              <w:rPr>
                <w:noProof/>
                <w:webHidden/>
              </w:rPr>
              <w:fldChar w:fldCharType="separate"/>
            </w:r>
            <w:r w:rsidR="004D47AF">
              <w:rPr>
                <w:noProof/>
                <w:webHidden/>
              </w:rPr>
              <w:t>20</w:t>
            </w:r>
            <w:r w:rsidR="0021241C">
              <w:rPr>
                <w:noProof/>
                <w:webHidden/>
              </w:rPr>
              <w:fldChar w:fldCharType="end"/>
            </w:r>
          </w:hyperlink>
        </w:p>
        <w:p w14:paraId="0EA7F803" w14:textId="7DB9EFA2" w:rsidR="0021241C" w:rsidRDefault="00000000">
          <w:pPr>
            <w:pStyle w:val="TOC3"/>
            <w:tabs>
              <w:tab w:val="right" w:leader="dot" w:pos="9016"/>
            </w:tabs>
            <w:rPr>
              <w:rFonts w:eastAsiaTheme="minorEastAsia"/>
              <w:noProof/>
              <w:lang w:eastAsia="en-GB"/>
            </w:rPr>
          </w:pPr>
          <w:hyperlink w:anchor="_Toc100599125" w:history="1">
            <w:r w:rsidR="0021241C" w:rsidRPr="0089173A">
              <w:rPr>
                <w:rStyle w:val="Hyperlink"/>
                <w:noProof/>
                <w:lang w:eastAsia="en-GB"/>
              </w:rPr>
              <w:t>Table 1: Analysis of QBCC against OECD principles of regulatory governance </w:t>
            </w:r>
            <w:r w:rsidR="0021241C">
              <w:rPr>
                <w:noProof/>
                <w:webHidden/>
              </w:rPr>
              <w:tab/>
            </w:r>
            <w:r w:rsidR="0021241C">
              <w:rPr>
                <w:noProof/>
                <w:webHidden/>
              </w:rPr>
              <w:fldChar w:fldCharType="begin"/>
            </w:r>
            <w:r w:rsidR="0021241C">
              <w:rPr>
                <w:noProof/>
                <w:webHidden/>
              </w:rPr>
              <w:instrText xml:space="preserve"> PAGEREF _Toc100599125 \h </w:instrText>
            </w:r>
            <w:r w:rsidR="0021241C">
              <w:rPr>
                <w:noProof/>
                <w:webHidden/>
              </w:rPr>
            </w:r>
            <w:r w:rsidR="0021241C">
              <w:rPr>
                <w:noProof/>
                <w:webHidden/>
              </w:rPr>
              <w:fldChar w:fldCharType="separate"/>
            </w:r>
            <w:r w:rsidR="004D47AF">
              <w:rPr>
                <w:noProof/>
                <w:webHidden/>
              </w:rPr>
              <w:t>20</w:t>
            </w:r>
            <w:r w:rsidR="0021241C">
              <w:rPr>
                <w:noProof/>
                <w:webHidden/>
              </w:rPr>
              <w:fldChar w:fldCharType="end"/>
            </w:r>
          </w:hyperlink>
        </w:p>
        <w:p w14:paraId="5CE24575" w14:textId="5652D846" w:rsidR="0021241C" w:rsidRDefault="00000000">
          <w:pPr>
            <w:pStyle w:val="TOC2"/>
            <w:tabs>
              <w:tab w:val="right" w:leader="dot" w:pos="9016"/>
            </w:tabs>
            <w:rPr>
              <w:rFonts w:eastAsiaTheme="minorEastAsia"/>
              <w:noProof/>
              <w:lang w:eastAsia="en-GB"/>
            </w:rPr>
          </w:pPr>
          <w:hyperlink w:anchor="_Toc100599126" w:history="1">
            <w:r w:rsidR="0021241C" w:rsidRPr="0089173A">
              <w:rPr>
                <w:rStyle w:val="Hyperlink"/>
                <w:noProof/>
                <w:lang w:eastAsia="en-GB"/>
              </w:rPr>
              <w:t xml:space="preserve">OECD findings on </w:t>
            </w:r>
            <w:r w:rsidR="0021241C" w:rsidRPr="0089173A">
              <w:rPr>
                <w:rStyle w:val="Hyperlink"/>
                <w:noProof/>
              </w:rPr>
              <w:t>regulatory</w:t>
            </w:r>
            <w:r w:rsidR="0021241C" w:rsidRPr="0089173A">
              <w:rPr>
                <w:rStyle w:val="Hyperlink"/>
                <w:noProof/>
                <w:lang w:eastAsia="en-GB"/>
              </w:rPr>
              <w:t xml:space="preserve"> independence</w:t>
            </w:r>
            <w:r w:rsidR="0021241C">
              <w:rPr>
                <w:noProof/>
                <w:webHidden/>
              </w:rPr>
              <w:tab/>
            </w:r>
            <w:r w:rsidR="0021241C">
              <w:rPr>
                <w:noProof/>
                <w:webHidden/>
              </w:rPr>
              <w:fldChar w:fldCharType="begin"/>
            </w:r>
            <w:r w:rsidR="0021241C">
              <w:rPr>
                <w:noProof/>
                <w:webHidden/>
              </w:rPr>
              <w:instrText xml:space="preserve"> PAGEREF _Toc100599126 \h </w:instrText>
            </w:r>
            <w:r w:rsidR="0021241C">
              <w:rPr>
                <w:noProof/>
                <w:webHidden/>
              </w:rPr>
            </w:r>
            <w:r w:rsidR="0021241C">
              <w:rPr>
                <w:noProof/>
                <w:webHidden/>
              </w:rPr>
              <w:fldChar w:fldCharType="separate"/>
            </w:r>
            <w:r w:rsidR="004D47AF">
              <w:rPr>
                <w:noProof/>
                <w:webHidden/>
              </w:rPr>
              <w:t>22</w:t>
            </w:r>
            <w:r w:rsidR="0021241C">
              <w:rPr>
                <w:noProof/>
                <w:webHidden/>
              </w:rPr>
              <w:fldChar w:fldCharType="end"/>
            </w:r>
          </w:hyperlink>
        </w:p>
        <w:p w14:paraId="6F8F8672" w14:textId="1AA4B8AF" w:rsidR="0021241C" w:rsidRDefault="00000000">
          <w:pPr>
            <w:pStyle w:val="TOC1"/>
            <w:tabs>
              <w:tab w:val="right" w:leader="dot" w:pos="9016"/>
            </w:tabs>
            <w:rPr>
              <w:rFonts w:eastAsiaTheme="minorEastAsia"/>
              <w:noProof/>
              <w:lang w:eastAsia="en-GB"/>
            </w:rPr>
          </w:pPr>
          <w:hyperlink w:anchor="_Toc100599127" w:history="1">
            <w:r w:rsidR="0021241C" w:rsidRPr="0089173A">
              <w:rPr>
                <w:rStyle w:val="Hyperlink"/>
                <w:noProof/>
                <w:lang w:eastAsia="en-GB"/>
              </w:rPr>
              <w:t xml:space="preserve">Part C: Comparison with </w:t>
            </w:r>
            <w:r w:rsidR="0021241C" w:rsidRPr="0089173A">
              <w:rPr>
                <w:rStyle w:val="Hyperlink"/>
                <w:noProof/>
              </w:rPr>
              <w:t>other</w:t>
            </w:r>
            <w:r w:rsidR="0021241C" w:rsidRPr="0089173A">
              <w:rPr>
                <w:rStyle w:val="Hyperlink"/>
                <w:noProof/>
                <w:lang w:eastAsia="en-GB"/>
              </w:rPr>
              <w:t xml:space="preserve"> Australian jurisdictions</w:t>
            </w:r>
            <w:r w:rsidR="0021241C">
              <w:rPr>
                <w:noProof/>
                <w:webHidden/>
              </w:rPr>
              <w:tab/>
            </w:r>
            <w:r w:rsidR="0021241C">
              <w:rPr>
                <w:noProof/>
                <w:webHidden/>
              </w:rPr>
              <w:fldChar w:fldCharType="begin"/>
            </w:r>
            <w:r w:rsidR="0021241C">
              <w:rPr>
                <w:noProof/>
                <w:webHidden/>
              </w:rPr>
              <w:instrText xml:space="preserve"> PAGEREF _Toc100599127 \h </w:instrText>
            </w:r>
            <w:r w:rsidR="0021241C">
              <w:rPr>
                <w:noProof/>
                <w:webHidden/>
              </w:rPr>
            </w:r>
            <w:r w:rsidR="0021241C">
              <w:rPr>
                <w:noProof/>
                <w:webHidden/>
              </w:rPr>
              <w:fldChar w:fldCharType="separate"/>
            </w:r>
            <w:r w:rsidR="004D47AF">
              <w:rPr>
                <w:noProof/>
                <w:webHidden/>
              </w:rPr>
              <w:t>26</w:t>
            </w:r>
            <w:r w:rsidR="0021241C">
              <w:rPr>
                <w:noProof/>
                <w:webHidden/>
              </w:rPr>
              <w:fldChar w:fldCharType="end"/>
            </w:r>
          </w:hyperlink>
        </w:p>
        <w:p w14:paraId="7025C7A9" w14:textId="64A76C2A" w:rsidR="0021241C" w:rsidRDefault="00000000">
          <w:pPr>
            <w:pStyle w:val="TOC3"/>
            <w:tabs>
              <w:tab w:val="right" w:leader="dot" w:pos="9016"/>
            </w:tabs>
            <w:rPr>
              <w:rFonts w:eastAsiaTheme="minorEastAsia"/>
              <w:noProof/>
              <w:lang w:eastAsia="en-GB"/>
            </w:rPr>
          </w:pPr>
          <w:hyperlink w:anchor="_Toc100599128" w:history="1">
            <w:r w:rsidR="0021241C" w:rsidRPr="0089173A">
              <w:rPr>
                <w:rStyle w:val="Hyperlink"/>
                <w:noProof/>
                <w:lang w:eastAsia="en-GB"/>
              </w:rPr>
              <w:t>Table 2: Key features of regulatory system for comparable jurisdictions</w:t>
            </w:r>
            <w:r w:rsidR="0021241C">
              <w:rPr>
                <w:noProof/>
                <w:webHidden/>
              </w:rPr>
              <w:tab/>
            </w:r>
            <w:r w:rsidR="0021241C">
              <w:rPr>
                <w:noProof/>
                <w:webHidden/>
              </w:rPr>
              <w:fldChar w:fldCharType="begin"/>
            </w:r>
            <w:r w:rsidR="0021241C">
              <w:rPr>
                <w:noProof/>
                <w:webHidden/>
              </w:rPr>
              <w:instrText xml:space="preserve"> PAGEREF _Toc100599128 \h </w:instrText>
            </w:r>
            <w:r w:rsidR="0021241C">
              <w:rPr>
                <w:noProof/>
                <w:webHidden/>
              </w:rPr>
            </w:r>
            <w:r w:rsidR="0021241C">
              <w:rPr>
                <w:noProof/>
                <w:webHidden/>
              </w:rPr>
              <w:fldChar w:fldCharType="separate"/>
            </w:r>
            <w:r w:rsidR="004D47AF">
              <w:rPr>
                <w:noProof/>
                <w:webHidden/>
              </w:rPr>
              <w:t>26</w:t>
            </w:r>
            <w:r w:rsidR="0021241C">
              <w:rPr>
                <w:noProof/>
                <w:webHidden/>
              </w:rPr>
              <w:fldChar w:fldCharType="end"/>
            </w:r>
          </w:hyperlink>
        </w:p>
        <w:p w14:paraId="74698F29" w14:textId="770224DA" w:rsidR="0021241C" w:rsidRDefault="00000000">
          <w:pPr>
            <w:pStyle w:val="TOC3"/>
            <w:tabs>
              <w:tab w:val="right" w:leader="dot" w:pos="9016"/>
            </w:tabs>
            <w:rPr>
              <w:rFonts w:eastAsiaTheme="minorEastAsia"/>
              <w:noProof/>
              <w:lang w:eastAsia="en-GB"/>
            </w:rPr>
          </w:pPr>
          <w:hyperlink w:anchor="_Toc100599129" w:history="1">
            <w:r w:rsidR="0021241C" w:rsidRPr="0089173A">
              <w:rPr>
                <w:rStyle w:val="Hyperlink"/>
                <w:noProof/>
                <w:lang w:eastAsia="en-GB"/>
              </w:rPr>
              <w:t>Table 3: Regulatory systems, mainland states </w:t>
            </w:r>
            <w:r w:rsidR="0021241C">
              <w:rPr>
                <w:noProof/>
                <w:webHidden/>
              </w:rPr>
              <w:tab/>
            </w:r>
            <w:r w:rsidR="0021241C">
              <w:rPr>
                <w:noProof/>
                <w:webHidden/>
              </w:rPr>
              <w:fldChar w:fldCharType="begin"/>
            </w:r>
            <w:r w:rsidR="0021241C">
              <w:rPr>
                <w:noProof/>
                <w:webHidden/>
              </w:rPr>
              <w:instrText xml:space="preserve"> PAGEREF _Toc100599129 \h </w:instrText>
            </w:r>
            <w:r w:rsidR="0021241C">
              <w:rPr>
                <w:noProof/>
                <w:webHidden/>
              </w:rPr>
            </w:r>
            <w:r w:rsidR="0021241C">
              <w:rPr>
                <w:noProof/>
                <w:webHidden/>
              </w:rPr>
              <w:fldChar w:fldCharType="separate"/>
            </w:r>
            <w:r w:rsidR="004D47AF">
              <w:rPr>
                <w:noProof/>
                <w:webHidden/>
              </w:rPr>
              <w:t>28</w:t>
            </w:r>
            <w:r w:rsidR="0021241C">
              <w:rPr>
                <w:noProof/>
                <w:webHidden/>
              </w:rPr>
              <w:fldChar w:fldCharType="end"/>
            </w:r>
          </w:hyperlink>
        </w:p>
        <w:p w14:paraId="10A5FFF9" w14:textId="063DA0B6" w:rsidR="0021241C" w:rsidRDefault="00000000">
          <w:pPr>
            <w:pStyle w:val="TOC3"/>
            <w:tabs>
              <w:tab w:val="right" w:leader="dot" w:pos="9016"/>
            </w:tabs>
            <w:rPr>
              <w:rFonts w:eastAsiaTheme="minorEastAsia"/>
              <w:noProof/>
              <w:lang w:eastAsia="en-GB"/>
            </w:rPr>
          </w:pPr>
          <w:hyperlink w:anchor="_Toc100599130" w:history="1">
            <w:r w:rsidR="0021241C" w:rsidRPr="0089173A">
              <w:rPr>
                <w:rStyle w:val="Hyperlink"/>
                <w:noProof/>
                <w:lang w:eastAsia="en-GB"/>
              </w:rPr>
              <w:t>Table 4: Distribution of construction industry regulation functions, mainland states </w:t>
            </w:r>
            <w:r w:rsidR="0021241C">
              <w:rPr>
                <w:noProof/>
                <w:webHidden/>
              </w:rPr>
              <w:tab/>
            </w:r>
            <w:r w:rsidR="0021241C">
              <w:rPr>
                <w:noProof/>
                <w:webHidden/>
              </w:rPr>
              <w:fldChar w:fldCharType="begin"/>
            </w:r>
            <w:r w:rsidR="0021241C">
              <w:rPr>
                <w:noProof/>
                <w:webHidden/>
              </w:rPr>
              <w:instrText xml:space="preserve"> PAGEREF _Toc100599130 \h </w:instrText>
            </w:r>
            <w:r w:rsidR="0021241C">
              <w:rPr>
                <w:noProof/>
                <w:webHidden/>
              </w:rPr>
            </w:r>
            <w:r w:rsidR="0021241C">
              <w:rPr>
                <w:noProof/>
                <w:webHidden/>
              </w:rPr>
              <w:fldChar w:fldCharType="separate"/>
            </w:r>
            <w:r w:rsidR="004D47AF">
              <w:rPr>
                <w:noProof/>
                <w:webHidden/>
              </w:rPr>
              <w:t>28</w:t>
            </w:r>
            <w:r w:rsidR="0021241C">
              <w:rPr>
                <w:noProof/>
                <w:webHidden/>
              </w:rPr>
              <w:fldChar w:fldCharType="end"/>
            </w:r>
          </w:hyperlink>
        </w:p>
        <w:p w14:paraId="4B59B279" w14:textId="0F8E37F2" w:rsidR="0021241C" w:rsidRDefault="00000000">
          <w:pPr>
            <w:pStyle w:val="TOC3"/>
            <w:tabs>
              <w:tab w:val="right" w:leader="dot" w:pos="9016"/>
            </w:tabs>
            <w:rPr>
              <w:rFonts w:eastAsiaTheme="minorEastAsia"/>
              <w:noProof/>
              <w:lang w:eastAsia="en-GB"/>
            </w:rPr>
          </w:pPr>
          <w:hyperlink w:anchor="_Toc100599131" w:history="1">
            <w:r w:rsidR="0021241C" w:rsidRPr="0089173A">
              <w:rPr>
                <w:rStyle w:val="Hyperlink"/>
                <w:noProof/>
                <w:lang w:eastAsia="en-GB"/>
              </w:rPr>
              <w:t>Table 5: Sources of funding and insurance role for construction industry regulators, mainland states </w:t>
            </w:r>
            <w:r w:rsidR="0021241C">
              <w:rPr>
                <w:noProof/>
                <w:webHidden/>
              </w:rPr>
              <w:tab/>
            </w:r>
            <w:r w:rsidR="0021241C">
              <w:rPr>
                <w:noProof/>
                <w:webHidden/>
              </w:rPr>
              <w:fldChar w:fldCharType="begin"/>
            </w:r>
            <w:r w:rsidR="0021241C">
              <w:rPr>
                <w:noProof/>
                <w:webHidden/>
              </w:rPr>
              <w:instrText xml:space="preserve"> PAGEREF _Toc100599131 \h </w:instrText>
            </w:r>
            <w:r w:rsidR="0021241C">
              <w:rPr>
                <w:noProof/>
                <w:webHidden/>
              </w:rPr>
            </w:r>
            <w:r w:rsidR="0021241C">
              <w:rPr>
                <w:noProof/>
                <w:webHidden/>
              </w:rPr>
              <w:fldChar w:fldCharType="separate"/>
            </w:r>
            <w:r w:rsidR="004D47AF">
              <w:rPr>
                <w:noProof/>
                <w:webHidden/>
              </w:rPr>
              <w:t>29</w:t>
            </w:r>
            <w:r w:rsidR="0021241C">
              <w:rPr>
                <w:noProof/>
                <w:webHidden/>
              </w:rPr>
              <w:fldChar w:fldCharType="end"/>
            </w:r>
          </w:hyperlink>
        </w:p>
        <w:p w14:paraId="4B209C94" w14:textId="171B91F2" w:rsidR="0021241C" w:rsidRDefault="00000000">
          <w:pPr>
            <w:pStyle w:val="TOC3"/>
            <w:tabs>
              <w:tab w:val="right" w:leader="dot" w:pos="9016"/>
            </w:tabs>
            <w:rPr>
              <w:rFonts w:eastAsiaTheme="minorEastAsia"/>
              <w:noProof/>
              <w:lang w:eastAsia="en-GB"/>
            </w:rPr>
          </w:pPr>
          <w:hyperlink w:anchor="_Toc100599132" w:history="1">
            <w:r w:rsidR="0021241C" w:rsidRPr="0089173A">
              <w:rPr>
                <w:rStyle w:val="Hyperlink"/>
                <w:noProof/>
                <w:lang w:eastAsia="en-GB"/>
              </w:rPr>
              <w:t>Table 6: Building and construction industry levies, mainland states </w:t>
            </w:r>
            <w:r w:rsidR="0021241C">
              <w:rPr>
                <w:noProof/>
                <w:webHidden/>
              </w:rPr>
              <w:tab/>
            </w:r>
            <w:r w:rsidR="0021241C">
              <w:rPr>
                <w:noProof/>
                <w:webHidden/>
              </w:rPr>
              <w:fldChar w:fldCharType="begin"/>
            </w:r>
            <w:r w:rsidR="0021241C">
              <w:rPr>
                <w:noProof/>
                <w:webHidden/>
              </w:rPr>
              <w:instrText xml:space="preserve"> PAGEREF _Toc100599132 \h </w:instrText>
            </w:r>
            <w:r w:rsidR="0021241C">
              <w:rPr>
                <w:noProof/>
                <w:webHidden/>
              </w:rPr>
            </w:r>
            <w:r w:rsidR="0021241C">
              <w:rPr>
                <w:noProof/>
                <w:webHidden/>
              </w:rPr>
              <w:fldChar w:fldCharType="separate"/>
            </w:r>
            <w:r w:rsidR="004D47AF">
              <w:rPr>
                <w:noProof/>
                <w:webHidden/>
              </w:rPr>
              <w:t>31</w:t>
            </w:r>
            <w:r w:rsidR="0021241C">
              <w:rPr>
                <w:noProof/>
                <w:webHidden/>
              </w:rPr>
              <w:fldChar w:fldCharType="end"/>
            </w:r>
          </w:hyperlink>
        </w:p>
        <w:p w14:paraId="3D23C4B0" w14:textId="79332046" w:rsidR="0021241C" w:rsidRDefault="00000000">
          <w:pPr>
            <w:pStyle w:val="TOC3"/>
            <w:tabs>
              <w:tab w:val="right" w:leader="dot" w:pos="9016"/>
            </w:tabs>
            <w:rPr>
              <w:rFonts w:eastAsiaTheme="minorEastAsia"/>
              <w:noProof/>
              <w:lang w:eastAsia="en-GB"/>
            </w:rPr>
          </w:pPr>
          <w:hyperlink w:anchor="_Toc100599133" w:history="1">
            <w:r w:rsidR="0021241C" w:rsidRPr="0089173A">
              <w:rPr>
                <w:rStyle w:val="Hyperlink"/>
                <w:noProof/>
                <w:lang w:eastAsia="en-GB"/>
              </w:rPr>
              <w:t>Table 7: Strategic and governance documents, building regulators, mainland states </w:t>
            </w:r>
            <w:r w:rsidR="0021241C">
              <w:rPr>
                <w:noProof/>
                <w:webHidden/>
              </w:rPr>
              <w:tab/>
            </w:r>
            <w:r w:rsidR="0021241C">
              <w:rPr>
                <w:noProof/>
                <w:webHidden/>
              </w:rPr>
              <w:fldChar w:fldCharType="begin"/>
            </w:r>
            <w:r w:rsidR="0021241C">
              <w:rPr>
                <w:noProof/>
                <w:webHidden/>
              </w:rPr>
              <w:instrText xml:space="preserve"> PAGEREF _Toc100599133 \h </w:instrText>
            </w:r>
            <w:r w:rsidR="0021241C">
              <w:rPr>
                <w:noProof/>
                <w:webHidden/>
              </w:rPr>
            </w:r>
            <w:r w:rsidR="0021241C">
              <w:rPr>
                <w:noProof/>
                <w:webHidden/>
              </w:rPr>
              <w:fldChar w:fldCharType="separate"/>
            </w:r>
            <w:r w:rsidR="004D47AF">
              <w:rPr>
                <w:noProof/>
                <w:webHidden/>
              </w:rPr>
              <w:t>33</w:t>
            </w:r>
            <w:r w:rsidR="0021241C">
              <w:rPr>
                <w:noProof/>
                <w:webHidden/>
              </w:rPr>
              <w:fldChar w:fldCharType="end"/>
            </w:r>
          </w:hyperlink>
        </w:p>
        <w:p w14:paraId="203D757F" w14:textId="11E633B1" w:rsidR="0021241C" w:rsidRDefault="00000000">
          <w:pPr>
            <w:pStyle w:val="TOC3"/>
            <w:tabs>
              <w:tab w:val="right" w:leader="dot" w:pos="9016"/>
            </w:tabs>
            <w:rPr>
              <w:rFonts w:eastAsiaTheme="minorEastAsia"/>
              <w:noProof/>
              <w:lang w:eastAsia="en-GB"/>
            </w:rPr>
          </w:pPr>
          <w:hyperlink w:anchor="_Toc100599134" w:history="1">
            <w:r w:rsidR="0021241C" w:rsidRPr="0089173A">
              <w:rPr>
                <w:rStyle w:val="Hyperlink"/>
                <w:noProof/>
                <w:lang w:eastAsia="en-GB"/>
              </w:rPr>
              <w:t>Table 8: Skill and experience requirements for construction industry board appointments  </w:t>
            </w:r>
            <w:r w:rsidR="0021241C">
              <w:rPr>
                <w:noProof/>
                <w:webHidden/>
              </w:rPr>
              <w:tab/>
            </w:r>
            <w:r w:rsidR="0021241C">
              <w:rPr>
                <w:noProof/>
                <w:webHidden/>
              </w:rPr>
              <w:fldChar w:fldCharType="begin"/>
            </w:r>
            <w:r w:rsidR="0021241C">
              <w:rPr>
                <w:noProof/>
                <w:webHidden/>
              </w:rPr>
              <w:instrText xml:space="preserve"> PAGEREF _Toc100599134 \h </w:instrText>
            </w:r>
            <w:r w:rsidR="0021241C">
              <w:rPr>
                <w:noProof/>
                <w:webHidden/>
              </w:rPr>
            </w:r>
            <w:r w:rsidR="0021241C">
              <w:rPr>
                <w:noProof/>
                <w:webHidden/>
              </w:rPr>
              <w:fldChar w:fldCharType="separate"/>
            </w:r>
            <w:r w:rsidR="004D47AF">
              <w:rPr>
                <w:noProof/>
                <w:webHidden/>
              </w:rPr>
              <w:t>37</w:t>
            </w:r>
            <w:r w:rsidR="0021241C">
              <w:rPr>
                <w:noProof/>
                <w:webHidden/>
              </w:rPr>
              <w:fldChar w:fldCharType="end"/>
            </w:r>
          </w:hyperlink>
        </w:p>
        <w:p w14:paraId="70D14FA4" w14:textId="1F244AD6" w:rsidR="0021241C" w:rsidRDefault="00000000">
          <w:pPr>
            <w:pStyle w:val="TOC3"/>
            <w:tabs>
              <w:tab w:val="right" w:leader="dot" w:pos="9016"/>
            </w:tabs>
            <w:rPr>
              <w:rFonts w:eastAsiaTheme="minorEastAsia"/>
              <w:noProof/>
              <w:lang w:eastAsia="en-GB"/>
            </w:rPr>
          </w:pPr>
          <w:hyperlink w:anchor="_Toc100599135" w:history="1">
            <w:r w:rsidR="0021241C" w:rsidRPr="0089173A">
              <w:rPr>
                <w:rStyle w:val="Hyperlink"/>
                <w:noProof/>
                <w:lang w:eastAsia="en-GB"/>
              </w:rPr>
              <w:t>Table 9: Composition of construction industry boards, by career background, mentions in member biographies </w:t>
            </w:r>
            <w:r w:rsidR="0021241C">
              <w:rPr>
                <w:noProof/>
                <w:webHidden/>
              </w:rPr>
              <w:tab/>
            </w:r>
            <w:r w:rsidR="0021241C">
              <w:rPr>
                <w:noProof/>
                <w:webHidden/>
              </w:rPr>
              <w:fldChar w:fldCharType="begin"/>
            </w:r>
            <w:r w:rsidR="0021241C">
              <w:rPr>
                <w:noProof/>
                <w:webHidden/>
              </w:rPr>
              <w:instrText xml:space="preserve"> PAGEREF _Toc100599135 \h </w:instrText>
            </w:r>
            <w:r w:rsidR="0021241C">
              <w:rPr>
                <w:noProof/>
                <w:webHidden/>
              </w:rPr>
            </w:r>
            <w:r w:rsidR="0021241C">
              <w:rPr>
                <w:noProof/>
                <w:webHidden/>
              </w:rPr>
              <w:fldChar w:fldCharType="separate"/>
            </w:r>
            <w:r w:rsidR="004D47AF">
              <w:rPr>
                <w:noProof/>
                <w:webHidden/>
              </w:rPr>
              <w:t>39</w:t>
            </w:r>
            <w:r w:rsidR="0021241C">
              <w:rPr>
                <w:noProof/>
                <w:webHidden/>
              </w:rPr>
              <w:fldChar w:fldCharType="end"/>
            </w:r>
          </w:hyperlink>
        </w:p>
        <w:p w14:paraId="28E943DC" w14:textId="2C21F468" w:rsidR="0021241C" w:rsidRDefault="00000000">
          <w:pPr>
            <w:pStyle w:val="TOC2"/>
            <w:tabs>
              <w:tab w:val="right" w:leader="dot" w:pos="9016"/>
            </w:tabs>
            <w:rPr>
              <w:rFonts w:eastAsiaTheme="minorEastAsia"/>
              <w:noProof/>
              <w:lang w:eastAsia="en-GB"/>
            </w:rPr>
          </w:pPr>
          <w:hyperlink w:anchor="_Toc100599136" w:history="1">
            <w:r w:rsidR="0021241C" w:rsidRPr="0089173A">
              <w:rPr>
                <w:rStyle w:val="Hyperlink"/>
                <w:noProof/>
                <w:lang w:eastAsia="en-GB"/>
              </w:rPr>
              <w:t>Conclusion to Parts A - C</w:t>
            </w:r>
            <w:r w:rsidR="0021241C">
              <w:rPr>
                <w:noProof/>
                <w:webHidden/>
              </w:rPr>
              <w:tab/>
            </w:r>
            <w:r w:rsidR="0021241C">
              <w:rPr>
                <w:noProof/>
                <w:webHidden/>
              </w:rPr>
              <w:fldChar w:fldCharType="begin"/>
            </w:r>
            <w:r w:rsidR="0021241C">
              <w:rPr>
                <w:noProof/>
                <w:webHidden/>
              </w:rPr>
              <w:instrText xml:space="preserve"> PAGEREF _Toc100599136 \h </w:instrText>
            </w:r>
            <w:r w:rsidR="0021241C">
              <w:rPr>
                <w:noProof/>
                <w:webHidden/>
              </w:rPr>
            </w:r>
            <w:r w:rsidR="0021241C">
              <w:rPr>
                <w:noProof/>
                <w:webHidden/>
              </w:rPr>
              <w:fldChar w:fldCharType="separate"/>
            </w:r>
            <w:r w:rsidR="004D47AF">
              <w:rPr>
                <w:noProof/>
                <w:webHidden/>
              </w:rPr>
              <w:t>41</w:t>
            </w:r>
            <w:r w:rsidR="0021241C">
              <w:rPr>
                <w:noProof/>
                <w:webHidden/>
              </w:rPr>
              <w:fldChar w:fldCharType="end"/>
            </w:r>
          </w:hyperlink>
        </w:p>
        <w:p w14:paraId="17DD1D60" w14:textId="52C3F163" w:rsidR="0021241C" w:rsidRDefault="00000000">
          <w:pPr>
            <w:pStyle w:val="TOC1"/>
            <w:tabs>
              <w:tab w:val="right" w:leader="dot" w:pos="9016"/>
            </w:tabs>
            <w:rPr>
              <w:rFonts w:eastAsiaTheme="minorEastAsia"/>
              <w:noProof/>
              <w:lang w:eastAsia="en-GB"/>
            </w:rPr>
          </w:pPr>
          <w:hyperlink w:anchor="_Toc100599137" w:history="1">
            <w:r w:rsidR="0021241C" w:rsidRPr="0089173A">
              <w:rPr>
                <w:rStyle w:val="Hyperlink"/>
                <w:noProof/>
              </w:rPr>
              <w:t>Part D: Risk-based regulation in theory and practice</w:t>
            </w:r>
            <w:r w:rsidR="0021241C">
              <w:rPr>
                <w:noProof/>
                <w:webHidden/>
              </w:rPr>
              <w:tab/>
            </w:r>
            <w:r w:rsidR="0021241C">
              <w:rPr>
                <w:noProof/>
                <w:webHidden/>
              </w:rPr>
              <w:fldChar w:fldCharType="begin"/>
            </w:r>
            <w:r w:rsidR="0021241C">
              <w:rPr>
                <w:noProof/>
                <w:webHidden/>
              </w:rPr>
              <w:instrText xml:space="preserve"> PAGEREF _Toc100599137 \h </w:instrText>
            </w:r>
            <w:r w:rsidR="0021241C">
              <w:rPr>
                <w:noProof/>
                <w:webHidden/>
              </w:rPr>
            </w:r>
            <w:r w:rsidR="0021241C">
              <w:rPr>
                <w:noProof/>
                <w:webHidden/>
              </w:rPr>
              <w:fldChar w:fldCharType="separate"/>
            </w:r>
            <w:r w:rsidR="004D47AF">
              <w:rPr>
                <w:noProof/>
                <w:webHidden/>
              </w:rPr>
              <w:t>42</w:t>
            </w:r>
            <w:r w:rsidR="0021241C">
              <w:rPr>
                <w:noProof/>
                <w:webHidden/>
              </w:rPr>
              <w:fldChar w:fldCharType="end"/>
            </w:r>
          </w:hyperlink>
        </w:p>
        <w:p w14:paraId="18BCA62C" w14:textId="1288CDEA" w:rsidR="0021241C" w:rsidRDefault="00000000">
          <w:pPr>
            <w:pStyle w:val="TOC2"/>
            <w:tabs>
              <w:tab w:val="right" w:leader="dot" w:pos="9016"/>
            </w:tabs>
            <w:rPr>
              <w:rFonts w:eastAsiaTheme="minorEastAsia"/>
              <w:noProof/>
              <w:lang w:eastAsia="en-GB"/>
            </w:rPr>
          </w:pPr>
          <w:hyperlink w:anchor="_Toc100599138" w:history="1">
            <w:r w:rsidR="0021241C" w:rsidRPr="0089173A">
              <w:rPr>
                <w:rStyle w:val="Hyperlink"/>
                <w:noProof/>
              </w:rPr>
              <w:t>Queensland Government regulatory strategy</w:t>
            </w:r>
            <w:r w:rsidR="0021241C">
              <w:rPr>
                <w:noProof/>
                <w:webHidden/>
              </w:rPr>
              <w:tab/>
            </w:r>
            <w:r w:rsidR="0021241C">
              <w:rPr>
                <w:noProof/>
                <w:webHidden/>
              </w:rPr>
              <w:fldChar w:fldCharType="begin"/>
            </w:r>
            <w:r w:rsidR="0021241C">
              <w:rPr>
                <w:noProof/>
                <w:webHidden/>
              </w:rPr>
              <w:instrText xml:space="preserve"> PAGEREF _Toc100599138 \h </w:instrText>
            </w:r>
            <w:r w:rsidR="0021241C">
              <w:rPr>
                <w:noProof/>
                <w:webHidden/>
              </w:rPr>
            </w:r>
            <w:r w:rsidR="0021241C">
              <w:rPr>
                <w:noProof/>
                <w:webHidden/>
              </w:rPr>
              <w:fldChar w:fldCharType="separate"/>
            </w:r>
            <w:r w:rsidR="004D47AF">
              <w:rPr>
                <w:noProof/>
                <w:webHidden/>
              </w:rPr>
              <w:t>42</w:t>
            </w:r>
            <w:r w:rsidR="0021241C">
              <w:rPr>
                <w:noProof/>
                <w:webHidden/>
              </w:rPr>
              <w:fldChar w:fldCharType="end"/>
            </w:r>
          </w:hyperlink>
        </w:p>
        <w:p w14:paraId="183FA59A" w14:textId="32780C99" w:rsidR="0021241C" w:rsidRDefault="00000000">
          <w:pPr>
            <w:pStyle w:val="TOC3"/>
            <w:tabs>
              <w:tab w:val="right" w:leader="dot" w:pos="9016"/>
            </w:tabs>
            <w:rPr>
              <w:rFonts w:eastAsiaTheme="minorEastAsia"/>
              <w:noProof/>
              <w:lang w:eastAsia="en-GB"/>
            </w:rPr>
          </w:pPr>
          <w:hyperlink w:anchor="_Toc100599139" w:history="1">
            <w:r w:rsidR="0021241C" w:rsidRPr="0089173A">
              <w:rPr>
                <w:rStyle w:val="Hyperlink"/>
                <w:noProof/>
              </w:rPr>
              <w:t>Table 10: Best practice principles for regulation making, Queensland and Commonwealth</w:t>
            </w:r>
            <w:r w:rsidR="0021241C">
              <w:rPr>
                <w:noProof/>
                <w:webHidden/>
              </w:rPr>
              <w:tab/>
            </w:r>
            <w:r w:rsidR="0021241C">
              <w:rPr>
                <w:noProof/>
                <w:webHidden/>
              </w:rPr>
              <w:fldChar w:fldCharType="begin"/>
            </w:r>
            <w:r w:rsidR="0021241C">
              <w:rPr>
                <w:noProof/>
                <w:webHidden/>
              </w:rPr>
              <w:instrText xml:space="preserve"> PAGEREF _Toc100599139 \h </w:instrText>
            </w:r>
            <w:r w:rsidR="0021241C">
              <w:rPr>
                <w:noProof/>
                <w:webHidden/>
              </w:rPr>
            </w:r>
            <w:r w:rsidR="0021241C">
              <w:rPr>
                <w:noProof/>
                <w:webHidden/>
              </w:rPr>
              <w:fldChar w:fldCharType="separate"/>
            </w:r>
            <w:r w:rsidR="004D47AF">
              <w:rPr>
                <w:noProof/>
                <w:webHidden/>
              </w:rPr>
              <w:t>43</w:t>
            </w:r>
            <w:r w:rsidR="0021241C">
              <w:rPr>
                <w:noProof/>
                <w:webHidden/>
              </w:rPr>
              <w:fldChar w:fldCharType="end"/>
            </w:r>
          </w:hyperlink>
        </w:p>
        <w:p w14:paraId="5CC0C096" w14:textId="73A29668" w:rsidR="0021241C" w:rsidRDefault="00000000">
          <w:pPr>
            <w:pStyle w:val="TOC3"/>
            <w:tabs>
              <w:tab w:val="right" w:leader="dot" w:pos="9016"/>
            </w:tabs>
            <w:rPr>
              <w:rFonts w:eastAsiaTheme="minorEastAsia"/>
              <w:noProof/>
              <w:lang w:eastAsia="en-GB"/>
            </w:rPr>
          </w:pPr>
          <w:hyperlink w:anchor="_Toc100599140" w:history="1">
            <w:r w:rsidR="0021241C" w:rsidRPr="0089173A">
              <w:rPr>
                <w:rStyle w:val="Hyperlink"/>
                <w:noProof/>
              </w:rPr>
              <w:t>Table 11: Queensland Regulator Performance Framework, model practices and supporting principles</w:t>
            </w:r>
            <w:r w:rsidR="0021241C">
              <w:rPr>
                <w:noProof/>
                <w:webHidden/>
              </w:rPr>
              <w:tab/>
            </w:r>
            <w:r w:rsidR="0021241C">
              <w:rPr>
                <w:noProof/>
                <w:webHidden/>
              </w:rPr>
              <w:fldChar w:fldCharType="begin"/>
            </w:r>
            <w:r w:rsidR="0021241C">
              <w:rPr>
                <w:noProof/>
                <w:webHidden/>
              </w:rPr>
              <w:instrText xml:space="preserve"> PAGEREF _Toc100599140 \h </w:instrText>
            </w:r>
            <w:r w:rsidR="0021241C">
              <w:rPr>
                <w:noProof/>
                <w:webHidden/>
              </w:rPr>
            </w:r>
            <w:r w:rsidR="0021241C">
              <w:rPr>
                <w:noProof/>
                <w:webHidden/>
              </w:rPr>
              <w:fldChar w:fldCharType="separate"/>
            </w:r>
            <w:r w:rsidR="004D47AF">
              <w:rPr>
                <w:noProof/>
                <w:webHidden/>
              </w:rPr>
              <w:t>45</w:t>
            </w:r>
            <w:r w:rsidR="0021241C">
              <w:rPr>
                <w:noProof/>
                <w:webHidden/>
              </w:rPr>
              <w:fldChar w:fldCharType="end"/>
            </w:r>
          </w:hyperlink>
        </w:p>
        <w:p w14:paraId="69A92ACF" w14:textId="70724332" w:rsidR="0021241C" w:rsidRDefault="00000000">
          <w:pPr>
            <w:pStyle w:val="TOC2"/>
            <w:tabs>
              <w:tab w:val="right" w:leader="dot" w:pos="9016"/>
            </w:tabs>
            <w:rPr>
              <w:rFonts w:eastAsiaTheme="minorEastAsia"/>
              <w:noProof/>
              <w:lang w:eastAsia="en-GB"/>
            </w:rPr>
          </w:pPr>
          <w:hyperlink w:anchor="_Toc100599141" w:history="1">
            <w:r w:rsidR="0021241C" w:rsidRPr="0089173A">
              <w:rPr>
                <w:rStyle w:val="Hyperlink"/>
                <w:noProof/>
              </w:rPr>
              <w:t>QBCC’s interpretation of the risk-based regulatory strategy</w:t>
            </w:r>
            <w:r w:rsidR="0021241C">
              <w:rPr>
                <w:noProof/>
                <w:webHidden/>
              </w:rPr>
              <w:tab/>
            </w:r>
            <w:r w:rsidR="0021241C">
              <w:rPr>
                <w:noProof/>
                <w:webHidden/>
              </w:rPr>
              <w:fldChar w:fldCharType="begin"/>
            </w:r>
            <w:r w:rsidR="0021241C">
              <w:rPr>
                <w:noProof/>
                <w:webHidden/>
              </w:rPr>
              <w:instrText xml:space="preserve"> PAGEREF _Toc100599141 \h </w:instrText>
            </w:r>
            <w:r w:rsidR="0021241C">
              <w:rPr>
                <w:noProof/>
                <w:webHidden/>
              </w:rPr>
            </w:r>
            <w:r w:rsidR="0021241C">
              <w:rPr>
                <w:noProof/>
                <w:webHidden/>
              </w:rPr>
              <w:fldChar w:fldCharType="separate"/>
            </w:r>
            <w:r w:rsidR="004D47AF">
              <w:rPr>
                <w:noProof/>
                <w:webHidden/>
              </w:rPr>
              <w:t>46</w:t>
            </w:r>
            <w:r w:rsidR="0021241C">
              <w:rPr>
                <w:noProof/>
                <w:webHidden/>
              </w:rPr>
              <w:fldChar w:fldCharType="end"/>
            </w:r>
          </w:hyperlink>
        </w:p>
        <w:p w14:paraId="19DC2BC1" w14:textId="746DFC7B" w:rsidR="0021241C" w:rsidRDefault="00000000">
          <w:pPr>
            <w:pStyle w:val="TOC2"/>
            <w:tabs>
              <w:tab w:val="right" w:leader="dot" w:pos="9016"/>
            </w:tabs>
            <w:rPr>
              <w:rFonts w:eastAsiaTheme="minorEastAsia"/>
              <w:noProof/>
              <w:lang w:eastAsia="en-GB"/>
            </w:rPr>
          </w:pPr>
          <w:hyperlink w:anchor="_Toc100599142" w:history="1">
            <w:r w:rsidR="0021241C" w:rsidRPr="0089173A">
              <w:rPr>
                <w:rStyle w:val="Hyperlink"/>
                <w:noProof/>
              </w:rPr>
              <w:t>The challenges of risk-based regulation</w:t>
            </w:r>
            <w:r w:rsidR="0021241C">
              <w:rPr>
                <w:noProof/>
                <w:webHidden/>
              </w:rPr>
              <w:tab/>
            </w:r>
            <w:r w:rsidR="0021241C">
              <w:rPr>
                <w:noProof/>
                <w:webHidden/>
              </w:rPr>
              <w:fldChar w:fldCharType="begin"/>
            </w:r>
            <w:r w:rsidR="0021241C">
              <w:rPr>
                <w:noProof/>
                <w:webHidden/>
              </w:rPr>
              <w:instrText xml:space="preserve"> PAGEREF _Toc100599142 \h </w:instrText>
            </w:r>
            <w:r w:rsidR="0021241C">
              <w:rPr>
                <w:noProof/>
                <w:webHidden/>
              </w:rPr>
            </w:r>
            <w:r w:rsidR="0021241C">
              <w:rPr>
                <w:noProof/>
                <w:webHidden/>
              </w:rPr>
              <w:fldChar w:fldCharType="separate"/>
            </w:r>
            <w:r w:rsidR="004D47AF">
              <w:rPr>
                <w:noProof/>
                <w:webHidden/>
              </w:rPr>
              <w:t>47</w:t>
            </w:r>
            <w:r w:rsidR="0021241C">
              <w:rPr>
                <w:noProof/>
                <w:webHidden/>
              </w:rPr>
              <w:fldChar w:fldCharType="end"/>
            </w:r>
          </w:hyperlink>
        </w:p>
        <w:p w14:paraId="2E875BD0" w14:textId="1D5019A0" w:rsidR="0021241C" w:rsidRDefault="00000000">
          <w:pPr>
            <w:pStyle w:val="TOC2"/>
            <w:tabs>
              <w:tab w:val="right" w:leader="dot" w:pos="9016"/>
            </w:tabs>
            <w:rPr>
              <w:rFonts w:eastAsiaTheme="minorEastAsia"/>
              <w:noProof/>
              <w:lang w:eastAsia="en-GB"/>
            </w:rPr>
          </w:pPr>
          <w:hyperlink w:anchor="_Toc100599143" w:history="1">
            <w:r w:rsidR="0021241C" w:rsidRPr="0089173A">
              <w:rPr>
                <w:rStyle w:val="Hyperlink"/>
                <w:noProof/>
              </w:rPr>
              <w:t>Observations about the QBCC as a risk-based regulator</w:t>
            </w:r>
            <w:r w:rsidR="0021241C">
              <w:rPr>
                <w:noProof/>
                <w:webHidden/>
              </w:rPr>
              <w:tab/>
            </w:r>
            <w:r w:rsidR="0021241C">
              <w:rPr>
                <w:noProof/>
                <w:webHidden/>
              </w:rPr>
              <w:fldChar w:fldCharType="begin"/>
            </w:r>
            <w:r w:rsidR="0021241C">
              <w:rPr>
                <w:noProof/>
                <w:webHidden/>
              </w:rPr>
              <w:instrText xml:space="preserve"> PAGEREF _Toc100599143 \h </w:instrText>
            </w:r>
            <w:r w:rsidR="0021241C">
              <w:rPr>
                <w:noProof/>
                <w:webHidden/>
              </w:rPr>
            </w:r>
            <w:r w:rsidR="0021241C">
              <w:rPr>
                <w:noProof/>
                <w:webHidden/>
              </w:rPr>
              <w:fldChar w:fldCharType="separate"/>
            </w:r>
            <w:r w:rsidR="004D47AF">
              <w:rPr>
                <w:noProof/>
                <w:webHidden/>
              </w:rPr>
              <w:t>52</w:t>
            </w:r>
            <w:r w:rsidR="0021241C">
              <w:rPr>
                <w:noProof/>
                <w:webHidden/>
              </w:rPr>
              <w:fldChar w:fldCharType="end"/>
            </w:r>
          </w:hyperlink>
        </w:p>
        <w:p w14:paraId="19DA0618" w14:textId="3F35050D" w:rsidR="0021241C" w:rsidRDefault="00000000">
          <w:pPr>
            <w:pStyle w:val="TOC2"/>
            <w:tabs>
              <w:tab w:val="right" w:leader="dot" w:pos="9016"/>
            </w:tabs>
            <w:rPr>
              <w:rFonts w:eastAsiaTheme="minorEastAsia"/>
              <w:noProof/>
              <w:lang w:eastAsia="en-GB"/>
            </w:rPr>
          </w:pPr>
          <w:hyperlink w:anchor="_Toc100599144" w:history="1">
            <w:r w:rsidR="0021241C" w:rsidRPr="0089173A">
              <w:rPr>
                <w:rStyle w:val="Hyperlink"/>
                <w:noProof/>
              </w:rPr>
              <w:t>Conclusion to Part D</w:t>
            </w:r>
            <w:r w:rsidR="0021241C">
              <w:rPr>
                <w:noProof/>
                <w:webHidden/>
              </w:rPr>
              <w:tab/>
            </w:r>
            <w:r w:rsidR="0021241C">
              <w:rPr>
                <w:noProof/>
                <w:webHidden/>
              </w:rPr>
              <w:fldChar w:fldCharType="begin"/>
            </w:r>
            <w:r w:rsidR="0021241C">
              <w:rPr>
                <w:noProof/>
                <w:webHidden/>
              </w:rPr>
              <w:instrText xml:space="preserve"> PAGEREF _Toc100599144 \h </w:instrText>
            </w:r>
            <w:r w:rsidR="0021241C">
              <w:rPr>
                <w:noProof/>
                <w:webHidden/>
              </w:rPr>
            </w:r>
            <w:r w:rsidR="0021241C">
              <w:rPr>
                <w:noProof/>
                <w:webHidden/>
              </w:rPr>
              <w:fldChar w:fldCharType="separate"/>
            </w:r>
            <w:r w:rsidR="004D47AF">
              <w:rPr>
                <w:noProof/>
                <w:webHidden/>
              </w:rPr>
              <w:t>53</w:t>
            </w:r>
            <w:r w:rsidR="0021241C">
              <w:rPr>
                <w:noProof/>
                <w:webHidden/>
              </w:rPr>
              <w:fldChar w:fldCharType="end"/>
            </w:r>
          </w:hyperlink>
        </w:p>
        <w:p w14:paraId="5C287DCA" w14:textId="7AD40636" w:rsidR="0021241C" w:rsidRDefault="00000000">
          <w:pPr>
            <w:pStyle w:val="TOC1"/>
            <w:tabs>
              <w:tab w:val="right" w:leader="dot" w:pos="9016"/>
            </w:tabs>
            <w:rPr>
              <w:rFonts w:eastAsiaTheme="minorEastAsia"/>
              <w:noProof/>
              <w:lang w:eastAsia="en-GB"/>
            </w:rPr>
          </w:pPr>
          <w:hyperlink w:anchor="_Toc100599145" w:history="1">
            <w:r w:rsidR="0021241C" w:rsidRPr="0089173A">
              <w:rPr>
                <w:rStyle w:val="Hyperlink"/>
                <w:noProof/>
              </w:rPr>
              <w:t>Part E: Regulatory leadership capabilities and values</w:t>
            </w:r>
            <w:r w:rsidR="0021241C">
              <w:rPr>
                <w:noProof/>
                <w:webHidden/>
              </w:rPr>
              <w:tab/>
            </w:r>
            <w:r w:rsidR="0021241C">
              <w:rPr>
                <w:noProof/>
                <w:webHidden/>
              </w:rPr>
              <w:fldChar w:fldCharType="begin"/>
            </w:r>
            <w:r w:rsidR="0021241C">
              <w:rPr>
                <w:noProof/>
                <w:webHidden/>
              </w:rPr>
              <w:instrText xml:space="preserve"> PAGEREF _Toc100599145 \h </w:instrText>
            </w:r>
            <w:r w:rsidR="0021241C">
              <w:rPr>
                <w:noProof/>
                <w:webHidden/>
              </w:rPr>
            </w:r>
            <w:r w:rsidR="0021241C">
              <w:rPr>
                <w:noProof/>
                <w:webHidden/>
              </w:rPr>
              <w:fldChar w:fldCharType="separate"/>
            </w:r>
            <w:r w:rsidR="004D47AF">
              <w:rPr>
                <w:noProof/>
                <w:webHidden/>
              </w:rPr>
              <w:t>54</w:t>
            </w:r>
            <w:r w:rsidR="0021241C">
              <w:rPr>
                <w:noProof/>
                <w:webHidden/>
              </w:rPr>
              <w:fldChar w:fldCharType="end"/>
            </w:r>
          </w:hyperlink>
        </w:p>
        <w:p w14:paraId="186E9BA2" w14:textId="2253C34B" w:rsidR="0021241C" w:rsidRDefault="00000000">
          <w:pPr>
            <w:pStyle w:val="TOC2"/>
            <w:tabs>
              <w:tab w:val="right" w:leader="dot" w:pos="9016"/>
            </w:tabs>
            <w:rPr>
              <w:rFonts w:eastAsiaTheme="minorEastAsia"/>
              <w:noProof/>
              <w:lang w:eastAsia="en-GB"/>
            </w:rPr>
          </w:pPr>
          <w:hyperlink w:anchor="_Toc100599146" w:history="1">
            <w:r w:rsidR="0021241C" w:rsidRPr="0089173A">
              <w:rPr>
                <w:rStyle w:val="Hyperlink"/>
                <w:noProof/>
              </w:rPr>
              <w:t>Leadership capabilities: general and specific</w:t>
            </w:r>
            <w:r w:rsidR="0021241C">
              <w:rPr>
                <w:noProof/>
                <w:webHidden/>
              </w:rPr>
              <w:tab/>
            </w:r>
            <w:r w:rsidR="0021241C">
              <w:rPr>
                <w:noProof/>
                <w:webHidden/>
              </w:rPr>
              <w:fldChar w:fldCharType="begin"/>
            </w:r>
            <w:r w:rsidR="0021241C">
              <w:rPr>
                <w:noProof/>
                <w:webHidden/>
              </w:rPr>
              <w:instrText xml:space="preserve"> PAGEREF _Toc100599146 \h </w:instrText>
            </w:r>
            <w:r w:rsidR="0021241C">
              <w:rPr>
                <w:noProof/>
                <w:webHidden/>
              </w:rPr>
            </w:r>
            <w:r w:rsidR="0021241C">
              <w:rPr>
                <w:noProof/>
                <w:webHidden/>
              </w:rPr>
              <w:fldChar w:fldCharType="separate"/>
            </w:r>
            <w:r w:rsidR="004D47AF">
              <w:rPr>
                <w:noProof/>
                <w:webHidden/>
              </w:rPr>
              <w:t>55</w:t>
            </w:r>
            <w:r w:rsidR="0021241C">
              <w:rPr>
                <w:noProof/>
                <w:webHidden/>
              </w:rPr>
              <w:fldChar w:fldCharType="end"/>
            </w:r>
          </w:hyperlink>
        </w:p>
        <w:p w14:paraId="665542E2" w14:textId="4836EB1B" w:rsidR="0021241C" w:rsidRDefault="00000000">
          <w:pPr>
            <w:pStyle w:val="TOC3"/>
            <w:tabs>
              <w:tab w:val="right" w:leader="dot" w:pos="9016"/>
            </w:tabs>
            <w:rPr>
              <w:rFonts w:eastAsiaTheme="minorEastAsia"/>
              <w:noProof/>
              <w:lang w:eastAsia="en-GB"/>
            </w:rPr>
          </w:pPr>
          <w:hyperlink w:anchor="_Toc100599147" w:history="1">
            <w:r w:rsidR="0021241C" w:rsidRPr="0089173A">
              <w:rPr>
                <w:rStyle w:val="Hyperlink"/>
                <w:noProof/>
              </w:rPr>
              <w:t>Table 12: Leadership capabilities matrix</w:t>
            </w:r>
            <w:r w:rsidR="0021241C">
              <w:rPr>
                <w:noProof/>
                <w:webHidden/>
              </w:rPr>
              <w:tab/>
            </w:r>
            <w:r w:rsidR="0021241C">
              <w:rPr>
                <w:noProof/>
                <w:webHidden/>
              </w:rPr>
              <w:fldChar w:fldCharType="begin"/>
            </w:r>
            <w:r w:rsidR="0021241C">
              <w:rPr>
                <w:noProof/>
                <w:webHidden/>
              </w:rPr>
              <w:instrText xml:space="preserve"> PAGEREF _Toc100599147 \h </w:instrText>
            </w:r>
            <w:r w:rsidR="0021241C">
              <w:rPr>
                <w:noProof/>
                <w:webHidden/>
              </w:rPr>
            </w:r>
            <w:r w:rsidR="0021241C">
              <w:rPr>
                <w:noProof/>
                <w:webHidden/>
              </w:rPr>
              <w:fldChar w:fldCharType="separate"/>
            </w:r>
            <w:r w:rsidR="004D47AF">
              <w:rPr>
                <w:noProof/>
                <w:webHidden/>
              </w:rPr>
              <w:t>57</w:t>
            </w:r>
            <w:r w:rsidR="0021241C">
              <w:rPr>
                <w:noProof/>
                <w:webHidden/>
              </w:rPr>
              <w:fldChar w:fldCharType="end"/>
            </w:r>
          </w:hyperlink>
        </w:p>
        <w:p w14:paraId="6FF3B84F" w14:textId="499C2D6E" w:rsidR="0021241C" w:rsidRDefault="00000000">
          <w:pPr>
            <w:pStyle w:val="TOC2"/>
            <w:tabs>
              <w:tab w:val="right" w:leader="dot" w:pos="9016"/>
            </w:tabs>
            <w:rPr>
              <w:rFonts w:eastAsiaTheme="minorEastAsia"/>
              <w:noProof/>
              <w:lang w:eastAsia="en-GB"/>
            </w:rPr>
          </w:pPr>
          <w:hyperlink w:anchor="_Toc100599148" w:history="1">
            <w:r w:rsidR="0021241C" w:rsidRPr="0089173A">
              <w:rPr>
                <w:rStyle w:val="Hyperlink"/>
                <w:noProof/>
              </w:rPr>
              <w:t>Leadership Capabilities and the QBCC in context</w:t>
            </w:r>
            <w:r w:rsidR="0021241C">
              <w:rPr>
                <w:noProof/>
                <w:webHidden/>
              </w:rPr>
              <w:tab/>
            </w:r>
            <w:r w:rsidR="0021241C">
              <w:rPr>
                <w:noProof/>
                <w:webHidden/>
              </w:rPr>
              <w:fldChar w:fldCharType="begin"/>
            </w:r>
            <w:r w:rsidR="0021241C">
              <w:rPr>
                <w:noProof/>
                <w:webHidden/>
              </w:rPr>
              <w:instrText xml:space="preserve"> PAGEREF _Toc100599148 \h </w:instrText>
            </w:r>
            <w:r w:rsidR="0021241C">
              <w:rPr>
                <w:noProof/>
                <w:webHidden/>
              </w:rPr>
            </w:r>
            <w:r w:rsidR="0021241C">
              <w:rPr>
                <w:noProof/>
                <w:webHidden/>
              </w:rPr>
              <w:fldChar w:fldCharType="separate"/>
            </w:r>
            <w:r w:rsidR="004D47AF">
              <w:rPr>
                <w:noProof/>
                <w:webHidden/>
              </w:rPr>
              <w:t>59</w:t>
            </w:r>
            <w:r w:rsidR="0021241C">
              <w:rPr>
                <w:noProof/>
                <w:webHidden/>
              </w:rPr>
              <w:fldChar w:fldCharType="end"/>
            </w:r>
          </w:hyperlink>
        </w:p>
        <w:p w14:paraId="73F2913A" w14:textId="43FAE4DF" w:rsidR="0021241C" w:rsidRDefault="00000000">
          <w:pPr>
            <w:pStyle w:val="TOC2"/>
            <w:tabs>
              <w:tab w:val="right" w:leader="dot" w:pos="9016"/>
            </w:tabs>
            <w:rPr>
              <w:rFonts w:eastAsiaTheme="minorEastAsia"/>
              <w:noProof/>
              <w:lang w:eastAsia="en-GB"/>
            </w:rPr>
          </w:pPr>
          <w:hyperlink w:anchor="_Toc100599149" w:history="1">
            <w:r w:rsidR="0021241C" w:rsidRPr="0089173A">
              <w:rPr>
                <w:rStyle w:val="Hyperlink"/>
                <w:noProof/>
              </w:rPr>
              <w:t>Internal leadership</w:t>
            </w:r>
            <w:r w:rsidR="0021241C">
              <w:rPr>
                <w:noProof/>
                <w:webHidden/>
              </w:rPr>
              <w:tab/>
            </w:r>
            <w:r w:rsidR="0021241C">
              <w:rPr>
                <w:noProof/>
                <w:webHidden/>
              </w:rPr>
              <w:fldChar w:fldCharType="begin"/>
            </w:r>
            <w:r w:rsidR="0021241C">
              <w:rPr>
                <w:noProof/>
                <w:webHidden/>
              </w:rPr>
              <w:instrText xml:space="preserve"> PAGEREF _Toc100599149 \h </w:instrText>
            </w:r>
            <w:r w:rsidR="0021241C">
              <w:rPr>
                <w:noProof/>
                <w:webHidden/>
              </w:rPr>
            </w:r>
            <w:r w:rsidR="0021241C">
              <w:rPr>
                <w:noProof/>
                <w:webHidden/>
              </w:rPr>
              <w:fldChar w:fldCharType="separate"/>
            </w:r>
            <w:r w:rsidR="004D47AF">
              <w:rPr>
                <w:noProof/>
                <w:webHidden/>
              </w:rPr>
              <w:t>62</w:t>
            </w:r>
            <w:r w:rsidR="0021241C">
              <w:rPr>
                <w:noProof/>
                <w:webHidden/>
              </w:rPr>
              <w:fldChar w:fldCharType="end"/>
            </w:r>
          </w:hyperlink>
        </w:p>
        <w:p w14:paraId="3BBA58E1" w14:textId="2CC4353B" w:rsidR="0021241C" w:rsidRDefault="00000000">
          <w:pPr>
            <w:pStyle w:val="TOC3"/>
            <w:tabs>
              <w:tab w:val="right" w:leader="dot" w:pos="9016"/>
            </w:tabs>
            <w:rPr>
              <w:rFonts w:eastAsiaTheme="minorEastAsia"/>
              <w:noProof/>
              <w:lang w:eastAsia="en-GB"/>
            </w:rPr>
          </w:pPr>
          <w:hyperlink w:anchor="_Toc100599150" w:history="1">
            <w:r w:rsidR="0021241C" w:rsidRPr="0089173A">
              <w:rPr>
                <w:rStyle w:val="Hyperlink"/>
                <w:noProof/>
              </w:rPr>
              <w:t>Table 13: QBCC values embodied in staffing</w:t>
            </w:r>
            <w:r w:rsidR="0021241C">
              <w:rPr>
                <w:noProof/>
                <w:webHidden/>
              </w:rPr>
              <w:tab/>
            </w:r>
            <w:r w:rsidR="0021241C">
              <w:rPr>
                <w:noProof/>
                <w:webHidden/>
              </w:rPr>
              <w:fldChar w:fldCharType="begin"/>
            </w:r>
            <w:r w:rsidR="0021241C">
              <w:rPr>
                <w:noProof/>
                <w:webHidden/>
              </w:rPr>
              <w:instrText xml:space="preserve"> PAGEREF _Toc100599150 \h </w:instrText>
            </w:r>
            <w:r w:rsidR="0021241C">
              <w:rPr>
                <w:noProof/>
                <w:webHidden/>
              </w:rPr>
            </w:r>
            <w:r w:rsidR="0021241C">
              <w:rPr>
                <w:noProof/>
                <w:webHidden/>
              </w:rPr>
              <w:fldChar w:fldCharType="separate"/>
            </w:r>
            <w:r w:rsidR="004D47AF">
              <w:rPr>
                <w:noProof/>
                <w:webHidden/>
              </w:rPr>
              <w:t>63</w:t>
            </w:r>
            <w:r w:rsidR="0021241C">
              <w:rPr>
                <w:noProof/>
                <w:webHidden/>
              </w:rPr>
              <w:fldChar w:fldCharType="end"/>
            </w:r>
          </w:hyperlink>
        </w:p>
        <w:p w14:paraId="76F07E7C" w14:textId="0A418EC9" w:rsidR="0021241C" w:rsidRDefault="00000000">
          <w:pPr>
            <w:pStyle w:val="TOC2"/>
            <w:tabs>
              <w:tab w:val="right" w:leader="dot" w:pos="9016"/>
            </w:tabs>
            <w:rPr>
              <w:rFonts w:eastAsiaTheme="minorEastAsia"/>
              <w:noProof/>
              <w:lang w:eastAsia="en-GB"/>
            </w:rPr>
          </w:pPr>
          <w:hyperlink w:anchor="_Toc100599151" w:history="1">
            <w:r w:rsidR="0021241C" w:rsidRPr="0089173A">
              <w:rPr>
                <w:rStyle w:val="Hyperlink"/>
                <w:noProof/>
              </w:rPr>
              <w:t>Values</w:t>
            </w:r>
            <w:r w:rsidR="0021241C">
              <w:rPr>
                <w:noProof/>
                <w:webHidden/>
              </w:rPr>
              <w:tab/>
            </w:r>
            <w:r w:rsidR="0021241C">
              <w:rPr>
                <w:noProof/>
                <w:webHidden/>
              </w:rPr>
              <w:fldChar w:fldCharType="begin"/>
            </w:r>
            <w:r w:rsidR="0021241C">
              <w:rPr>
                <w:noProof/>
                <w:webHidden/>
              </w:rPr>
              <w:instrText xml:space="preserve"> PAGEREF _Toc100599151 \h </w:instrText>
            </w:r>
            <w:r w:rsidR="0021241C">
              <w:rPr>
                <w:noProof/>
                <w:webHidden/>
              </w:rPr>
            </w:r>
            <w:r w:rsidR="0021241C">
              <w:rPr>
                <w:noProof/>
                <w:webHidden/>
              </w:rPr>
              <w:fldChar w:fldCharType="separate"/>
            </w:r>
            <w:r w:rsidR="004D47AF">
              <w:rPr>
                <w:noProof/>
                <w:webHidden/>
              </w:rPr>
              <w:t>64</w:t>
            </w:r>
            <w:r w:rsidR="0021241C">
              <w:rPr>
                <w:noProof/>
                <w:webHidden/>
              </w:rPr>
              <w:fldChar w:fldCharType="end"/>
            </w:r>
          </w:hyperlink>
        </w:p>
        <w:p w14:paraId="03315795" w14:textId="0E2B24D6" w:rsidR="0021241C" w:rsidRDefault="00000000">
          <w:pPr>
            <w:pStyle w:val="TOC3"/>
            <w:tabs>
              <w:tab w:val="right" w:leader="dot" w:pos="9016"/>
            </w:tabs>
            <w:rPr>
              <w:rFonts w:eastAsiaTheme="minorEastAsia"/>
              <w:noProof/>
              <w:lang w:eastAsia="en-GB"/>
            </w:rPr>
          </w:pPr>
          <w:hyperlink w:anchor="_Toc100599152" w:history="1">
            <w:r w:rsidR="0021241C" w:rsidRPr="0089173A">
              <w:rPr>
                <w:rStyle w:val="Hyperlink"/>
                <w:rFonts w:asciiTheme="majorHAnsi" w:eastAsiaTheme="majorEastAsia" w:hAnsiTheme="majorHAnsi" w:cstheme="majorBidi"/>
                <w:b/>
                <w:bCs/>
                <w:noProof/>
              </w:rPr>
              <w:t xml:space="preserve">Table </w:t>
            </w:r>
            <w:r w:rsidR="0021241C" w:rsidRPr="0089173A">
              <w:rPr>
                <w:rStyle w:val="Hyperlink"/>
                <w:rFonts w:eastAsiaTheme="majorEastAsia" w:cstheme="majorBidi"/>
                <w:b/>
                <w:noProof/>
              </w:rPr>
              <w:t>14</w:t>
            </w:r>
            <w:r w:rsidR="0021241C" w:rsidRPr="0089173A">
              <w:rPr>
                <w:rStyle w:val="Hyperlink"/>
                <w:rFonts w:asciiTheme="majorHAnsi" w:eastAsiaTheme="majorEastAsia" w:hAnsiTheme="majorHAnsi" w:cstheme="majorBidi"/>
                <w:b/>
                <w:bCs/>
                <w:noProof/>
              </w:rPr>
              <w:t>: Behaviours and values</w:t>
            </w:r>
            <w:r w:rsidR="0021241C">
              <w:rPr>
                <w:noProof/>
                <w:webHidden/>
              </w:rPr>
              <w:tab/>
            </w:r>
            <w:r w:rsidR="0021241C">
              <w:rPr>
                <w:noProof/>
                <w:webHidden/>
              </w:rPr>
              <w:fldChar w:fldCharType="begin"/>
            </w:r>
            <w:r w:rsidR="0021241C">
              <w:rPr>
                <w:noProof/>
                <w:webHidden/>
              </w:rPr>
              <w:instrText xml:space="preserve"> PAGEREF _Toc100599152 \h </w:instrText>
            </w:r>
            <w:r w:rsidR="0021241C">
              <w:rPr>
                <w:noProof/>
                <w:webHidden/>
              </w:rPr>
            </w:r>
            <w:r w:rsidR="0021241C">
              <w:rPr>
                <w:noProof/>
                <w:webHidden/>
              </w:rPr>
              <w:fldChar w:fldCharType="separate"/>
            </w:r>
            <w:r w:rsidR="004D47AF">
              <w:rPr>
                <w:noProof/>
                <w:webHidden/>
              </w:rPr>
              <w:t>65</w:t>
            </w:r>
            <w:r w:rsidR="0021241C">
              <w:rPr>
                <w:noProof/>
                <w:webHidden/>
              </w:rPr>
              <w:fldChar w:fldCharType="end"/>
            </w:r>
          </w:hyperlink>
        </w:p>
        <w:p w14:paraId="16F99E69" w14:textId="32BDB2F9" w:rsidR="0021241C" w:rsidRDefault="00000000">
          <w:pPr>
            <w:pStyle w:val="TOC2"/>
            <w:tabs>
              <w:tab w:val="right" w:leader="dot" w:pos="9016"/>
            </w:tabs>
            <w:rPr>
              <w:rFonts w:eastAsiaTheme="minorEastAsia"/>
              <w:noProof/>
              <w:lang w:eastAsia="en-GB"/>
            </w:rPr>
          </w:pPr>
          <w:hyperlink w:anchor="_Toc100599153" w:history="1">
            <w:r w:rsidR="0021241C" w:rsidRPr="0089173A">
              <w:rPr>
                <w:rStyle w:val="Hyperlink"/>
                <w:noProof/>
              </w:rPr>
              <w:t>Conclusion to Part E</w:t>
            </w:r>
            <w:r w:rsidR="0021241C">
              <w:rPr>
                <w:noProof/>
                <w:webHidden/>
              </w:rPr>
              <w:tab/>
            </w:r>
            <w:r w:rsidR="0021241C">
              <w:rPr>
                <w:noProof/>
                <w:webHidden/>
              </w:rPr>
              <w:fldChar w:fldCharType="begin"/>
            </w:r>
            <w:r w:rsidR="0021241C">
              <w:rPr>
                <w:noProof/>
                <w:webHidden/>
              </w:rPr>
              <w:instrText xml:space="preserve"> PAGEREF _Toc100599153 \h </w:instrText>
            </w:r>
            <w:r w:rsidR="0021241C">
              <w:rPr>
                <w:noProof/>
                <w:webHidden/>
              </w:rPr>
            </w:r>
            <w:r w:rsidR="0021241C">
              <w:rPr>
                <w:noProof/>
                <w:webHidden/>
              </w:rPr>
              <w:fldChar w:fldCharType="separate"/>
            </w:r>
            <w:r w:rsidR="004D47AF">
              <w:rPr>
                <w:noProof/>
                <w:webHidden/>
              </w:rPr>
              <w:t>66</w:t>
            </w:r>
            <w:r w:rsidR="0021241C">
              <w:rPr>
                <w:noProof/>
                <w:webHidden/>
              </w:rPr>
              <w:fldChar w:fldCharType="end"/>
            </w:r>
          </w:hyperlink>
        </w:p>
        <w:p w14:paraId="013EED3B" w14:textId="32C42304" w:rsidR="0021241C" w:rsidRDefault="00000000">
          <w:pPr>
            <w:pStyle w:val="TOC1"/>
            <w:tabs>
              <w:tab w:val="right" w:leader="dot" w:pos="9016"/>
            </w:tabs>
            <w:rPr>
              <w:rFonts w:eastAsiaTheme="minorEastAsia"/>
              <w:noProof/>
              <w:lang w:eastAsia="en-GB"/>
            </w:rPr>
          </w:pPr>
          <w:hyperlink w:anchor="_Toc100599154" w:history="1">
            <w:r w:rsidR="0021241C" w:rsidRPr="0089173A">
              <w:rPr>
                <w:rStyle w:val="Hyperlink"/>
                <w:noProof/>
              </w:rPr>
              <w:t>Conclusion</w:t>
            </w:r>
            <w:r w:rsidR="0021241C">
              <w:rPr>
                <w:noProof/>
                <w:webHidden/>
              </w:rPr>
              <w:tab/>
            </w:r>
            <w:r w:rsidR="0021241C">
              <w:rPr>
                <w:noProof/>
                <w:webHidden/>
              </w:rPr>
              <w:fldChar w:fldCharType="begin"/>
            </w:r>
            <w:r w:rsidR="0021241C">
              <w:rPr>
                <w:noProof/>
                <w:webHidden/>
              </w:rPr>
              <w:instrText xml:space="preserve"> PAGEREF _Toc100599154 \h </w:instrText>
            </w:r>
            <w:r w:rsidR="0021241C">
              <w:rPr>
                <w:noProof/>
                <w:webHidden/>
              </w:rPr>
            </w:r>
            <w:r w:rsidR="0021241C">
              <w:rPr>
                <w:noProof/>
                <w:webHidden/>
              </w:rPr>
              <w:fldChar w:fldCharType="separate"/>
            </w:r>
            <w:r w:rsidR="004D47AF">
              <w:rPr>
                <w:noProof/>
                <w:webHidden/>
              </w:rPr>
              <w:t>67</w:t>
            </w:r>
            <w:r w:rsidR="0021241C">
              <w:rPr>
                <w:noProof/>
                <w:webHidden/>
              </w:rPr>
              <w:fldChar w:fldCharType="end"/>
            </w:r>
          </w:hyperlink>
        </w:p>
        <w:p w14:paraId="661F94B2" w14:textId="7242F80D" w:rsidR="0021241C" w:rsidRDefault="00000000">
          <w:pPr>
            <w:pStyle w:val="TOC1"/>
            <w:tabs>
              <w:tab w:val="right" w:leader="dot" w:pos="9016"/>
            </w:tabs>
            <w:rPr>
              <w:rFonts w:eastAsiaTheme="minorEastAsia"/>
              <w:noProof/>
              <w:lang w:eastAsia="en-GB"/>
            </w:rPr>
          </w:pPr>
          <w:hyperlink w:anchor="_Toc100599155" w:history="1">
            <w:r w:rsidR="0021241C" w:rsidRPr="0089173A">
              <w:rPr>
                <w:rStyle w:val="Hyperlink"/>
                <w:noProof/>
              </w:rPr>
              <w:t>Appendix A: REVIEW TERMS OF REFERENCE</w:t>
            </w:r>
            <w:r w:rsidR="0021241C">
              <w:rPr>
                <w:noProof/>
                <w:webHidden/>
              </w:rPr>
              <w:tab/>
            </w:r>
            <w:r w:rsidR="0021241C">
              <w:rPr>
                <w:noProof/>
                <w:webHidden/>
              </w:rPr>
              <w:fldChar w:fldCharType="begin"/>
            </w:r>
            <w:r w:rsidR="0021241C">
              <w:rPr>
                <w:noProof/>
                <w:webHidden/>
              </w:rPr>
              <w:instrText xml:space="preserve"> PAGEREF _Toc100599155 \h </w:instrText>
            </w:r>
            <w:r w:rsidR="0021241C">
              <w:rPr>
                <w:noProof/>
                <w:webHidden/>
              </w:rPr>
            </w:r>
            <w:r w:rsidR="0021241C">
              <w:rPr>
                <w:noProof/>
                <w:webHidden/>
              </w:rPr>
              <w:fldChar w:fldCharType="separate"/>
            </w:r>
            <w:r w:rsidR="004D47AF">
              <w:rPr>
                <w:noProof/>
                <w:webHidden/>
              </w:rPr>
              <w:t>69</w:t>
            </w:r>
            <w:r w:rsidR="0021241C">
              <w:rPr>
                <w:noProof/>
                <w:webHidden/>
              </w:rPr>
              <w:fldChar w:fldCharType="end"/>
            </w:r>
          </w:hyperlink>
        </w:p>
        <w:p w14:paraId="107D9262" w14:textId="64986D92" w:rsidR="4837C68A" w:rsidRPr="007D116C" w:rsidRDefault="4837C68A" w:rsidP="4837C68A">
          <w:pPr>
            <w:pStyle w:val="TOC2"/>
            <w:tabs>
              <w:tab w:val="right" w:leader="dot" w:pos="9015"/>
            </w:tabs>
          </w:pPr>
          <w:r w:rsidRPr="007D116C">
            <w:rPr>
              <w:shd w:val="clear" w:color="auto" w:fill="E6E6E6"/>
            </w:rPr>
            <w:fldChar w:fldCharType="end"/>
          </w:r>
        </w:p>
      </w:sdtContent>
    </w:sdt>
    <w:p w14:paraId="1F744A8B" w14:textId="3F00A08E" w:rsidR="005003C2" w:rsidRPr="007D116C" w:rsidRDefault="005003C2"/>
    <w:p w14:paraId="0E882444" w14:textId="0AA3D706" w:rsidR="00AF4266" w:rsidRDefault="00AF4266">
      <w:r w:rsidRPr="007D116C">
        <w:br w:type="page"/>
      </w:r>
      <w:r w:rsidR="005A3F05">
        <w:lastRenderedPageBreak/>
        <w:t xml:space="preserve">Note: The authors would like to thank </w:t>
      </w:r>
      <w:r w:rsidR="00F4425A">
        <w:t>Professor</w:t>
      </w:r>
      <w:r w:rsidR="005A3F05">
        <w:t xml:space="preserve"> Brian Head and </w:t>
      </w:r>
      <w:r w:rsidR="00E15002">
        <w:t>Dr</w:t>
      </w:r>
      <w:r w:rsidR="005A3F05">
        <w:t xml:space="preserve"> Vicky Comino for </w:t>
      </w:r>
      <w:r w:rsidR="00F4425A">
        <w:t>reviewing drafts of this documen</w:t>
      </w:r>
      <w:r w:rsidR="00E15002">
        <w:t>t</w:t>
      </w:r>
      <w:r w:rsidR="00C25DAE">
        <w:t xml:space="preserve"> and offering feedback.</w:t>
      </w:r>
    </w:p>
    <w:p w14:paraId="285A0602" w14:textId="77777777" w:rsidR="00F4425A" w:rsidRPr="007D116C" w:rsidRDefault="00F4425A">
      <w:pPr>
        <w:rPr>
          <w:rFonts w:asciiTheme="majorHAnsi" w:eastAsiaTheme="majorEastAsia" w:hAnsiTheme="majorHAnsi" w:cstheme="majorBidi"/>
          <w:b/>
          <w:sz w:val="24"/>
          <w:szCs w:val="32"/>
        </w:rPr>
      </w:pPr>
    </w:p>
    <w:p w14:paraId="00488042" w14:textId="77777777" w:rsidR="00F4425A" w:rsidRDefault="00F4425A">
      <w:pPr>
        <w:rPr>
          <w:rFonts w:asciiTheme="majorHAnsi" w:eastAsiaTheme="majorEastAsia" w:hAnsiTheme="majorHAnsi" w:cstheme="majorBidi"/>
          <w:b/>
          <w:sz w:val="24"/>
          <w:szCs w:val="32"/>
        </w:rPr>
      </w:pPr>
      <w:r>
        <w:br w:type="page"/>
      </w:r>
    </w:p>
    <w:p w14:paraId="64C1F065" w14:textId="20A54B5A" w:rsidR="005003C2" w:rsidRPr="00CC40C2" w:rsidRDefault="00224616" w:rsidP="00CC40C2">
      <w:pPr>
        <w:pStyle w:val="Heading1"/>
      </w:pPr>
      <w:bookmarkStart w:id="1" w:name="_Toc100599118"/>
      <w:r w:rsidRPr="00CC40C2">
        <w:lastRenderedPageBreak/>
        <w:t>Executive Summary</w:t>
      </w:r>
      <w:bookmarkEnd w:id="1"/>
    </w:p>
    <w:p w14:paraId="7543D3D1" w14:textId="4444BACA" w:rsidR="00CD3DB3" w:rsidRPr="007D116C" w:rsidRDefault="00CD3DB3" w:rsidP="00CD3DB3">
      <w:r w:rsidRPr="007D116C">
        <w:t xml:space="preserve">This </w:t>
      </w:r>
      <w:r w:rsidR="00155880" w:rsidRPr="007D116C">
        <w:t xml:space="preserve">Australia and New Zealand School of Government (ANZSOG) </w:t>
      </w:r>
      <w:r w:rsidR="007D1025" w:rsidRPr="007D116C">
        <w:t xml:space="preserve">background research </w:t>
      </w:r>
      <w:r w:rsidR="00717F2A" w:rsidRPr="007D116C">
        <w:t>report</w:t>
      </w:r>
      <w:r w:rsidR="007D1025" w:rsidRPr="007D116C">
        <w:t xml:space="preserve"> </w:t>
      </w:r>
      <w:r w:rsidRPr="007D116C">
        <w:t xml:space="preserve">is intended to inform the Review of </w:t>
      </w:r>
      <w:r w:rsidR="00227EB8" w:rsidRPr="007D116C">
        <w:t>the Queensland Building and Construction Commission (QBCC)</w:t>
      </w:r>
      <w:r w:rsidR="00EC59FA" w:rsidRPr="007D116C">
        <w:t xml:space="preserve">, led </w:t>
      </w:r>
      <w:r w:rsidRPr="007D116C">
        <w:t xml:space="preserve">by </w:t>
      </w:r>
      <w:r w:rsidR="00321A74" w:rsidRPr="007D116C">
        <w:t>M</w:t>
      </w:r>
      <w:r w:rsidR="009875F6" w:rsidRPr="007D116C">
        <w:t>r</w:t>
      </w:r>
      <w:r w:rsidRPr="007D116C">
        <w:t xml:space="preserve"> Jim Varghese AM</w:t>
      </w:r>
      <w:r w:rsidR="009875F6" w:rsidRPr="007D116C">
        <w:t>, as announced by the Queensland government in November 2021</w:t>
      </w:r>
      <w:r w:rsidRPr="007D116C">
        <w:t>.</w:t>
      </w:r>
      <w:r w:rsidR="00190CF0" w:rsidRPr="007D116C">
        <w:t xml:space="preserve"> </w:t>
      </w:r>
      <w:r w:rsidR="00155880" w:rsidRPr="007D116C">
        <w:t>ANZSOG</w:t>
      </w:r>
      <w:r w:rsidR="00190CF0" w:rsidRPr="007D116C">
        <w:t xml:space="preserve"> </w:t>
      </w:r>
      <w:r w:rsidRPr="007D116C">
        <w:t>was commissioned to provide an independent account of governance arrangements for QBCC and to offer a comparative analysis with other jurisdictions.</w:t>
      </w:r>
      <w:r w:rsidR="00FF2053" w:rsidRPr="007D116C">
        <w:t xml:space="preserve">  Consistent with this commission, ANZSOG has not put forward recommendations in this report, but instead offered a number of observations for further consideration in the review process. </w:t>
      </w:r>
    </w:p>
    <w:p w14:paraId="1C62C693" w14:textId="70C819A5" w:rsidR="00CD3DB3" w:rsidRPr="007D116C" w:rsidRDefault="00CD3DB3" w:rsidP="00673A53">
      <w:r w:rsidRPr="007D116C">
        <w:t xml:space="preserve">The </w:t>
      </w:r>
      <w:r w:rsidR="00BB0C52" w:rsidRPr="007D116C">
        <w:t>r</w:t>
      </w:r>
      <w:r w:rsidRPr="007D116C">
        <w:t xml:space="preserve">eport </w:t>
      </w:r>
      <w:r w:rsidR="002817DE" w:rsidRPr="007D116C">
        <w:t>begins by setting</w:t>
      </w:r>
      <w:r w:rsidR="00BB0C52" w:rsidRPr="007D116C">
        <w:t xml:space="preserve"> out some background context fo</w:t>
      </w:r>
      <w:r w:rsidR="008217C2" w:rsidRPr="007D116C">
        <w:t>r</w:t>
      </w:r>
      <w:r w:rsidR="00BB0C52" w:rsidRPr="007D116C">
        <w:t xml:space="preserve"> the </w:t>
      </w:r>
      <w:r w:rsidR="008217C2" w:rsidRPr="007D116C">
        <w:t>regulation of the</w:t>
      </w:r>
      <w:r w:rsidR="007B257A" w:rsidRPr="007D116C">
        <w:t xml:space="preserve"> </w:t>
      </w:r>
      <w:r w:rsidRPr="007D116C">
        <w:t>building and construction sector</w:t>
      </w:r>
      <w:r w:rsidR="008217C2" w:rsidRPr="007D116C">
        <w:t xml:space="preserve"> in Queensland,</w:t>
      </w:r>
      <w:r w:rsidRPr="007D116C">
        <w:t xml:space="preserve"> </w:t>
      </w:r>
      <w:r w:rsidR="008217C2" w:rsidRPr="007D116C">
        <w:t>including the</w:t>
      </w:r>
      <w:r w:rsidRPr="007D116C">
        <w:t xml:space="preserve"> </w:t>
      </w:r>
      <w:r w:rsidR="008217C2" w:rsidRPr="007D116C">
        <w:t xml:space="preserve">more </w:t>
      </w:r>
      <w:r w:rsidRPr="007D116C">
        <w:t xml:space="preserve">recent history of regulatory reform </w:t>
      </w:r>
      <w:r w:rsidR="008217C2" w:rsidRPr="007D116C">
        <w:t>in the sector</w:t>
      </w:r>
      <w:r w:rsidRPr="007D116C">
        <w:t xml:space="preserve">. </w:t>
      </w:r>
      <w:r w:rsidR="00072A8C" w:rsidRPr="007D116C">
        <w:t xml:space="preserve">It then </w:t>
      </w:r>
      <w:r w:rsidR="007B257A" w:rsidRPr="007D116C">
        <w:t>sets out the</w:t>
      </w:r>
      <w:r w:rsidRPr="007D116C">
        <w:t xml:space="preserve"> key features of a) the </w:t>
      </w:r>
      <w:r w:rsidR="007B257A" w:rsidRPr="007D116C">
        <w:t xml:space="preserve">QBCC </w:t>
      </w:r>
      <w:r w:rsidRPr="007D116C">
        <w:t xml:space="preserve">governance model b) comparative practices in other jurisdictions c) regulatory best practice evidence drawn from OECD research d) </w:t>
      </w:r>
      <w:r w:rsidR="008635F6" w:rsidRPr="007D116C">
        <w:t>r</w:t>
      </w:r>
      <w:r w:rsidRPr="007D116C">
        <w:t xml:space="preserve">isk-based regulation as the operational paradigm for QBCC, and e) capabilities and values for regulators in relation to the QBCC. </w:t>
      </w:r>
    </w:p>
    <w:p w14:paraId="1468AD9A" w14:textId="69F0006F" w:rsidR="00CD3DB3" w:rsidRPr="007D116C" w:rsidRDefault="00CD3DB3" w:rsidP="00CD3DB3">
      <w:pPr>
        <w:rPr>
          <w:rFonts w:ascii="Calibri" w:eastAsia="Times New Roman" w:hAnsi="Calibri" w:cs="Calibri"/>
          <w:lang w:eastAsia="en-GB"/>
        </w:rPr>
      </w:pPr>
      <w:r w:rsidRPr="007D116C">
        <w:rPr>
          <w:rFonts w:ascii="Calibri" w:eastAsia="Times New Roman" w:hAnsi="Calibri" w:cs="Calibri"/>
          <w:lang w:eastAsia="en-GB"/>
        </w:rPr>
        <w:t xml:space="preserve">The </w:t>
      </w:r>
      <w:r w:rsidR="00745D55" w:rsidRPr="007D116C">
        <w:rPr>
          <w:rFonts w:ascii="Calibri" w:eastAsia="Times New Roman" w:hAnsi="Calibri" w:cs="Calibri"/>
          <w:lang w:eastAsia="en-GB"/>
        </w:rPr>
        <w:t xml:space="preserve">report makes the following observations </w:t>
      </w:r>
      <w:r w:rsidR="00AA6C26" w:rsidRPr="007D116C">
        <w:rPr>
          <w:rFonts w:ascii="Calibri" w:eastAsia="Times New Roman" w:hAnsi="Calibri" w:cs="Calibri"/>
          <w:lang w:eastAsia="en-GB"/>
        </w:rPr>
        <w:t xml:space="preserve">arising from the </w:t>
      </w:r>
      <w:r w:rsidRPr="007D116C">
        <w:rPr>
          <w:rFonts w:ascii="Calibri" w:eastAsia="Times New Roman" w:hAnsi="Calibri" w:cs="Calibri"/>
          <w:lang w:eastAsia="en-GB"/>
        </w:rPr>
        <w:t xml:space="preserve">analysis of the QBCC’s governance model: </w:t>
      </w:r>
      <w:r w:rsidR="008635F6" w:rsidRPr="007D116C">
        <w:rPr>
          <w:rFonts w:ascii="Calibri" w:eastAsia="Times New Roman" w:hAnsi="Calibri" w:cs="Calibri"/>
          <w:b/>
          <w:bCs/>
          <w:lang w:eastAsia="en-GB"/>
        </w:rPr>
        <w:t>F</w:t>
      </w:r>
      <w:r w:rsidRPr="007D116C">
        <w:rPr>
          <w:rFonts w:ascii="Calibri" w:eastAsia="Times New Roman" w:hAnsi="Calibri" w:cs="Calibri"/>
          <w:b/>
          <w:bCs/>
          <w:lang w:eastAsia="en-GB"/>
        </w:rPr>
        <w:t>irst</w:t>
      </w:r>
      <w:r w:rsidR="008635F6" w:rsidRPr="007D116C">
        <w:rPr>
          <w:rFonts w:ascii="Calibri" w:eastAsia="Times New Roman" w:hAnsi="Calibri" w:cs="Calibri"/>
          <w:b/>
          <w:bCs/>
          <w:lang w:eastAsia="en-GB"/>
        </w:rPr>
        <w:t>ly</w:t>
      </w:r>
      <w:r w:rsidRPr="007D116C">
        <w:rPr>
          <w:rFonts w:ascii="Calibri" w:eastAsia="Times New Roman" w:hAnsi="Calibri" w:cs="Calibri"/>
          <w:lang w:eastAsia="en-GB"/>
        </w:rPr>
        <w:t xml:space="preserve">, that </w:t>
      </w:r>
      <w:r w:rsidR="00AA6C26" w:rsidRPr="007D116C">
        <w:rPr>
          <w:rFonts w:ascii="Calibri" w:eastAsia="Times New Roman" w:hAnsi="Calibri" w:cs="Calibri"/>
          <w:lang w:eastAsia="en-GB"/>
        </w:rPr>
        <w:t>the QBCC</w:t>
      </w:r>
      <w:r w:rsidRPr="007D116C">
        <w:rPr>
          <w:rFonts w:ascii="Calibri" w:eastAsia="Times New Roman" w:hAnsi="Calibri" w:cs="Calibri"/>
          <w:lang w:eastAsia="en-GB"/>
        </w:rPr>
        <w:t xml:space="preserve"> is structurally a one-stop shop with a range of related functions although with internal separation of its insurance fund management as part of statutory requirements. </w:t>
      </w:r>
      <w:r w:rsidRPr="007D116C">
        <w:rPr>
          <w:rFonts w:ascii="Calibri" w:eastAsia="Times New Roman" w:hAnsi="Calibri" w:cs="Calibri"/>
          <w:b/>
          <w:bCs/>
          <w:lang w:eastAsia="en-GB"/>
        </w:rPr>
        <w:t>Secondly</w:t>
      </w:r>
      <w:r w:rsidRPr="007D116C">
        <w:rPr>
          <w:rFonts w:ascii="Calibri" w:eastAsia="Times New Roman" w:hAnsi="Calibri" w:cs="Calibri"/>
          <w:lang w:eastAsia="en-GB"/>
        </w:rPr>
        <w:t xml:space="preserve">, that QBCC’s overall financial position seems adequate to its functions but only because the statutory insurance fund performs well and when aggregated to show an overall financial result. In fact, and to meet requirements of recent reform of the sector, operational funding for non-insurance activities and derived from fees and levies is insufficient. Other government grants have supported operations periodically, but these might be considered </w:t>
      </w:r>
      <w:r w:rsidRPr="007D116C">
        <w:rPr>
          <w:rFonts w:ascii="Calibri" w:eastAsia="Times New Roman" w:hAnsi="Calibri" w:cs="Calibri"/>
          <w:i/>
          <w:iCs/>
          <w:lang w:eastAsia="en-GB"/>
        </w:rPr>
        <w:t>in lieu</w:t>
      </w:r>
      <w:r w:rsidRPr="007D116C">
        <w:rPr>
          <w:rFonts w:ascii="Calibri" w:eastAsia="Times New Roman" w:hAnsi="Calibri" w:cs="Calibri"/>
          <w:lang w:eastAsia="en-GB"/>
        </w:rPr>
        <w:t xml:space="preserve">. </w:t>
      </w:r>
      <w:r w:rsidRPr="007D116C">
        <w:rPr>
          <w:rFonts w:ascii="Calibri" w:eastAsia="Times New Roman" w:hAnsi="Calibri" w:cs="Calibri"/>
          <w:b/>
          <w:bCs/>
          <w:lang w:eastAsia="en-GB"/>
        </w:rPr>
        <w:t>Thirdly</w:t>
      </w:r>
      <w:r w:rsidRPr="007D116C">
        <w:rPr>
          <w:rFonts w:ascii="Calibri" w:eastAsia="Times New Roman" w:hAnsi="Calibri" w:cs="Calibri"/>
          <w:lang w:eastAsia="en-GB"/>
        </w:rPr>
        <w:t xml:space="preserve">, the mandates for regulatory strategy given to the Board and the Commission </w:t>
      </w:r>
      <w:r w:rsidR="002817DE" w:rsidRPr="007D116C">
        <w:rPr>
          <w:rFonts w:ascii="Calibri" w:eastAsia="Times New Roman" w:hAnsi="Calibri" w:cs="Calibri"/>
          <w:lang w:eastAsia="en-GB"/>
        </w:rPr>
        <w:t>could</w:t>
      </w:r>
      <w:r w:rsidR="00FF2053" w:rsidRPr="007D116C">
        <w:rPr>
          <w:rFonts w:ascii="Calibri" w:eastAsia="Times New Roman" w:hAnsi="Calibri" w:cs="Calibri"/>
          <w:lang w:eastAsia="en-GB"/>
        </w:rPr>
        <w:t xml:space="preserve"> capture</w:t>
      </w:r>
      <w:r w:rsidRPr="007D116C">
        <w:rPr>
          <w:rFonts w:ascii="Calibri" w:eastAsia="Times New Roman" w:hAnsi="Calibri" w:cs="Calibri"/>
          <w:lang w:eastAsia="en-GB"/>
        </w:rPr>
        <w:t xml:space="preserve"> </w:t>
      </w:r>
      <w:r w:rsidR="00FF2053" w:rsidRPr="007D116C">
        <w:rPr>
          <w:rFonts w:ascii="Calibri" w:eastAsia="Times New Roman" w:hAnsi="Calibri" w:cs="Calibri"/>
          <w:lang w:eastAsia="en-GB"/>
        </w:rPr>
        <w:t xml:space="preserve">more fully </w:t>
      </w:r>
      <w:r w:rsidRPr="007D116C">
        <w:rPr>
          <w:rFonts w:ascii="Calibri" w:eastAsia="Times New Roman" w:hAnsi="Calibri" w:cs="Calibri"/>
          <w:lang w:eastAsia="en-GB"/>
        </w:rPr>
        <w:t xml:space="preserve">the complexity and demands of the sector. </w:t>
      </w:r>
      <w:r w:rsidRPr="007D116C">
        <w:rPr>
          <w:rFonts w:ascii="Calibri" w:eastAsia="Times New Roman" w:hAnsi="Calibri" w:cs="Calibri"/>
          <w:b/>
          <w:bCs/>
          <w:lang w:eastAsia="en-GB"/>
        </w:rPr>
        <w:t>Fourthly</w:t>
      </w:r>
      <w:r w:rsidRPr="007D116C">
        <w:rPr>
          <w:rFonts w:ascii="Calibri" w:eastAsia="Times New Roman" w:hAnsi="Calibri" w:cs="Calibri"/>
          <w:lang w:eastAsia="en-GB"/>
        </w:rPr>
        <w:t xml:space="preserve">, the QBCC is unique in that it is a regulator that directly administers an insurance scheme. Nevertheless, each jurisdiction addresses insurance in different ways; there is not </w:t>
      </w:r>
      <w:r w:rsidRPr="007D116C">
        <w:rPr>
          <w:rFonts w:ascii="Calibri" w:eastAsia="Times New Roman" w:hAnsi="Calibri" w:cs="Calibri"/>
          <w:lang w:eastAsia="en-GB"/>
        </w:rPr>
        <w:lastRenderedPageBreak/>
        <w:t xml:space="preserve">a consensus model. </w:t>
      </w:r>
      <w:r w:rsidRPr="007D116C">
        <w:rPr>
          <w:rFonts w:ascii="Calibri" w:eastAsia="Times New Roman" w:hAnsi="Calibri" w:cs="Calibri"/>
          <w:b/>
          <w:bCs/>
          <w:lang w:eastAsia="en-GB"/>
        </w:rPr>
        <w:t>Finally</w:t>
      </w:r>
      <w:r w:rsidRPr="007D116C">
        <w:rPr>
          <w:rFonts w:ascii="Calibri" w:eastAsia="Times New Roman" w:hAnsi="Calibri" w:cs="Calibri"/>
          <w:lang w:eastAsia="en-GB"/>
        </w:rPr>
        <w:t>, QBCC is also unique in that it does not raise a building levy</w:t>
      </w:r>
      <w:r w:rsidR="00673A53" w:rsidRPr="007D116C">
        <w:rPr>
          <w:rFonts w:ascii="Calibri" w:eastAsia="Times New Roman" w:hAnsi="Calibri" w:cs="Calibri"/>
          <w:lang w:eastAsia="en-GB"/>
        </w:rPr>
        <w:t xml:space="preserve">, although calibration of levies always </w:t>
      </w:r>
      <w:r w:rsidR="00FA0441">
        <w:rPr>
          <w:rFonts w:ascii="Calibri" w:eastAsia="Times New Roman" w:hAnsi="Calibri" w:cs="Calibri"/>
          <w:lang w:eastAsia="en-GB"/>
        </w:rPr>
        <w:t>should</w:t>
      </w:r>
      <w:r w:rsidR="00673A53" w:rsidRPr="007D116C">
        <w:rPr>
          <w:rFonts w:ascii="Calibri" w:eastAsia="Times New Roman" w:hAnsi="Calibri" w:cs="Calibri"/>
          <w:lang w:eastAsia="en-GB"/>
        </w:rPr>
        <w:t xml:space="preserve"> be sensitive to jurisdictional context and needs.</w:t>
      </w:r>
    </w:p>
    <w:p w14:paraId="28E251A6" w14:textId="7094B2AC" w:rsidR="00CD3DB3" w:rsidRPr="007D116C" w:rsidRDefault="00CD3DB3" w:rsidP="00CD3DB3">
      <w:pPr>
        <w:rPr>
          <w:rFonts w:ascii="Calibri" w:eastAsia="Times New Roman" w:hAnsi="Calibri" w:cs="Calibri"/>
          <w:lang w:eastAsia="en-GB"/>
        </w:rPr>
      </w:pPr>
      <w:r w:rsidRPr="007D116C">
        <w:rPr>
          <w:rFonts w:ascii="Calibri" w:eastAsia="Times New Roman" w:hAnsi="Calibri" w:cs="Calibri"/>
          <w:lang w:eastAsia="en-GB"/>
        </w:rPr>
        <w:t xml:space="preserve">In terms of best practice regulation, </w:t>
      </w:r>
      <w:r w:rsidRPr="007D116C">
        <w:t>the</w:t>
      </w:r>
      <w:r w:rsidR="00BE6541" w:rsidRPr="007D116C">
        <w:t xml:space="preserve"> analysis confirms that the focus of the</w:t>
      </w:r>
      <w:r w:rsidRPr="007D116C">
        <w:t xml:space="preserve"> QBCC </w:t>
      </w:r>
      <w:r w:rsidR="00D50254" w:rsidRPr="007D116C">
        <w:t xml:space="preserve">is on </w:t>
      </w:r>
      <w:r w:rsidRPr="007D116C">
        <w:t xml:space="preserve">a risk-based regulatory strategy. This approach places high demands upon the capabilities of regulators because it relies on a data-driven analysis of the regulatory environment, which is sensitive to not only to the actions but also perceptions of the regulator. Moreover, the risk-based regulatory approach tends to give regulators a high level of discretion about the identification and prioritisation of negative outcomes and the development of </w:t>
      </w:r>
      <w:r w:rsidR="00A34E7E" w:rsidRPr="007D116C">
        <w:t xml:space="preserve">responses </w:t>
      </w:r>
      <w:r w:rsidRPr="007D116C">
        <w:t>tailored to those judgements. This combination of complexity and discretion further illuminates features identified earlier in QBCC’s governance model in respect of its one-stop shop model and attendant wide range of functions, its funding and use of funds, and the clarity of its strategic direction and leadership roles.</w:t>
      </w:r>
    </w:p>
    <w:p w14:paraId="0D630CC6" w14:textId="0F93F488" w:rsidR="00CD3DB3" w:rsidRPr="007D116C" w:rsidRDefault="00FB1149" w:rsidP="00CD3DB3">
      <w:r w:rsidRPr="007D116C">
        <w:t>With regard to the leadership of the QBCC</w:t>
      </w:r>
      <w:r w:rsidR="00651FF5" w:rsidRPr="007D116C">
        <w:t xml:space="preserve">, </w:t>
      </w:r>
      <w:r w:rsidR="00BE6541" w:rsidRPr="007D116C">
        <w:t xml:space="preserve">the analysis suggests that </w:t>
      </w:r>
      <w:r w:rsidR="005D484D" w:rsidRPr="007D116C">
        <w:t>a complex skill set is required</w:t>
      </w:r>
      <w:r w:rsidR="00F84715" w:rsidRPr="007D116C">
        <w:t xml:space="preserve"> across the organisational leadership team</w:t>
      </w:r>
      <w:r w:rsidR="005D484D" w:rsidRPr="007D116C">
        <w:t xml:space="preserve"> to be able to successfully </w:t>
      </w:r>
      <w:r w:rsidR="00F84715" w:rsidRPr="007D116C">
        <w:t xml:space="preserve">navigate </w:t>
      </w:r>
      <w:r w:rsidR="00CD3DB3" w:rsidRPr="007D116C">
        <w:t xml:space="preserve">relationships with the Minister, the governing board, with associated line agencies and entities. The Report explains that the values embodied in a regulator like QBCC, should reflect the desirability of decision-makers at all levels being empowered to develop their understanding of the regulatory environment and exercise the discretion inherent in their roles in furtherance of the regulator’s mission. This is vital for protecting the regulator’s credibility and shaping the regulatory environment. </w:t>
      </w:r>
    </w:p>
    <w:p w14:paraId="2BD74EF6" w14:textId="1DC43825" w:rsidR="00A666B1" w:rsidRPr="007D116C" w:rsidRDefault="009002E1" w:rsidP="00A666B1">
      <w:r w:rsidRPr="007D116C">
        <w:t xml:space="preserve">Overall, the critical underpinning of </w:t>
      </w:r>
      <w:r w:rsidR="00A666B1" w:rsidRPr="007D116C">
        <w:t xml:space="preserve">good governance </w:t>
      </w:r>
      <w:r w:rsidRPr="007D116C">
        <w:t>in such a complex sector is to have</w:t>
      </w:r>
      <w:r w:rsidR="00A666B1" w:rsidRPr="007D116C">
        <w:t xml:space="preserve"> an insights-driven approach, a</w:t>
      </w:r>
      <w:r w:rsidR="00325640" w:rsidRPr="007D116C">
        <w:t>s</w:t>
      </w:r>
      <w:r w:rsidR="00A666B1" w:rsidRPr="007D116C">
        <w:t xml:space="preserve"> is borne out by the ongoing regulatory reform process in response to recent events in Australia and internationally.</w:t>
      </w:r>
      <w:r w:rsidRPr="007D116C">
        <w:t xml:space="preserve"> It is therefore </w:t>
      </w:r>
      <w:r w:rsidR="00D14863" w:rsidRPr="007D116C">
        <w:t xml:space="preserve">crucial to ensure that the governance, resourcing and capabilities of the </w:t>
      </w:r>
      <w:r w:rsidR="00D145AE" w:rsidRPr="007D116C">
        <w:t>QBCC</w:t>
      </w:r>
      <w:r w:rsidR="00D14863" w:rsidRPr="007D116C">
        <w:t xml:space="preserve"> enable it to </w:t>
      </w:r>
      <w:r w:rsidR="00D145AE" w:rsidRPr="007D116C">
        <w:t xml:space="preserve">be set up </w:t>
      </w:r>
      <w:r w:rsidR="000301D3" w:rsidRPr="007D116C">
        <w:t>for</w:t>
      </w:r>
      <w:r w:rsidR="00D145AE" w:rsidRPr="007D116C">
        <w:t xml:space="preserve"> success on this basis into the future.</w:t>
      </w:r>
    </w:p>
    <w:p w14:paraId="1831069C" w14:textId="77777777" w:rsidR="00A666B1" w:rsidRPr="007D116C" w:rsidRDefault="00A666B1" w:rsidP="00CD3DB3"/>
    <w:p w14:paraId="2E98C885" w14:textId="428D528B" w:rsidR="00C12D12" w:rsidRPr="007D116C" w:rsidRDefault="4C3B8B27" w:rsidP="00CC40C2">
      <w:pPr>
        <w:pStyle w:val="Heading1"/>
      </w:pPr>
      <w:bookmarkStart w:id="2" w:name="_Toc100599119"/>
      <w:r w:rsidRPr="007D116C">
        <w:lastRenderedPageBreak/>
        <w:t>Introduction</w:t>
      </w:r>
      <w:bookmarkEnd w:id="2"/>
    </w:p>
    <w:p w14:paraId="403683C1" w14:textId="38142292" w:rsidR="00442A77" w:rsidRPr="007D116C" w:rsidRDefault="00442A77" w:rsidP="00442A77">
      <w:pPr>
        <w:pStyle w:val="Heading2"/>
      </w:pPr>
      <w:bookmarkStart w:id="3" w:name="_Toc100599120"/>
      <w:r w:rsidRPr="007D116C">
        <w:t>Background</w:t>
      </w:r>
      <w:bookmarkEnd w:id="3"/>
    </w:p>
    <w:p w14:paraId="691B4934" w14:textId="5973046F" w:rsidR="00454DBC" w:rsidRPr="007D116C" w:rsidRDefault="00454DBC" w:rsidP="008A236E">
      <w:pPr>
        <w:pStyle w:val="ListParagraph"/>
        <w:numPr>
          <w:ilvl w:val="0"/>
          <w:numId w:val="2"/>
        </w:numPr>
        <w:ind w:left="0" w:hanging="426"/>
      </w:pPr>
      <w:r w:rsidRPr="007D116C">
        <w:t xml:space="preserve">The Queensland Building and Construction </w:t>
      </w:r>
      <w:r w:rsidR="002D6C67" w:rsidRPr="007D116C">
        <w:t>Commission</w:t>
      </w:r>
      <w:r w:rsidRPr="007D116C">
        <w:t xml:space="preserve"> (QBCC) is Queensland’s peak regulator for the construction industry</w:t>
      </w:r>
      <w:r w:rsidR="00407BEE" w:rsidRPr="007D116C">
        <w:t xml:space="preserve">. On 16 November 2021, the Queensland Government announced that the Department of Energy and Public Works (DEPW) had </w:t>
      </w:r>
      <w:r w:rsidR="00BA4D78" w:rsidRPr="007D116C">
        <w:t>c</w:t>
      </w:r>
      <w:r w:rsidR="002D6C67" w:rsidRPr="007D116C">
        <w:t>ommission</w:t>
      </w:r>
      <w:r w:rsidR="00407BEE" w:rsidRPr="007D116C">
        <w:t>ed an independent review of the QBCC</w:t>
      </w:r>
      <w:r w:rsidR="00FB0A25" w:rsidRPr="007D116C">
        <w:t>, with the aim of ensuring that the “policies, procedures and practices of the QBCC… are best practice for a regulator of this kind and fit for purpose…”.</w:t>
      </w:r>
      <w:r w:rsidR="00FB0A25" w:rsidRPr="007D116C">
        <w:rPr>
          <w:rStyle w:val="FootnoteReference"/>
        </w:rPr>
        <w:footnoteReference w:id="2"/>
      </w:r>
      <w:r w:rsidR="00FB0A25" w:rsidRPr="007D116C">
        <w:t xml:space="preserve"> The review is being</w:t>
      </w:r>
      <w:r w:rsidR="00407BEE" w:rsidRPr="007D116C">
        <w:t xml:space="preserve"> conducted by Mr</w:t>
      </w:r>
      <w:r w:rsidR="00F918FE" w:rsidRPr="007D116C">
        <w:t> </w:t>
      </w:r>
      <w:r w:rsidR="00407BEE" w:rsidRPr="007D116C">
        <w:t>Jim</w:t>
      </w:r>
      <w:r w:rsidR="000079D8" w:rsidRPr="007D116C">
        <w:t> </w:t>
      </w:r>
      <w:r w:rsidR="00407BEE" w:rsidRPr="007D116C">
        <w:t>Varghes</w:t>
      </w:r>
      <w:r w:rsidR="00FB0A25" w:rsidRPr="007D116C">
        <w:t>e</w:t>
      </w:r>
      <w:r w:rsidR="00FD0BA9" w:rsidRPr="007D116C">
        <w:t xml:space="preserve"> AM</w:t>
      </w:r>
      <w:r w:rsidR="00006846" w:rsidRPr="007D116C">
        <w:t>, a former senior executive in the Queensland Public Service</w:t>
      </w:r>
      <w:r w:rsidR="00B91C7D" w:rsidRPr="007D116C">
        <w:t xml:space="preserve">. </w:t>
      </w:r>
      <w:r w:rsidR="00FB0A25" w:rsidRPr="007D116C">
        <w:t xml:space="preserve">DEPW has </w:t>
      </w:r>
      <w:r w:rsidR="00D206DE" w:rsidRPr="007D116C">
        <w:t xml:space="preserve">commissioned </w:t>
      </w:r>
      <w:r w:rsidR="00FB0A25" w:rsidRPr="007D116C">
        <w:t xml:space="preserve">the Australia and New Zealand School of Government (ANZSOG) to provide analysis </w:t>
      </w:r>
      <w:r w:rsidR="00B91C7D" w:rsidRPr="007D116C">
        <w:t xml:space="preserve">of governance </w:t>
      </w:r>
      <w:r w:rsidR="007F6C26" w:rsidRPr="007D116C">
        <w:t xml:space="preserve">matters </w:t>
      </w:r>
      <w:r w:rsidR="00FB0A25" w:rsidRPr="007D116C">
        <w:t xml:space="preserve">as an input into the review. </w:t>
      </w:r>
      <w:r w:rsidR="00E06E2F" w:rsidRPr="007D116C">
        <w:t xml:space="preserve">Consistent with this commission, ANZSOG has not put forward recommendations in this report, but instead offered a number of observations for further consideration in the review process. </w:t>
      </w:r>
      <w:r w:rsidR="00FB0A25" w:rsidRPr="007D116C">
        <w:t xml:space="preserve">ANZSOG is </w:t>
      </w:r>
      <w:r w:rsidR="00A02EA8" w:rsidRPr="007D116C">
        <w:t>a</w:t>
      </w:r>
      <w:r w:rsidR="00795670" w:rsidRPr="007D116C">
        <w:t>n independent, not-for-profit organisation that works in partnership with 10 governments and 16 universities across Australia and New Zealand to improve public sector capability through education and research.</w:t>
      </w:r>
      <w:r w:rsidR="00795670" w:rsidRPr="007D116C">
        <w:rPr>
          <w:rStyle w:val="FootnoteReference"/>
        </w:rPr>
        <w:footnoteReference w:id="3"/>
      </w:r>
      <w:r w:rsidR="00795670" w:rsidRPr="007D116C">
        <w:t xml:space="preserve"> </w:t>
      </w:r>
    </w:p>
    <w:p w14:paraId="09FC5310" w14:textId="2629BDFD" w:rsidR="00FB0A25" w:rsidRPr="007D116C" w:rsidRDefault="007F6C26" w:rsidP="4A34D7B3">
      <w:pPr>
        <w:pStyle w:val="ListParagraph"/>
        <w:numPr>
          <w:ilvl w:val="0"/>
          <w:numId w:val="2"/>
        </w:numPr>
        <w:ind w:left="0" w:hanging="426"/>
      </w:pPr>
      <w:r w:rsidRPr="007D116C">
        <w:t>This</w:t>
      </w:r>
      <w:r w:rsidR="009F096B" w:rsidRPr="007D116C">
        <w:t xml:space="preserve"> document provides </w:t>
      </w:r>
      <w:r w:rsidR="0411E616" w:rsidRPr="007D116C">
        <w:t>a desktop baseline</w:t>
      </w:r>
      <w:r w:rsidR="009F096B" w:rsidRPr="007D116C">
        <w:t xml:space="preserve"> analysis of t</w:t>
      </w:r>
      <w:r w:rsidR="009A2D57" w:rsidRPr="007D116C">
        <w:t>he QBCC’s governance model</w:t>
      </w:r>
      <w:r w:rsidR="00333E0A" w:rsidRPr="007D116C">
        <w:t xml:space="preserve"> and mandate</w:t>
      </w:r>
      <w:r w:rsidR="009A2D57" w:rsidRPr="007D116C">
        <w:t>, regulatory approach, and capability requirements</w:t>
      </w:r>
      <w:r w:rsidR="00F76255" w:rsidRPr="007D116C">
        <w:t xml:space="preserve">. The analysis compares the QBCC on these dimensions with other </w:t>
      </w:r>
      <w:r w:rsidR="0023241F" w:rsidRPr="007D116C">
        <w:t xml:space="preserve">Australian construction industry regulators and with best practice as </w:t>
      </w:r>
      <w:r w:rsidR="00066BEF" w:rsidRPr="007D116C">
        <w:t xml:space="preserve">identified </w:t>
      </w:r>
      <w:r w:rsidR="00A429A5" w:rsidRPr="007D116C">
        <w:t xml:space="preserve">in the expert literature. </w:t>
      </w:r>
      <w:r w:rsidR="00185D57" w:rsidRPr="007D116C">
        <w:t>Where noted, t</w:t>
      </w:r>
      <w:r w:rsidR="00FB0A25" w:rsidRPr="007D116C">
        <w:t>h</w:t>
      </w:r>
      <w:r w:rsidR="00017545" w:rsidRPr="007D116C">
        <w:t>is analysis draws</w:t>
      </w:r>
      <w:r w:rsidR="00FB0A25" w:rsidRPr="007D116C">
        <w:t xml:space="preserve"> </w:t>
      </w:r>
      <w:r w:rsidR="00645775" w:rsidRPr="007D116C">
        <w:t>on DEPW</w:t>
      </w:r>
      <w:r w:rsidR="003B534D" w:rsidRPr="007D116C">
        <w:t xml:space="preserve"> source material</w:t>
      </w:r>
      <w:r w:rsidR="00B8748D" w:rsidRPr="007D116C">
        <w:t xml:space="preserve"> provided to ANZSOG,</w:t>
      </w:r>
      <w:r w:rsidR="00645775" w:rsidRPr="007D116C">
        <w:t xml:space="preserve"> including</w:t>
      </w:r>
      <w:r w:rsidR="00FB0A25" w:rsidRPr="007D116C">
        <w:t xml:space="preserve"> in relation to the Queensland Government’s 2017 election commitment to “Review the resourcing of the [QBCC]… so as to ensure that the </w:t>
      </w:r>
      <w:r w:rsidR="002D6C67" w:rsidRPr="007D116C">
        <w:t>Commission</w:t>
      </w:r>
      <w:r w:rsidR="00FB0A25" w:rsidRPr="007D116C">
        <w:t xml:space="preserve"> has both capacity and capability </w:t>
      </w:r>
      <w:r w:rsidR="00FB0A25" w:rsidRPr="007D116C">
        <w:lastRenderedPageBreak/>
        <w:t>to satisfactorily discharge its functions”.</w:t>
      </w:r>
      <w:r w:rsidR="00FB0A25" w:rsidRPr="007D116C">
        <w:rPr>
          <w:rStyle w:val="FootnoteReference"/>
        </w:rPr>
        <w:footnoteReference w:id="4"/>
      </w:r>
      <w:r w:rsidR="00645775" w:rsidRPr="007D116C">
        <w:t xml:space="preserve"> </w:t>
      </w:r>
      <w:r w:rsidR="00603870" w:rsidRPr="007D116C">
        <w:t xml:space="preserve">However, the analysis provided here is ANZSOG’s independent </w:t>
      </w:r>
      <w:r w:rsidR="00266426" w:rsidRPr="007D116C">
        <w:t xml:space="preserve">assessment. </w:t>
      </w:r>
    </w:p>
    <w:p w14:paraId="7653C30B" w14:textId="38CE14A3" w:rsidR="00B11596" w:rsidRPr="007D116C" w:rsidRDefault="00B11596" w:rsidP="4A34D7B3">
      <w:pPr>
        <w:pStyle w:val="ListParagraph"/>
        <w:numPr>
          <w:ilvl w:val="0"/>
          <w:numId w:val="2"/>
        </w:numPr>
        <w:ind w:left="0" w:hanging="426"/>
      </w:pPr>
      <w:r w:rsidRPr="007D116C">
        <w:t>Explanatory documents on QBCC governance arrangements provided by the DEPW were consulted alongside QBCC published material available on its website (reports and plans), and the various parliamentary Acts pertaining to the regulation of building and construction in Queensland. A range of primary and other secondary documentary sources were also consulted. Finally, our analysis has been aided by policy and governance academic experts.</w:t>
      </w:r>
    </w:p>
    <w:p w14:paraId="789A225C" w14:textId="215E62EE" w:rsidR="006E7BC1" w:rsidRPr="007D116C" w:rsidRDefault="6713F0A4" w:rsidP="2454FF12">
      <w:pPr>
        <w:pStyle w:val="ListParagraph"/>
        <w:numPr>
          <w:ilvl w:val="0"/>
          <w:numId w:val="2"/>
        </w:numPr>
        <w:ind w:left="0" w:hanging="426"/>
        <w:rPr>
          <w:rFonts w:asciiTheme="majorHAnsi" w:eastAsiaTheme="majorEastAsia" w:hAnsiTheme="majorHAnsi" w:cstheme="majorBidi"/>
          <w:sz w:val="24"/>
          <w:szCs w:val="24"/>
          <w:u w:val="single"/>
        </w:rPr>
      </w:pPr>
      <w:r w:rsidRPr="007D116C">
        <w:t>The document</w:t>
      </w:r>
      <w:r w:rsidR="36427CB9" w:rsidRPr="007D116C">
        <w:t xml:space="preserve"> is structured as follows. </w:t>
      </w:r>
      <w:r w:rsidR="6E56C940" w:rsidRPr="007D116C">
        <w:rPr>
          <w:b/>
          <w:bCs/>
        </w:rPr>
        <w:t xml:space="preserve">Part A </w:t>
      </w:r>
      <w:r w:rsidR="6E56C940" w:rsidRPr="007D116C">
        <w:t>outlines key features of the QBCC governance model;</w:t>
      </w:r>
      <w:r w:rsidR="6E56C940" w:rsidRPr="007D116C">
        <w:rPr>
          <w:b/>
          <w:bCs/>
        </w:rPr>
        <w:t xml:space="preserve"> Part B</w:t>
      </w:r>
      <w:r w:rsidR="36427CB9" w:rsidRPr="007D116C">
        <w:t xml:space="preserve"> provides a comparative analysis of </w:t>
      </w:r>
      <w:r w:rsidR="5573B923" w:rsidRPr="007D116C">
        <w:t xml:space="preserve">the governance models of </w:t>
      </w:r>
      <w:r w:rsidR="36427CB9" w:rsidRPr="007D116C">
        <w:t>Australian construction indus</w:t>
      </w:r>
      <w:r w:rsidR="5573B923" w:rsidRPr="007D116C">
        <w:t>try regulators</w:t>
      </w:r>
      <w:r w:rsidR="689FF2C5" w:rsidRPr="007D116C">
        <w:t xml:space="preserve">, </w:t>
      </w:r>
      <w:r w:rsidR="005C218F" w:rsidRPr="007D116C">
        <w:t xml:space="preserve">while </w:t>
      </w:r>
      <w:r w:rsidR="005C218F" w:rsidRPr="007D116C">
        <w:rPr>
          <w:b/>
          <w:bCs/>
        </w:rPr>
        <w:t xml:space="preserve">Part </w:t>
      </w:r>
      <w:r w:rsidR="3D39A543" w:rsidRPr="007D116C">
        <w:rPr>
          <w:b/>
          <w:bCs/>
        </w:rPr>
        <w:t>C</w:t>
      </w:r>
      <w:r w:rsidR="005C218F" w:rsidRPr="007D116C">
        <w:t xml:space="preserve"> </w:t>
      </w:r>
      <w:r w:rsidR="689FF2C5" w:rsidRPr="007D116C">
        <w:t>place</w:t>
      </w:r>
      <w:r w:rsidR="005C218F" w:rsidRPr="007D116C">
        <w:t>s this</w:t>
      </w:r>
      <w:r w:rsidR="689FF2C5" w:rsidRPr="007D116C">
        <w:t xml:space="preserve"> in the context of </w:t>
      </w:r>
      <w:r w:rsidR="2DCCE67B" w:rsidRPr="007D116C">
        <w:t>the evidence</w:t>
      </w:r>
      <w:r w:rsidR="25C84E68" w:rsidRPr="007D116C">
        <w:t xml:space="preserve"> base for best practice for regulators in this industry. </w:t>
      </w:r>
      <w:r w:rsidR="25C84E68" w:rsidRPr="007D116C">
        <w:rPr>
          <w:b/>
          <w:bCs/>
        </w:rPr>
        <w:t xml:space="preserve">Part </w:t>
      </w:r>
      <w:r w:rsidR="65094175" w:rsidRPr="007D116C">
        <w:rPr>
          <w:b/>
          <w:bCs/>
        </w:rPr>
        <w:t>D</w:t>
      </w:r>
      <w:r w:rsidR="25C84E68" w:rsidRPr="007D116C">
        <w:t xml:space="preserve"> </w:t>
      </w:r>
      <w:r w:rsidR="424241A1" w:rsidRPr="007D116C">
        <w:t xml:space="preserve">is a discussion of the </w:t>
      </w:r>
      <w:r w:rsidR="0897AABB" w:rsidRPr="007D116C">
        <w:t>QBCC’s risk-based regulatory approach,</w:t>
      </w:r>
      <w:r w:rsidR="5C9FD6B4" w:rsidRPr="007D116C">
        <w:t xml:space="preserve"> including </w:t>
      </w:r>
      <w:r w:rsidR="4531C0F7" w:rsidRPr="007D116C">
        <w:t>the interactions between this approach, the kinds of risks faced by the industry, and the QBCC’s governance model</w:t>
      </w:r>
      <w:r w:rsidR="6C7E9B93" w:rsidRPr="007D116C">
        <w:t xml:space="preserve">. Finally, </w:t>
      </w:r>
      <w:r w:rsidR="6C7E9B93" w:rsidRPr="007D116C">
        <w:rPr>
          <w:b/>
          <w:bCs/>
        </w:rPr>
        <w:t xml:space="preserve">Part </w:t>
      </w:r>
      <w:r w:rsidR="3B6AB281" w:rsidRPr="007D116C">
        <w:rPr>
          <w:b/>
          <w:bCs/>
        </w:rPr>
        <w:t>E</w:t>
      </w:r>
      <w:r w:rsidR="6C7E9B93" w:rsidRPr="007D116C">
        <w:t xml:space="preserve"> </w:t>
      </w:r>
      <w:r w:rsidR="3C4C3F38" w:rsidRPr="007D116C">
        <w:t>considers</w:t>
      </w:r>
      <w:r w:rsidR="38FED935" w:rsidRPr="007D116C">
        <w:t xml:space="preserve"> evidence for the </w:t>
      </w:r>
      <w:r w:rsidR="6C7E9B93" w:rsidRPr="007D116C">
        <w:t>capabilities and values</w:t>
      </w:r>
      <w:r w:rsidR="38FED935" w:rsidRPr="007D116C">
        <w:t xml:space="preserve"> regulatory leaders</w:t>
      </w:r>
      <w:r w:rsidR="14D117E2" w:rsidRPr="007D116C">
        <w:t xml:space="preserve"> require to be effective, and </w:t>
      </w:r>
      <w:r w:rsidR="6DEB5D0F" w:rsidRPr="007D116C">
        <w:t>how this relates to the succes</w:t>
      </w:r>
      <w:r w:rsidR="1005861D" w:rsidRPr="007D116C">
        <w:t>s of the QBCC’s governance model and regulatory approach.</w:t>
      </w:r>
    </w:p>
    <w:p w14:paraId="4587E6AF" w14:textId="77777777" w:rsidR="0096017E" w:rsidRPr="007D116C" w:rsidRDefault="0096017E">
      <w:pPr>
        <w:rPr>
          <w:rFonts w:asciiTheme="majorHAnsi" w:eastAsiaTheme="majorEastAsia" w:hAnsiTheme="majorHAnsi" w:cstheme="majorBidi"/>
          <w:sz w:val="24"/>
          <w:szCs w:val="26"/>
          <w:u w:val="single"/>
        </w:rPr>
      </w:pPr>
      <w:r w:rsidRPr="007D116C">
        <w:br w:type="page"/>
      </w:r>
    </w:p>
    <w:p w14:paraId="10CC7033" w14:textId="3696780A" w:rsidR="00780211" w:rsidRPr="007D116C" w:rsidRDefault="00614885" w:rsidP="000672AB">
      <w:pPr>
        <w:pStyle w:val="Heading2"/>
        <w:rPr>
          <w:b/>
        </w:rPr>
      </w:pPr>
      <w:bookmarkStart w:id="4" w:name="_Toc100599121"/>
      <w:r w:rsidRPr="007D116C">
        <w:lastRenderedPageBreak/>
        <w:t>The QBCC in Context</w:t>
      </w:r>
      <w:bookmarkEnd w:id="4"/>
    </w:p>
    <w:p w14:paraId="5A1CAAEA" w14:textId="2B8F1D85" w:rsidR="00360F66" w:rsidRPr="007D116C" w:rsidRDefault="00614885" w:rsidP="00892F03">
      <w:pPr>
        <w:pStyle w:val="ListParagraph"/>
        <w:numPr>
          <w:ilvl w:val="0"/>
          <w:numId w:val="2"/>
        </w:numPr>
        <w:ind w:left="0" w:hanging="425"/>
        <w:contextualSpacing w:val="0"/>
        <w:rPr>
          <w:rFonts w:eastAsiaTheme="minorEastAsia"/>
        </w:rPr>
      </w:pPr>
      <w:r w:rsidRPr="007D116C">
        <w:t xml:space="preserve">The </w:t>
      </w:r>
      <w:r w:rsidR="4A34D7B3" w:rsidRPr="007D116C">
        <w:rPr>
          <w:rFonts w:ascii="Calibri" w:eastAsia="Calibri" w:hAnsi="Calibri" w:cs="Calibri"/>
        </w:rPr>
        <w:t>current institutional form</w:t>
      </w:r>
      <w:r w:rsidRPr="007D116C">
        <w:rPr>
          <w:rFonts w:ascii="Calibri" w:eastAsia="Calibri" w:hAnsi="Calibri" w:cs="Calibri"/>
        </w:rPr>
        <w:t xml:space="preserve"> of the </w:t>
      </w:r>
      <w:r w:rsidR="4A34D7B3" w:rsidRPr="007D116C">
        <w:rPr>
          <w:rFonts w:ascii="Calibri" w:eastAsia="Calibri" w:hAnsi="Calibri" w:cs="Calibri"/>
        </w:rPr>
        <w:t>QBCC dates</w:t>
      </w:r>
      <w:r w:rsidR="3CE4835C" w:rsidRPr="007D116C">
        <w:t xml:space="preserve"> from</w:t>
      </w:r>
      <w:r w:rsidRPr="007D116C">
        <w:t xml:space="preserve"> the Queensland Government’s response to the recommendations in the Transport, Housing and Local Government</w:t>
      </w:r>
      <w:r w:rsidRPr="007D116C">
        <w:rPr>
          <w:i/>
        </w:rPr>
        <w:t xml:space="preserve"> Report No. 14, Inquiry into the Operation and Performance of the Queensland Building Services Authority 2012</w:t>
      </w:r>
      <w:r w:rsidRPr="007D116C">
        <w:t>.</w:t>
      </w:r>
      <w:r w:rsidRPr="007D116C">
        <w:rPr>
          <w:rStyle w:val="FootnoteReference"/>
        </w:rPr>
        <w:footnoteReference w:id="5"/>
      </w:r>
      <w:r w:rsidRPr="007D116C">
        <w:t xml:space="preserve"> </w:t>
      </w:r>
      <w:r w:rsidR="00F427F8" w:rsidRPr="007D116C">
        <w:t xml:space="preserve">While the government did not accept all the recommendations of </w:t>
      </w:r>
      <w:r w:rsidR="004547D1" w:rsidRPr="007D116C">
        <w:t xml:space="preserve">that report, </w:t>
      </w:r>
      <w:r w:rsidR="001F5573" w:rsidRPr="007D116C">
        <w:t>the report</w:t>
      </w:r>
      <w:r w:rsidR="004547D1" w:rsidRPr="007D116C">
        <w:t xml:space="preserve"> did lead to</w:t>
      </w:r>
      <w:r w:rsidR="009266D6" w:rsidRPr="007D116C">
        <w:t xml:space="preserve"> government creating the</w:t>
      </w:r>
      <w:r w:rsidRPr="007D116C">
        <w:t xml:space="preserve"> QBCC </w:t>
      </w:r>
      <w:r w:rsidR="009266D6" w:rsidRPr="007D116C">
        <w:t>to replace</w:t>
      </w:r>
      <w:r w:rsidRPr="007D116C">
        <w:t xml:space="preserve"> the Queensland Building Services Agency (QBSA) in 2013. The QBCC comprises the Queensland Building and Construction Board (QBC Board), the </w:t>
      </w:r>
      <w:r w:rsidR="002D6C67" w:rsidRPr="007D116C">
        <w:t>Commission</w:t>
      </w:r>
      <w:r w:rsidRPr="007D116C">
        <w:t xml:space="preserve">er and the organisational unit under the control of the </w:t>
      </w:r>
      <w:r w:rsidR="002D6C67" w:rsidRPr="007D116C">
        <w:t>Commission</w:t>
      </w:r>
      <w:r w:rsidRPr="007D116C">
        <w:t xml:space="preserve">er, and the Service Trades Council, which </w:t>
      </w:r>
      <w:r w:rsidR="00307281" w:rsidRPr="007D116C">
        <w:t>i</w:t>
      </w:r>
      <w:r w:rsidRPr="007D116C">
        <w:t xml:space="preserve">s established separately under the </w:t>
      </w:r>
      <w:r w:rsidRPr="007D116C">
        <w:rPr>
          <w:i/>
          <w:iCs/>
        </w:rPr>
        <w:t>Plumbing and Drainage Act 2018</w:t>
      </w:r>
      <w:r w:rsidR="009266D6" w:rsidRPr="007D116C">
        <w:t xml:space="preserve"> (Qld)</w:t>
      </w:r>
      <w:r w:rsidRPr="007D116C">
        <w:t xml:space="preserve">. </w:t>
      </w:r>
    </w:p>
    <w:p w14:paraId="22C919A4" w14:textId="6ED5DF21" w:rsidR="00407A41" w:rsidRPr="007D116C" w:rsidRDefault="00B72F25" w:rsidP="00892F03">
      <w:pPr>
        <w:pStyle w:val="ListParagraph"/>
        <w:numPr>
          <w:ilvl w:val="0"/>
          <w:numId w:val="2"/>
        </w:numPr>
        <w:ind w:left="0" w:hanging="425"/>
        <w:contextualSpacing w:val="0"/>
      </w:pPr>
      <w:r w:rsidRPr="007D116C">
        <w:t>T</w:t>
      </w:r>
      <w:r w:rsidR="00614885" w:rsidRPr="007D116C">
        <w:t>he QBSA was</w:t>
      </w:r>
      <w:r w:rsidRPr="007D116C">
        <w:t xml:space="preserve"> established in 1991 as</w:t>
      </w:r>
      <w:r w:rsidR="00614885" w:rsidRPr="007D116C">
        <w:t xml:space="preserve"> </w:t>
      </w:r>
      <w:r w:rsidRPr="007D116C">
        <w:t>a</w:t>
      </w:r>
      <w:r w:rsidR="00614885" w:rsidRPr="007D116C">
        <w:t xml:space="preserve"> </w:t>
      </w:r>
      <w:r w:rsidR="00846160" w:rsidRPr="007D116C">
        <w:t>‘</w:t>
      </w:r>
      <w:r w:rsidR="00614885" w:rsidRPr="007D116C">
        <w:t>one-stop</w:t>
      </w:r>
      <w:r w:rsidR="009E1659" w:rsidRPr="007D116C">
        <w:t xml:space="preserve"> </w:t>
      </w:r>
      <w:r w:rsidR="00614885" w:rsidRPr="007D116C">
        <w:t>shop</w:t>
      </w:r>
      <w:r w:rsidR="00846160" w:rsidRPr="007D116C">
        <w:t>’</w:t>
      </w:r>
      <w:r w:rsidR="00614885" w:rsidRPr="007D116C">
        <w:t xml:space="preserve"> for the handing of building regulation and licensing for the construction industry in Queensland. </w:t>
      </w:r>
      <w:r w:rsidR="001062AC" w:rsidRPr="007D116C">
        <w:t xml:space="preserve">The consolidation of regulatory and service-delivery functions was intended to increase </w:t>
      </w:r>
      <w:r w:rsidR="00A43EA2" w:rsidRPr="007D116C">
        <w:t xml:space="preserve">effectiveness and efficiency. </w:t>
      </w:r>
      <w:r w:rsidR="00F5267D" w:rsidRPr="007D116C">
        <w:t>In following years</w:t>
      </w:r>
      <w:r w:rsidR="003B5BCB" w:rsidRPr="007D116C">
        <w:t xml:space="preserve">, </w:t>
      </w:r>
      <w:r w:rsidR="00F5267D" w:rsidRPr="007D116C">
        <w:t>consecutive</w:t>
      </w:r>
      <w:r w:rsidR="003B5BCB" w:rsidRPr="007D116C">
        <w:t xml:space="preserve"> governments </w:t>
      </w:r>
      <w:r w:rsidR="00F5267D" w:rsidRPr="007D116C">
        <w:t>undertook</w:t>
      </w:r>
      <w:r w:rsidR="003B5BCB" w:rsidRPr="007D116C">
        <w:t xml:space="preserve"> industry reforms </w:t>
      </w:r>
      <w:r w:rsidR="00344146" w:rsidRPr="007D116C">
        <w:t>that</w:t>
      </w:r>
      <w:r w:rsidR="00B25081" w:rsidRPr="007D116C">
        <w:t xml:space="preserve"> changed and</w:t>
      </w:r>
      <w:r w:rsidR="00344146" w:rsidRPr="007D116C">
        <w:t xml:space="preserve"> increased the range of </w:t>
      </w:r>
      <w:r w:rsidR="00D72066" w:rsidRPr="007D116C">
        <w:t xml:space="preserve">the </w:t>
      </w:r>
      <w:r w:rsidR="00344146" w:rsidRPr="007D116C">
        <w:t xml:space="preserve">functions of the regulator. </w:t>
      </w:r>
      <w:r w:rsidR="00F33C59" w:rsidRPr="007D116C">
        <w:t xml:space="preserve">These reforms included the 1999 Better Building Industry reforms, </w:t>
      </w:r>
      <w:r w:rsidR="002D2CAF" w:rsidRPr="007D116C">
        <w:t xml:space="preserve">which reformed licensing among other functions, </w:t>
      </w:r>
      <w:r w:rsidR="00924E4C" w:rsidRPr="007D116C">
        <w:t xml:space="preserve">the 2001 introduction of fire protection </w:t>
      </w:r>
      <w:r w:rsidR="009C6985" w:rsidRPr="007D116C">
        <w:t>contractor</w:t>
      </w:r>
      <w:r w:rsidR="00924E4C" w:rsidRPr="007D116C">
        <w:t xml:space="preserve"> licensing, the 2003 rationalisation of </w:t>
      </w:r>
      <w:r w:rsidR="009C6985" w:rsidRPr="007D116C">
        <w:t>licence classes, and the 2009 introduction of fire protection</w:t>
      </w:r>
      <w:r w:rsidR="00336E7E" w:rsidRPr="007D116C">
        <w:t xml:space="preserve"> occupational licence classes</w:t>
      </w:r>
      <w:r w:rsidR="00C9360C" w:rsidRPr="007D116C">
        <w:t xml:space="preserve"> as part of the government’s continuing response to the 2000 Childers Palace Backpackers Hostel fire.</w:t>
      </w:r>
    </w:p>
    <w:p w14:paraId="7EE17A89" w14:textId="04BF02B1" w:rsidR="004800EB" w:rsidRPr="007D116C" w:rsidRDefault="1EEE8F47" w:rsidP="2EEDAB12">
      <w:pPr>
        <w:pStyle w:val="ListParagraph"/>
        <w:numPr>
          <w:ilvl w:val="0"/>
          <w:numId w:val="2"/>
        </w:numPr>
        <w:ind w:left="0" w:hanging="425"/>
      </w:pPr>
      <w:r w:rsidRPr="007D116C">
        <w:t>In 2013, t</w:t>
      </w:r>
      <w:r w:rsidR="3B66497C" w:rsidRPr="007D116C">
        <w:t>he QBCC</w:t>
      </w:r>
      <w:r w:rsidRPr="007D116C">
        <w:t xml:space="preserve"> replaced the</w:t>
      </w:r>
      <w:r w:rsidR="3B66497C" w:rsidRPr="007D116C">
        <w:t xml:space="preserve"> QBSA</w:t>
      </w:r>
      <w:r w:rsidRPr="007D116C">
        <w:t xml:space="preserve">, retaining the earlier body’s functions while incorporating a </w:t>
      </w:r>
      <w:r w:rsidR="7F16739C" w:rsidRPr="007D116C">
        <w:t>newly established</w:t>
      </w:r>
      <w:r w:rsidR="3B66497C" w:rsidRPr="007D116C">
        <w:t xml:space="preserve"> professional governing board</w:t>
      </w:r>
      <w:r w:rsidR="2AA1E11E" w:rsidRPr="007D116C">
        <w:t xml:space="preserve">, which would </w:t>
      </w:r>
      <w:r w:rsidR="3B66497C" w:rsidRPr="007D116C">
        <w:t>set strategic direction</w:t>
      </w:r>
      <w:r w:rsidR="7F16739C" w:rsidRPr="007D116C">
        <w:t>s</w:t>
      </w:r>
      <w:r w:rsidR="3B66497C" w:rsidRPr="007D116C">
        <w:t xml:space="preserve">, along with operational, financial, and administrative policies. </w:t>
      </w:r>
      <w:r w:rsidR="3B66497C" w:rsidRPr="007D116C">
        <w:rPr>
          <w:rFonts w:eastAsia="Times New Roman"/>
          <w:lang w:eastAsia="en-GB"/>
        </w:rPr>
        <w:t xml:space="preserve">The reform was also driven by growth in the construction sector, with rising numbers of building approvals, and an increasingly complex built environment. </w:t>
      </w:r>
      <w:r w:rsidR="444B0650" w:rsidRPr="007D116C">
        <w:rPr>
          <w:rFonts w:eastAsia="Times New Roman"/>
          <w:lang w:eastAsia="en-GB"/>
        </w:rPr>
        <w:t>Since its inception, t</w:t>
      </w:r>
      <w:r w:rsidR="3B66497C" w:rsidRPr="007D116C">
        <w:rPr>
          <w:rFonts w:eastAsia="Times New Roman"/>
          <w:lang w:eastAsia="en-GB"/>
        </w:rPr>
        <w:t xml:space="preserve">he </w:t>
      </w:r>
      <w:r w:rsidR="444B0650" w:rsidRPr="007D116C">
        <w:rPr>
          <w:rFonts w:eastAsia="Times New Roman"/>
          <w:lang w:eastAsia="en-GB"/>
        </w:rPr>
        <w:t xml:space="preserve">mandate of the regulator has included </w:t>
      </w:r>
      <w:r w:rsidR="3B66497C" w:rsidRPr="007D116C">
        <w:rPr>
          <w:rFonts w:eastAsia="Times New Roman"/>
          <w:lang w:eastAsia="en-GB"/>
        </w:rPr>
        <w:t xml:space="preserve">protecting the health and </w:t>
      </w:r>
      <w:r w:rsidR="3B66497C" w:rsidRPr="007D116C">
        <w:rPr>
          <w:rFonts w:eastAsia="Times New Roman"/>
          <w:lang w:eastAsia="en-GB"/>
        </w:rPr>
        <w:lastRenderedPageBreak/>
        <w:t xml:space="preserve">safety of consumers and </w:t>
      </w:r>
      <w:r w:rsidR="63CC3DAF" w:rsidRPr="007D116C">
        <w:rPr>
          <w:rFonts w:eastAsia="Times New Roman"/>
          <w:lang w:eastAsia="en-GB"/>
        </w:rPr>
        <w:t>workers</w:t>
      </w:r>
      <w:r w:rsidR="3B66497C" w:rsidRPr="007D116C">
        <w:rPr>
          <w:rFonts w:eastAsia="Times New Roman"/>
          <w:lang w:eastAsia="en-GB"/>
        </w:rPr>
        <w:t xml:space="preserve">, while also managing a variety of </w:t>
      </w:r>
      <w:r w:rsidR="2B0E777D" w:rsidRPr="007D116C">
        <w:rPr>
          <w:rFonts w:eastAsia="Times New Roman"/>
          <w:lang w:eastAsia="en-GB"/>
        </w:rPr>
        <w:t xml:space="preserve">industry </w:t>
      </w:r>
      <w:r w:rsidR="3B66497C" w:rsidRPr="007D116C">
        <w:rPr>
          <w:rFonts w:eastAsia="Times New Roman"/>
          <w:lang w:eastAsia="en-GB"/>
        </w:rPr>
        <w:t>sectoral interests</w:t>
      </w:r>
      <w:r w:rsidR="2B0E777D" w:rsidRPr="007D116C">
        <w:rPr>
          <w:rFonts w:eastAsia="Times New Roman"/>
          <w:lang w:eastAsia="en-GB"/>
        </w:rPr>
        <w:t>, including</w:t>
      </w:r>
      <w:r w:rsidR="3B66497C" w:rsidRPr="007D116C">
        <w:rPr>
          <w:rFonts w:eastAsia="Times New Roman"/>
          <w:lang w:eastAsia="en-GB"/>
        </w:rPr>
        <w:t xml:space="preserve"> the treatment of subcontractors</w:t>
      </w:r>
      <w:r w:rsidR="2B0E777D" w:rsidRPr="007D116C">
        <w:rPr>
          <w:rFonts w:eastAsia="Times New Roman"/>
          <w:lang w:eastAsia="en-GB"/>
        </w:rPr>
        <w:t>,</w:t>
      </w:r>
      <w:r w:rsidR="5A6E2AB5" w:rsidRPr="007D116C">
        <w:rPr>
          <w:rFonts w:eastAsia="Times New Roman"/>
          <w:lang w:eastAsia="en-GB"/>
        </w:rPr>
        <w:t xml:space="preserve"> the investigation of</w:t>
      </w:r>
      <w:r w:rsidR="2B0E777D" w:rsidRPr="007D116C">
        <w:rPr>
          <w:rFonts w:eastAsia="Times New Roman"/>
          <w:lang w:eastAsia="en-GB"/>
        </w:rPr>
        <w:t xml:space="preserve"> </w:t>
      </w:r>
      <w:r w:rsidR="3B66497C" w:rsidRPr="007D116C">
        <w:rPr>
          <w:rFonts w:eastAsia="Times New Roman"/>
          <w:lang w:eastAsia="en-GB"/>
        </w:rPr>
        <w:t>offences</w:t>
      </w:r>
      <w:r w:rsidR="5A6E2AB5" w:rsidRPr="007D116C">
        <w:rPr>
          <w:rFonts w:eastAsia="Times New Roman"/>
          <w:lang w:eastAsia="en-GB"/>
        </w:rPr>
        <w:t xml:space="preserve"> and disciplinary matters, and dispute resolution. These reforms sought to reduce red tape, create fair regulations, and ensure the QBCC supports the growth of the industry.</w:t>
      </w:r>
      <w:r w:rsidR="00614885" w:rsidRPr="007D116C">
        <w:rPr>
          <w:rStyle w:val="FootnoteReference"/>
          <w:rFonts w:eastAsia="Times New Roman"/>
          <w:lang w:eastAsia="en-GB"/>
        </w:rPr>
        <w:footnoteReference w:id="6"/>
      </w:r>
      <w:r w:rsidR="00407A41" w:rsidRPr="007D116C">
        <w:rPr>
          <w:rStyle w:val="FootnoteReference"/>
          <w:rFonts w:eastAsia="Times New Roman"/>
          <w:lang w:eastAsia="en-GB"/>
        </w:rPr>
        <w:footnoteReference w:id="7"/>
      </w:r>
    </w:p>
    <w:p w14:paraId="471D63CD" w14:textId="67437401" w:rsidR="00C431A0" w:rsidRPr="007D116C" w:rsidRDefault="02FCD45D" w:rsidP="16FFD785">
      <w:pPr>
        <w:pStyle w:val="ListParagraph"/>
        <w:numPr>
          <w:ilvl w:val="0"/>
          <w:numId w:val="2"/>
        </w:numPr>
        <w:ind w:left="0" w:hanging="425"/>
      </w:pPr>
      <w:r w:rsidRPr="007D116C">
        <w:t>Queensland’s building and construction sector is significant for the fact that it engages and is serviced by the highest number of small businesses of any sector.</w:t>
      </w:r>
      <w:r w:rsidR="006E2524" w:rsidRPr="007D116C">
        <w:rPr>
          <w:rStyle w:val="FootnoteReference"/>
        </w:rPr>
        <w:footnoteReference w:id="8"/>
      </w:r>
      <w:r w:rsidRPr="007D116C">
        <w:t xml:space="preserve"> </w:t>
      </w:r>
      <w:r w:rsidR="48850077" w:rsidRPr="007D116C">
        <w:t xml:space="preserve">This </w:t>
      </w:r>
      <w:r w:rsidR="5F8C7B07" w:rsidRPr="007D116C">
        <w:t xml:space="preserve">presents a </w:t>
      </w:r>
      <w:r w:rsidR="590F785E" w:rsidRPr="007D116C">
        <w:t xml:space="preserve">volume </w:t>
      </w:r>
      <w:r w:rsidR="48850077" w:rsidRPr="007D116C">
        <w:t>burden</w:t>
      </w:r>
      <w:r w:rsidR="0C27B93B" w:rsidRPr="007D116C">
        <w:t xml:space="preserve"> in terms of licencing and compliance.</w:t>
      </w:r>
      <w:r w:rsidR="5F8C7B07" w:rsidRPr="007D116C">
        <w:t xml:space="preserve"> It also has economic </w:t>
      </w:r>
      <w:r w:rsidR="126721B3" w:rsidRPr="007D116C">
        <w:t xml:space="preserve">regulatory </w:t>
      </w:r>
      <w:r w:rsidR="3BE3AFB5" w:rsidRPr="007D116C">
        <w:t>implications.</w:t>
      </w:r>
      <w:r w:rsidR="0C27B93B" w:rsidRPr="007D116C">
        <w:t xml:space="preserve"> S</w:t>
      </w:r>
      <w:r w:rsidRPr="007D116C">
        <w:t xml:space="preserve">mall businesses’ capital and cash reserves are limited. Insolvency among building services operators </w:t>
      </w:r>
      <w:r w:rsidR="28E11842" w:rsidRPr="007D116C">
        <w:t xml:space="preserve">is common and </w:t>
      </w:r>
      <w:r w:rsidRPr="007D116C">
        <w:t xml:space="preserve">has consequently been a real and material issue and a challenge for the regulator. </w:t>
      </w:r>
      <w:r w:rsidR="6D1A893F" w:rsidRPr="007D116C">
        <w:t>I</w:t>
      </w:r>
      <w:r w:rsidR="16E30C9D" w:rsidRPr="007D116C">
        <w:t>n</w:t>
      </w:r>
      <w:r w:rsidR="6D1A893F" w:rsidRPr="007D116C">
        <w:t xml:space="preserve"> 2017-18, </w:t>
      </w:r>
      <w:r w:rsidR="2F534A4B" w:rsidRPr="007D116C">
        <w:t>for example</w:t>
      </w:r>
      <w:r w:rsidR="396ACEE6" w:rsidRPr="007D116C">
        <w:t xml:space="preserve">, </w:t>
      </w:r>
      <w:r w:rsidR="6D1A893F" w:rsidRPr="007D116C">
        <w:t>32</w:t>
      </w:r>
      <w:r w:rsidR="16E30C9D" w:rsidRPr="007D116C">
        <w:t xml:space="preserve">4 construction sector businesses </w:t>
      </w:r>
      <w:r w:rsidR="0AD0074E" w:rsidRPr="007D116C">
        <w:t xml:space="preserve">became insolvent; almost </w:t>
      </w:r>
      <w:r w:rsidR="0583C3EA" w:rsidRPr="007D116C">
        <w:t>half</w:t>
      </w:r>
      <w:r w:rsidR="0AD0074E" w:rsidRPr="007D116C">
        <w:t xml:space="preserve"> of these </w:t>
      </w:r>
      <w:r w:rsidR="0583C3EA" w:rsidRPr="007D116C">
        <w:t>were businesses valued at less than $3million.</w:t>
      </w:r>
      <w:r w:rsidR="00E47934" w:rsidRPr="007D116C">
        <w:rPr>
          <w:rStyle w:val="FootnoteReference"/>
        </w:rPr>
        <w:footnoteReference w:id="9"/>
      </w:r>
      <w:r w:rsidR="16E30C9D" w:rsidRPr="007D116C">
        <w:t xml:space="preserve"> </w:t>
      </w:r>
      <w:r w:rsidR="158B0CCD" w:rsidRPr="007D116C">
        <w:t>And where larger companies fail,</w:t>
      </w:r>
      <w:r w:rsidR="365CEBBE" w:rsidRPr="007D116C">
        <w:t xml:space="preserve"> as </w:t>
      </w:r>
      <w:r w:rsidR="51B1CB1D" w:rsidRPr="007D116C">
        <w:t>has also occurred</w:t>
      </w:r>
      <w:r w:rsidR="365CEBBE" w:rsidRPr="007D116C">
        <w:t>,</w:t>
      </w:r>
      <w:r w:rsidR="00D77537" w:rsidRPr="007D116C">
        <w:rPr>
          <w:rStyle w:val="FootnoteReference"/>
        </w:rPr>
        <w:footnoteReference w:id="10"/>
      </w:r>
      <w:r w:rsidR="158B0CCD" w:rsidRPr="007D116C">
        <w:t xml:space="preserve"> the effects flow through to these very same </w:t>
      </w:r>
      <w:r w:rsidR="16B5B8FA" w:rsidRPr="007D116C">
        <w:t xml:space="preserve">smaller operators as subcontractors. </w:t>
      </w:r>
      <w:r w:rsidR="4CE5FC85" w:rsidRPr="007D116C">
        <w:rPr>
          <w:rFonts w:eastAsia="Times New Roman"/>
          <w:lang w:eastAsia="en-GB"/>
        </w:rPr>
        <w:t xml:space="preserve">In 2017, </w:t>
      </w:r>
      <w:r w:rsidR="396ACEE6" w:rsidRPr="007D116C">
        <w:rPr>
          <w:rFonts w:eastAsia="Times New Roman"/>
          <w:lang w:eastAsia="en-GB"/>
        </w:rPr>
        <w:t xml:space="preserve">and in response to this </w:t>
      </w:r>
      <w:r w:rsidR="25DA9ED6" w:rsidRPr="007D116C">
        <w:rPr>
          <w:rFonts w:eastAsia="Times New Roman"/>
          <w:lang w:eastAsia="en-GB"/>
        </w:rPr>
        <w:t xml:space="preserve">sectoral challenge, </w:t>
      </w:r>
      <w:r w:rsidR="4CE5FC85" w:rsidRPr="007D116C">
        <w:rPr>
          <w:rFonts w:eastAsia="Times New Roman"/>
          <w:lang w:eastAsia="en-GB"/>
        </w:rPr>
        <w:t xml:space="preserve">the </w:t>
      </w:r>
      <w:r w:rsidR="79712D58" w:rsidRPr="007D116C">
        <w:rPr>
          <w:rFonts w:eastAsia="Times New Roman"/>
          <w:lang w:eastAsia="en-GB"/>
        </w:rPr>
        <w:t>Queensland Government further reformed the regulator, expanding its powers in respect of security of payment</w:t>
      </w:r>
      <w:r w:rsidR="5EE02AFC" w:rsidRPr="007D116C">
        <w:rPr>
          <w:rFonts w:eastAsia="Times New Roman"/>
          <w:lang w:eastAsia="en-GB"/>
        </w:rPr>
        <w:t>, non-conforming building products</w:t>
      </w:r>
      <w:r w:rsidR="0699A458" w:rsidRPr="007D116C">
        <w:rPr>
          <w:rFonts w:eastAsia="Times New Roman"/>
          <w:lang w:eastAsia="en-GB"/>
        </w:rPr>
        <w:t xml:space="preserve">, </w:t>
      </w:r>
      <w:r w:rsidR="760CC143" w:rsidRPr="007D116C">
        <w:rPr>
          <w:rFonts w:eastAsia="Times New Roman"/>
          <w:lang w:eastAsia="en-GB"/>
        </w:rPr>
        <w:t xml:space="preserve">building certification and a range of other functions. </w:t>
      </w:r>
    </w:p>
    <w:p w14:paraId="3D981E99" w14:textId="76D304A2" w:rsidR="00866B15" w:rsidRPr="007D116C" w:rsidRDefault="63D8C5AB" w:rsidP="16FFD785">
      <w:pPr>
        <w:pStyle w:val="ListParagraph"/>
        <w:numPr>
          <w:ilvl w:val="0"/>
          <w:numId w:val="2"/>
        </w:numPr>
        <w:ind w:left="0" w:hanging="425"/>
        <w:rPr>
          <w:rFonts w:asciiTheme="majorHAnsi" w:eastAsiaTheme="majorEastAsia" w:hAnsiTheme="majorHAnsi" w:cstheme="majorBidi"/>
          <w:b/>
          <w:bCs/>
        </w:rPr>
      </w:pPr>
      <w:r w:rsidRPr="007D116C">
        <w:t>In recent years, t</w:t>
      </w:r>
      <w:r w:rsidR="322C1C84" w:rsidRPr="007D116C">
        <w:t xml:space="preserve">he critical importance of </w:t>
      </w:r>
      <w:r w:rsidRPr="007D116C">
        <w:t>building and construction regulation has been demonstrated by</w:t>
      </w:r>
      <w:r w:rsidR="53F15090" w:rsidRPr="007D116C">
        <w:t xml:space="preserve"> several</w:t>
      </w:r>
      <w:r w:rsidRPr="007D116C">
        <w:t xml:space="preserve"> </w:t>
      </w:r>
      <w:r w:rsidR="53F15090" w:rsidRPr="007D116C">
        <w:t>i</w:t>
      </w:r>
      <w:r w:rsidR="2B77CE6A" w:rsidRPr="007D116C">
        <w:t>ncidents</w:t>
      </w:r>
      <w:r w:rsidR="61870B0E" w:rsidRPr="007D116C">
        <w:t>, including the 2019 and 2018 evacuations respectively, of newly built residential towers at Mascot and at Homebush in NSW</w:t>
      </w:r>
      <w:r w:rsidR="6FCD8B85" w:rsidRPr="007D116C">
        <w:t>,</w:t>
      </w:r>
      <w:r w:rsidR="61870B0E" w:rsidRPr="007D116C">
        <w:t xml:space="preserve"> </w:t>
      </w:r>
      <w:r w:rsidR="2B77CE6A" w:rsidRPr="007D116C">
        <w:t xml:space="preserve">and the 2017 fire </w:t>
      </w:r>
      <w:r w:rsidR="36CB8054" w:rsidRPr="007D116C">
        <w:t>at Grenfell Tower</w:t>
      </w:r>
      <w:r w:rsidR="4C883B76" w:rsidRPr="007D116C">
        <w:t xml:space="preserve"> in</w:t>
      </w:r>
      <w:r w:rsidR="2B77CE6A" w:rsidRPr="007D116C">
        <w:t xml:space="preserve"> London </w:t>
      </w:r>
      <w:r w:rsidR="0312C9C5" w:rsidRPr="007D116C">
        <w:t xml:space="preserve">that saw </w:t>
      </w:r>
      <w:r w:rsidR="0312C9C5" w:rsidRPr="007D116C">
        <w:lastRenderedPageBreak/>
        <w:t xml:space="preserve">massive loss of life caused by </w:t>
      </w:r>
      <w:r w:rsidR="2B77CE6A" w:rsidRPr="007D116C">
        <w:t>the use of combustible cladding. In response to rising concern about regulatory failures in the construction industry</w:t>
      </w:r>
      <w:r w:rsidR="501774FE" w:rsidRPr="007D116C">
        <w:t>,</w:t>
      </w:r>
      <w:r w:rsidR="2B77CE6A" w:rsidRPr="007D116C">
        <w:t xml:space="preserve"> a</w:t>
      </w:r>
      <w:r w:rsidR="501774FE" w:rsidRPr="007D116C">
        <w:t xml:space="preserve"> national</w:t>
      </w:r>
      <w:r w:rsidR="2B77CE6A" w:rsidRPr="007D116C">
        <w:t xml:space="preserve"> assessment of the effectiveness of compliance and enforcement systems in Australia was undertaken and the results published in the Building Confidence Report (BCR) (2018).</w:t>
      </w:r>
      <w:r w:rsidR="00614885" w:rsidRPr="007D116C">
        <w:rPr>
          <w:rStyle w:val="FootnoteReference"/>
          <w:rFonts w:eastAsiaTheme="majorEastAsia"/>
        </w:rPr>
        <w:footnoteReference w:id="11"/>
      </w:r>
      <w:r w:rsidR="2B77CE6A" w:rsidRPr="007D116C">
        <w:t xml:space="preserve"> The BCR found widespread systemic failures </w:t>
      </w:r>
      <w:r w:rsidR="3A84BF84" w:rsidRPr="007D116C">
        <w:t xml:space="preserve">and </w:t>
      </w:r>
      <w:r w:rsidR="3C880312" w:rsidRPr="007D116C">
        <w:t>regulatory oversight</w:t>
      </w:r>
      <w:r w:rsidR="3A84BF84" w:rsidRPr="007D116C">
        <w:t xml:space="preserve"> across Australia</w:t>
      </w:r>
      <w:r w:rsidR="3C880312" w:rsidRPr="007D116C">
        <w:t>.</w:t>
      </w:r>
      <w:r w:rsidR="2B77CE6A" w:rsidRPr="007D116C">
        <w:t xml:space="preserve"> Among the concerns raised were issues with </w:t>
      </w:r>
      <w:r w:rsidR="13A1E451" w:rsidRPr="007D116C">
        <w:t xml:space="preserve">regulator </w:t>
      </w:r>
      <w:r w:rsidR="2B77CE6A" w:rsidRPr="007D116C">
        <w:t>capa</w:t>
      </w:r>
      <w:r w:rsidR="13A1E451" w:rsidRPr="007D116C">
        <w:t>bility</w:t>
      </w:r>
      <w:r w:rsidR="2B77CE6A" w:rsidRPr="007D116C">
        <w:t xml:space="preserve">, failure to regulate high-rise construction, inadequacy of design documentation and </w:t>
      </w:r>
      <w:r w:rsidR="501774FE" w:rsidRPr="007D116C">
        <w:t xml:space="preserve">weaknesses in </w:t>
      </w:r>
      <w:r w:rsidR="2B77CE6A" w:rsidRPr="007D116C">
        <w:t xml:space="preserve">compliance and enforcement systems that did not </w:t>
      </w:r>
      <w:r w:rsidR="4DA9B938" w:rsidRPr="007D116C">
        <w:t xml:space="preserve">anticipate and </w:t>
      </w:r>
      <w:r w:rsidR="2B77CE6A" w:rsidRPr="007D116C">
        <w:t xml:space="preserve">prevent </w:t>
      </w:r>
      <w:r w:rsidR="4DA9B938" w:rsidRPr="007D116C">
        <w:t xml:space="preserve">avoidable </w:t>
      </w:r>
      <w:r w:rsidR="2B77CE6A" w:rsidRPr="007D116C">
        <w:t>problems</w:t>
      </w:r>
      <w:r w:rsidR="4DA9B938" w:rsidRPr="007D116C">
        <w:t>.</w:t>
      </w:r>
      <w:r w:rsidR="2B77CE6A" w:rsidRPr="007D116C">
        <w:t xml:space="preserve"> The recommendations made in the BCR report have been implemented across jurisdictions,</w:t>
      </w:r>
      <w:r w:rsidR="13A1E451" w:rsidRPr="007D116C">
        <w:t xml:space="preserve"> and</w:t>
      </w:r>
      <w:r w:rsidR="2B77CE6A" w:rsidRPr="007D116C">
        <w:t xml:space="preserve"> by 2019 Queensland had implemented or partially implemented 19 of the 24 reforms.</w:t>
      </w:r>
      <w:r w:rsidR="00614885" w:rsidRPr="007D116C">
        <w:rPr>
          <w:rStyle w:val="FootnoteReference"/>
          <w:rFonts w:eastAsiaTheme="majorEastAsia"/>
        </w:rPr>
        <w:footnoteReference w:id="12"/>
      </w:r>
      <w:r w:rsidR="2B77CE6A" w:rsidRPr="007D116C">
        <w:t xml:space="preserve"> The reforms made since the release of the BCR report have further increased the regulatory oversight of the QBCC and extended its powers and responsibilities, with a consequent increase in the QBCC’s resource needs. </w:t>
      </w:r>
    </w:p>
    <w:p w14:paraId="44987002" w14:textId="3EA54363" w:rsidR="007B5A0C" w:rsidRPr="007D116C" w:rsidRDefault="0E0355C0" w:rsidP="16FFD785">
      <w:pPr>
        <w:pStyle w:val="ListParagraph"/>
        <w:numPr>
          <w:ilvl w:val="0"/>
          <w:numId w:val="2"/>
        </w:numPr>
        <w:ind w:left="0" w:hanging="425"/>
      </w:pPr>
      <w:r w:rsidRPr="007D116C">
        <w:t xml:space="preserve">Planning for growth in building and construction is sensitive to issues of supply chain certainty, increases in material costs and labour demand, and in the two most recent years marked by COVID 19, disruption to the supply of goods and labour due to a reduction in skilled migration. Sectoral sensitivity to issues of supply and demand has also been challenged by the size and shape of building services. The </w:t>
      </w:r>
      <w:r w:rsidR="172999F6" w:rsidRPr="007D116C">
        <w:t xml:space="preserve">picture here </w:t>
      </w:r>
      <w:r w:rsidR="58517A24" w:rsidRPr="007D116C">
        <w:t xml:space="preserve">is one </w:t>
      </w:r>
      <w:r w:rsidR="172999F6" w:rsidRPr="007D116C">
        <w:t>of ongoing reform</w:t>
      </w:r>
      <w:r w:rsidRPr="007D116C">
        <w:t xml:space="preserve"> </w:t>
      </w:r>
      <w:r w:rsidR="58517A24" w:rsidRPr="007D116C">
        <w:t>and</w:t>
      </w:r>
      <w:r w:rsidRPr="007D116C">
        <w:t xml:space="preserve"> an illustration of (the need for) insights</w:t>
      </w:r>
      <w:r w:rsidR="59D4F596" w:rsidRPr="007D116C">
        <w:t>-</w:t>
      </w:r>
      <w:r w:rsidRPr="007D116C">
        <w:t>driven regulation</w:t>
      </w:r>
      <w:r w:rsidR="58517A24" w:rsidRPr="007D116C">
        <w:t>.</w:t>
      </w:r>
      <w:r w:rsidR="141E87F9" w:rsidRPr="007D116C">
        <w:t xml:space="preserve"> The QBCC </w:t>
      </w:r>
      <w:r w:rsidR="35E28592" w:rsidRPr="007D116C">
        <w:t xml:space="preserve">is </w:t>
      </w:r>
      <w:r w:rsidR="698B66CF" w:rsidRPr="007D116C">
        <w:t>required</w:t>
      </w:r>
      <w:r w:rsidR="141E87F9" w:rsidRPr="007D116C">
        <w:t xml:space="preserve"> to operate in and anticipate the acute and high stakes challenges that attend the construction sector, while also ensuring compliance with Australian Standards and the National Construction Code (NCC).</w:t>
      </w:r>
    </w:p>
    <w:p w14:paraId="47EB81D6" w14:textId="77777777" w:rsidR="006E7BC1" w:rsidRPr="007D116C" w:rsidRDefault="006E7BC1" w:rsidP="00CE5686">
      <w:pPr>
        <w:rPr>
          <w:rFonts w:asciiTheme="majorHAnsi" w:eastAsiaTheme="majorEastAsia" w:hAnsiTheme="majorHAnsi" w:cstheme="majorBidi"/>
          <w:b/>
          <w:sz w:val="24"/>
          <w:szCs w:val="32"/>
        </w:rPr>
      </w:pPr>
      <w:r w:rsidRPr="007D116C">
        <w:br w:type="page"/>
      </w:r>
    </w:p>
    <w:p w14:paraId="651E9465" w14:textId="6655EA9F" w:rsidR="004325FB" w:rsidRPr="007D116C" w:rsidRDefault="47452F60" w:rsidP="00486916">
      <w:pPr>
        <w:pStyle w:val="Heading1"/>
        <w:rPr>
          <w:u w:val="single"/>
        </w:rPr>
      </w:pPr>
      <w:bookmarkStart w:id="5" w:name="_Toc100599122"/>
      <w:r>
        <w:lastRenderedPageBreak/>
        <w:t xml:space="preserve">Part A: </w:t>
      </w:r>
      <w:r w:rsidR="006F6DBE">
        <w:t>The QBCC’s governance model </w:t>
      </w:r>
      <w:bookmarkEnd w:id="5"/>
    </w:p>
    <w:p w14:paraId="4ABAA481" w14:textId="2C80E935" w:rsidR="00DD0B34" w:rsidRPr="007D116C" w:rsidRDefault="00C028A0" w:rsidP="00D47197">
      <w:pPr>
        <w:pStyle w:val="paragraph"/>
        <w:numPr>
          <w:ilvl w:val="0"/>
          <w:numId w:val="2"/>
        </w:numPr>
        <w:spacing w:before="0" w:beforeAutospacing="0" w:after="160" w:afterAutospacing="0" w:line="480" w:lineRule="auto"/>
        <w:ind w:left="0" w:hanging="426"/>
        <w:textAlignment w:val="baseline"/>
        <w:rPr>
          <w:rFonts w:asciiTheme="minorHAnsi" w:hAnsiTheme="minorHAnsi" w:cstheme="minorBidi"/>
          <w:sz w:val="22"/>
          <w:szCs w:val="22"/>
        </w:rPr>
      </w:pPr>
      <w:r w:rsidRPr="007D116C">
        <w:rPr>
          <w:rStyle w:val="normaltextrun"/>
          <w:rFonts w:asciiTheme="minorHAnsi" w:eastAsiaTheme="majorEastAsia" w:hAnsiTheme="minorHAnsi" w:cstheme="minorBidi"/>
          <w:sz w:val="22"/>
          <w:szCs w:val="22"/>
        </w:rPr>
        <w:t xml:space="preserve">To facilitate the </w:t>
      </w:r>
      <w:r w:rsidR="00945B3E" w:rsidRPr="007D116C">
        <w:rPr>
          <w:rStyle w:val="normaltextrun"/>
          <w:rFonts w:asciiTheme="minorHAnsi" w:eastAsiaTheme="majorEastAsia" w:hAnsiTheme="minorHAnsi" w:cstheme="minorBidi"/>
          <w:sz w:val="22"/>
          <w:szCs w:val="22"/>
        </w:rPr>
        <w:t>comparative analysis</w:t>
      </w:r>
      <w:r w:rsidRPr="007D116C">
        <w:rPr>
          <w:rStyle w:val="normaltextrun"/>
          <w:rFonts w:asciiTheme="minorHAnsi" w:eastAsiaTheme="majorEastAsia" w:hAnsiTheme="minorHAnsi" w:cstheme="minorBidi"/>
          <w:sz w:val="22"/>
          <w:szCs w:val="22"/>
        </w:rPr>
        <w:t xml:space="preserve"> undertaken below</w:t>
      </w:r>
      <w:r w:rsidR="00945B3E" w:rsidRPr="007D116C">
        <w:rPr>
          <w:rStyle w:val="normaltextrun"/>
          <w:rFonts w:asciiTheme="minorHAnsi" w:eastAsiaTheme="majorEastAsia" w:hAnsiTheme="minorHAnsi" w:cstheme="minorBidi"/>
          <w:sz w:val="22"/>
          <w:szCs w:val="22"/>
        </w:rPr>
        <w:t xml:space="preserve">, this section outlines </w:t>
      </w:r>
      <w:r w:rsidR="00F82353" w:rsidRPr="007D116C">
        <w:rPr>
          <w:rStyle w:val="normaltextrun"/>
          <w:rFonts w:asciiTheme="minorHAnsi" w:eastAsiaTheme="majorEastAsia" w:hAnsiTheme="minorHAnsi" w:cstheme="minorBidi"/>
          <w:sz w:val="22"/>
          <w:szCs w:val="22"/>
        </w:rPr>
        <w:t>certain</w:t>
      </w:r>
      <w:r w:rsidR="00945B3E" w:rsidRPr="007D116C">
        <w:rPr>
          <w:rStyle w:val="normaltextrun"/>
          <w:rFonts w:asciiTheme="minorHAnsi" w:eastAsiaTheme="majorEastAsia" w:hAnsiTheme="minorHAnsi" w:cstheme="minorBidi"/>
          <w:sz w:val="22"/>
          <w:szCs w:val="22"/>
        </w:rPr>
        <w:t xml:space="preserve"> key features of the QBCC’s governance model and compares its operation with the intent of Parliament as stated in the governing legislation and other relevant documentation.</w:t>
      </w:r>
      <w:r w:rsidR="005F5FD9" w:rsidRPr="007D116C">
        <w:rPr>
          <w:rStyle w:val="FootnoteReference"/>
        </w:rPr>
        <w:footnoteReference w:id="13"/>
      </w:r>
      <w:r w:rsidR="00945B3E" w:rsidRPr="007D116C">
        <w:rPr>
          <w:rStyle w:val="normaltextrun"/>
          <w:rFonts w:asciiTheme="minorHAnsi" w:eastAsiaTheme="majorEastAsia" w:hAnsiTheme="minorHAnsi" w:cstheme="minorBidi"/>
          <w:sz w:val="22"/>
          <w:szCs w:val="22"/>
        </w:rPr>
        <w:t xml:space="preserve"> These </w:t>
      </w:r>
      <w:r w:rsidR="00F82353" w:rsidRPr="007D116C">
        <w:rPr>
          <w:rStyle w:val="normaltextrun"/>
          <w:rFonts w:asciiTheme="minorHAnsi" w:eastAsiaTheme="majorEastAsia" w:hAnsiTheme="minorHAnsi" w:cstheme="minorBidi"/>
          <w:sz w:val="22"/>
          <w:szCs w:val="22"/>
        </w:rPr>
        <w:t xml:space="preserve">key </w:t>
      </w:r>
      <w:r w:rsidR="00945B3E" w:rsidRPr="007D116C">
        <w:rPr>
          <w:rStyle w:val="normaltextrun"/>
          <w:rFonts w:asciiTheme="minorHAnsi" w:eastAsiaTheme="majorEastAsia" w:hAnsiTheme="minorHAnsi" w:cstheme="minorBidi"/>
          <w:sz w:val="22"/>
          <w:szCs w:val="22"/>
        </w:rPr>
        <w:t xml:space="preserve">features are </w:t>
      </w:r>
      <w:r w:rsidR="00F82353" w:rsidRPr="007D116C">
        <w:rPr>
          <w:rStyle w:val="normaltextrun"/>
          <w:rFonts w:asciiTheme="minorHAnsi" w:eastAsiaTheme="majorEastAsia" w:hAnsiTheme="minorHAnsi" w:cstheme="minorBidi"/>
          <w:sz w:val="22"/>
          <w:szCs w:val="22"/>
        </w:rPr>
        <w:t xml:space="preserve">the structure, </w:t>
      </w:r>
      <w:r w:rsidR="00584C5F" w:rsidRPr="007D116C">
        <w:rPr>
          <w:rStyle w:val="normaltextrun"/>
          <w:rFonts w:asciiTheme="minorHAnsi" w:eastAsiaTheme="majorEastAsia" w:hAnsiTheme="minorHAnsi" w:cstheme="minorBidi"/>
          <w:sz w:val="22"/>
          <w:szCs w:val="22"/>
        </w:rPr>
        <w:t>mandate, function</w:t>
      </w:r>
      <w:r w:rsidR="00945B3E" w:rsidRPr="007D116C">
        <w:rPr>
          <w:rStyle w:val="normaltextrun"/>
          <w:rFonts w:asciiTheme="minorHAnsi" w:eastAsiaTheme="majorEastAsia" w:hAnsiTheme="minorHAnsi" w:cstheme="minorBidi"/>
          <w:sz w:val="22"/>
          <w:szCs w:val="22"/>
        </w:rPr>
        <w:t>s</w:t>
      </w:r>
      <w:r w:rsidR="00584C5F" w:rsidRPr="007D116C">
        <w:rPr>
          <w:rStyle w:val="normaltextrun"/>
          <w:rFonts w:asciiTheme="minorHAnsi" w:eastAsiaTheme="majorEastAsia" w:hAnsiTheme="minorHAnsi" w:cstheme="minorBidi"/>
          <w:sz w:val="22"/>
          <w:szCs w:val="22"/>
        </w:rPr>
        <w:t>, and funding of QBCC.</w:t>
      </w:r>
      <w:r w:rsidR="00945B3E" w:rsidRPr="007D116C">
        <w:rPr>
          <w:rStyle w:val="eop"/>
          <w:rFonts w:asciiTheme="minorHAnsi" w:hAnsiTheme="minorHAnsi" w:cstheme="minorBidi"/>
          <w:sz w:val="22"/>
          <w:szCs w:val="22"/>
        </w:rPr>
        <w:t> </w:t>
      </w:r>
    </w:p>
    <w:p w14:paraId="2907A1F8" w14:textId="3FF6D752" w:rsidR="000816A1" w:rsidRPr="007D116C" w:rsidRDefault="00945B3E" w:rsidP="008652E2">
      <w:pPr>
        <w:pStyle w:val="paragraph"/>
        <w:numPr>
          <w:ilvl w:val="0"/>
          <w:numId w:val="2"/>
        </w:numPr>
        <w:spacing w:before="0" w:beforeAutospacing="0" w:after="160" w:afterAutospacing="0" w:line="480" w:lineRule="auto"/>
        <w:ind w:left="0" w:hanging="426"/>
        <w:textAlignment w:val="baseline"/>
        <w:rPr>
          <w:rStyle w:val="normaltextrun"/>
          <w:rFonts w:asciiTheme="minorHAnsi" w:eastAsiaTheme="minorHAnsi" w:hAnsiTheme="minorHAnsi" w:cstheme="minorBidi"/>
          <w:sz w:val="22"/>
          <w:szCs w:val="22"/>
          <w:lang w:eastAsia="en-US"/>
        </w:rPr>
      </w:pPr>
      <w:r w:rsidRPr="007D116C">
        <w:rPr>
          <w:rStyle w:val="normaltextrun"/>
          <w:rFonts w:asciiTheme="minorHAnsi" w:eastAsiaTheme="majorEastAsia" w:hAnsiTheme="minorHAnsi" w:cstheme="minorBidi"/>
          <w:i/>
          <w:sz w:val="22"/>
          <w:szCs w:val="22"/>
        </w:rPr>
        <w:t xml:space="preserve">Structure: </w:t>
      </w:r>
      <w:r w:rsidRPr="007D116C">
        <w:rPr>
          <w:rStyle w:val="normaltextrun"/>
          <w:rFonts w:asciiTheme="minorHAnsi" w:eastAsiaTheme="majorEastAsia" w:hAnsiTheme="minorHAnsi" w:cstheme="minorBidi"/>
          <w:sz w:val="22"/>
          <w:szCs w:val="22"/>
        </w:rPr>
        <w:t xml:space="preserve">The QBCC is established under the </w:t>
      </w:r>
      <w:r w:rsidRPr="007D116C">
        <w:rPr>
          <w:rStyle w:val="normaltextrun"/>
          <w:rFonts w:asciiTheme="minorHAnsi" w:eastAsiaTheme="majorEastAsia" w:hAnsiTheme="minorHAnsi" w:cstheme="minorBidi"/>
          <w:i/>
          <w:sz w:val="22"/>
          <w:szCs w:val="22"/>
        </w:rPr>
        <w:t>QBCC Act 1991</w:t>
      </w:r>
      <w:r w:rsidR="00697734" w:rsidRPr="007D116C">
        <w:rPr>
          <w:rStyle w:val="normaltextrun"/>
          <w:rFonts w:asciiTheme="minorHAnsi" w:eastAsiaTheme="majorEastAsia" w:hAnsiTheme="minorHAnsi" w:cstheme="minorBidi"/>
          <w:i/>
          <w:sz w:val="22"/>
          <w:szCs w:val="22"/>
        </w:rPr>
        <w:t xml:space="preserve"> (Qld)</w:t>
      </w:r>
      <w:r w:rsidRPr="007D116C">
        <w:rPr>
          <w:rStyle w:val="normaltextrun"/>
          <w:rFonts w:asciiTheme="minorHAnsi" w:eastAsiaTheme="majorEastAsia" w:hAnsiTheme="minorHAnsi" w:cstheme="minorBidi"/>
          <w:sz w:val="22"/>
          <w:szCs w:val="22"/>
        </w:rPr>
        <w:t xml:space="preserve">. </w:t>
      </w:r>
      <w:r w:rsidR="00BA47AF" w:rsidRPr="007D116C">
        <w:rPr>
          <w:rStyle w:val="normaltextrun"/>
          <w:rFonts w:asciiTheme="minorHAnsi" w:eastAsiaTheme="majorEastAsia" w:hAnsiTheme="minorHAnsi" w:cstheme="minorBidi"/>
          <w:sz w:val="22"/>
          <w:szCs w:val="22"/>
        </w:rPr>
        <w:t>The legislation specifies that</w:t>
      </w:r>
      <w:r w:rsidRPr="007D116C">
        <w:rPr>
          <w:rStyle w:val="normaltextrun"/>
          <w:rFonts w:asciiTheme="minorHAnsi" w:eastAsiaTheme="majorEastAsia" w:hAnsiTheme="minorHAnsi" w:cstheme="minorBidi"/>
          <w:sz w:val="22"/>
          <w:szCs w:val="22"/>
        </w:rPr>
        <w:t xml:space="preserve"> the QBCC comprises the Queensland Building and Construction Board (QBC Board),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 and the organisational unit under the control of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 and the Service Trades Council, which is established separately under the </w:t>
      </w:r>
      <w:r w:rsidRPr="007D116C">
        <w:rPr>
          <w:rStyle w:val="normaltextrun"/>
          <w:rFonts w:asciiTheme="minorHAnsi" w:eastAsiaTheme="majorEastAsia" w:hAnsiTheme="minorHAnsi" w:cstheme="minorBidi"/>
          <w:i/>
          <w:sz w:val="22"/>
          <w:szCs w:val="22"/>
        </w:rPr>
        <w:t>Plumbing and Drainage Act 2018</w:t>
      </w:r>
      <w:r w:rsidR="00EC7147" w:rsidRPr="007D116C">
        <w:rPr>
          <w:rStyle w:val="normaltextrun"/>
          <w:rFonts w:asciiTheme="minorHAnsi" w:eastAsiaTheme="majorEastAsia" w:hAnsiTheme="minorHAnsi" w:cstheme="minorBidi"/>
          <w:i/>
          <w:sz w:val="22"/>
          <w:szCs w:val="22"/>
        </w:rPr>
        <w:t xml:space="preserve"> (Qld)</w:t>
      </w:r>
      <w:r w:rsidRPr="007D116C">
        <w:rPr>
          <w:rStyle w:val="normaltextrun"/>
          <w:rFonts w:asciiTheme="minorHAnsi" w:eastAsiaTheme="majorEastAsia" w:hAnsiTheme="minorHAnsi" w:cstheme="minorBidi"/>
          <w:sz w:val="22"/>
          <w:szCs w:val="22"/>
        </w:rPr>
        <w:t>. The structure divides governance responsibilities</w:t>
      </w:r>
      <w:r w:rsidR="00BA47AF" w:rsidRPr="007D116C">
        <w:rPr>
          <w:rStyle w:val="normaltextrun"/>
          <w:rFonts w:asciiTheme="minorHAnsi" w:eastAsiaTheme="majorEastAsia" w:hAnsiTheme="minorHAnsi" w:cstheme="minorBidi"/>
          <w:sz w:val="22"/>
          <w:szCs w:val="22"/>
        </w:rPr>
        <w:t xml:space="preserve"> as follows</w:t>
      </w:r>
      <w:r w:rsidRPr="007D116C">
        <w:rPr>
          <w:rStyle w:val="normaltextrun"/>
          <w:rFonts w:asciiTheme="minorHAnsi" w:eastAsiaTheme="majorEastAsia" w:hAnsiTheme="minorHAnsi" w:cstheme="minorBidi"/>
          <w:sz w:val="22"/>
          <w:szCs w:val="22"/>
        </w:rPr>
        <w:t>:</w:t>
      </w:r>
    </w:p>
    <w:p w14:paraId="34105F43" w14:textId="3B6C5F7A" w:rsidR="001C299C" w:rsidRPr="007D116C" w:rsidRDefault="00945B3E" w:rsidP="008652E2">
      <w:pPr>
        <w:pStyle w:val="paragraph"/>
        <w:numPr>
          <w:ilvl w:val="1"/>
          <w:numId w:val="2"/>
        </w:numPr>
        <w:spacing w:before="0" w:beforeAutospacing="0" w:after="160" w:afterAutospacing="0" w:line="480" w:lineRule="auto"/>
        <w:textAlignment w:val="baseline"/>
        <w:rPr>
          <w:rStyle w:val="eop"/>
          <w:rFonts w:asciiTheme="minorHAnsi" w:hAnsiTheme="minorHAnsi" w:cstheme="minorBidi"/>
          <w:sz w:val="22"/>
          <w:szCs w:val="22"/>
        </w:rPr>
      </w:pPr>
      <w:r w:rsidRPr="007D116C">
        <w:rPr>
          <w:rStyle w:val="normaltextrun"/>
          <w:rFonts w:asciiTheme="minorHAnsi" w:eastAsiaTheme="majorEastAsia" w:hAnsiTheme="minorHAnsi" w:cstheme="minorBidi"/>
          <w:sz w:val="22"/>
          <w:szCs w:val="22"/>
        </w:rPr>
        <w:t xml:space="preserve">The QBCC </w:t>
      </w:r>
      <w:r w:rsidR="00C14473" w:rsidRPr="007D116C">
        <w:rPr>
          <w:rStyle w:val="normaltextrun"/>
          <w:rFonts w:asciiTheme="minorHAnsi" w:eastAsiaTheme="majorEastAsia" w:hAnsiTheme="minorHAnsi" w:cstheme="minorBidi"/>
          <w:sz w:val="22"/>
          <w:szCs w:val="22"/>
        </w:rPr>
        <w:t>reports to</w:t>
      </w:r>
      <w:r w:rsidRPr="007D116C">
        <w:rPr>
          <w:rStyle w:val="normaltextrun"/>
          <w:rFonts w:asciiTheme="minorHAnsi" w:eastAsiaTheme="majorEastAsia" w:hAnsiTheme="minorHAnsi" w:cstheme="minorBidi"/>
          <w:sz w:val="22"/>
          <w:szCs w:val="22"/>
        </w:rPr>
        <w:t xml:space="preserve"> the </w:t>
      </w:r>
      <w:r w:rsidR="002D6C67" w:rsidRPr="007D116C">
        <w:rPr>
          <w:rStyle w:val="normaltextrun"/>
          <w:rFonts w:asciiTheme="minorHAnsi" w:eastAsiaTheme="majorEastAsia" w:hAnsiTheme="minorHAnsi" w:cstheme="minorBidi"/>
          <w:sz w:val="22"/>
          <w:szCs w:val="22"/>
        </w:rPr>
        <w:t>Minister</w:t>
      </w:r>
      <w:r w:rsidRPr="007D116C">
        <w:rPr>
          <w:rStyle w:val="normaltextrun"/>
          <w:rFonts w:asciiTheme="minorHAnsi" w:eastAsiaTheme="majorEastAsia" w:hAnsiTheme="minorHAnsi" w:cstheme="minorBidi"/>
          <w:sz w:val="22"/>
          <w:szCs w:val="22"/>
        </w:rPr>
        <w:t xml:space="preserve"> for Public Works, who may give the QBCC “a written direction in relation to the </w:t>
      </w:r>
      <w:r w:rsidR="00840717" w:rsidRPr="007D116C">
        <w:rPr>
          <w:rStyle w:val="normaltextrun"/>
          <w:rFonts w:asciiTheme="minorHAnsi" w:eastAsiaTheme="majorEastAsia" w:hAnsiTheme="minorHAnsi" w:cstheme="minorBidi"/>
          <w:sz w:val="22"/>
          <w:szCs w:val="22"/>
        </w:rPr>
        <w:t>c</w:t>
      </w:r>
      <w:r w:rsidR="002D6C67" w:rsidRPr="007D116C">
        <w:rPr>
          <w:rStyle w:val="normaltextrun"/>
          <w:rFonts w:asciiTheme="minorHAnsi" w:eastAsiaTheme="majorEastAsia" w:hAnsiTheme="minorHAnsi" w:cstheme="minorBidi"/>
          <w:sz w:val="22"/>
          <w:szCs w:val="22"/>
        </w:rPr>
        <w:t>ommission</w:t>
      </w:r>
      <w:r w:rsidRPr="007D116C">
        <w:rPr>
          <w:rStyle w:val="normaltextrun"/>
          <w:rFonts w:asciiTheme="minorHAnsi" w:eastAsiaTheme="majorEastAsia" w:hAnsiTheme="minorHAnsi" w:cstheme="minorBidi"/>
          <w:sz w:val="22"/>
          <w:szCs w:val="22"/>
        </w:rPr>
        <w:t xml:space="preserve"> and its functions”. Such direction is to be tabled in Parliament and included in the QBCC’s annual report (s 9). However, since its establishment in 2013, none of the QBCC’s annual reports have included any such direction, </w:t>
      </w:r>
      <w:r w:rsidR="007D27BE" w:rsidRPr="007D116C">
        <w:rPr>
          <w:rStyle w:val="normaltextrun"/>
          <w:rFonts w:asciiTheme="minorHAnsi" w:eastAsiaTheme="majorEastAsia" w:hAnsiTheme="minorHAnsi" w:cstheme="minorBidi"/>
          <w:sz w:val="22"/>
          <w:szCs w:val="22"/>
        </w:rPr>
        <w:t>suggesting</w:t>
      </w:r>
      <w:r w:rsidRPr="007D116C">
        <w:rPr>
          <w:rStyle w:val="normaltextrun"/>
          <w:rFonts w:asciiTheme="minorHAnsi" w:eastAsiaTheme="majorEastAsia" w:hAnsiTheme="minorHAnsi" w:cstheme="minorBidi"/>
          <w:sz w:val="22"/>
          <w:szCs w:val="22"/>
        </w:rPr>
        <w:t xml:space="preserve"> that no </w:t>
      </w:r>
      <w:r w:rsidR="002D6C67" w:rsidRPr="007D116C">
        <w:rPr>
          <w:rStyle w:val="normaltextrun"/>
          <w:rFonts w:asciiTheme="minorHAnsi" w:eastAsiaTheme="majorEastAsia" w:hAnsiTheme="minorHAnsi" w:cstheme="minorBidi"/>
          <w:sz w:val="22"/>
          <w:szCs w:val="22"/>
        </w:rPr>
        <w:t>Minister</w:t>
      </w:r>
      <w:r w:rsidRPr="007D116C">
        <w:rPr>
          <w:rStyle w:val="normaltextrun"/>
          <w:rFonts w:asciiTheme="minorHAnsi" w:eastAsiaTheme="majorEastAsia" w:hAnsiTheme="minorHAnsi" w:cstheme="minorBidi"/>
          <w:sz w:val="22"/>
          <w:szCs w:val="22"/>
        </w:rPr>
        <w:t xml:space="preserve"> has ever exercised this right. Nor has any similar document, like a Statement of Expectations, ever been issued to the QBCC.</w:t>
      </w:r>
    </w:p>
    <w:p w14:paraId="51D8A7CE" w14:textId="3B21A278" w:rsidR="001C299C" w:rsidRPr="007D116C" w:rsidRDefault="00945B3E" w:rsidP="502F8547">
      <w:pPr>
        <w:pStyle w:val="paragraph"/>
        <w:numPr>
          <w:ilvl w:val="1"/>
          <w:numId w:val="2"/>
        </w:numPr>
        <w:spacing w:before="0" w:beforeAutospacing="0" w:after="160" w:afterAutospacing="0" w:line="480" w:lineRule="auto"/>
        <w:textAlignment w:val="baseline"/>
        <w:rPr>
          <w:rStyle w:val="eop"/>
          <w:rFonts w:asciiTheme="minorHAnsi" w:hAnsiTheme="minorHAnsi" w:cstheme="minorBidi"/>
          <w:sz w:val="22"/>
          <w:szCs w:val="22"/>
        </w:rPr>
      </w:pPr>
      <w:r w:rsidRPr="502F8547">
        <w:rPr>
          <w:rStyle w:val="normaltextrun"/>
          <w:rFonts w:asciiTheme="minorHAnsi" w:eastAsiaTheme="majorEastAsia" w:hAnsiTheme="minorHAnsi" w:cstheme="minorBidi"/>
          <w:sz w:val="22"/>
          <w:szCs w:val="22"/>
        </w:rPr>
        <w:t xml:space="preserve">The QBC Board is the QBCC’s “governing body” (s 10) and has 7 functions (s 11), including “deciding the strategies… and policies of the </w:t>
      </w:r>
      <w:r w:rsidR="00840717" w:rsidRPr="502F8547">
        <w:rPr>
          <w:rStyle w:val="normaltextrun"/>
          <w:rFonts w:asciiTheme="minorHAnsi" w:eastAsiaTheme="majorEastAsia" w:hAnsiTheme="minorHAnsi" w:cstheme="minorBidi"/>
          <w:sz w:val="22"/>
          <w:szCs w:val="22"/>
        </w:rPr>
        <w:t>c</w:t>
      </w:r>
      <w:r w:rsidR="002D6C67" w:rsidRPr="502F8547">
        <w:rPr>
          <w:rStyle w:val="normaltextrun"/>
          <w:rFonts w:asciiTheme="minorHAnsi" w:eastAsiaTheme="majorEastAsia" w:hAnsiTheme="minorHAnsi" w:cstheme="minorBidi"/>
          <w:sz w:val="22"/>
          <w:szCs w:val="22"/>
        </w:rPr>
        <w:t>ommission</w:t>
      </w:r>
      <w:r w:rsidRPr="502F8547">
        <w:rPr>
          <w:rStyle w:val="normaltextrun"/>
          <w:rFonts w:asciiTheme="minorHAnsi" w:eastAsiaTheme="majorEastAsia" w:hAnsiTheme="minorHAnsi" w:cstheme="minorBidi"/>
          <w:sz w:val="22"/>
          <w:szCs w:val="22"/>
        </w:rPr>
        <w:t xml:space="preserve">”, “ensuring” that the QBCC “performs its functions”, “providing guidance and leadership to the </w:t>
      </w:r>
      <w:r w:rsidR="00840717" w:rsidRPr="502F8547">
        <w:rPr>
          <w:rStyle w:val="normaltextrun"/>
          <w:rFonts w:asciiTheme="minorHAnsi" w:eastAsiaTheme="majorEastAsia" w:hAnsiTheme="minorHAnsi" w:cstheme="minorBidi"/>
          <w:sz w:val="22"/>
          <w:szCs w:val="22"/>
        </w:rPr>
        <w:t>c</w:t>
      </w:r>
      <w:r w:rsidR="002D6C67" w:rsidRPr="502F8547">
        <w:rPr>
          <w:rStyle w:val="normaltextrun"/>
          <w:rFonts w:asciiTheme="minorHAnsi" w:eastAsiaTheme="majorEastAsia" w:hAnsiTheme="minorHAnsi" w:cstheme="minorBidi"/>
          <w:sz w:val="22"/>
          <w:szCs w:val="22"/>
        </w:rPr>
        <w:t>ommission</w:t>
      </w:r>
      <w:r w:rsidRPr="502F8547">
        <w:rPr>
          <w:rStyle w:val="normaltextrun"/>
          <w:rFonts w:asciiTheme="minorHAnsi" w:eastAsiaTheme="majorEastAsia" w:hAnsiTheme="minorHAnsi" w:cstheme="minorBidi"/>
          <w:sz w:val="22"/>
          <w:szCs w:val="22"/>
        </w:rPr>
        <w:t xml:space="preserve">er”, providing the same to the Service Trades Council except in relation to certain functions under the </w:t>
      </w:r>
      <w:r w:rsidRPr="502F8547">
        <w:rPr>
          <w:rStyle w:val="normaltextrun"/>
          <w:rFonts w:asciiTheme="minorHAnsi" w:eastAsiaTheme="majorEastAsia" w:hAnsiTheme="minorHAnsi" w:cstheme="minorBidi"/>
          <w:i/>
          <w:iCs/>
          <w:sz w:val="22"/>
          <w:szCs w:val="22"/>
        </w:rPr>
        <w:t>Plumbing and Drainage Act 2018</w:t>
      </w:r>
      <w:r w:rsidRPr="502F8547">
        <w:rPr>
          <w:rStyle w:val="normaltextrun"/>
          <w:rFonts w:asciiTheme="minorHAnsi" w:eastAsiaTheme="majorEastAsia" w:hAnsiTheme="minorHAnsi" w:cstheme="minorBidi"/>
          <w:sz w:val="22"/>
          <w:szCs w:val="22"/>
        </w:rPr>
        <w:t xml:space="preserve">, advising the </w:t>
      </w:r>
      <w:r w:rsidR="002D6C67" w:rsidRPr="502F8547">
        <w:rPr>
          <w:rStyle w:val="normaltextrun"/>
          <w:rFonts w:asciiTheme="minorHAnsi" w:eastAsiaTheme="majorEastAsia" w:hAnsiTheme="minorHAnsi" w:cstheme="minorBidi"/>
          <w:sz w:val="22"/>
          <w:szCs w:val="22"/>
        </w:rPr>
        <w:t>Minister</w:t>
      </w:r>
      <w:r w:rsidRPr="502F8547">
        <w:rPr>
          <w:rStyle w:val="normaltextrun"/>
          <w:rFonts w:asciiTheme="minorHAnsi" w:eastAsiaTheme="majorEastAsia" w:hAnsiTheme="minorHAnsi" w:cstheme="minorBidi"/>
          <w:sz w:val="22"/>
          <w:szCs w:val="22"/>
        </w:rPr>
        <w:t xml:space="preserve"> on issue affecting the industry and consumers and the </w:t>
      </w:r>
      <w:r w:rsidR="002D6C67" w:rsidRPr="502F8547">
        <w:rPr>
          <w:rStyle w:val="normaltextrun"/>
          <w:rFonts w:asciiTheme="minorHAnsi" w:eastAsiaTheme="majorEastAsia" w:hAnsiTheme="minorHAnsi" w:cstheme="minorBidi"/>
          <w:sz w:val="22"/>
          <w:szCs w:val="22"/>
        </w:rPr>
        <w:t>Commission</w:t>
      </w:r>
      <w:r w:rsidRPr="502F8547">
        <w:rPr>
          <w:rStyle w:val="normaltextrun"/>
          <w:rFonts w:asciiTheme="minorHAnsi" w:eastAsiaTheme="majorEastAsia" w:hAnsiTheme="minorHAnsi" w:cstheme="minorBidi"/>
          <w:sz w:val="22"/>
          <w:szCs w:val="22"/>
        </w:rPr>
        <w:t xml:space="preserve">, advising the </w:t>
      </w:r>
      <w:r w:rsidR="002D6C67" w:rsidRPr="502F8547">
        <w:rPr>
          <w:rStyle w:val="normaltextrun"/>
          <w:rFonts w:asciiTheme="minorHAnsi" w:eastAsiaTheme="majorEastAsia" w:hAnsiTheme="minorHAnsi" w:cstheme="minorBidi"/>
          <w:sz w:val="22"/>
          <w:szCs w:val="22"/>
        </w:rPr>
        <w:t>Minister</w:t>
      </w:r>
      <w:r w:rsidRPr="502F8547">
        <w:rPr>
          <w:rStyle w:val="normaltextrun"/>
          <w:rFonts w:asciiTheme="minorHAnsi" w:eastAsiaTheme="majorEastAsia" w:hAnsiTheme="minorHAnsi" w:cstheme="minorBidi"/>
          <w:sz w:val="22"/>
          <w:szCs w:val="22"/>
        </w:rPr>
        <w:t xml:space="preserve"> about unfair trade practices, and </w:t>
      </w:r>
      <w:r w:rsidRPr="502F8547">
        <w:rPr>
          <w:rStyle w:val="normaltextrun"/>
          <w:rFonts w:asciiTheme="minorHAnsi" w:eastAsiaTheme="majorEastAsia" w:hAnsiTheme="minorHAnsi" w:cstheme="minorBidi"/>
          <w:sz w:val="22"/>
          <w:szCs w:val="22"/>
        </w:rPr>
        <w:lastRenderedPageBreak/>
        <w:t xml:space="preserve">consulting with the industry and consumers. The board is to be appointed by the Governor in Council (that is, on the recommendation of the </w:t>
      </w:r>
      <w:r w:rsidR="002D6C67" w:rsidRPr="502F8547">
        <w:rPr>
          <w:rStyle w:val="normaltextrun"/>
          <w:rFonts w:asciiTheme="minorHAnsi" w:eastAsiaTheme="majorEastAsia" w:hAnsiTheme="minorHAnsi" w:cstheme="minorBidi"/>
          <w:sz w:val="22"/>
          <w:szCs w:val="22"/>
        </w:rPr>
        <w:t>Minister</w:t>
      </w:r>
      <w:r w:rsidRPr="502F8547">
        <w:rPr>
          <w:rStyle w:val="normaltextrun"/>
          <w:rFonts w:asciiTheme="minorHAnsi" w:eastAsiaTheme="majorEastAsia" w:hAnsiTheme="minorHAnsi" w:cstheme="minorBidi"/>
          <w:sz w:val="22"/>
          <w:szCs w:val="22"/>
        </w:rPr>
        <w:t>), to comprise “not more than 10” members, and to have “as far as possible, equal representation” of “experience and competence” in six different areas: building and construction, finance, corporate governance and risk, insurance and the reinsurance market, consumer advocacy and awareness, and public sector governance, including administration and enforcement of laws (s 12).</w:t>
      </w:r>
    </w:p>
    <w:p w14:paraId="7D89A27A" w14:textId="636374C0" w:rsidR="001C299C" w:rsidRPr="007D116C" w:rsidRDefault="00945B3E" w:rsidP="008652E2">
      <w:pPr>
        <w:pStyle w:val="paragraph"/>
        <w:numPr>
          <w:ilvl w:val="1"/>
          <w:numId w:val="2"/>
        </w:numPr>
        <w:spacing w:before="0" w:beforeAutospacing="0" w:after="160" w:afterAutospacing="0" w:line="480" w:lineRule="auto"/>
        <w:textAlignment w:val="baseline"/>
        <w:rPr>
          <w:rStyle w:val="normaltextrun"/>
          <w:rFonts w:asciiTheme="minorHAnsi" w:hAnsiTheme="minorHAnsi" w:cstheme="minorBidi"/>
          <w:sz w:val="22"/>
          <w:szCs w:val="22"/>
        </w:rPr>
      </w:pPr>
      <w:r w:rsidRPr="007D116C">
        <w:rPr>
          <w:rStyle w:val="normaltextrun"/>
          <w:rFonts w:asciiTheme="minorHAnsi" w:eastAsiaTheme="majorEastAsia" w:hAnsiTheme="minorHAnsi" w:cstheme="minorBidi"/>
          <w:sz w:val="22"/>
          <w:szCs w:val="22"/>
        </w:rPr>
        <w:t xml:space="preserve">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 is appointed “by the board with the </w:t>
      </w:r>
      <w:r w:rsidR="002D6C67" w:rsidRPr="007D116C">
        <w:rPr>
          <w:rStyle w:val="normaltextrun"/>
          <w:rFonts w:asciiTheme="minorHAnsi" w:eastAsiaTheme="majorEastAsia" w:hAnsiTheme="minorHAnsi" w:cstheme="minorBidi"/>
          <w:sz w:val="22"/>
          <w:szCs w:val="22"/>
        </w:rPr>
        <w:t>Minister</w:t>
      </w:r>
      <w:r w:rsidRPr="007D116C">
        <w:rPr>
          <w:rStyle w:val="normaltextrun"/>
          <w:rFonts w:asciiTheme="minorHAnsi" w:eastAsiaTheme="majorEastAsia" w:hAnsiTheme="minorHAnsi" w:cstheme="minorBidi"/>
          <w:sz w:val="22"/>
          <w:szCs w:val="22"/>
        </w:rPr>
        <w:t xml:space="preserve">’s prior written approval” (s 20D).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 has responsibility for many functions connected with the operation of the QBCC, including the “overall management” of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er’s “organisational unit”, administration of licensing, inspections, compliance enforcement, issuing warnings, consumer education, publishing information about products, and providing classes for licensees, owner-builders, and others (s 20J). In exercising his or her responsibilities,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 “must give effect to any policy or direction of the board relevant to the responsibility” – though there are also certain functions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 must undertake independently of the board, like decisions about licenses.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er is to report regularly to the board on the administration of QBCC Act and provide special reports as requested (s 20K)</w:t>
      </w:r>
      <w:r w:rsidR="00882D86" w:rsidRPr="007D116C">
        <w:rPr>
          <w:rStyle w:val="normaltextrun"/>
          <w:rFonts w:asciiTheme="minorHAnsi" w:eastAsiaTheme="majorEastAsia" w:hAnsiTheme="minorHAnsi" w:cstheme="minorBidi"/>
          <w:sz w:val="22"/>
          <w:szCs w:val="22"/>
        </w:rPr>
        <w:t>.</w:t>
      </w:r>
      <w:r w:rsidR="00882D86" w:rsidRPr="007D116C">
        <w:rPr>
          <w:rStyle w:val="FootnoteReference"/>
        </w:rPr>
        <w:footnoteReference w:id="14"/>
      </w:r>
    </w:p>
    <w:p w14:paraId="3CE7BB86" w14:textId="775BCFAB" w:rsidR="00270674" w:rsidRPr="007D116C" w:rsidRDefault="00082CA9" w:rsidP="008652E2">
      <w:pPr>
        <w:pStyle w:val="paragraph"/>
        <w:numPr>
          <w:ilvl w:val="1"/>
          <w:numId w:val="2"/>
        </w:numPr>
        <w:spacing w:before="0" w:beforeAutospacing="0" w:after="160" w:afterAutospacing="0" w:line="480" w:lineRule="auto"/>
        <w:textAlignment w:val="baseline"/>
        <w:rPr>
          <w:rStyle w:val="normaltextrun"/>
          <w:rFonts w:asciiTheme="minorHAnsi" w:eastAsiaTheme="minorHAnsi" w:hAnsiTheme="minorHAnsi" w:cstheme="minorBidi"/>
          <w:sz w:val="22"/>
          <w:szCs w:val="22"/>
          <w:lang w:eastAsia="en-US"/>
        </w:rPr>
      </w:pPr>
      <w:r w:rsidRPr="007D116C">
        <w:rPr>
          <w:rStyle w:val="normaltextrun"/>
          <w:rFonts w:asciiTheme="minorHAnsi" w:eastAsiaTheme="majorEastAsia" w:hAnsiTheme="minorHAnsi" w:cstheme="minorBidi"/>
          <w:sz w:val="22"/>
          <w:szCs w:val="22"/>
        </w:rPr>
        <w:t xml:space="preserve"> </w:t>
      </w:r>
      <w:r w:rsidR="00270674" w:rsidRPr="007D116C">
        <w:rPr>
          <w:rStyle w:val="normaltextrun"/>
          <w:rFonts w:asciiTheme="minorHAnsi" w:eastAsiaTheme="majorEastAsia" w:hAnsiTheme="minorHAnsi" w:cstheme="minorBidi"/>
          <w:sz w:val="22"/>
          <w:szCs w:val="22"/>
        </w:rPr>
        <w:t xml:space="preserve">The Service Trades Council is an advisory body which represents the interest of </w:t>
      </w:r>
      <w:r w:rsidR="00F23D42" w:rsidRPr="007D116C">
        <w:rPr>
          <w:rStyle w:val="normaltextrun"/>
          <w:rFonts w:asciiTheme="minorHAnsi" w:eastAsiaTheme="majorEastAsia" w:hAnsiTheme="minorHAnsi" w:cstheme="minorBidi"/>
          <w:sz w:val="22"/>
          <w:szCs w:val="22"/>
        </w:rPr>
        <w:t xml:space="preserve">the plumbing and drainage </w:t>
      </w:r>
      <w:r w:rsidR="00270674" w:rsidRPr="007D116C">
        <w:rPr>
          <w:rStyle w:val="normaltextrun"/>
          <w:rFonts w:asciiTheme="minorHAnsi" w:eastAsiaTheme="majorEastAsia" w:hAnsiTheme="minorHAnsi" w:cstheme="minorBidi"/>
          <w:sz w:val="22"/>
          <w:szCs w:val="22"/>
        </w:rPr>
        <w:t xml:space="preserve">trades. It is empowered to advise the </w:t>
      </w:r>
      <w:r w:rsidR="002D6C67" w:rsidRPr="007D116C">
        <w:rPr>
          <w:rStyle w:val="normaltextrun"/>
          <w:rFonts w:asciiTheme="minorHAnsi" w:eastAsiaTheme="majorEastAsia" w:hAnsiTheme="minorHAnsi" w:cstheme="minorBidi"/>
          <w:sz w:val="22"/>
          <w:szCs w:val="22"/>
        </w:rPr>
        <w:t>Minister</w:t>
      </w:r>
      <w:r w:rsidR="00270674" w:rsidRPr="007D116C">
        <w:rPr>
          <w:rStyle w:val="normaltextrun"/>
          <w:rFonts w:asciiTheme="minorHAnsi" w:eastAsiaTheme="majorEastAsia" w:hAnsiTheme="minorHAnsi" w:cstheme="minorBidi"/>
          <w:sz w:val="22"/>
          <w:szCs w:val="22"/>
        </w:rPr>
        <w:t xml:space="preserve"> directly on matters relevant to </w:t>
      </w:r>
      <w:r w:rsidR="00270674" w:rsidRPr="007D116C">
        <w:rPr>
          <w:rStyle w:val="normaltextrun"/>
          <w:rFonts w:asciiTheme="minorHAnsi" w:eastAsiaTheme="majorEastAsia" w:hAnsiTheme="minorHAnsi" w:cstheme="minorBidi"/>
          <w:sz w:val="22"/>
          <w:szCs w:val="22"/>
        </w:rPr>
        <w:lastRenderedPageBreak/>
        <w:t xml:space="preserve">the </w:t>
      </w:r>
      <w:r w:rsidR="00A9060F" w:rsidRPr="007D116C">
        <w:rPr>
          <w:rStyle w:val="normaltextrun"/>
          <w:rFonts w:asciiTheme="minorHAnsi" w:eastAsiaTheme="majorEastAsia" w:hAnsiTheme="minorHAnsi" w:cstheme="minorBidi"/>
          <w:sz w:val="22"/>
          <w:szCs w:val="22"/>
        </w:rPr>
        <w:t xml:space="preserve">plumbing and drainage </w:t>
      </w:r>
      <w:r w:rsidR="00270674" w:rsidRPr="007D116C">
        <w:rPr>
          <w:rStyle w:val="normaltextrun"/>
          <w:rFonts w:asciiTheme="minorHAnsi" w:eastAsiaTheme="majorEastAsia" w:hAnsiTheme="minorHAnsi" w:cstheme="minorBidi"/>
          <w:sz w:val="22"/>
          <w:szCs w:val="22"/>
        </w:rPr>
        <w:t xml:space="preserve">trades, to make policy recommendations to the </w:t>
      </w:r>
      <w:r w:rsidR="006C6D48" w:rsidRPr="007D116C">
        <w:rPr>
          <w:rStyle w:val="normaltextrun"/>
          <w:rFonts w:asciiTheme="minorHAnsi" w:eastAsiaTheme="majorEastAsia" w:hAnsiTheme="minorHAnsi" w:cstheme="minorBidi"/>
          <w:sz w:val="22"/>
          <w:szCs w:val="22"/>
        </w:rPr>
        <w:t>c</w:t>
      </w:r>
      <w:r w:rsidR="00270674" w:rsidRPr="007D116C">
        <w:rPr>
          <w:rStyle w:val="normaltextrun"/>
          <w:rFonts w:asciiTheme="minorHAnsi" w:eastAsiaTheme="majorEastAsia" w:hAnsiTheme="minorHAnsi" w:cstheme="minorBidi"/>
          <w:sz w:val="22"/>
          <w:szCs w:val="22"/>
        </w:rPr>
        <w:t xml:space="preserve">ommissioner, and to review certain decisions made by the </w:t>
      </w:r>
      <w:r w:rsidR="006C6D48" w:rsidRPr="007D116C">
        <w:rPr>
          <w:rStyle w:val="normaltextrun"/>
          <w:rFonts w:asciiTheme="minorHAnsi" w:eastAsiaTheme="majorEastAsia" w:hAnsiTheme="minorHAnsi" w:cstheme="minorBidi"/>
          <w:sz w:val="22"/>
          <w:szCs w:val="22"/>
        </w:rPr>
        <w:t>c</w:t>
      </w:r>
      <w:r w:rsidR="00270674" w:rsidRPr="007D116C">
        <w:rPr>
          <w:rStyle w:val="normaltextrun"/>
          <w:rFonts w:asciiTheme="minorHAnsi" w:eastAsiaTheme="majorEastAsia" w:hAnsiTheme="minorHAnsi" w:cstheme="minorBidi"/>
          <w:sz w:val="22"/>
          <w:szCs w:val="22"/>
        </w:rPr>
        <w:t>ommissioner.</w:t>
      </w:r>
      <w:r w:rsidR="00270674" w:rsidRPr="007D116C">
        <w:rPr>
          <w:rStyle w:val="FootnoteReference"/>
          <w:rFonts w:asciiTheme="minorHAnsi" w:eastAsiaTheme="majorEastAsia" w:hAnsiTheme="minorHAnsi" w:cstheme="minorBidi"/>
          <w:sz w:val="22"/>
          <w:szCs w:val="22"/>
        </w:rPr>
        <w:footnoteReference w:id="15"/>
      </w:r>
      <w:r w:rsidR="00270674" w:rsidRPr="007D116C">
        <w:rPr>
          <w:rStyle w:val="normaltextrun"/>
          <w:rFonts w:asciiTheme="minorHAnsi" w:eastAsiaTheme="majorEastAsia" w:hAnsiTheme="minorHAnsi" w:cstheme="minorBidi"/>
          <w:sz w:val="22"/>
          <w:szCs w:val="22"/>
        </w:rPr>
        <w:t xml:space="preserve"> </w:t>
      </w:r>
    </w:p>
    <w:p w14:paraId="0BAD92F6" w14:textId="5C901277" w:rsidR="001C299C" w:rsidRPr="007D116C" w:rsidRDefault="00945B3E" w:rsidP="502F8547">
      <w:pPr>
        <w:pStyle w:val="paragraph"/>
        <w:numPr>
          <w:ilvl w:val="0"/>
          <w:numId w:val="2"/>
        </w:numPr>
        <w:spacing w:before="0" w:beforeAutospacing="0" w:after="160" w:afterAutospacing="0" w:line="480" w:lineRule="auto"/>
        <w:ind w:left="0" w:hanging="426"/>
        <w:textAlignment w:val="baseline"/>
        <w:rPr>
          <w:rFonts w:asciiTheme="minorHAnsi" w:hAnsiTheme="minorHAnsi" w:cstheme="minorBidi"/>
          <w:sz w:val="22"/>
          <w:szCs w:val="22"/>
        </w:rPr>
      </w:pPr>
      <w:r w:rsidRPr="502F8547">
        <w:rPr>
          <w:rStyle w:val="normaltextrun"/>
          <w:rFonts w:asciiTheme="minorHAnsi" w:eastAsiaTheme="majorEastAsia" w:hAnsiTheme="minorHAnsi" w:cstheme="minorBidi"/>
          <w:i/>
          <w:iCs/>
          <w:sz w:val="22"/>
          <w:szCs w:val="22"/>
        </w:rPr>
        <w:t>Mandate</w:t>
      </w:r>
      <w:r w:rsidRPr="502F8547">
        <w:rPr>
          <w:rStyle w:val="normaltextrun"/>
          <w:rFonts w:asciiTheme="minorHAnsi" w:eastAsiaTheme="majorEastAsia" w:hAnsiTheme="minorHAnsi" w:cstheme="minorBidi"/>
          <w:sz w:val="22"/>
          <w:szCs w:val="22"/>
        </w:rPr>
        <w:t>:</w:t>
      </w:r>
      <w:r w:rsidRPr="502F8547">
        <w:rPr>
          <w:rStyle w:val="normaltextrun"/>
          <w:rFonts w:asciiTheme="minorHAnsi" w:eastAsiaTheme="majorEastAsia" w:hAnsiTheme="minorHAnsi" w:cstheme="minorBidi"/>
          <w:i/>
          <w:iCs/>
          <w:sz w:val="22"/>
          <w:szCs w:val="22"/>
        </w:rPr>
        <w:t xml:space="preserve"> </w:t>
      </w:r>
      <w:r w:rsidRPr="502F8547">
        <w:rPr>
          <w:rStyle w:val="normaltextrun"/>
          <w:rFonts w:asciiTheme="minorHAnsi" w:eastAsiaTheme="majorEastAsia" w:hAnsiTheme="minorHAnsi" w:cstheme="minorBidi"/>
          <w:sz w:val="22"/>
          <w:szCs w:val="22"/>
        </w:rPr>
        <w:t>The QBCC is a ‘one-stop-shop' regulator that combines its regulatory functions with</w:t>
      </w:r>
      <w:r w:rsidR="00D0140E" w:rsidRPr="502F8547">
        <w:rPr>
          <w:rStyle w:val="normaltextrun"/>
          <w:rFonts w:asciiTheme="minorHAnsi" w:eastAsiaTheme="majorEastAsia" w:hAnsiTheme="minorHAnsi" w:cstheme="minorBidi"/>
          <w:sz w:val="22"/>
          <w:szCs w:val="22"/>
        </w:rPr>
        <w:t xml:space="preserve"> its role as an insurer and</w:t>
      </w:r>
      <w:r w:rsidRPr="502F8547">
        <w:rPr>
          <w:rStyle w:val="normaltextrun"/>
          <w:rFonts w:asciiTheme="minorHAnsi" w:eastAsiaTheme="majorEastAsia" w:hAnsiTheme="minorHAnsi" w:cstheme="minorBidi"/>
          <w:sz w:val="22"/>
          <w:szCs w:val="22"/>
        </w:rPr>
        <w:t xml:space="preserve"> the provision of various services to the industry. Its website describes its role as “providing information, advice and regulation to ensure the maintenance of proper building standards and remedies for defective building work… [and thereby] promote confidence in the building and construction industry”. Accordingly, the QBCC defines its mandate as “To independently regulate the building and construction sector, and efficiently manage the insurance fund”</w:t>
      </w:r>
      <w:r w:rsidR="00B933FE" w:rsidRPr="502F8547">
        <w:rPr>
          <w:rStyle w:val="normaltextrun"/>
          <w:rFonts w:asciiTheme="minorHAnsi" w:eastAsiaTheme="majorEastAsia" w:hAnsiTheme="minorHAnsi" w:cstheme="minorBidi"/>
          <w:sz w:val="22"/>
          <w:szCs w:val="22"/>
        </w:rPr>
        <w:t>.</w:t>
      </w:r>
      <w:r w:rsidR="00B933FE" w:rsidRPr="007D116C">
        <w:rPr>
          <w:rStyle w:val="FootnoteReference"/>
        </w:rPr>
        <w:footnoteReference w:id="16"/>
      </w:r>
      <w:r w:rsidRPr="502F8547">
        <w:rPr>
          <w:rStyle w:val="normaltextrun"/>
          <w:rFonts w:asciiTheme="minorHAnsi" w:eastAsiaTheme="majorEastAsia" w:hAnsiTheme="minorHAnsi" w:cstheme="minorBidi"/>
          <w:sz w:val="22"/>
          <w:szCs w:val="22"/>
        </w:rPr>
        <w:t xml:space="preserve"> The QBCC’s mandate and stated role reflect the objects of the QBCC Act, at s 3</w:t>
      </w:r>
      <w:r w:rsidR="00624E0B" w:rsidRPr="502F8547">
        <w:rPr>
          <w:rStyle w:val="normaltextrun"/>
          <w:rFonts w:asciiTheme="minorHAnsi" w:eastAsiaTheme="majorEastAsia" w:hAnsiTheme="minorHAnsi" w:cstheme="minorBidi"/>
          <w:sz w:val="22"/>
          <w:szCs w:val="22"/>
        </w:rPr>
        <w:t>.</w:t>
      </w:r>
      <w:r w:rsidR="00624E0B" w:rsidRPr="502F8547">
        <w:rPr>
          <w:rStyle w:val="FootnoteReference"/>
          <w:rFonts w:asciiTheme="minorHAnsi" w:hAnsiTheme="minorHAnsi" w:cstheme="minorBidi"/>
          <w:sz w:val="22"/>
          <w:szCs w:val="22"/>
        </w:rPr>
        <w:footnoteReference w:id="17"/>
      </w:r>
      <w:r w:rsidRPr="502F8547">
        <w:rPr>
          <w:rStyle w:val="eop"/>
          <w:rFonts w:asciiTheme="minorHAnsi" w:hAnsiTheme="minorHAnsi" w:cstheme="minorBidi"/>
          <w:sz w:val="22"/>
          <w:szCs w:val="22"/>
        </w:rPr>
        <w:t> </w:t>
      </w:r>
    </w:p>
    <w:p w14:paraId="7637BEF6" w14:textId="5D62526C" w:rsidR="00D47197" w:rsidRPr="007D116C" w:rsidRDefault="00945B3E" w:rsidP="008652E2">
      <w:pPr>
        <w:pStyle w:val="paragraph"/>
        <w:numPr>
          <w:ilvl w:val="0"/>
          <w:numId w:val="2"/>
        </w:numPr>
        <w:spacing w:before="0" w:beforeAutospacing="0" w:after="160" w:afterAutospacing="0" w:line="480" w:lineRule="auto"/>
        <w:ind w:left="0" w:hanging="426"/>
        <w:textAlignment w:val="baseline"/>
        <w:rPr>
          <w:rStyle w:val="normaltextrun"/>
          <w:rFonts w:asciiTheme="minorHAnsi" w:eastAsiaTheme="minorHAnsi" w:hAnsiTheme="minorHAnsi" w:cstheme="minorBidi"/>
          <w:sz w:val="22"/>
          <w:szCs w:val="22"/>
          <w:lang w:eastAsia="en-US"/>
        </w:rPr>
      </w:pPr>
      <w:r w:rsidRPr="007D116C">
        <w:rPr>
          <w:rStyle w:val="normaltextrun"/>
          <w:rFonts w:asciiTheme="minorHAnsi" w:eastAsiaTheme="majorEastAsia" w:hAnsiTheme="minorHAnsi" w:cstheme="minorBidi"/>
          <w:i/>
          <w:sz w:val="22"/>
          <w:szCs w:val="22"/>
        </w:rPr>
        <w:t>Functions</w:t>
      </w:r>
      <w:r w:rsidRPr="007D116C">
        <w:rPr>
          <w:rStyle w:val="normaltextrun"/>
          <w:rFonts w:asciiTheme="minorHAnsi" w:eastAsiaTheme="majorEastAsia" w:hAnsiTheme="minorHAnsi" w:cstheme="minorBidi"/>
          <w:sz w:val="22"/>
          <w:szCs w:val="22"/>
        </w:rPr>
        <w:t xml:space="preserve">: Parliament has given the QBCC a wide range of functions to perform in keeping with its mandate. Its functions under the </w:t>
      </w:r>
      <w:r w:rsidRPr="007D116C">
        <w:rPr>
          <w:rStyle w:val="normaltextrun"/>
          <w:rFonts w:asciiTheme="minorHAnsi" w:eastAsiaTheme="majorEastAsia" w:hAnsiTheme="minorHAnsi" w:cstheme="minorBidi"/>
          <w:i/>
          <w:sz w:val="22"/>
          <w:szCs w:val="22"/>
        </w:rPr>
        <w:t xml:space="preserve">QBCC Act </w:t>
      </w:r>
      <w:r w:rsidRPr="007D116C">
        <w:rPr>
          <w:rStyle w:val="normaltextrun"/>
          <w:rFonts w:asciiTheme="minorHAnsi" w:eastAsiaTheme="majorEastAsia" w:hAnsiTheme="minorHAnsi" w:cstheme="minorBidi"/>
          <w:sz w:val="22"/>
          <w:szCs w:val="22"/>
        </w:rPr>
        <w:t xml:space="preserve">include the licensing of individuals and companies, oversight of contracts and subcontracts, the operation of a statutory home warranty insurance scheme, orders for the rectification and remediation of building work, approval of building products, and conducting compliance inspections. Under the </w:t>
      </w:r>
      <w:r w:rsidRPr="007D116C">
        <w:rPr>
          <w:rStyle w:val="normaltextrun"/>
          <w:rFonts w:asciiTheme="minorHAnsi" w:eastAsiaTheme="majorEastAsia" w:hAnsiTheme="minorHAnsi" w:cstheme="minorBidi"/>
          <w:i/>
          <w:sz w:val="22"/>
          <w:szCs w:val="22"/>
        </w:rPr>
        <w:t>Building Act</w:t>
      </w:r>
      <w:r w:rsidR="00BC749E" w:rsidRPr="007D116C">
        <w:rPr>
          <w:rStyle w:val="normaltextrun"/>
          <w:rFonts w:asciiTheme="minorHAnsi" w:eastAsiaTheme="majorEastAsia" w:hAnsiTheme="minorHAnsi" w:cstheme="minorBidi"/>
          <w:i/>
          <w:sz w:val="22"/>
          <w:szCs w:val="22"/>
        </w:rPr>
        <w:t xml:space="preserve"> 1975 (Qld)</w:t>
      </w:r>
      <w:r w:rsidRPr="007D116C">
        <w:rPr>
          <w:rStyle w:val="normaltextrun"/>
          <w:rFonts w:asciiTheme="minorHAnsi" w:eastAsiaTheme="majorEastAsia" w:hAnsiTheme="minorHAnsi" w:cstheme="minorBidi"/>
          <w:sz w:val="22"/>
          <w:szCs w:val="22"/>
        </w:rPr>
        <w:t xml:space="preserve">, the QBCC is charged with the certification of buildings, fire safety, </w:t>
      </w:r>
      <w:r w:rsidR="009B08C1" w:rsidRPr="007D116C">
        <w:rPr>
          <w:rStyle w:val="normaltextrun"/>
          <w:rFonts w:asciiTheme="minorHAnsi" w:eastAsiaTheme="majorEastAsia" w:hAnsiTheme="minorHAnsi" w:cstheme="minorBidi"/>
          <w:sz w:val="22"/>
          <w:szCs w:val="22"/>
        </w:rPr>
        <w:t xml:space="preserve">and </w:t>
      </w:r>
      <w:r w:rsidRPr="007D116C">
        <w:rPr>
          <w:rStyle w:val="normaltextrun"/>
          <w:rFonts w:asciiTheme="minorHAnsi" w:eastAsiaTheme="majorEastAsia" w:hAnsiTheme="minorHAnsi" w:cstheme="minorBidi"/>
          <w:sz w:val="22"/>
          <w:szCs w:val="22"/>
        </w:rPr>
        <w:t>pool safety.</w:t>
      </w:r>
      <w:r w:rsidR="003B0DA3" w:rsidRPr="007D116C">
        <w:rPr>
          <w:rStyle w:val="FootnoteReference"/>
          <w:rFonts w:asciiTheme="minorHAnsi" w:hAnsiTheme="minorHAnsi" w:cstheme="minorBidi"/>
          <w:sz w:val="22"/>
          <w:szCs w:val="22"/>
        </w:rPr>
        <w:footnoteReference w:id="18"/>
      </w:r>
      <w:r w:rsidRPr="007D116C">
        <w:rPr>
          <w:rStyle w:val="normaltextrun"/>
          <w:rFonts w:asciiTheme="minorHAnsi" w:eastAsiaTheme="majorEastAsia" w:hAnsiTheme="minorHAnsi" w:cstheme="minorBidi"/>
          <w:sz w:val="22"/>
          <w:szCs w:val="22"/>
        </w:rPr>
        <w:t xml:space="preserve"> The </w:t>
      </w:r>
      <w:r w:rsidRPr="007D116C">
        <w:rPr>
          <w:rStyle w:val="normaltextrun"/>
          <w:rFonts w:asciiTheme="minorHAnsi" w:eastAsiaTheme="majorEastAsia" w:hAnsiTheme="minorHAnsi" w:cstheme="minorBidi"/>
          <w:i/>
          <w:sz w:val="22"/>
          <w:szCs w:val="22"/>
        </w:rPr>
        <w:t>Building Industry Fairness (Security of Payment) Act</w:t>
      </w:r>
      <w:r w:rsidR="00413345" w:rsidRPr="007D116C">
        <w:rPr>
          <w:rStyle w:val="normaltextrun"/>
          <w:rFonts w:asciiTheme="minorHAnsi" w:eastAsiaTheme="majorEastAsia" w:hAnsiTheme="minorHAnsi" w:cstheme="minorBidi"/>
          <w:i/>
          <w:sz w:val="22"/>
          <w:szCs w:val="22"/>
        </w:rPr>
        <w:t xml:space="preserve"> </w:t>
      </w:r>
      <w:r w:rsidR="00EC7147" w:rsidRPr="007D116C">
        <w:rPr>
          <w:rStyle w:val="normaltextrun"/>
          <w:rFonts w:asciiTheme="minorHAnsi" w:eastAsiaTheme="majorEastAsia" w:hAnsiTheme="minorHAnsi" w:cstheme="minorBidi"/>
          <w:i/>
          <w:sz w:val="22"/>
          <w:szCs w:val="22"/>
        </w:rPr>
        <w:t>2017 (Qld)</w:t>
      </w:r>
      <w:r w:rsidRPr="007D116C">
        <w:rPr>
          <w:rStyle w:val="normaltextrun"/>
          <w:rFonts w:asciiTheme="minorHAnsi" w:eastAsiaTheme="majorEastAsia" w:hAnsiTheme="minorHAnsi" w:cstheme="minorBidi"/>
          <w:i/>
          <w:sz w:val="22"/>
          <w:szCs w:val="22"/>
        </w:rPr>
        <w:t xml:space="preserve"> </w:t>
      </w:r>
      <w:r w:rsidRPr="007D116C">
        <w:rPr>
          <w:rStyle w:val="normaltextrun"/>
          <w:rFonts w:asciiTheme="minorHAnsi" w:eastAsiaTheme="majorEastAsia" w:hAnsiTheme="minorHAnsi" w:cstheme="minorBidi"/>
          <w:sz w:val="22"/>
          <w:szCs w:val="22"/>
        </w:rPr>
        <w:t>(BIF Act)</w:t>
      </w:r>
      <w:r w:rsidR="00D820C5" w:rsidRPr="007D116C">
        <w:rPr>
          <w:rStyle w:val="normaltextrun"/>
          <w:rFonts w:asciiTheme="minorHAnsi" w:eastAsiaTheme="majorEastAsia" w:hAnsiTheme="minorHAnsi" w:cstheme="minorBidi"/>
          <w:sz w:val="22"/>
          <w:szCs w:val="22"/>
        </w:rPr>
        <w:t xml:space="preserve"> and associated regulation</w:t>
      </w:r>
      <w:r w:rsidR="00FB5AE2" w:rsidRPr="007D116C">
        <w:rPr>
          <w:rStyle w:val="normaltextrun"/>
          <w:rFonts w:asciiTheme="minorHAnsi" w:eastAsiaTheme="majorEastAsia" w:hAnsiTheme="minorHAnsi" w:cstheme="minorBidi"/>
          <w:sz w:val="22"/>
          <w:szCs w:val="22"/>
        </w:rPr>
        <w:t>s</w:t>
      </w:r>
      <w:r w:rsidRPr="007D116C">
        <w:rPr>
          <w:rStyle w:val="normaltextrun"/>
          <w:rFonts w:asciiTheme="minorHAnsi" w:eastAsiaTheme="majorEastAsia" w:hAnsiTheme="minorHAnsi" w:cstheme="minorBidi"/>
          <w:i/>
          <w:sz w:val="22"/>
          <w:szCs w:val="22"/>
        </w:rPr>
        <w:t xml:space="preserve"> </w:t>
      </w:r>
      <w:r w:rsidRPr="007D116C">
        <w:rPr>
          <w:rStyle w:val="normaltextrun"/>
          <w:rFonts w:asciiTheme="minorHAnsi" w:eastAsiaTheme="majorEastAsia" w:hAnsiTheme="minorHAnsi" w:cstheme="minorBidi"/>
          <w:sz w:val="22"/>
          <w:szCs w:val="22"/>
        </w:rPr>
        <w:t xml:space="preserve">provide measures designed to ensure </w:t>
      </w:r>
      <w:r w:rsidRPr="007D116C">
        <w:rPr>
          <w:rStyle w:val="normaltextrun"/>
          <w:rFonts w:asciiTheme="minorHAnsi" w:eastAsiaTheme="majorEastAsia" w:hAnsiTheme="minorHAnsi" w:cstheme="minorBidi"/>
          <w:sz w:val="22"/>
          <w:szCs w:val="22"/>
        </w:rPr>
        <w:lastRenderedPageBreak/>
        <w:t xml:space="preserve">workers in the industry are paid for their work and gives the </w:t>
      </w:r>
      <w:r w:rsidR="008E63F7" w:rsidRPr="007D116C">
        <w:rPr>
          <w:rStyle w:val="normaltextrun"/>
          <w:rFonts w:asciiTheme="minorHAnsi" w:eastAsiaTheme="majorEastAsia" w:hAnsiTheme="minorHAnsi" w:cstheme="minorBidi"/>
          <w:sz w:val="22"/>
          <w:szCs w:val="22"/>
        </w:rPr>
        <w:t>C</w:t>
      </w:r>
      <w:r w:rsidRPr="007D116C">
        <w:rPr>
          <w:rStyle w:val="normaltextrun"/>
          <w:rFonts w:asciiTheme="minorHAnsi" w:eastAsiaTheme="majorEastAsia" w:hAnsiTheme="minorHAnsi" w:cstheme="minorBidi"/>
          <w:sz w:val="22"/>
          <w:szCs w:val="22"/>
        </w:rPr>
        <w:t>ommissioner the power to enforce those measures</w:t>
      </w:r>
      <w:r w:rsidR="00B61C06" w:rsidRPr="007D116C">
        <w:rPr>
          <w:rStyle w:val="normaltextrun"/>
          <w:rFonts w:asciiTheme="minorHAnsi" w:eastAsiaTheme="majorEastAsia" w:hAnsiTheme="minorHAnsi" w:cstheme="minorBidi"/>
          <w:sz w:val="22"/>
          <w:szCs w:val="22"/>
        </w:rPr>
        <w:t>.</w:t>
      </w:r>
      <w:r w:rsidR="00FB5AE2" w:rsidRPr="007D116C">
        <w:rPr>
          <w:rStyle w:val="FootnoteReference"/>
          <w:rFonts w:asciiTheme="minorHAnsi" w:eastAsiaTheme="majorEastAsia" w:hAnsiTheme="minorHAnsi" w:cstheme="minorBidi"/>
          <w:sz w:val="22"/>
          <w:szCs w:val="22"/>
        </w:rPr>
        <w:footnoteReference w:id="19"/>
      </w:r>
    </w:p>
    <w:p w14:paraId="44E8F9F5" w14:textId="229F9DA3" w:rsidR="00D47197" w:rsidRPr="007D116C" w:rsidRDefault="7444F55F" w:rsidP="502F8547">
      <w:pPr>
        <w:pStyle w:val="paragraph"/>
        <w:numPr>
          <w:ilvl w:val="0"/>
          <w:numId w:val="2"/>
        </w:numPr>
        <w:spacing w:before="0" w:beforeAutospacing="0" w:after="160" w:afterAutospacing="0" w:line="480" w:lineRule="auto"/>
        <w:ind w:left="0" w:hanging="426"/>
        <w:textAlignment w:val="baseline"/>
        <w:rPr>
          <w:rFonts w:asciiTheme="minorHAnsi" w:hAnsiTheme="minorHAnsi" w:cstheme="minorBidi"/>
          <w:sz w:val="22"/>
          <w:szCs w:val="22"/>
        </w:rPr>
      </w:pPr>
      <w:r w:rsidRPr="502F8547">
        <w:rPr>
          <w:rStyle w:val="normaltextrun"/>
          <w:rFonts w:asciiTheme="minorHAnsi" w:eastAsiaTheme="majorEastAsia" w:hAnsiTheme="minorHAnsi" w:cstheme="minorBidi"/>
          <w:i/>
          <w:iCs/>
          <w:sz w:val="22"/>
          <w:szCs w:val="22"/>
        </w:rPr>
        <w:t>Funding</w:t>
      </w:r>
      <w:r w:rsidRPr="502F8547">
        <w:rPr>
          <w:rStyle w:val="normaltextrun"/>
          <w:rFonts w:asciiTheme="minorHAnsi" w:eastAsiaTheme="majorEastAsia" w:hAnsiTheme="minorHAnsi" w:cstheme="minorBidi"/>
          <w:sz w:val="22"/>
          <w:szCs w:val="22"/>
        </w:rPr>
        <w:t xml:space="preserve">: </w:t>
      </w:r>
      <w:r w:rsidR="72993B32" w:rsidRPr="502F8547">
        <w:rPr>
          <w:rFonts w:asciiTheme="minorHAnsi" w:hAnsiTheme="minorHAnsi" w:cstheme="minorBidi"/>
          <w:sz w:val="22"/>
          <w:szCs w:val="22"/>
        </w:rPr>
        <w:t xml:space="preserve">The QBCC is funded by a combination of licensing fees, premiums paid by members of the statutory insurance scheme, fees charged to policyholders, moneys recovered from licensees found at fault, returns on investments, and non-recurrent grants from DEPW. </w:t>
      </w:r>
      <w:r w:rsidR="4D1684B5" w:rsidRPr="502F8547">
        <w:rPr>
          <w:rFonts w:asciiTheme="minorHAnsi" w:hAnsiTheme="minorHAnsi" w:cstheme="minorBidi"/>
          <w:sz w:val="22"/>
          <w:szCs w:val="22"/>
        </w:rPr>
        <w:t xml:space="preserve"> </w:t>
      </w:r>
      <w:r w:rsidR="5E287AF7" w:rsidRPr="502F8547">
        <w:rPr>
          <w:rFonts w:asciiTheme="minorHAnsi" w:hAnsiTheme="minorHAnsi" w:cstheme="minorBidi"/>
          <w:sz w:val="22"/>
          <w:szCs w:val="22"/>
        </w:rPr>
        <w:t xml:space="preserve">Per s 26(3) of the QBCC Act, money collected under the insurance scheme is to be paid into a </w:t>
      </w:r>
      <w:r w:rsidR="34938BDF" w:rsidRPr="502F8547">
        <w:rPr>
          <w:rFonts w:asciiTheme="minorHAnsi" w:hAnsiTheme="minorHAnsi" w:cstheme="minorBidi"/>
          <w:sz w:val="22"/>
          <w:szCs w:val="22"/>
        </w:rPr>
        <w:t xml:space="preserve">statutory </w:t>
      </w:r>
      <w:r w:rsidR="5E287AF7" w:rsidRPr="502F8547">
        <w:rPr>
          <w:rFonts w:asciiTheme="minorHAnsi" w:hAnsiTheme="minorHAnsi" w:cstheme="minorBidi"/>
          <w:sz w:val="22"/>
          <w:szCs w:val="22"/>
        </w:rPr>
        <w:t xml:space="preserve">Insurance Fund and used for the administration of the fund and for paying out claims to policyholders, rather than for the general operations of the QBCC. </w:t>
      </w:r>
      <w:r w:rsidR="3998447B" w:rsidRPr="502F8547">
        <w:rPr>
          <w:rFonts w:asciiTheme="minorHAnsi" w:hAnsiTheme="minorHAnsi" w:cstheme="minorBidi"/>
          <w:sz w:val="22"/>
          <w:szCs w:val="22"/>
        </w:rPr>
        <w:t>A</w:t>
      </w:r>
      <w:r w:rsidR="5E287AF7" w:rsidRPr="502F8547">
        <w:rPr>
          <w:rFonts w:asciiTheme="minorHAnsi" w:hAnsiTheme="minorHAnsi" w:cstheme="minorBidi"/>
          <w:sz w:val="22"/>
          <w:szCs w:val="22"/>
        </w:rPr>
        <w:t>symmetrically, the QBCC Act does permit the transfer of funds from QBCC’s General Statutory Fund (its operational fund) to the Insurance Fund (s 25(4)).</w:t>
      </w:r>
      <w:r w:rsidR="241CA960" w:rsidRPr="502F8547">
        <w:rPr>
          <w:rFonts w:asciiTheme="minorHAnsi" w:hAnsiTheme="minorHAnsi" w:cstheme="minorBidi"/>
          <w:sz w:val="22"/>
          <w:szCs w:val="22"/>
        </w:rPr>
        <w:t xml:space="preserve"> </w:t>
      </w:r>
      <w:r w:rsidR="41EB5C1F" w:rsidRPr="502F8547">
        <w:rPr>
          <w:rFonts w:asciiTheme="minorHAnsi" w:hAnsiTheme="minorHAnsi" w:cstheme="minorBidi"/>
          <w:sz w:val="22"/>
          <w:szCs w:val="22"/>
        </w:rPr>
        <w:t>However, b</w:t>
      </w:r>
      <w:r w:rsidR="697FB9C3" w:rsidRPr="502F8547">
        <w:rPr>
          <w:rFonts w:asciiTheme="minorHAnsi" w:hAnsiTheme="minorHAnsi" w:cstheme="minorBidi"/>
          <w:sz w:val="22"/>
          <w:szCs w:val="22"/>
        </w:rPr>
        <w:t xml:space="preserve">ecause the two funds and related functions are </w:t>
      </w:r>
      <w:r w:rsidR="7536B2B2" w:rsidRPr="502F8547">
        <w:rPr>
          <w:rFonts w:asciiTheme="minorHAnsi" w:hAnsiTheme="minorHAnsi" w:cstheme="minorBidi"/>
          <w:sz w:val="22"/>
          <w:szCs w:val="22"/>
        </w:rPr>
        <w:t>both administered by QBCC, the insurance fund makes payments to</w:t>
      </w:r>
      <w:r w:rsidR="41EB5C1F" w:rsidRPr="502F8547">
        <w:rPr>
          <w:rFonts w:asciiTheme="minorHAnsi" w:hAnsiTheme="minorHAnsi" w:cstheme="minorBidi"/>
          <w:sz w:val="22"/>
          <w:szCs w:val="22"/>
        </w:rPr>
        <w:t xml:space="preserve"> the general fund </w:t>
      </w:r>
      <w:r w:rsidR="59FB9CB6" w:rsidRPr="502F8547">
        <w:rPr>
          <w:rFonts w:asciiTheme="minorHAnsi" w:hAnsiTheme="minorHAnsi" w:cstheme="minorBidi"/>
          <w:sz w:val="22"/>
          <w:szCs w:val="22"/>
        </w:rPr>
        <w:t>to cover services render</w:t>
      </w:r>
      <w:r w:rsidR="3E75D122" w:rsidRPr="502F8547">
        <w:rPr>
          <w:rFonts w:asciiTheme="minorHAnsi" w:hAnsiTheme="minorHAnsi" w:cstheme="minorBidi"/>
          <w:sz w:val="22"/>
          <w:szCs w:val="22"/>
        </w:rPr>
        <w:t>ed</w:t>
      </w:r>
      <w:r w:rsidR="106BE14B" w:rsidRPr="502F8547">
        <w:rPr>
          <w:rFonts w:asciiTheme="minorHAnsi" w:hAnsiTheme="minorHAnsi" w:cstheme="minorBidi"/>
          <w:sz w:val="22"/>
          <w:szCs w:val="22"/>
        </w:rPr>
        <w:t>.</w:t>
      </w:r>
      <w:r w:rsidR="00DE3669" w:rsidRPr="502F8547">
        <w:rPr>
          <w:rStyle w:val="FootnoteReference"/>
          <w:rFonts w:asciiTheme="minorHAnsi" w:hAnsiTheme="minorHAnsi" w:cstheme="minorBidi"/>
          <w:sz w:val="22"/>
          <w:szCs w:val="22"/>
        </w:rPr>
        <w:footnoteReference w:id="20"/>
      </w:r>
      <w:r w:rsidR="41EB5C1F" w:rsidRPr="502F8547">
        <w:rPr>
          <w:rFonts w:asciiTheme="minorHAnsi" w:hAnsiTheme="minorHAnsi" w:cstheme="minorBidi"/>
          <w:sz w:val="22"/>
          <w:szCs w:val="22"/>
        </w:rPr>
        <w:t xml:space="preserve"> </w:t>
      </w:r>
      <w:r w:rsidR="241CA960" w:rsidRPr="502F8547">
        <w:rPr>
          <w:rFonts w:asciiTheme="minorHAnsi" w:hAnsiTheme="minorHAnsi" w:cstheme="minorBidi"/>
          <w:sz w:val="22"/>
          <w:szCs w:val="22"/>
        </w:rPr>
        <w:t xml:space="preserve"> </w:t>
      </w:r>
      <w:r w:rsidR="475A0D33" w:rsidRPr="502F8547">
        <w:rPr>
          <w:rFonts w:asciiTheme="minorHAnsi" w:hAnsiTheme="minorHAnsi" w:cstheme="minorBidi"/>
          <w:sz w:val="22"/>
          <w:szCs w:val="22"/>
        </w:rPr>
        <w:t xml:space="preserve">A review of the last three years of </w:t>
      </w:r>
      <w:r w:rsidR="7D4CFDB9" w:rsidRPr="502F8547">
        <w:rPr>
          <w:rFonts w:asciiTheme="minorHAnsi" w:hAnsiTheme="minorHAnsi" w:cstheme="minorBidi"/>
          <w:sz w:val="22"/>
          <w:szCs w:val="22"/>
        </w:rPr>
        <w:t xml:space="preserve">publicly </w:t>
      </w:r>
      <w:r w:rsidR="475A0D33" w:rsidRPr="502F8547">
        <w:rPr>
          <w:rFonts w:asciiTheme="minorHAnsi" w:hAnsiTheme="minorHAnsi" w:cstheme="minorBidi"/>
          <w:sz w:val="22"/>
          <w:szCs w:val="22"/>
        </w:rPr>
        <w:t>reported financial figures reveals:</w:t>
      </w:r>
    </w:p>
    <w:p w14:paraId="6B5BEB5E" w14:textId="239A1656" w:rsidR="00D47197" w:rsidRPr="007D116C" w:rsidRDefault="000B3454">
      <w:pPr>
        <w:pStyle w:val="paragraph"/>
        <w:numPr>
          <w:ilvl w:val="1"/>
          <w:numId w:val="2"/>
        </w:numPr>
        <w:spacing w:before="0" w:beforeAutospacing="0" w:after="160" w:afterAutospacing="0" w:line="480" w:lineRule="auto"/>
        <w:textAlignment w:val="baseline"/>
        <w:rPr>
          <w:rFonts w:asciiTheme="minorHAnsi" w:hAnsiTheme="minorHAnsi" w:cstheme="minorBidi"/>
          <w:sz w:val="22"/>
          <w:szCs w:val="22"/>
        </w:rPr>
      </w:pPr>
      <w:r w:rsidRPr="007D116C">
        <w:rPr>
          <w:rFonts w:asciiTheme="minorHAnsi" w:hAnsiTheme="minorHAnsi" w:cstheme="minorBidi"/>
          <w:sz w:val="22"/>
          <w:szCs w:val="22"/>
        </w:rPr>
        <w:t>In the most recent reported year, 2020-21, QBCC posted a surplus of $61 million, up from less than $2 million the year before, and $17 million the year before that.</w:t>
      </w:r>
      <w:r w:rsidR="00BB744D" w:rsidRPr="007D116C">
        <w:rPr>
          <w:rFonts w:asciiTheme="minorHAnsi" w:hAnsiTheme="minorHAnsi" w:cstheme="minorBidi"/>
          <w:sz w:val="22"/>
          <w:szCs w:val="22"/>
        </w:rPr>
        <w:t xml:space="preserve"> </w:t>
      </w:r>
      <w:r w:rsidR="00BB586D" w:rsidRPr="007D116C">
        <w:rPr>
          <w:rFonts w:asciiTheme="minorHAnsi" w:hAnsiTheme="minorHAnsi" w:cstheme="minorBidi"/>
          <w:sz w:val="22"/>
          <w:szCs w:val="22"/>
        </w:rPr>
        <w:t xml:space="preserve">Between 2013-14 and 2017-18, QBCC </w:t>
      </w:r>
      <w:r w:rsidR="003C6FB7" w:rsidRPr="007D116C">
        <w:rPr>
          <w:rFonts w:asciiTheme="minorHAnsi" w:hAnsiTheme="minorHAnsi" w:cstheme="minorBidi"/>
          <w:sz w:val="22"/>
          <w:szCs w:val="22"/>
        </w:rPr>
        <w:t xml:space="preserve">ran surpluses in all but the last of those years. However, </w:t>
      </w:r>
      <w:r w:rsidR="006B3FD1" w:rsidRPr="007D116C">
        <w:rPr>
          <w:rFonts w:asciiTheme="minorHAnsi" w:hAnsiTheme="minorHAnsi" w:cstheme="minorBidi"/>
          <w:sz w:val="22"/>
          <w:szCs w:val="22"/>
        </w:rPr>
        <w:t>the General Fund, which covers QBCC’s regulatory functions, consistently ran at a deficit</w:t>
      </w:r>
      <w:r w:rsidR="00C145B2" w:rsidRPr="007D116C">
        <w:rPr>
          <w:rFonts w:asciiTheme="minorHAnsi" w:hAnsiTheme="minorHAnsi" w:cstheme="minorBidi"/>
          <w:sz w:val="22"/>
          <w:szCs w:val="22"/>
        </w:rPr>
        <w:t>.</w:t>
      </w:r>
      <w:r w:rsidR="00C145B2" w:rsidRPr="007D116C">
        <w:rPr>
          <w:rStyle w:val="FootnoteReference"/>
          <w:rFonts w:asciiTheme="minorHAnsi" w:hAnsiTheme="minorHAnsi" w:cstheme="minorBidi"/>
          <w:sz w:val="22"/>
          <w:szCs w:val="22"/>
        </w:rPr>
        <w:footnoteReference w:id="21"/>
      </w:r>
      <w:r w:rsidR="00C145B2" w:rsidRPr="007D116C">
        <w:rPr>
          <w:rFonts w:asciiTheme="minorHAnsi" w:hAnsiTheme="minorHAnsi" w:cstheme="minorBidi"/>
          <w:sz w:val="22"/>
          <w:szCs w:val="22"/>
        </w:rPr>
        <w:t xml:space="preserve"> </w:t>
      </w:r>
    </w:p>
    <w:p w14:paraId="224677BB" w14:textId="2ACE3782" w:rsidR="00D47197" w:rsidRPr="007D116C" w:rsidRDefault="000B3454">
      <w:pPr>
        <w:pStyle w:val="paragraph"/>
        <w:numPr>
          <w:ilvl w:val="1"/>
          <w:numId w:val="2"/>
        </w:numPr>
        <w:spacing w:before="0" w:beforeAutospacing="0" w:after="160" w:afterAutospacing="0" w:line="480" w:lineRule="auto"/>
        <w:textAlignment w:val="baseline"/>
        <w:rPr>
          <w:rFonts w:asciiTheme="minorHAnsi" w:hAnsiTheme="minorHAnsi" w:cstheme="minorBidi"/>
          <w:sz w:val="22"/>
          <w:szCs w:val="22"/>
        </w:rPr>
      </w:pPr>
      <w:r w:rsidRPr="007D116C">
        <w:rPr>
          <w:rFonts w:asciiTheme="minorHAnsi" w:hAnsiTheme="minorHAnsi" w:cstheme="minorBidi"/>
          <w:sz w:val="22"/>
          <w:szCs w:val="22"/>
        </w:rPr>
        <w:t>In 2020-21, QBCC saw a significant rise in revenue to $303 million, up from $196 million the year before, and $223 million the year before that. This rise was driven primarily by increases in premium revenue and insurance administration revenue</w:t>
      </w:r>
      <w:r w:rsidR="00C40D12" w:rsidRPr="007D116C">
        <w:rPr>
          <w:rFonts w:asciiTheme="minorHAnsi" w:hAnsiTheme="minorHAnsi" w:cstheme="minorBidi"/>
          <w:sz w:val="22"/>
          <w:szCs w:val="22"/>
        </w:rPr>
        <w:t xml:space="preserve"> </w:t>
      </w:r>
      <w:r w:rsidR="004B4B7F" w:rsidRPr="007D116C">
        <w:rPr>
          <w:rFonts w:asciiTheme="minorHAnsi" w:hAnsiTheme="minorHAnsi" w:cstheme="minorBidi"/>
          <w:sz w:val="22"/>
          <w:szCs w:val="22"/>
        </w:rPr>
        <w:t>(i.e., d</w:t>
      </w:r>
      <w:r w:rsidR="00C40D12" w:rsidRPr="007D116C">
        <w:rPr>
          <w:rFonts w:asciiTheme="minorHAnsi" w:hAnsiTheme="minorHAnsi" w:cstheme="minorBidi"/>
          <w:sz w:val="22"/>
          <w:szCs w:val="22"/>
        </w:rPr>
        <w:t>emand)</w:t>
      </w:r>
      <w:r w:rsidRPr="007D116C">
        <w:rPr>
          <w:rFonts w:asciiTheme="minorHAnsi" w:hAnsiTheme="minorHAnsi" w:cstheme="minorBidi"/>
          <w:sz w:val="22"/>
          <w:szCs w:val="22"/>
        </w:rPr>
        <w:t>,</w:t>
      </w:r>
      <w:r w:rsidR="00451B1A" w:rsidRPr="007D116C">
        <w:rPr>
          <w:rStyle w:val="FootnoteReference"/>
          <w:rFonts w:asciiTheme="minorHAnsi" w:hAnsiTheme="minorHAnsi" w:cstheme="minorBidi"/>
          <w:sz w:val="22"/>
          <w:szCs w:val="22"/>
        </w:rPr>
        <w:footnoteReference w:id="22"/>
      </w:r>
      <w:r w:rsidRPr="007D116C">
        <w:rPr>
          <w:rFonts w:asciiTheme="minorHAnsi" w:hAnsiTheme="minorHAnsi" w:cstheme="minorBidi"/>
          <w:sz w:val="22"/>
          <w:szCs w:val="22"/>
        </w:rPr>
        <w:t xml:space="preserve"> but also significant were an increase in license revenue and a rebound in investment revenue (to $36 million, from a small loss the year before, and revenue of $15 million the year before that). </w:t>
      </w:r>
    </w:p>
    <w:p w14:paraId="4C50004A" w14:textId="60C55C21" w:rsidR="00D47197" w:rsidRPr="007D116C" w:rsidRDefault="000B3454">
      <w:pPr>
        <w:pStyle w:val="paragraph"/>
        <w:numPr>
          <w:ilvl w:val="1"/>
          <w:numId w:val="2"/>
        </w:numPr>
        <w:spacing w:before="0" w:beforeAutospacing="0" w:after="160" w:afterAutospacing="0" w:line="480" w:lineRule="auto"/>
        <w:textAlignment w:val="baseline"/>
        <w:rPr>
          <w:rFonts w:asciiTheme="minorHAnsi" w:hAnsiTheme="minorHAnsi" w:cstheme="minorBidi"/>
          <w:sz w:val="22"/>
          <w:szCs w:val="22"/>
        </w:rPr>
      </w:pPr>
      <w:r w:rsidRPr="007D116C">
        <w:rPr>
          <w:rFonts w:asciiTheme="minorHAnsi" w:hAnsiTheme="minorHAnsi" w:cstheme="minorBidi"/>
          <w:sz w:val="22"/>
          <w:szCs w:val="22"/>
        </w:rPr>
        <w:lastRenderedPageBreak/>
        <w:t xml:space="preserve">The same year, QBCC also saw a significant rise in expenses, to $242 million, up from $194 million and $207 million the previous two years. The rise was almost entirely a result of increased expenses in outward reinsurance and claims approved and charged. Other significant changes in expenses over the </w:t>
      </w:r>
      <w:r w:rsidR="000B3993" w:rsidRPr="007D116C">
        <w:rPr>
          <w:rFonts w:asciiTheme="minorHAnsi" w:hAnsiTheme="minorHAnsi" w:cstheme="minorBidi"/>
          <w:sz w:val="22"/>
          <w:szCs w:val="22"/>
        </w:rPr>
        <w:t>three-year</w:t>
      </w:r>
      <w:r w:rsidRPr="007D116C">
        <w:rPr>
          <w:rFonts w:asciiTheme="minorHAnsi" w:hAnsiTheme="minorHAnsi" w:cstheme="minorBidi"/>
          <w:sz w:val="22"/>
          <w:szCs w:val="22"/>
        </w:rPr>
        <w:t xml:space="preserve"> period include an increase in employee expenses in 2019-20 from 2018-19 of 22%, to $64 million from $53 million, and a fall in impairment losses on financial assets, which were $24 million in 2020-21 but $35 million and $56 million in the two years prior.</w:t>
      </w:r>
    </w:p>
    <w:p w14:paraId="425CFB67" w14:textId="7DD98F08" w:rsidR="00D47197" w:rsidRPr="007D116C" w:rsidRDefault="000B3454">
      <w:pPr>
        <w:pStyle w:val="paragraph"/>
        <w:numPr>
          <w:ilvl w:val="1"/>
          <w:numId w:val="2"/>
        </w:numPr>
        <w:spacing w:before="0" w:beforeAutospacing="0" w:after="160" w:afterAutospacing="0" w:line="480" w:lineRule="auto"/>
        <w:textAlignment w:val="baseline"/>
        <w:rPr>
          <w:rFonts w:asciiTheme="minorHAnsi" w:hAnsiTheme="minorHAnsi" w:cstheme="minorBidi"/>
          <w:sz w:val="22"/>
          <w:szCs w:val="22"/>
        </w:rPr>
      </w:pPr>
      <w:r w:rsidRPr="007D116C">
        <w:rPr>
          <w:rFonts w:asciiTheme="minorHAnsi" w:hAnsiTheme="minorHAnsi" w:cstheme="minorBidi"/>
          <w:sz w:val="22"/>
          <w:szCs w:val="22"/>
        </w:rPr>
        <w:t>The statutory insurance scheme accounts for most of QBCC’s revenue: premiums, fees and reinsurance and recoveries together constituted 66% of QBCC revenue in 2020-21, 74% in 2019-20, and 70% in 2018-19. At the same time, two of the three largest expenses for QBCC are related to the insurance scheme: outward reinsurance and claims approved and charged</w:t>
      </w:r>
      <w:r w:rsidR="001264E0" w:rsidRPr="007D116C">
        <w:rPr>
          <w:rFonts w:asciiTheme="minorHAnsi" w:hAnsiTheme="minorHAnsi" w:cstheme="minorBidi"/>
          <w:sz w:val="22"/>
          <w:szCs w:val="22"/>
        </w:rPr>
        <w:t xml:space="preserve">. </w:t>
      </w:r>
      <w:r w:rsidR="001264E0" w:rsidRPr="007D116C">
        <w:rPr>
          <w:rFonts w:asciiTheme="minorHAnsi" w:hAnsiTheme="minorHAnsi" w:cstheme="minorHAnsi"/>
          <w:sz w:val="22"/>
          <w:szCs w:val="22"/>
        </w:rPr>
        <w:t xml:space="preserve">The second-largest expense for QBCC is employee expenses, but the public reports do not breakdown how much of this expense is related to QBCC’s insurance functions. Similarly, the reports do not parse the expense of supplies and services into the different functions. However, per s 68D(3)(b) of the QBCC Act, premiums are to be set by the </w:t>
      </w:r>
      <w:r w:rsidR="008E63F7" w:rsidRPr="007D116C">
        <w:rPr>
          <w:rFonts w:asciiTheme="minorHAnsi" w:hAnsiTheme="minorHAnsi" w:cstheme="minorHAnsi"/>
          <w:sz w:val="22"/>
          <w:szCs w:val="22"/>
        </w:rPr>
        <w:t>C</w:t>
      </w:r>
      <w:r w:rsidR="001264E0" w:rsidRPr="007D116C">
        <w:rPr>
          <w:rFonts w:asciiTheme="minorHAnsi" w:hAnsiTheme="minorHAnsi" w:cstheme="minorHAnsi"/>
          <w:sz w:val="22"/>
          <w:szCs w:val="22"/>
        </w:rPr>
        <w:t xml:space="preserve">ommission </w:t>
      </w:r>
      <w:r w:rsidR="00B51FE4" w:rsidRPr="007D116C">
        <w:rPr>
          <w:rFonts w:asciiTheme="minorHAnsi" w:hAnsiTheme="minorHAnsi" w:cstheme="minorHAnsi"/>
          <w:sz w:val="22"/>
          <w:szCs w:val="22"/>
        </w:rPr>
        <w:t>to</w:t>
      </w:r>
      <w:r w:rsidR="001264E0" w:rsidRPr="007D116C">
        <w:rPr>
          <w:rFonts w:asciiTheme="minorHAnsi" w:hAnsiTheme="minorHAnsi" w:cstheme="minorHAnsi"/>
          <w:sz w:val="22"/>
          <w:szCs w:val="22"/>
        </w:rPr>
        <w:t xml:space="preserve"> “ensure insurance premiums are sufficient to meet the costs mentioned in section 26(3)”. That is, the scheme is intended to be self-sufficient in respect of administration and pay-outs to policyholders.</w:t>
      </w:r>
      <w:r w:rsidR="001264E0" w:rsidRPr="007D116C">
        <w:rPr>
          <w:rStyle w:val="FootnoteReference"/>
          <w:rFonts w:asciiTheme="minorHAnsi" w:hAnsiTheme="minorHAnsi" w:cstheme="minorHAnsi"/>
          <w:sz w:val="22"/>
          <w:szCs w:val="22"/>
        </w:rPr>
        <w:footnoteReference w:id="23"/>
      </w:r>
      <w:r w:rsidRPr="007D116C">
        <w:rPr>
          <w:rFonts w:asciiTheme="minorHAnsi" w:hAnsiTheme="minorHAnsi" w:cstheme="minorBidi"/>
          <w:sz w:val="22"/>
          <w:szCs w:val="22"/>
        </w:rPr>
        <w:t xml:space="preserve"> </w:t>
      </w:r>
      <w:r w:rsidR="00847177" w:rsidRPr="007D116C">
        <w:rPr>
          <w:rFonts w:asciiTheme="minorHAnsi" w:hAnsiTheme="minorHAnsi" w:cstheme="minorBidi"/>
          <w:sz w:val="22"/>
          <w:szCs w:val="22"/>
        </w:rPr>
        <w:t>Moreover, a</w:t>
      </w:r>
      <w:r w:rsidR="0031227B" w:rsidRPr="007D116C">
        <w:rPr>
          <w:rFonts w:asciiTheme="minorHAnsi" w:hAnsiTheme="minorHAnsi" w:cstheme="minorBidi"/>
          <w:sz w:val="22"/>
          <w:szCs w:val="22"/>
        </w:rPr>
        <w:t>s not</w:t>
      </w:r>
      <w:r w:rsidR="00155D2D" w:rsidRPr="007D116C">
        <w:rPr>
          <w:rFonts w:asciiTheme="minorHAnsi" w:hAnsiTheme="minorHAnsi" w:cstheme="minorBidi"/>
          <w:sz w:val="22"/>
          <w:szCs w:val="22"/>
        </w:rPr>
        <w:t>ed above, the insurance fund pays for insurance-related services provided by QBCC.</w:t>
      </w:r>
    </w:p>
    <w:p w14:paraId="5C291FD0" w14:textId="7F3BB534" w:rsidR="00D47197" w:rsidRPr="007D116C" w:rsidRDefault="60178C48" w:rsidP="502F8547">
      <w:pPr>
        <w:pStyle w:val="paragraph"/>
        <w:numPr>
          <w:ilvl w:val="1"/>
          <w:numId w:val="2"/>
        </w:numPr>
        <w:spacing w:before="0" w:beforeAutospacing="0" w:after="160" w:afterAutospacing="0" w:line="480" w:lineRule="auto"/>
        <w:textAlignment w:val="baseline"/>
        <w:rPr>
          <w:rFonts w:asciiTheme="minorHAnsi" w:hAnsiTheme="minorHAnsi" w:cstheme="minorBidi"/>
          <w:sz w:val="22"/>
          <w:szCs w:val="22"/>
        </w:rPr>
      </w:pPr>
      <w:r w:rsidRPr="502F8547">
        <w:rPr>
          <w:rFonts w:asciiTheme="minorHAnsi" w:hAnsiTheme="minorHAnsi" w:cstheme="minorBidi"/>
          <w:sz w:val="22"/>
          <w:szCs w:val="22"/>
        </w:rPr>
        <w:t xml:space="preserve">It </w:t>
      </w:r>
      <w:r w:rsidR="62CB0ED4" w:rsidRPr="502F8547">
        <w:rPr>
          <w:rFonts w:asciiTheme="minorHAnsi" w:hAnsiTheme="minorHAnsi" w:cstheme="minorBidi"/>
          <w:sz w:val="22"/>
          <w:szCs w:val="22"/>
        </w:rPr>
        <w:t>should</w:t>
      </w:r>
      <w:r w:rsidRPr="502F8547">
        <w:rPr>
          <w:rFonts w:asciiTheme="minorHAnsi" w:hAnsiTheme="minorHAnsi" w:cstheme="minorBidi"/>
          <w:sz w:val="22"/>
          <w:szCs w:val="22"/>
        </w:rPr>
        <w:t xml:space="preserve"> be noted that </w:t>
      </w:r>
      <w:r w:rsidR="36580521" w:rsidRPr="502F8547">
        <w:rPr>
          <w:rFonts w:asciiTheme="minorHAnsi" w:hAnsiTheme="minorHAnsi" w:cstheme="minorBidi"/>
          <w:sz w:val="22"/>
          <w:szCs w:val="22"/>
        </w:rPr>
        <w:t xml:space="preserve">the insurance </w:t>
      </w:r>
      <w:r w:rsidR="3AB8924F" w:rsidRPr="502F8547">
        <w:rPr>
          <w:rFonts w:asciiTheme="minorHAnsi" w:hAnsiTheme="minorHAnsi" w:cstheme="minorBidi"/>
          <w:sz w:val="22"/>
          <w:szCs w:val="22"/>
        </w:rPr>
        <w:t xml:space="preserve">fund </w:t>
      </w:r>
      <w:r w:rsidR="22BB076D" w:rsidRPr="502F8547">
        <w:rPr>
          <w:rFonts w:asciiTheme="minorHAnsi" w:hAnsiTheme="minorHAnsi" w:cstheme="minorBidi"/>
          <w:sz w:val="22"/>
          <w:szCs w:val="22"/>
        </w:rPr>
        <w:t xml:space="preserve">payments </w:t>
      </w:r>
      <w:r w:rsidR="040811E5" w:rsidRPr="502F8547">
        <w:rPr>
          <w:rFonts w:asciiTheme="minorHAnsi" w:hAnsiTheme="minorHAnsi" w:cstheme="minorBidi"/>
          <w:sz w:val="22"/>
          <w:szCs w:val="22"/>
        </w:rPr>
        <w:t>to the General Fund for services rendered,</w:t>
      </w:r>
      <w:r w:rsidR="3AB8924F" w:rsidRPr="502F8547">
        <w:rPr>
          <w:rFonts w:asciiTheme="minorHAnsi" w:hAnsiTheme="minorHAnsi" w:cstheme="minorBidi"/>
          <w:sz w:val="22"/>
          <w:szCs w:val="22"/>
        </w:rPr>
        <w:t xml:space="preserve"> </w:t>
      </w:r>
      <w:r w:rsidR="29ED5F83" w:rsidRPr="502F8547">
        <w:rPr>
          <w:rFonts w:asciiTheme="minorHAnsi" w:hAnsiTheme="minorHAnsi" w:cstheme="minorBidi"/>
          <w:sz w:val="22"/>
          <w:szCs w:val="22"/>
        </w:rPr>
        <w:t>appear to support</w:t>
      </w:r>
      <w:r w:rsidR="62CB0ED4" w:rsidRPr="502F8547">
        <w:rPr>
          <w:rFonts w:asciiTheme="minorHAnsi" w:hAnsiTheme="minorHAnsi" w:cstheme="minorBidi"/>
          <w:sz w:val="22"/>
          <w:szCs w:val="22"/>
        </w:rPr>
        <w:t xml:space="preserve"> QBCCs </w:t>
      </w:r>
      <w:r w:rsidR="690A55C0" w:rsidRPr="502F8547">
        <w:rPr>
          <w:rFonts w:asciiTheme="minorHAnsi" w:hAnsiTheme="minorHAnsi" w:cstheme="minorBidi"/>
          <w:sz w:val="22"/>
          <w:szCs w:val="22"/>
        </w:rPr>
        <w:t xml:space="preserve">overall financial position. </w:t>
      </w:r>
      <w:r w:rsidRPr="502F8547">
        <w:rPr>
          <w:rFonts w:asciiTheme="minorHAnsi" w:hAnsiTheme="minorHAnsi" w:cstheme="minorBidi"/>
          <w:sz w:val="22"/>
          <w:szCs w:val="22"/>
        </w:rPr>
        <w:t xml:space="preserve">QBCC’s non-insurance related revenues (license revenues, investment revenue, other revenue, and gains on disposal/revaluation of assets) </w:t>
      </w:r>
      <w:r w:rsidR="531CE79C" w:rsidRPr="502F8547">
        <w:rPr>
          <w:rFonts w:asciiTheme="minorHAnsi" w:hAnsiTheme="minorHAnsi" w:cstheme="minorBidi"/>
          <w:sz w:val="22"/>
          <w:szCs w:val="22"/>
        </w:rPr>
        <w:t>would</w:t>
      </w:r>
      <w:r w:rsidR="62BF5A9B" w:rsidRPr="502F8547">
        <w:rPr>
          <w:rFonts w:asciiTheme="minorHAnsi" w:hAnsiTheme="minorHAnsi" w:cstheme="minorBidi"/>
          <w:sz w:val="22"/>
          <w:szCs w:val="22"/>
        </w:rPr>
        <w:t xml:space="preserve"> alone</w:t>
      </w:r>
      <w:r w:rsidR="531CE79C" w:rsidRPr="502F8547">
        <w:rPr>
          <w:rFonts w:asciiTheme="minorHAnsi" w:hAnsiTheme="minorHAnsi" w:cstheme="minorBidi"/>
          <w:sz w:val="22"/>
          <w:szCs w:val="22"/>
        </w:rPr>
        <w:t xml:space="preserve"> be</w:t>
      </w:r>
      <w:r w:rsidRPr="502F8547">
        <w:rPr>
          <w:rFonts w:asciiTheme="minorHAnsi" w:hAnsiTheme="minorHAnsi" w:cstheme="minorBidi"/>
          <w:sz w:val="22"/>
          <w:szCs w:val="22"/>
        </w:rPr>
        <w:t xml:space="preserve"> insufficient to cover QBCC’s expenses</w:t>
      </w:r>
      <w:r w:rsidR="690A55C0" w:rsidRPr="502F8547">
        <w:rPr>
          <w:rFonts w:asciiTheme="minorHAnsi" w:hAnsiTheme="minorHAnsi" w:cstheme="minorBidi"/>
          <w:sz w:val="22"/>
          <w:szCs w:val="22"/>
        </w:rPr>
        <w:t xml:space="preserve">, which </w:t>
      </w:r>
      <w:r w:rsidR="690A55C0" w:rsidRPr="502F8547">
        <w:rPr>
          <w:rFonts w:asciiTheme="minorHAnsi" w:hAnsiTheme="minorHAnsi" w:cstheme="minorBidi"/>
          <w:sz w:val="22"/>
          <w:szCs w:val="22"/>
        </w:rPr>
        <w:lastRenderedPageBreak/>
        <w:t>include the costs of administering the insurance scheme,</w:t>
      </w:r>
      <w:r w:rsidR="531CE79C" w:rsidRPr="502F8547">
        <w:rPr>
          <w:rFonts w:asciiTheme="minorHAnsi" w:hAnsiTheme="minorHAnsi" w:cstheme="minorBidi"/>
          <w:sz w:val="22"/>
          <w:szCs w:val="22"/>
        </w:rPr>
        <w:t xml:space="preserve"> by themselves</w:t>
      </w:r>
      <w:r w:rsidRPr="502F8547">
        <w:rPr>
          <w:rFonts w:asciiTheme="minorHAnsi" w:hAnsiTheme="minorHAnsi" w:cstheme="minorBidi"/>
          <w:sz w:val="22"/>
          <w:szCs w:val="22"/>
        </w:rPr>
        <w:t>.</w:t>
      </w:r>
      <w:r w:rsidR="50DCD53C" w:rsidRPr="502F8547">
        <w:rPr>
          <w:rFonts w:asciiTheme="minorHAnsi" w:hAnsiTheme="minorHAnsi" w:cstheme="minorBidi"/>
          <w:sz w:val="22"/>
          <w:szCs w:val="22"/>
        </w:rPr>
        <w:t xml:space="preserve"> A</w:t>
      </w:r>
      <w:r w:rsidR="2CC4AEC1" w:rsidRPr="502F8547">
        <w:rPr>
          <w:rFonts w:asciiTheme="minorHAnsi" w:hAnsiTheme="minorHAnsi" w:cstheme="minorBidi"/>
          <w:sz w:val="22"/>
          <w:szCs w:val="22"/>
        </w:rPr>
        <w:t>s</w:t>
      </w:r>
      <w:r w:rsidR="50DCD53C" w:rsidRPr="502F8547">
        <w:rPr>
          <w:rFonts w:asciiTheme="minorHAnsi" w:hAnsiTheme="minorHAnsi" w:cstheme="minorBidi"/>
          <w:sz w:val="22"/>
          <w:szCs w:val="22"/>
        </w:rPr>
        <w:t xml:space="preserve"> noted in </w:t>
      </w:r>
      <w:r w:rsidR="5EE3274D" w:rsidRPr="502F8547">
        <w:rPr>
          <w:rFonts w:asciiTheme="minorHAnsi" w:hAnsiTheme="minorHAnsi" w:cstheme="minorBidi"/>
          <w:sz w:val="22"/>
          <w:szCs w:val="22"/>
        </w:rPr>
        <w:t xml:space="preserve">sub-point (a) above, operating revenue </w:t>
      </w:r>
      <w:r w:rsidR="2CC4AEC1" w:rsidRPr="502F8547">
        <w:rPr>
          <w:rFonts w:asciiTheme="minorHAnsi" w:hAnsiTheme="minorHAnsi" w:cstheme="minorBidi"/>
          <w:sz w:val="22"/>
          <w:szCs w:val="22"/>
        </w:rPr>
        <w:t>runs at a deficit.</w:t>
      </w:r>
    </w:p>
    <w:p w14:paraId="1D02D842" w14:textId="77777777" w:rsidR="00D47197" w:rsidRPr="007D116C" w:rsidRDefault="000B3454">
      <w:pPr>
        <w:pStyle w:val="paragraph"/>
        <w:numPr>
          <w:ilvl w:val="1"/>
          <w:numId w:val="2"/>
        </w:numPr>
        <w:spacing w:before="0" w:beforeAutospacing="0" w:after="160" w:afterAutospacing="0" w:line="480" w:lineRule="auto"/>
        <w:textAlignment w:val="baseline"/>
        <w:rPr>
          <w:rFonts w:asciiTheme="minorHAnsi" w:hAnsiTheme="minorHAnsi" w:cstheme="minorBidi"/>
          <w:sz w:val="22"/>
          <w:szCs w:val="22"/>
        </w:rPr>
      </w:pPr>
      <w:r w:rsidRPr="007D116C">
        <w:rPr>
          <w:rFonts w:asciiTheme="minorHAnsi" w:hAnsiTheme="minorHAnsi" w:cstheme="minorBidi"/>
          <w:sz w:val="22"/>
          <w:szCs w:val="22"/>
        </w:rPr>
        <w:t xml:space="preserve">In terms of assets, QBCC saw an improvement in its position in 2020-21, with assets rising to $561 million from $460 million and $448 million the two years prior. The increase is entirely accounted for by an increase in ‘other financial assets’, which refers to funds invested with Queensland Treasury Corporation and Queensland Investment Corporation Limited. Cash reserves were $17 million in 2020-21, compared to $27 million and $11 million the two years prior. </w:t>
      </w:r>
    </w:p>
    <w:p w14:paraId="013B8893" w14:textId="5347E0A7" w:rsidR="00D47197" w:rsidRPr="007D116C" w:rsidRDefault="000B3454">
      <w:pPr>
        <w:pStyle w:val="paragraph"/>
        <w:numPr>
          <w:ilvl w:val="1"/>
          <w:numId w:val="2"/>
        </w:numPr>
        <w:spacing w:before="0" w:beforeAutospacing="0" w:after="160" w:afterAutospacing="0" w:line="480" w:lineRule="auto"/>
        <w:textAlignment w:val="baseline"/>
        <w:rPr>
          <w:rFonts w:asciiTheme="minorHAnsi" w:hAnsiTheme="minorHAnsi" w:cstheme="minorBidi"/>
          <w:sz w:val="22"/>
          <w:szCs w:val="22"/>
        </w:rPr>
      </w:pPr>
      <w:r w:rsidRPr="007D116C">
        <w:rPr>
          <w:rFonts w:asciiTheme="minorHAnsi" w:hAnsiTheme="minorHAnsi" w:cstheme="minorBidi"/>
          <w:sz w:val="22"/>
          <w:szCs w:val="22"/>
        </w:rPr>
        <w:t>Liabilities also increased but not to the same extent. Total liabilities were $367 million in 2020-21, up from $327 million the year before and $351 million the year before that. Contributing factors here include a difference in payables across the year, a category which includes claims approved but not yet paid, and changes in unearned income liability, which refers primarily to insurance premiums not yet collected. As a result, QBCC’s net position has improved to $195 million from $134 million and $96 million the two prior years.</w:t>
      </w:r>
      <w:r w:rsidR="001A6D83" w:rsidRPr="007D116C">
        <w:rPr>
          <w:rStyle w:val="FootnoteReference"/>
        </w:rPr>
        <w:footnoteReference w:id="24"/>
      </w:r>
    </w:p>
    <w:p w14:paraId="49956564" w14:textId="77777777" w:rsidR="00D47197" w:rsidRPr="007D116C" w:rsidRDefault="00945B3E" w:rsidP="00D47197">
      <w:pPr>
        <w:pStyle w:val="paragraph"/>
        <w:numPr>
          <w:ilvl w:val="0"/>
          <w:numId w:val="2"/>
        </w:numPr>
        <w:spacing w:before="0" w:beforeAutospacing="0" w:after="160" w:afterAutospacing="0" w:line="480" w:lineRule="auto"/>
        <w:ind w:left="0" w:hanging="426"/>
        <w:textAlignment w:val="baseline"/>
        <w:rPr>
          <w:rStyle w:val="eop"/>
          <w:rFonts w:asciiTheme="minorHAnsi" w:hAnsiTheme="minorHAnsi" w:cstheme="minorBidi"/>
          <w:sz w:val="22"/>
          <w:szCs w:val="22"/>
        </w:rPr>
      </w:pPr>
      <w:r w:rsidRPr="007D116C">
        <w:rPr>
          <w:rStyle w:val="normaltextrun"/>
          <w:rFonts w:asciiTheme="minorHAnsi" w:eastAsiaTheme="majorEastAsia" w:hAnsiTheme="minorHAnsi" w:cstheme="minorBidi"/>
          <w:sz w:val="22"/>
          <w:szCs w:val="22"/>
        </w:rPr>
        <w:t>In 2013, the QBCC replaced the Queensland Building Services Agency (QBSA) as part of a wide-ranging reform of the construction industry. The history of the QBCC further clarifies the intent behind its governance model.</w:t>
      </w:r>
    </w:p>
    <w:p w14:paraId="1DDD16DD" w14:textId="5F5759A2" w:rsidR="00D47197" w:rsidRPr="007D116C" w:rsidRDefault="00945B3E" w:rsidP="00D47197">
      <w:pPr>
        <w:pStyle w:val="paragraph"/>
        <w:numPr>
          <w:ilvl w:val="0"/>
          <w:numId w:val="2"/>
        </w:numPr>
        <w:spacing w:before="0" w:beforeAutospacing="0" w:after="160" w:afterAutospacing="0" w:line="480" w:lineRule="auto"/>
        <w:ind w:left="0" w:hanging="426"/>
        <w:textAlignment w:val="baseline"/>
        <w:rPr>
          <w:rFonts w:asciiTheme="minorHAnsi" w:hAnsiTheme="minorHAnsi" w:cstheme="minorBidi"/>
          <w:sz w:val="22"/>
          <w:szCs w:val="22"/>
        </w:rPr>
      </w:pPr>
      <w:r w:rsidRPr="007D116C">
        <w:rPr>
          <w:rStyle w:val="normaltextrun"/>
          <w:rFonts w:asciiTheme="minorHAnsi" w:eastAsiaTheme="majorEastAsia" w:hAnsiTheme="minorHAnsi" w:cstheme="minorBidi"/>
          <w:sz w:val="22"/>
          <w:szCs w:val="22"/>
        </w:rPr>
        <w:t xml:space="preserve">The primary piece of legislation for this reform is the </w:t>
      </w:r>
      <w:r w:rsidRPr="007D116C">
        <w:rPr>
          <w:rStyle w:val="normaltextrun"/>
          <w:rFonts w:asciiTheme="minorHAnsi" w:eastAsiaTheme="majorEastAsia" w:hAnsiTheme="minorHAnsi" w:cstheme="minorBidi"/>
          <w:i/>
          <w:sz w:val="22"/>
          <w:szCs w:val="22"/>
        </w:rPr>
        <w:t>Queensland Building Services Authority Amendment Act 2013</w:t>
      </w:r>
      <w:r w:rsidRPr="007D116C">
        <w:rPr>
          <w:rStyle w:val="normaltextrun"/>
          <w:rFonts w:asciiTheme="minorHAnsi" w:eastAsiaTheme="majorEastAsia" w:hAnsiTheme="minorHAnsi" w:cstheme="minorBidi"/>
          <w:sz w:val="22"/>
          <w:szCs w:val="22"/>
        </w:rPr>
        <w:t xml:space="preserve">. That act makes clear that the QBCC was intended to be a successor to the QBSA: first, the QBCC was established by an amendment to the existing legislation, which was renamed as part of the amendment; and secondly, the explanatory notes for the act state that the QBCC “will be </w:t>
      </w:r>
      <w:r w:rsidRPr="007D116C">
        <w:rPr>
          <w:rStyle w:val="normaltextrun"/>
          <w:rFonts w:asciiTheme="minorHAnsi" w:eastAsiaTheme="majorEastAsia" w:hAnsiTheme="minorHAnsi" w:cstheme="minorBidi"/>
          <w:sz w:val="22"/>
          <w:szCs w:val="22"/>
        </w:rPr>
        <w:lastRenderedPageBreak/>
        <w:t xml:space="preserve">similar to the current QBSA” and that the “role of the </w:t>
      </w:r>
      <w:r w:rsidR="002D6C67" w:rsidRPr="007D116C">
        <w:rPr>
          <w:rStyle w:val="normaltextrun"/>
          <w:rFonts w:asciiTheme="minorHAnsi" w:eastAsiaTheme="majorEastAsia" w:hAnsiTheme="minorHAnsi" w:cstheme="minorBidi"/>
          <w:sz w:val="22"/>
          <w:szCs w:val="22"/>
        </w:rPr>
        <w:t>Minister</w:t>
      </w:r>
      <w:r w:rsidRPr="007D116C">
        <w:rPr>
          <w:rStyle w:val="normaltextrun"/>
          <w:rFonts w:asciiTheme="minorHAnsi" w:eastAsiaTheme="majorEastAsia" w:hAnsiTheme="minorHAnsi" w:cstheme="minorBidi"/>
          <w:sz w:val="22"/>
          <w:szCs w:val="22"/>
        </w:rPr>
        <w:t xml:space="preserve"> will remain essentially unchanged”</w:t>
      </w:r>
      <w:r w:rsidR="007534C1" w:rsidRPr="007D116C">
        <w:rPr>
          <w:rStyle w:val="normaltextrun"/>
          <w:rFonts w:asciiTheme="minorHAnsi" w:eastAsiaTheme="majorEastAsia" w:hAnsiTheme="minorHAnsi" w:cstheme="minorBidi"/>
          <w:sz w:val="22"/>
          <w:szCs w:val="22"/>
        </w:rPr>
        <w:t>.</w:t>
      </w:r>
      <w:r w:rsidR="007534C1" w:rsidRPr="007D116C">
        <w:rPr>
          <w:rStyle w:val="FootnoteReference"/>
        </w:rPr>
        <w:footnoteReference w:id="25"/>
      </w:r>
      <w:r w:rsidRPr="007D116C">
        <w:rPr>
          <w:rStyle w:val="normaltextrun"/>
          <w:rFonts w:asciiTheme="minorHAnsi" w:eastAsiaTheme="majorEastAsia" w:hAnsiTheme="minorHAnsi" w:cstheme="minorBidi"/>
          <w:sz w:val="22"/>
          <w:szCs w:val="22"/>
        </w:rPr>
        <w:t xml:space="preserve"> In taking this approach, the Queensland Government rejected the recommendation of a 2012 inquiry report by the Transport, Housing and Local Government Committee on the QBSA that “the ‘one stop shop’ model for the provision of Queensland government building services be discontinued”</w:t>
      </w:r>
      <w:r w:rsidR="00F93CED" w:rsidRPr="007D116C">
        <w:rPr>
          <w:rStyle w:val="normaltextrun"/>
          <w:rFonts w:asciiTheme="minorHAnsi" w:eastAsiaTheme="majorEastAsia" w:hAnsiTheme="minorHAnsi" w:cstheme="minorBidi"/>
          <w:sz w:val="22"/>
          <w:szCs w:val="22"/>
        </w:rPr>
        <w:t>.</w:t>
      </w:r>
      <w:r w:rsidR="00F93CED" w:rsidRPr="007D116C">
        <w:rPr>
          <w:rStyle w:val="FootnoteReference"/>
        </w:rPr>
        <w:footnoteReference w:id="26"/>
      </w:r>
      <w:r w:rsidRPr="007D116C">
        <w:rPr>
          <w:rStyle w:val="eop"/>
          <w:rFonts w:asciiTheme="minorHAnsi" w:hAnsiTheme="minorHAnsi" w:cstheme="minorBidi"/>
          <w:sz w:val="22"/>
          <w:szCs w:val="22"/>
        </w:rPr>
        <w:t> </w:t>
      </w:r>
    </w:p>
    <w:p w14:paraId="5EC78028" w14:textId="78A5AC46" w:rsidR="00D47197" w:rsidRPr="007D116C" w:rsidRDefault="00945B3E" w:rsidP="00D47197">
      <w:pPr>
        <w:pStyle w:val="paragraph"/>
        <w:numPr>
          <w:ilvl w:val="0"/>
          <w:numId w:val="2"/>
        </w:numPr>
        <w:spacing w:before="0" w:beforeAutospacing="0" w:after="160" w:afterAutospacing="0" w:line="480" w:lineRule="auto"/>
        <w:ind w:left="0" w:hanging="426"/>
        <w:textAlignment w:val="baseline"/>
        <w:rPr>
          <w:rStyle w:val="eop"/>
          <w:rFonts w:asciiTheme="minorHAnsi" w:hAnsiTheme="minorHAnsi" w:cstheme="minorBidi"/>
          <w:sz w:val="22"/>
          <w:szCs w:val="22"/>
        </w:rPr>
      </w:pPr>
      <w:r w:rsidRPr="007D116C">
        <w:rPr>
          <w:rStyle w:val="normaltextrun"/>
          <w:rFonts w:asciiTheme="minorHAnsi" w:eastAsiaTheme="majorEastAsia" w:hAnsiTheme="minorHAnsi" w:cstheme="minorBidi"/>
          <w:sz w:val="22"/>
          <w:szCs w:val="22"/>
        </w:rPr>
        <w:t xml:space="preserve">As the explanatory notes state, the main significance of the reform is the introduction of the QBC Board, which is designed to “be more reflective of the governance structure of a public company”, meaning that the board “will set the strategic direction and the operational, financial and administrative policies of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Hence, the legislation</w:t>
      </w:r>
      <w:r w:rsidR="005A6C5F" w:rsidRPr="007D116C">
        <w:rPr>
          <w:rStyle w:val="normaltextrun"/>
          <w:rFonts w:asciiTheme="minorHAnsi" w:eastAsiaTheme="majorEastAsia" w:hAnsiTheme="minorHAnsi" w:cstheme="minorBidi"/>
          <w:sz w:val="22"/>
          <w:szCs w:val="22"/>
        </w:rPr>
        <w:t xml:space="preserve"> (at s 10)</w:t>
      </w:r>
      <w:r w:rsidRPr="007D116C">
        <w:rPr>
          <w:rStyle w:val="normaltextrun"/>
          <w:rFonts w:asciiTheme="minorHAnsi" w:eastAsiaTheme="majorEastAsia" w:hAnsiTheme="minorHAnsi" w:cstheme="minorBidi"/>
          <w:sz w:val="22"/>
          <w:szCs w:val="22"/>
        </w:rPr>
        <w:t xml:space="preserve"> and the explanatory notes describe the QBC Board as the “governing body” of the QBCC. The 2012 parliamentary inquiry recommended that “any new Board is a governing (not advisory) board”, and this was supported by the Government, which further noted that the board’s “responsibilities should be similar to those required for directors under the </w:t>
      </w:r>
      <w:r w:rsidRPr="007D116C">
        <w:rPr>
          <w:rStyle w:val="normaltextrun"/>
          <w:rFonts w:asciiTheme="minorHAnsi" w:eastAsiaTheme="majorEastAsia" w:hAnsiTheme="minorHAnsi" w:cstheme="minorBidi"/>
          <w:i/>
          <w:sz w:val="22"/>
          <w:szCs w:val="22"/>
        </w:rPr>
        <w:t xml:space="preserve">Corporations Act 2001 </w:t>
      </w:r>
      <w:r w:rsidRPr="007D116C">
        <w:rPr>
          <w:rStyle w:val="normaltextrun"/>
          <w:rFonts w:asciiTheme="minorHAnsi" w:eastAsiaTheme="majorEastAsia" w:hAnsiTheme="minorHAnsi" w:cstheme="minorBidi"/>
          <w:sz w:val="22"/>
          <w:szCs w:val="22"/>
        </w:rPr>
        <w:t>(Cth)”</w:t>
      </w:r>
      <w:r w:rsidR="003C7B2D" w:rsidRPr="007D116C">
        <w:rPr>
          <w:rStyle w:val="normaltextrun"/>
          <w:rFonts w:asciiTheme="minorHAnsi" w:eastAsiaTheme="majorEastAsia" w:hAnsiTheme="minorHAnsi" w:cstheme="minorBidi"/>
          <w:sz w:val="22"/>
          <w:szCs w:val="22"/>
        </w:rPr>
        <w:t>.</w:t>
      </w:r>
      <w:r w:rsidR="003C7B2D" w:rsidRPr="007D116C">
        <w:rPr>
          <w:rStyle w:val="FootnoteReference"/>
        </w:rPr>
        <w:footnoteReference w:id="27"/>
      </w:r>
      <w:r w:rsidR="003C7B2D" w:rsidRPr="007D116C">
        <w:rPr>
          <w:rStyle w:val="normaltextrun"/>
          <w:rFonts w:asciiTheme="minorHAnsi" w:eastAsiaTheme="majorEastAsia" w:hAnsiTheme="minorHAnsi" w:cstheme="minorBidi"/>
          <w:sz w:val="22"/>
          <w:szCs w:val="22"/>
        </w:rPr>
        <w:t xml:space="preserve"> </w:t>
      </w:r>
      <w:r w:rsidRPr="007D116C">
        <w:rPr>
          <w:rStyle w:val="normaltextrun"/>
          <w:rFonts w:asciiTheme="minorHAnsi" w:eastAsiaTheme="majorEastAsia" w:hAnsiTheme="minorHAnsi" w:cstheme="minorBidi"/>
          <w:sz w:val="22"/>
          <w:szCs w:val="22"/>
        </w:rPr>
        <w:t xml:space="preserve">This explicit likening of the new structure to a corporation can also be seen in the legislation’s explanatory notes describing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er as “in effect the chief executive” of the QBCC</w:t>
      </w:r>
      <w:r w:rsidR="000C15C0" w:rsidRPr="007D116C">
        <w:rPr>
          <w:rStyle w:val="normaltextrun"/>
          <w:rFonts w:asciiTheme="minorHAnsi" w:eastAsiaTheme="majorEastAsia" w:hAnsiTheme="minorHAnsi" w:cstheme="minorBidi"/>
          <w:sz w:val="22"/>
          <w:szCs w:val="22"/>
        </w:rPr>
        <w:t>.</w:t>
      </w:r>
      <w:r w:rsidR="000C15C0" w:rsidRPr="007D116C">
        <w:rPr>
          <w:rStyle w:val="FootnoteReference"/>
        </w:rPr>
        <w:footnoteReference w:id="28"/>
      </w:r>
      <w:r w:rsidR="000C15C0" w:rsidRPr="007D116C">
        <w:rPr>
          <w:rStyle w:val="normaltextrun"/>
          <w:rFonts w:asciiTheme="minorHAnsi" w:eastAsiaTheme="majorEastAsia" w:hAnsiTheme="minorHAnsi" w:cstheme="minorBidi"/>
          <w:sz w:val="22"/>
          <w:szCs w:val="22"/>
        </w:rPr>
        <w:t xml:space="preserve"> </w:t>
      </w:r>
      <w:r w:rsidRPr="007D116C">
        <w:rPr>
          <w:rStyle w:val="normaltextrun"/>
          <w:rFonts w:asciiTheme="minorHAnsi" w:eastAsiaTheme="majorEastAsia" w:hAnsiTheme="minorHAnsi" w:cstheme="minorBidi"/>
          <w:sz w:val="22"/>
          <w:szCs w:val="22"/>
        </w:rPr>
        <w:t>However, it should be noted that while it was not called a “governing body”, the QBC Board’s predecessor, the Queensland Building Services Board (QBS Board), was similarly charged with the function “to make and review policies governing the administration of this Act”</w:t>
      </w:r>
      <w:r w:rsidR="00745605" w:rsidRPr="007D116C">
        <w:rPr>
          <w:rStyle w:val="normaltextrun"/>
          <w:rFonts w:asciiTheme="minorHAnsi" w:eastAsiaTheme="majorEastAsia" w:hAnsiTheme="minorHAnsi" w:cstheme="minorBidi"/>
          <w:sz w:val="22"/>
          <w:szCs w:val="22"/>
        </w:rPr>
        <w:t>.</w:t>
      </w:r>
      <w:r w:rsidR="00745605" w:rsidRPr="007D116C">
        <w:rPr>
          <w:rStyle w:val="FootnoteReference"/>
          <w:rFonts w:asciiTheme="minorHAnsi" w:eastAsiaTheme="majorEastAsia" w:hAnsiTheme="minorHAnsi" w:cstheme="minorBidi"/>
          <w:sz w:val="22"/>
          <w:szCs w:val="22"/>
        </w:rPr>
        <w:footnoteReference w:id="29"/>
      </w:r>
    </w:p>
    <w:p w14:paraId="0619A838" w14:textId="285BF0AB" w:rsidR="00945B3E" w:rsidRPr="007D116C" w:rsidRDefault="00945B3E" w:rsidP="00D47197">
      <w:pPr>
        <w:pStyle w:val="paragraph"/>
        <w:numPr>
          <w:ilvl w:val="0"/>
          <w:numId w:val="2"/>
        </w:numPr>
        <w:spacing w:before="0" w:beforeAutospacing="0" w:after="160" w:afterAutospacing="0" w:line="480" w:lineRule="auto"/>
        <w:ind w:left="0" w:hanging="426"/>
        <w:textAlignment w:val="baseline"/>
        <w:rPr>
          <w:rFonts w:asciiTheme="minorHAnsi" w:hAnsiTheme="minorHAnsi" w:cstheme="minorBidi"/>
          <w:sz w:val="22"/>
          <w:szCs w:val="22"/>
        </w:rPr>
      </w:pPr>
      <w:r w:rsidRPr="007D116C">
        <w:rPr>
          <w:rStyle w:val="normaltextrun"/>
          <w:rFonts w:asciiTheme="minorHAnsi" w:eastAsiaTheme="majorEastAsia" w:hAnsiTheme="minorHAnsi" w:cstheme="minorBidi"/>
          <w:sz w:val="22"/>
          <w:szCs w:val="22"/>
        </w:rPr>
        <w:lastRenderedPageBreak/>
        <w:t xml:space="preserve">Alongside its governance function the board also has an advisory function. The explanatory notes state that the board “will advise the </w:t>
      </w:r>
      <w:r w:rsidR="002D6C67" w:rsidRPr="007D116C">
        <w:rPr>
          <w:rStyle w:val="normaltextrun"/>
          <w:rFonts w:asciiTheme="minorHAnsi" w:eastAsiaTheme="majorEastAsia" w:hAnsiTheme="minorHAnsi" w:cstheme="minorBidi"/>
          <w:sz w:val="22"/>
          <w:szCs w:val="22"/>
        </w:rPr>
        <w:t>Minister</w:t>
      </w:r>
      <w:r w:rsidRPr="007D116C">
        <w:rPr>
          <w:rStyle w:val="normaltextrun"/>
          <w:rFonts w:asciiTheme="minorHAnsi" w:eastAsiaTheme="majorEastAsia" w:hAnsiTheme="minorHAnsi" w:cstheme="minorBidi"/>
          <w:sz w:val="22"/>
          <w:szCs w:val="22"/>
        </w:rPr>
        <w:t xml:space="preserve"> on the performance of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 and on issues affecting the building industry and consumers”. This is reflected in the statutory functions of the board, which (as noted in Paragraph 5(a)(ii) above) include both “providing guidance and leadership to the </w:t>
      </w:r>
      <w:r w:rsidR="002D6C67" w:rsidRPr="007D116C">
        <w:rPr>
          <w:rStyle w:val="normaltextrun"/>
          <w:rFonts w:asciiTheme="minorHAnsi" w:eastAsiaTheme="majorEastAsia" w:hAnsiTheme="minorHAnsi" w:cstheme="minorBidi"/>
          <w:sz w:val="22"/>
          <w:szCs w:val="22"/>
        </w:rPr>
        <w:t>Commission</w:t>
      </w:r>
      <w:r w:rsidRPr="007D116C">
        <w:rPr>
          <w:rStyle w:val="normaltextrun"/>
          <w:rFonts w:asciiTheme="minorHAnsi" w:eastAsiaTheme="majorEastAsia" w:hAnsiTheme="minorHAnsi" w:cstheme="minorBidi"/>
          <w:sz w:val="22"/>
          <w:szCs w:val="22"/>
        </w:rPr>
        <w:t xml:space="preserve">er” and “advising the </w:t>
      </w:r>
      <w:r w:rsidR="002D6C67" w:rsidRPr="007D116C">
        <w:rPr>
          <w:rStyle w:val="normaltextrun"/>
          <w:rFonts w:asciiTheme="minorHAnsi" w:eastAsiaTheme="majorEastAsia" w:hAnsiTheme="minorHAnsi" w:cstheme="minorBidi"/>
          <w:sz w:val="22"/>
          <w:szCs w:val="22"/>
        </w:rPr>
        <w:t>Minister</w:t>
      </w:r>
      <w:r w:rsidRPr="007D116C">
        <w:rPr>
          <w:rStyle w:val="normaltextrun"/>
          <w:rFonts w:asciiTheme="minorHAnsi" w:eastAsiaTheme="majorEastAsia" w:hAnsiTheme="minorHAnsi" w:cstheme="minorBidi"/>
          <w:sz w:val="22"/>
          <w:szCs w:val="22"/>
        </w:rPr>
        <w:t>” on various issues within the industry. The dual nature of the board’s functions was reinforced by the 2017 amendment to s 12 of the QBCC Act that increased the maximum number of board members from 7 to the current 10 and inserted the board’s competencies requirement</w:t>
      </w:r>
      <w:r w:rsidR="00542E16" w:rsidRPr="007D116C">
        <w:rPr>
          <w:rStyle w:val="normaltextrun"/>
          <w:rFonts w:asciiTheme="minorHAnsi" w:eastAsiaTheme="majorEastAsia" w:hAnsiTheme="minorHAnsi" w:cstheme="minorBidi"/>
          <w:sz w:val="22"/>
          <w:szCs w:val="22"/>
        </w:rPr>
        <w:t>.</w:t>
      </w:r>
      <w:r w:rsidR="00542E16" w:rsidRPr="007D116C">
        <w:rPr>
          <w:rStyle w:val="FootnoteReference"/>
          <w:rFonts w:asciiTheme="minorHAnsi" w:eastAsiaTheme="majorEastAsia" w:hAnsiTheme="minorHAnsi" w:cstheme="minorBidi"/>
          <w:sz w:val="22"/>
          <w:szCs w:val="22"/>
        </w:rPr>
        <w:footnoteReference w:id="30"/>
      </w:r>
      <w:r w:rsidR="00542E16" w:rsidRPr="007D116C">
        <w:rPr>
          <w:rStyle w:val="normaltextrun"/>
          <w:rFonts w:asciiTheme="minorHAnsi" w:eastAsiaTheme="majorEastAsia" w:hAnsiTheme="minorHAnsi" w:cstheme="minorBidi"/>
          <w:sz w:val="22"/>
          <w:szCs w:val="22"/>
        </w:rPr>
        <w:t xml:space="preserve"> </w:t>
      </w:r>
      <w:r w:rsidRPr="007D116C">
        <w:rPr>
          <w:rStyle w:val="normaltextrun"/>
          <w:rFonts w:asciiTheme="minorHAnsi" w:eastAsiaTheme="majorEastAsia" w:hAnsiTheme="minorHAnsi" w:cstheme="minorBidi"/>
          <w:sz w:val="22"/>
          <w:szCs w:val="22"/>
        </w:rPr>
        <w:t xml:space="preserve">Contemporaneous documentation does not reveal the exact reason for the change, but it might be surmised that the decision to increase the size of the board was intended to facilitate the board having the mix of </w:t>
      </w:r>
      <w:r w:rsidR="001914F4" w:rsidRPr="007D116C">
        <w:rPr>
          <w:rStyle w:val="normaltextrun"/>
          <w:rFonts w:asciiTheme="minorHAnsi" w:eastAsiaTheme="majorEastAsia" w:hAnsiTheme="minorHAnsi" w:cstheme="minorBidi"/>
          <w:sz w:val="22"/>
          <w:szCs w:val="22"/>
        </w:rPr>
        <w:t xml:space="preserve">experience and </w:t>
      </w:r>
      <w:r w:rsidRPr="007D116C">
        <w:rPr>
          <w:rStyle w:val="normaltextrun"/>
          <w:rFonts w:asciiTheme="minorHAnsi" w:eastAsiaTheme="majorEastAsia" w:hAnsiTheme="minorHAnsi" w:cstheme="minorBidi"/>
          <w:sz w:val="22"/>
          <w:szCs w:val="22"/>
        </w:rPr>
        <w:t xml:space="preserve">competencies that the Government intends it to have, including, in particular, the consumer advocacy and awareness requirement, the inclusion of which reflects the intended advisory function of the board. </w:t>
      </w:r>
    </w:p>
    <w:p w14:paraId="21570FDD" w14:textId="77777777" w:rsidR="00945B3E" w:rsidRPr="007D116C" w:rsidRDefault="00945B3E" w:rsidP="00D47197">
      <w:pPr>
        <w:pStyle w:val="Heading2"/>
        <w:rPr>
          <w:rFonts w:ascii="Segoe UI" w:hAnsi="Segoe UI" w:cs="Segoe UI"/>
        </w:rPr>
      </w:pPr>
      <w:bookmarkStart w:id="6" w:name="_Toc100599123"/>
      <w:r w:rsidRPr="007D116C">
        <w:rPr>
          <w:rStyle w:val="normaltextrun"/>
          <w:rFonts w:ascii="Calibri Light" w:hAnsi="Calibri Light" w:cs="Calibri Light"/>
          <w:szCs w:val="22"/>
        </w:rPr>
        <w:t>Summary Analysis of QBCC Governance Model</w:t>
      </w:r>
      <w:bookmarkEnd w:id="6"/>
      <w:r w:rsidRPr="007D116C">
        <w:rPr>
          <w:rStyle w:val="eop"/>
          <w:rFonts w:ascii="Calibri Light" w:hAnsi="Calibri Light" w:cs="Calibri Light"/>
          <w:szCs w:val="22"/>
        </w:rPr>
        <w:t> </w:t>
      </w:r>
    </w:p>
    <w:p w14:paraId="5107832B" w14:textId="575EC70A" w:rsidR="008145E7" w:rsidRPr="007D116C" w:rsidRDefault="00945B3E" w:rsidP="009D3471">
      <w:pPr>
        <w:pStyle w:val="paragraph"/>
        <w:numPr>
          <w:ilvl w:val="0"/>
          <w:numId w:val="2"/>
        </w:numPr>
        <w:spacing w:before="0" w:beforeAutospacing="0" w:after="160" w:afterAutospacing="0" w:line="480" w:lineRule="auto"/>
        <w:ind w:left="0" w:hanging="426"/>
        <w:textAlignment w:val="baseline"/>
        <w:rPr>
          <w:rStyle w:val="normaltextrun"/>
          <w:rFonts w:asciiTheme="minorHAnsi" w:eastAsiaTheme="majorEastAsia" w:hAnsiTheme="minorHAnsi" w:cstheme="minorBidi"/>
          <w:sz w:val="22"/>
          <w:szCs w:val="22"/>
        </w:rPr>
      </w:pPr>
      <w:r w:rsidRPr="007D116C">
        <w:rPr>
          <w:rStyle w:val="normaltextrun"/>
          <w:rFonts w:asciiTheme="minorHAnsi" w:eastAsiaTheme="majorEastAsia" w:hAnsiTheme="minorHAnsi" w:cstheme="minorBidi"/>
          <w:sz w:val="22"/>
          <w:szCs w:val="22"/>
        </w:rPr>
        <w:t xml:space="preserve">Based on the above, certain </w:t>
      </w:r>
      <w:r w:rsidR="009D3471" w:rsidRPr="007D116C">
        <w:rPr>
          <w:rStyle w:val="normaltextrun"/>
          <w:rFonts w:asciiTheme="minorHAnsi" w:eastAsiaTheme="majorEastAsia" w:hAnsiTheme="minorHAnsi" w:cstheme="minorBidi"/>
          <w:b/>
          <w:sz w:val="22"/>
          <w:szCs w:val="22"/>
        </w:rPr>
        <w:t>features</w:t>
      </w:r>
      <w:r w:rsidR="009D3471" w:rsidRPr="007D116C">
        <w:rPr>
          <w:rStyle w:val="normaltextrun"/>
          <w:rFonts w:asciiTheme="minorHAnsi" w:eastAsiaTheme="majorEastAsia" w:hAnsiTheme="minorHAnsi" w:cstheme="minorBidi"/>
          <w:sz w:val="22"/>
          <w:szCs w:val="22"/>
        </w:rPr>
        <w:t xml:space="preserve"> of</w:t>
      </w:r>
      <w:r w:rsidRPr="007D116C">
        <w:rPr>
          <w:rStyle w:val="normaltextrun"/>
          <w:rFonts w:asciiTheme="minorHAnsi" w:eastAsiaTheme="majorEastAsia" w:hAnsiTheme="minorHAnsi" w:cstheme="minorBidi"/>
          <w:sz w:val="22"/>
          <w:szCs w:val="22"/>
        </w:rPr>
        <w:t xml:space="preserve"> QBCC’s governance model</w:t>
      </w:r>
      <w:r w:rsidR="009D3471" w:rsidRPr="007D116C">
        <w:rPr>
          <w:rStyle w:val="normaltextrun"/>
          <w:rFonts w:asciiTheme="minorHAnsi" w:eastAsiaTheme="majorEastAsia" w:hAnsiTheme="minorHAnsi" w:cstheme="minorBidi"/>
          <w:sz w:val="22"/>
          <w:szCs w:val="22"/>
        </w:rPr>
        <w:t xml:space="preserve"> can be identified</w:t>
      </w:r>
      <w:r w:rsidRPr="007D116C">
        <w:rPr>
          <w:rStyle w:val="normaltextrun"/>
          <w:rFonts w:asciiTheme="minorHAnsi" w:eastAsiaTheme="majorEastAsia" w:hAnsiTheme="minorHAnsi" w:cstheme="minorBidi"/>
          <w:sz w:val="22"/>
          <w:szCs w:val="22"/>
        </w:rPr>
        <w:t xml:space="preserve">, and these </w:t>
      </w:r>
      <w:r w:rsidR="009D3471" w:rsidRPr="007D116C">
        <w:rPr>
          <w:rStyle w:val="normaltextrun"/>
          <w:rFonts w:asciiTheme="minorHAnsi" w:eastAsiaTheme="majorEastAsia" w:hAnsiTheme="minorHAnsi" w:cstheme="minorBidi"/>
          <w:sz w:val="22"/>
          <w:szCs w:val="22"/>
        </w:rPr>
        <w:t>features</w:t>
      </w:r>
      <w:r w:rsidRPr="007D116C">
        <w:rPr>
          <w:rStyle w:val="normaltextrun"/>
          <w:rFonts w:asciiTheme="minorHAnsi" w:eastAsiaTheme="majorEastAsia" w:hAnsiTheme="minorHAnsi" w:cstheme="minorBidi"/>
          <w:sz w:val="22"/>
          <w:szCs w:val="22"/>
        </w:rPr>
        <w:t xml:space="preserve"> can be tested against best practice as found in the literature and in other regulators and jurisdictions: </w:t>
      </w:r>
    </w:p>
    <w:p w14:paraId="4686CF17" w14:textId="1FE1E1B9" w:rsidR="008145E7" w:rsidRPr="007D116C" w:rsidRDefault="009D3471" w:rsidP="009D3471">
      <w:pPr>
        <w:pStyle w:val="paragraph"/>
        <w:numPr>
          <w:ilvl w:val="1"/>
          <w:numId w:val="2"/>
        </w:numPr>
        <w:spacing w:before="0" w:beforeAutospacing="0" w:after="160" w:afterAutospacing="0" w:line="480" w:lineRule="auto"/>
        <w:textAlignment w:val="baseline"/>
        <w:rPr>
          <w:rStyle w:val="normaltextrun"/>
          <w:rFonts w:asciiTheme="minorHAnsi" w:eastAsiaTheme="majorEastAsia" w:hAnsiTheme="minorHAnsi" w:cstheme="minorBidi"/>
          <w:sz w:val="22"/>
          <w:szCs w:val="22"/>
        </w:rPr>
      </w:pPr>
      <w:r w:rsidRPr="007D116C">
        <w:rPr>
          <w:rStyle w:val="normaltextrun"/>
          <w:rFonts w:asciiTheme="minorHAnsi" w:eastAsiaTheme="majorEastAsia" w:hAnsiTheme="minorHAnsi" w:cstheme="minorBidi"/>
          <w:i/>
          <w:sz w:val="22"/>
          <w:szCs w:val="22"/>
        </w:rPr>
        <w:t>Feature 1</w:t>
      </w:r>
      <w:r w:rsidR="00945B3E" w:rsidRPr="007D116C">
        <w:rPr>
          <w:rStyle w:val="normaltextrun"/>
          <w:rFonts w:asciiTheme="minorHAnsi" w:eastAsiaTheme="majorEastAsia" w:hAnsiTheme="minorHAnsi" w:cstheme="minorBidi"/>
          <w:sz w:val="22"/>
          <w:szCs w:val="22"/>
        </w:rPr>
        <w:t>: In the building and construction industry, Queensland has a centralised one</w:t>
      </w:r>
      <w:r w:rsidR="00846160" w:rsidRPr="007D116C">
        <w:rPr>
          <w:rStyle w:val="normaltextrun"/>
          <w:rFonts w:asciiTheme="minorHAnsi" w:eastAsiaTheme="majorEastAsia" w:hAnsiTheme="minorHAnsi" w:cstheme="minorBidi"/>
          <w:sz w:val="22"/>
          <w:szCs w:val="22"/>
        </w:rPr>
        <w:t>-</w:t>
      </w:r>
      <w:r w:rsidR="00945B3E" w:rsidRPr="007D116C">
        <w:rPr>
          <w:rStyle w:val="normaltextrun"/>
          <w:rFonts w:asciiTheme="minorHAnsi" w:eastAsiaTheme="majorEastAsia" w:hAnsiTheme="minorHAnsi" w:cstheme="minorBidi"/>
          <w:sz w:val="22"/>
          <w:szCs w:val="22"/>
        </w:rPr>
        <w:t>stop shop system of regulation. This model has been reaffirmed by successive governments, first by the creation of the QBCC in 2013, which retained the legislative architecture of the regulator, and then with the strengthening of the QBCC in 2017 by the passage of the BIF Act, which expanded the board and gave the QBCC additional regulatory functions. </w:t>
      </w:r>
    </w:p>
    <w:p w14:paraId="118D1365" w14:textId="6282F9A1" w:rsidR="008145E7" w:rsidRPr="007D116C" w:rsidRDefault="0B874B87" w:rsidP="16FFD785">
      <w:pPr>
        <w:pStyle w:val="paragraph"/>
        <w:numPr>
          <w:ilvl w:val="1"/>
          <w:numId w:val="2"/>
        </w:numPr>
        <w:spacing w:before="0" w:beforeAutospacing="0" w:after="160" w:afterAutospacing="0" w:line="480" w:lineRule="auto"/>
        <w:textAlignment w:val="baseline"/>
        <w:rPr>
          <w:rStyle w:val="normaltextrun"/>
          <w:rFonts w:asciiTheme="minorHAnsi" w:eastAsiaTheme="majorEastAsia" w:hAnsiTheme="minorHAnsi" w:cstheme="minorBidi"/>
          <w:sz w:val="22"/>
          <w:szCs w:val="22"/>
        </w:rPr>
      </w:pPr>
      <w:r w:rsidRPr="007D116C">
        <w:rPr>
          <w:rStyle w:val="normaltextrun"/>
          <w:rFonts w:asciiTheme="minorHAnsi" w:eastAsiaTheme="majorEastAsia" w:hAnsiTheme="minorHAnsi" w:cstheme="minorBidi"/>
          <w:i/>
          <w:iCs/>
          <w:sz w:val="22"/>
          <w:szCs w:val="22"/>
        </w:rPr>
        <w:t>Feature</w:t>
      </w:r>
      <w:r w:rsidR="7444F55F" w:rsidRPr="007D116C">
        <w:rPr>
          <w:rStyle w:val="normaltextrun"/>
          <w:rFonts w:asciiTheme="minorHAnsi" w:eastAsiaTheme="majorEastAsia" w:hAnsiTheme="minorHAnsi" w:cstheme="minorBidi"/>
          <w:i/>
          <w:iCs/>
          <w:sz w:val="22"/>
          <w:szCs w:val="22"/>
        </w:rPr>
        <w:t xml:space="preserve"> 2</w:t>
      </w:r>
      <w:r w:rsidR="7444F55F" w:rsidRPr="007D116C">
        <w:rPr>
          <w:rStyle w:val="normaltextrun"/>
          <w:rFonts w:asciiTheme="minorHAnsi" w:eastAsiaTheme="majorEastAsia" w:hAnsiTheme="minorHAnsi" w:cstheme="minorBidi"/>
          <w:sz w:val="22"/>
          <w:szCs w:val="22"/>
        </w:rPr>
        <w:t>: The QBCC in the most recent reporting period ran a</w:t>
      </w:r>
      <w:r w:rsidR="1E0D948B" w:rsidRPr="007D116C">
        <w:rPr>
          <w:rStyle w:val="normaltextrun"/>
          <w:rFonts w:asciiTheme="minorHAnsi" w:eastAsiaTheme="majorEastAsia" w:hAnsiTheme="minorHAnsi" w:cstheme="minorBidi"/>
          <w:sz w:val="22"/>
          <w:szCs w:val="22"/>
        </w:rPr>
        <w:t xml:space="preserve">n </w:t>
      </w:r>
      <w:r w:rsidR="7444F55F" w:rsidRPr="007D116C">
        <w:rPr>
          <w:rStyle w:val="normaltextrun"/>
          <w:rFonts w:asciiTheme="minorHAnsi" w:eastAsiaTheme="majorEastAsia" w:hAnsiTheme="minorHAnsi" w:cstheme="minorBidi"/>
          <w:sz w:val="22"/>
          <w:szCs w:val="22"/>
        </w:rPr>
        <w:t xml:space="preserve">operational surplus, has significant net assets, and its position improved by a rebound in its investment income. </w:t>
      </w:r>
      <w:r w:rsidR="1E0ECAFE" w:rsidRPr="007D116C">
        <w:rPr>
          <w:rStyle w:val="normaltextrun"/>
          <w:rFonts w:asciiTheme="minorHAnsi" w:eastAsiaTheme="majorEastAsia" w:hAnsiTheme="minorHAnsi" w:cstheme="minorBidi"/>
          <w:sz w:val="22"/>
          <w:szCs w:val="22"/>
        </w:rPr>
        <w:t xml:space="preserve">Its </w:t>
      </w:r>
      <w:r w:rsidR="1E0ECAFE" w:rsidRPr="007D116C">
        <w:rPr>
          <w:rStyle w:val="normaltextrun"/>
          <w:rFonts w:asciiTheme="minorHAnsi" w:eastAsiaTheme="majorEastAsia" w:hAnsiTheme="minorHAnsi" w:cstheme="minorBidi"/>
          <w:sz w:val="22"/>
          <w:szCs w:val="22"/>
        </w:rPr>
        <w:lastRenderedPageBreak/>
        <w:t xml:space="preserve">financial model and management demonstrate it can provide funds to cover its operational remit. </w:t>
      </w:r>
      <w:r w:rsidR="7444F55F" w:rsidRPr="007D116C">
        <w:rPr>
          <w:rStyle w:val="normaltextrun"/>
          <w:rFonts w:asciiTheme="minorHAnsi" w:eastAsiaTheme="majorEastAsia" w:hAnsiTheme="minorHAnsi" w:cstheme="minorBidi"/>
          <w:sz w:val="22"/>
          <w:szCs w:val="22"/>
        </w:rPr>
        <w:t xml:space="preserve">However, this has not been consistent over the last three years with investment funds subject to market volatility. </w:t>
      </w:r>
      <w:r w:rsidR="41EC679A" w:rsidRPr="007D116C">
        <w:rPr>
          <w:rStyle w:val="normaltextrun"/>
          <w:rFonts w:asciiTheme="minorHAnsi" w:eastAsiaTheme="majorEastAsia" w:hAnsiTheme="minorHAnsi" w:cstheme="minorBidi"/>
          <w:sz w:val="22"/>
          <w:szCs w:val="22"/>
        </w:rPr>
        <w:t xml:space="preserve">Moreover, the statutory insurance scheme accounts for a large part of QBCC’s revenue, but these funds are separate to the performance of QBCC’s regulatory functions. </w:t>
      </w:r>
      <w:r w:rsidR="7444F55F" w:rsidRPr="007D116C">
        <w:rPr>
          <w:rStyle w:val="normaltextrun"/>
          <w:rFonts w:asciiTheme="minorHAnsi" w:eastAsiaTheme="majorEastAsia" w:hAnsiTheme="minorHAnsi" w:cstheme="minorBidi"/>
          <w:sz w:val="22"/>
          <w:szCs w:val="22"/>
        </w:rPr>
        <w:t>Other operating income has gradually increased over the last three years. Investment in staff increased by 20% over the three years to 2021, although still slightly under its target staffing number.</w:t>
      </w:r>
      <w:r w:rsidR="009D3471" w:rsidRPr="007D116C">
        <w:rPr>
          <w:rStyle w:val="FootnoteReference"/>
          <w:rFonts w:asciiTheme="minorHAnsi" w:eastAsiaTheme="majorEastAsia" w:hAnsiTheme="minorHAnsi" w:cstheme="minorBidi"/>
          <w:sz w:val="22"/>
          <w:szCs w:val="22"/>
        </w:rPr>
        <w:footnoteReference w:id="31"/>
      </w:r>
      <w:r w:rsidR="7444F55F" w:rsidRPr="007D116C">
        <w:rPr>
          <w:rStyle w:val="normaltextrun"/>
          <w:rFonts w:asciiTheme="minorHAnsi" w:eastAsiaTheme="majorEastAsia" w:hAnsiTheme="minorHAnsi" w:cstheme="minorBidi"/>
          <w:sz w:val="22"/>
          <w:szCs w:val="22"/>
        </w:rPr>
        <w:t> </w:t>
      </w:r>
    </w:p>
    <w:p w14:paraId="1643EE6F" w14:textId="237D2E70" w:rsidR="008145E7" w:rsidRPr="007D116C" w:rsidRDefault="009D3471" w:rsidP="009D3471">
      <w:pPr>
        <w:pStyle w:val="paragraph"/>
        <w:numPr>
          <w:ilvl w:val="1"/>
          <w:numId w:val="2"/>
        </w:numPr>
        <w:spacing w:before="0" w:beforeAutospacing="0" w:after="160" w:afterAutospacing="0" w:line="480" w:lineRule="auto"/>
        <w:textAlignment w:val="baseline"/>
        <w:rPr>
          <w:rStyle w:val="normaltextrun"/>
          <w:rFonts w:asciiTheme="minorHAnsi" w:eastAsiaTheme="majorEastAsia" w:hAnsiTheme="minorHAnsi" w:cstheme="minorBidi"/>
          <w:sz w:val="22"/>
          <w:szCs w:val="22"/>
        </w:rPr>
      </w:pPr>
      <w:r w:rsidRPr="007D116C">
        <w:rPr>
          <w:rStyle w:val="normaltextrun"/>
          <w:rFonts w:asciiTheme="minorHAnsi" w:eastAsiaTheme="majorEastAsia" w:hAnsiTheme="minorHAnsi" w:cstheme="minorBidi"/>
          <w:i/>
          <w:sz w:val="22"/>
          <w:szCs w:val="22"/>
        </w:rPr>
        <w:t>Feature</w:t>
      </w:r>
      <w:r w:rsidR="00945B3E" w:rsidRPr="007D116C">
        <w:rPr>
          <w:rStyle w:val="normaltextrun"/>
          <w:rFonts w:asciiTheme="minorHAnsi" w:eastAsiaTheme="majorEastAsia" w:hAnsiTheme="minorHAnsi" w:cstheme="minorBidi"/>
          <w:i/>
          <w:sz w:val="22"/>
          <w:szCs w:val="22"/>
        </w:rPr>
        <w:t xml:space="preserve"> 3</w:t>
      </w:r>
      <w:r w:rsidR="00945B3E" w:rsidRPr="007D116C">
        <w:rPr>
          <w:rStyle w:val="normaltextrun"/>
          <w:rFonts w:asciiTheme="minorHAnsi" w:eastAsiaTheme="majorEastAsia" w:hAnsiTheme="minorHAnsi" w:cstheme="minorBidi"/>
          <w:sz w:val="22"/>
          <w:szCs w:val="22"/>
        </w:rPr>
        <w:t xml:space="preserve">: No </w:t>
      </w:r>
      <w:r w:rsidR="002D6C67" w:rsidRPr="007D116C">
        <w:rPr>
          <w:rStyle w:val="normaltextrun"/>
          <w:rFonts w:asciiTheme="minorHAnsi" w:eastAsiaTheme="majorEastAsia" w:hAnsiTheme="minorHAnsi" w:cstheme="minorBidi"/>
          <w:sz w:val="22"/>
          <w:szCs w:val="22"/>
        </w:rPr>
        <w:t>Minister</w:t>
      </w:r>
      <w:r w:rsidR="00945B3E" w:rsidRPr="007D116C">
        <w:rPr>
          <w:rStyle w:val="normaltextrun"/>
          <w:rFonts w:asciiTheme="minorHAnsi" w:eastAsiaTheme="majorEastAsia" w:hAnsiTheme="minorHAnsi" w:cstheme="minorBidi"/>
          <w:sz w:val="22"/>
          <w:szCs w:val="22"/>
        </w:rPr>
        <w:t xml:space="preserve"> has so far exercised the statutory right to give the QBCC and QBC Board directions,</w:t>
      </w:r>
      <w:r w:rsidRPr="007D116C">
        <w:rPr>
          <w:rStyle w:val="normaltextrun"/>
          <w:rFonts w:asciiTheme="minorHAnsi" w:eastAsiaTheme="majorEastAsia" w:hAnsiTheme="minorHAnsi" w:cstheme="minorBidi"/>
          <w:sz w:val="22"/>
          <w:szCs w:val="22"/>
        </w:rPr>
        <w:t xml:space="preserve"> whether in the form of a specific policy determination or a more general statement of expectations.</w:t>
      </w:r>
      <w:r w:rsidR="00945B3E" w:rsidRPr="007D116C">
        <w:rPr>
          <w:rStyle w:val="normaltextrun"/>
          <w:rFonts w:asciiTheme="minorHAnsi" w:eastAsiaTheme="majorEastAsia" w:hAnsiTheme="minorHAnsi" w:cstheme="minorBidi"/>
          <w:sz w:val="22"/>
          <w:szCs w:val="22"/>
        </w:rPr>
        <w:t xml:space="preserve"> </w:t>
      </w:r>
    </w:p>
    <w:p w14:paraId="330A00A7" w14:textId="60C53DE6" w:rsidR="00FA2819" w:rsidRPr="007D116C" w:rsidRDefault="67A439F5" w:rsidP="3B034824">
      <w:pPr>
        <w:pStyle w:val="paragraph"/>
        <w:numPr>
          <w:ilvl w:val="1"/>
          <w:numId w:val="2"/>
        </w:numPr>
        <w:spacing w:before="0" w:beforeAutospacing="0" w:after="160" w:afterAutospacing="0" w:line="480" w:lineRule="auto"/>
        <w:textAlignment w:val="baseline"/>
        <w:rPr>
          <w:rStyle w:val="normaltextrun"/>
          <w:rFonts w:asciiTheme="minorHAnsi" w:eastAsiaTheme="majorEastAsia" w:hAnsiTheme="minorHAnsi" w:cstheme="minorBidi"/>
          <w:sz w:val="22"/>
          <w:szCs w:val="22"/>
        </w:rPr>
      </w:pPr>
      <w:r w:rsidRPr="007D116C">
        <w:rPr>
          <w:rStyle w:val="normaltextrun"/>
          <w:rFonts w:asciiTheme="minorHAnsi" w:eastAsiaTheme="majorEastAsia" w:hAnsiTheme="minorHAnsi" w:cstheme="minorBidi"/>
          <w:i/>
          <w:iCs/>
          <w:sz w:val="22"/>
          <w:szCs w:val="22"/>
        </w:rPr>
        <w:t>Feature</w:t>
      </w:r>
      <w:r w:rsidR="0E062384" w:rsidRPr="007D116C">
        <w:rPr>
          <w:rStyle w:val="normaltextrun"/>
          <w:rFonts w:asciiTheme="minorHAnsi" w:eastAsiaTheme="majorEastAsia" w:hAnsiTheme="minorHAnsi" w:cstheme="minorBidi"/>
          <w:i/>
          <w:iCs/>
          <w:sz w:val="22"/>
          <w:szCs w:val="22"/>
        </w:rPr>
        <w:t xml:space="preserve"> 4</w:t>
      </w:r>
      <w:r w:rsidR="0E062384" w:rsidRPr="007D116C">
        <w:rPr>
          <w:rStyle w:val="normaltextrun"/>
          <w:rFonts w:asciiTheme="minorHAnsi" w:eastAsiaTheme="majorEastAsia" w:hAnsiTheme="minorHAnsi" w:cstheme="minorBidi"/>
          <w:sz w:val="22"/>
          <w:szCs w:val="22"/>
        </w:rPr>
        <w:t xml:space="preserve">: The QBC Board is established as a governing body, with the </w:t>
      </w:r>
      <w:r w:rsidR="216ECB54" w:rsidRPr="007D116C">
        <w:rPr>
          <w:rStyle w:val="normaltextrun"/>
          <w:rFonts w:asciiTheme="minorHAnsi" w:eastAsiaTheme="majorEastAsia" w:hAnsiTheme="minorHAnsi" w:cstheme="minorBidi"/>
          <w:sz w:val="22"/>
          <w:szCs w:val="22"/>
        </w:rPr>
        <w:t>Commission</w:t>
      </w:r>
      <w:r w:rsidR="0E062384" w:rsidRPr="007D116C">
        <w:rPr>
          <w:rStyle w:val="normaltextrun"/>
          <w:rFonts w:asciiTheme="minorHAnsi" w:eastAsiaTheme="majorEastAsia" w:hAnsiTheme="minorHAnsi" w:cstheme="minorBidi"/>
          <w:sz w:val="22"/>
          <w:szCs w:val="22"/>
        </w:rPr>
        <w:t xml:space="preserve">er charged with executing the strategy determined by the Board. However, the Board also has a Ministerial advisory function, a continuation of previous arrangements. The Board is, however, explicitly excluded from a range of executive decisions presumably for reasons of probity. </w:t>
      </w:r>
    </w:p>
    <w:p w14:paraId="0387F30A" w14:textId="77777777" w:rsidR="00945B3E" w:rsidRPr="007D116C" w:rsidRDefault="00945B3E" w:rsidP="00945B3E"/>
    <w:p w14:paraId="1F3C80CB" w14:textId="280DD729" w:rsidR="4837C68A" w:rsidRPr="007D116C" w:rsidRDefault="4837C68A">
      <w:pPr>
        <w:rPr>
          <w:rFonts w:asciiTheme="majorHAnsi" w:eastAsiaTheme="majorEastAsia" w:hAnsiTheme="majorHAnsi" w:cstheme="majorBidi"/>
          <w:b/>
        </w:rPr>
      </w:pPr>
      <w:r w:rsidRPr="007D116C">
        <w:br w:type="page"/>
      </w:r>
    </w:p>
    <w:p w14:paraId="65C4939B" w14:textId="7C767B46" w:rsidR="001E17BA" w:rsidRPr="007D116C" w:rsidRDefault="594C3B06" w:rsidP="005B57A9">
      <w:pPr>
        <w:pStyle w:val="Heading1"/>
        <w:rPr>
          <w:rFonts w:ascii="Calibri Light" w:eastAsia="Yu Gothic Light" w:hAnsi="Calibri Light" w:cs="Times New Roman"/>
        </w:rPr>
      </w:pPr>
      <w:bookmarkStart w:id="7" w:name="_Toc100599124"/>
      <w:r w:rsidRPr="007D116C">
        <w:lastRenderedPageBreak/>
        <w:t>Part B: OECD best practice principles for regulators</w:t>
      </w:r>
      <w:bookmarkEnd w:id="7"/>
    </w:p>
    <w:p w14:paraId="78C4EE6E" w14:textId="77777777" w:rsidR="005B57A9" w:rsidRPr="007D116C" w:rsidRDefault="00AB0C7D" w:rsidP="005B57A9">
      <w:pPr>
        <w:pStyle w:val="ListParagraph"/>
        <w:numPr>
          <w:ilvl w:val="0"/>
          <w:numId w:val="2"/>
        </w:numPr>
        <w:spacing w:after="0"/>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The purpose of this section is to compare the governance model of the QBCC with some of the key principles of regulator best practice identified in the literature, and in particular the principles identified by the Organisation of Economic Cooperation and Development (OECD) in its series on the governance of regulators.</w:t>
      </w:r>
    </w:p>
    <w:p w14:paraId="656EC28A" w14:textId="51BEF9D5" w:rsidR="00AB0C7D" w:rsidRPr="001548D7" w:rsidRDefault="00AB0C7D" w:rsidP="001548D7">
      <w:pPr>
        <w:pStyle w:val="ListParagraph"/>
        <w:numPr>
          <w:ilvl w:val="0"/>
          <w:numId w:val="2"/>
        </w:numPr>
        <w:spacing w:after="0"/>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Per the OECD, the aim of a regulator’s governance model should be to aid the effectiveness of the regulation for which it is responsible and to build trust in the regulator within government and the community. To this end, the OECD identifies 7 best practice principles for the governance of regulators: role clarity, preventing undue influence and maintaining trust, decision-making and governing body structure, accountability and transparency, engagement, funding, and performance evaluation</w:t>
      </w:r>
      <w:r w:rsidR="00BC6C5D" w:rsidRPr="007D116C">
        <w:rPr>
          <w:rFonts w:ascii="Calibri" w:eastAsia="Times New Roman" w:hAnsi="Calibri" w:cs="Calibri"/>
          <w:lang w:eastAsia="en-GB"/>
        </w:rPr>
        <w:t>.</w:t>
      </w:r>
      <w:r w:rsidR="00BC6C5D" w:rsidRPr="007D116C">
        <w:rPr>
          <w:rStyle w:val="FootnoteReference"/>
        </w:rPr>
        <w:footnoteReference w:id="32"/>
      </w:r>
      <w:r w:rsidRPr="007D116C">
        <w:rPr>
          <w:rFonts w:ascii="Calibri" w:eastAsia="Times New Roman" w:hAnsi="Calibri" w:cs="Calibri"/>
          <w:lang w:eastAsia="en-GB"/>
        </w:rPr>
        <w:t xml:space="preserve"> These principles give rise to a range of recommendations for governance structures, against which the above analysis of the QBCC can be compared. This analysis is in Table 1, below.  </w:t>
      </w:r>
    </w:p>
    <w:p w14:paraId="652A178D" w14:textId="77777777" w:rsidR="00AB0C7D" w:rsidRPr="007D116C" w:rsidRDefault="00AB0C7D" w:rsidP="009A2F09">
      <w:pPr>
        <w:pStyle w:val="Heading3"/>
        <w:rPr>
          <w:rFonts w:ascii="Segoe UI" w:hAnsi="Segoe UI" w:cs="Segoe UI"/>
          <w:szCs w:val="22"/>
          <w:lang w:eastAsia="en-GB"/>
        </w:rPr>
      </w:pPr>
      <w:bookmarkStart w:id="8" w:name="_Toc98853489"/>
      <w:bookmarkStart w:id="9" w:name="_Toc100599125"/>
      <w:r w:rsidRPr="007D116C">
        <w:rPr>
          <w:szCs w:val="22"/>
          <w:lang w:eastAsia="en-GB"/>
        </w:rPr>
        <w:t>Table 1: Analysis of QBCC against OECD principles of regulatory governance </w:t>
      </w:r>
      <w:bookmarkEnd w:id="8"/>
      <w:bookmarkEnd w:id="9"/>
      <w:r w:rsidRPr="007D116C">
        <w:rPr>
          <w:szCs w:val="22"/>
          <w:lang w:eastAsia="en-GB"/>
        </w:rPr>
        <w:t> </w:t>
      </w:r>
    </w:p>
    <w:tbl>
      <w:tblPr>
        <w:tblW w:w="84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767"/>
      </w:tblGrid>
      <w:tr w:rsidR="007D116C" w:rsidRPr="007D116C" w14:paraId="239F07DD" w14:textId="77777777" w:rsidTr="001548D7">
        <w:tc>
          <w:tcPr>
            <w:tcW w:w="3678" w:type="dxa"/>
            <w:tcBorders>
              <w:top w:val="single" w:sz="6" w:space="0" w:color="A5A5A5" w:themeColor="accent3"/>
              <w:left w:val="single" w:sz="6" w:space="0" w:color="A5A5A5" w:themeColor="accent3"/>
              <w:bottom w:val="single" w:sz="6" w:space="0" w:color="A5A5A5" w:themeColor="accent3"/>
              <w:right w:val="nil"/>
            </w:tcBorders>
            <w:shd w:val="clear" w:color="auto" w:fill="000000" w:themeFill="text1"/>
            <w:hideMark/>
          </w:tcPr>
          <w:p w14:paraId="1AD659E3" w14:textId="07778B40" w:rsidR="00AB0C7D" w:rsidRPr="007D116C" w:rsidRDefault="00AB0C7D" w:rsidP="00AB0C7D">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b/>
                <w:bCs/>
                <w:lang w:eastAsia="en-GB"/>
              </w:rPr>
              <w:t>OECD principles</w:t>
            </w:r>
            <w:r w:rsidR="00BE2030" w:rsidRPr="007D116C">
              <w:rPr>
                <w:rStyle w:val="FootnoteReference"/>
              </w:rPr>
              <w:footnoteReference w:id="33"/>
            </w:r>
            <w:r w:rsidRPr="007D116C">
              <w:rPr>
                <w:rFonts w:ascii="Calibri" w:eastAsia="Times New Roman" w:hAnsi="Calibri" w:cs="Calibri"/>
                <w:b/>
                <w:bCs/>
                <w:lang w:eastAsia="en-GB"/>
              </w:rPr>
              <w:t> </w:t>
            </w:r>
            <w:r w:rsidRPr="007D116C">
              <w:rPr>
                <w:rFonts w:ascii="Calibri" w:eastAsia="Times New Roman" w:hAnsi="Calibri" w:cs="Calibri"/>
                <w:lang w:eastAsia="en-GB"/>
              </w:rPr>
              <w:t> </w:t>
            </w:r>
          </w:p>
        </w:tc>
        <w:tc>
          <w:tcPr>
            <w:tcW w:w="4767" w:type="dxa"/>
            <w:tcBorders>
              <w:top w:val="single" w:sz="6" w:space="0" w:color="A5A5A5" w:themeColor="accent3"/>
              <w:left w:val="nil"/>
              <w:bottom w:val="single" w:sz="6" w:space="0" w:color="A5A5A5" w:themeColor="accent3"/>
              <w:right w:val="single" w:sz="6" w:space="0" w:color="A5A5A5" w:themeColor="accent3"/>
            </w:tcBorders>
            <w:shd w:val="clear" w:color="auto" w:fill="000000" w:themeFill="text1"/>
            <w:hideMark/>
          </w:tcPr>
          <w:p w14:paraId="2C430EE4" w14:textId="77777777" w:rsidR="00AB0C7D" w:rsidRPr="007D116C" w:rsidRDefault="00AB0C7D" w:rsidP="00AB0C7D">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b/>
                <w:bCs/>
                <w:lang w:eastAsia="en-GB"/>
              </w:rPr>
              <w:t>QBCC </w:t>
            </w:r>
            <w:r w:rsidRPr="007D116C">
              <w:rPr>
                <w:rFonts w:ascii="Calibri" w:eastAsia="Times New Roman" w:hAnsi="Calibri" w:cs="Calibri"/>
                <w:lang w:eastAsia="en-GB"/>
              </w:rPr>
              <w:t> </w:t>
            </w:r>
          </w:p>
        </w:tc>
      </w:tr>
      <w:tr w:rsidR="007D116C" w:rsidRPr="007D116C" w14:paraId="6C20B7AF" w14:textId="77777777" w:rsidTr="001548D7">
        <w:tc>
          <w:tcPr>
            <w:tcW w:w="3678" w:type="dxa"/>
            <w:tcBorders>
              <w:top w:val="nil"/>
              <w:left w:val="single" w:sz="6" w:space="0" w:color="auto"/>
              <w:bottom w:val="single" w:sz="6" w:space="0" w:color="auto"/>
              <w:right w:val="single" w:sz="6" w:space="0" w:color="auto"/>
            </w:tcBorders>
            <w:shd w:val="clear" w:color="auto" w:fill="EDEDED" w:themeFill="accent3" w:themeFillTint="33"/>
            <w:hideMark/>
          </w:tcPr>
          <w:p w14:paraId="26FD6441"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Regulators should not be assigned conflicting or competing functions or goals [without] clear public benefit in combining these functions and [where] the risks of conflict can be managed effectively.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EDEDED" w:themeFill="accent3" w:themeFillTint="33"/>
            <w:hideMark/>
          </w:tcPr>
          <w:p w14:paraId="61FBE994" w14:textId="77777777" w:rsidR="00AB0C7D" w:rsidRPr="007D116C" w:rsidRDefault="00AB0C7D" w:rsidP="00746094">
            <w:pPr>
              <w:numPr>
                <w:ilvl w:val="0"/>
                <w:numId w:val="6"/>
              </w:numPr>
              <w:spacing w:after="0" w:line="240" w:lineRule="auto"/>
              <w:ind w:left="436" w:hanging="283"/>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QBCC has a wide mandate and a wide range of functions. There are no obvious conflicts between these functions.   </w:t>
            </w:r>
          </w:p>
          <w:p w14:paraId="183CB60C" w14:textId="6BB64CFE" w:rsidR="00AB0C7D" w:rsidRPr="007D116C" w:rsidRDefault="00B56838" w:rsidP="00746094">
            <w:pPr>
              <w:numPr>
                <w:ilvl w:val="0"/>
                <w:numId w:val="7"/>
              </w:numPr>
              <w:spacing w:after="0" w:line="240" w:lineRule="auto"/>
              <w:ind w:left="436" w:hanging="283"/>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As discussed in the next section, the QBCC is unique </w:t>
            </w:r>
            <w:r w:rsidR="009662C3" w:rsidRPr="007D116C">
              <w:rPr>
                <w:rFonts w:ascii="Calibri" w:eastAsia="Times New Roman" w:hAnsi="Calibri" w:cs="Calibri"/>
                <w:sz w:val="20"/>
                <w:szCs w:val="20"/>
                <w:lang w:eastAsia="en-GB"/>
              </w:rPr>
              <w:t>in the</w:t>
            </w:r>
            <w:r w:rsidRPr="007D116C">
              <w:rPr>
                <w:rFonts w:ascii="Calibri" w:eastAsia="Times New Roman" w:hAnsi="Calibri" w:cs="Calibri"/>
                <w:sz w:val="20"/>
                <w:szCs w:val="20"/>
                <w:lang w:eastAsia="en-GB"/>
              </w:rPr>
              <w:t xml:space="preserve"> Australia</w:t>
            </w:r>
            <w:r w:rsidR="00710D29" w:rsidRPr="007D116C">
              <w:rPr>
                <w:rFonts w:ascii="Calibri" w:eastAsia="Times New Roman" w:hAnsi="Calibri" w:cs="Calibri"/>
                <w:sz w:val="20"/>
                <w:szCs w:val="20"/>
                <w:lang w:eastAsia="en-GB"/>
              </w:rPr>
              <w:t>n</w:t>
            </w:r>
            <w:r w:rsidR="00710D29" w:rsidRPr="007D116C">
              <w:rPr>
                <w:rFonts w:eastAsia="Times New Roman"/>
                <w:sz w:val="20"/>
                <w:szCs w:val="20"/>
                <w:lang w:eastAsia="en-GB"/>
              </w:rPr>
              <w:t xml:space="preserve"> </w:t>
            </w:r>
            <w:r w:rsidR="009662C3" w:rsidRPr="007D116C">
              <w:rPr>
                <w:rFonts w:eastAsia="Times New Roman"/>
                <w:sz w:val="20"/>
                <w:szCs w:val="20"/>
                <w:lang w:eastAsia="en-GB"/>
              </w:rPr>
              <w:t>context</w:t>
            </w:r>
            <w:r w:rsidRPr="007D116C">
              <w:rPr>
                <w:rFonts w:ascii="Calibri" w:eastAsia="Times New Roman" w:hAnsi="Calibri" w:cs="Calibri"/>
                <w:sz w:val="20"/>
                <w:szCs w:val="20"/>
                <w:lang w:eastAsia="en-GB"/>
              </w:rPr>
              <w:t xml:space="preserve"> for being both the</w:t>
            </w:r>
            <w:r w:rsidR="00533159" w:rsidRPr="007D116C">
              <w:rPr>
                <w:rFonts w:ascii="Calibri" w:eastAsia="Times New Roman" w:hAnsi="Calibri" w:cs="Calibri"/>
                <w:sz w:val="20"/>
                <w:szCs w:val="20"/>
                <w:lang w:eastAsia="en-GB"/>
              </w:rPr>
              <w:t xml:space="preserve"> building</w:t>
            </w:r>
            <w:r w:rsidRPr="007D116C">
              <w:rPr>
                <w:rFonts w:ascii="Calibri" w:eastAsia="Times New Roman" w:hAnsi="Calibri" w:cs="Calibri"/>
                <w:sz w:val="20"/>
                <w:szCs w:val="20"/>
                <w:lang w:eastAsia="en-GB"/>
              </w:rPr>
              <w:t xml:space="preserve"> industry regulator and the direct administrator of a home warranty insurance scheme.</w:t>
            </w:r>
            <w:r w:rsidR="00AB0C7D" w:rsidRPr="007D116C">
              <w:rPr>
                <w:rFonts w:ascii="Calibri" w:eastAsia="Times New Roman" w:hAnsi="Calibri" w:cs="Calibri"/>
                <w:sz w:val="20"/>
                <w:szCs w:val="20"/>
                <w:lang w:eastAsia="en-GB"/>
              </w:rPr>
              <w:t>  </w:t>
            </w:r>
          </w:p>
        </w:tc>
      </w:tr>
      <w:tr w:rsidR="007D116C" w:rsidRPr="007D116C" w14:paraId="193EEC9B" w14:textId="77777777" w:rsidTr="001548D7">
        <w:tc>
          <w:tcPr>
            <w:tcW w:w="3678" w:type="dxa"/>
            <w:tcBorders>
              <w:top w:val="nil"/>
              <w:left w:val="single" w:sz="6" w:space="0" w:color="auto"/>
              <w:bottom w:val="single" w:sz="6" w:space="0" w:color="auto"/>
              <w:right w:val="single" w:sz="6" w:space="0" w:color="auto"/>
            </w:tcBorders>
            <w:shd w:val="clear" w:color="auto" w:fill="auto"/>
            <w:hideMark/>
          </w:tcPr>
          <w:p w14:paraId="3E339FCC"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principal responsibility for assisting the executive to develop government policy should sit with the responsible executive agency and the regulator should have a formal advisory role in this task… and there should be specified mechanisms for regulators to contribute to the policy-making process.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auto"/>
            <w:hideMark/>
          </w:tcPr>
          <w:p w14:paraId="5D862C40" w14:textId="77777777" w:rsidR="00AB0C7D" w:rsidRPr="007D116C" w:rsidRDefault="00AB0C7D" w:rsidP="00746094">
            <w:pPr>
              <w:numPr>
                <w:ilvl w:val="0"/>
                <w:numId w:val="8"/>
              </w:numPr>
              <w:spacing w:after="0" w:line="240" w:lineRule="auto"/>
              <w:ind w:left="436" w:hanging="283"/>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Policy development is not included in the statutory functions of the QBCC, nor is policy included in QBCC’s strategic plan.  </w:t>
            </w:r>
          </w:p>
          <w:p w14:paraId="7F5C769A" w14:textId="09E4973F" w:rsidR="00AB0C7D" w:rsidRPr="007D116C" w:rsidRDefault="00AB0C7D" w:rsidP="00746094">
            <w:pPr>
              <w:numPr>
                <w:ilvl w:val="0"/>
                <w:numId w:val="9"/>
              </w:numPr>
              <w:spacing w:after="0" w:line="240" w:lineRule="auto"/>
              <w:ind w:left="436" w:hanging="283"/>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Policy interaction between the QBCC and DEPW seems to be limited to the QBC Board’s advisory function to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w:t>
            </w:r>
          </w:p>
        </w:tc>
      </w:tr>
      <w:tr w:rsidR="007D116C" w:rsidRPr="007D116C" w14:paraId="591EE13A" w14:textId="77777777" w:rsidTr="001548D7">
        <w:tc>
          <w:tcPr>
            <w:tcW w:w="3678" w:type="dxa"/>
            <w:tcBorders>
              <w:top w:val="nil"/>
              <w:left w:val="single" w:sz="6" w:space="0" w:color="auto"/>
              <w:bottom w:val="single" w:sz="6" w:space="0" w:color="auto"/>
              <w:right w:val="single" w:sz="6" w:space="0" w:color="auto"/>
            </w:tcBorders>
            <w:shd w:val="clear" w:color="auto" w:fill="EDEDED" w:themeFill="accent3" w:themeFillTint="33"/>
            <w:hideMark/>
          </w:tcPr>
          <w:p w14:paraId="1E07B720" w14:textId="218AF493"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Where legislation empowers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to direct an independent regulator, the limits of the power to direct the regulator should be clearly set out.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EDEDED" w:themeFill="accent3" w:themeFillTint="33"/>
            <w:hideMark/>
          </w:tcPr>
          <w:p w14:paraId="2908FEAC" w14:textId="1A4625A4" w:rsidR="00AB0C7D" w:rsidRPr="007D116C" w:rsidRDefault="00AB0C7D" w:rsidP="00746094">
            <w:pPr>
              <w:numPr>
                <w:ilvl w:val="0"/>
                <w:numId w:val="10"/>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 xml:space="preserve">The QBCC Act gives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the broad right to issue directions “in relation to the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 xml:space="preserve"> and its function”, with only formal limitations (that direction must be in writing and made public)  </w:t>
            </w:r>
          </w:p>
        </w:tc>
      </w:tr>
      <w:tr w:rsidR="007D116C" w:rsidRPr="007D116C" w14:paraId="745C5E34" w14:textId="77777777" w:rsidTr="001548D7">
        <w:tc>
          <w:tcPr>
            <w:tcW w:w="3678" w:type="dxa"/>
            <w:tcBorders>
              <w:top w:val="nil"/>
              <w:left w:val="single" w:sz="6" w:space="0" w:color="auto"/>
              <w:bottom w:val="single" w:sz="6" w:space="0" w:color="auto"/>
              <w:right w:val="single" w:sz="6" w:space="0" w:color="auto"/>
            </w:tcBorders>
            <w:shd w:val="clear" w:color="auto" w:fill="auto"/>
            <w:hideMark/>
          </w:tcPr>
          <w:p w14:paraId="10B3589F"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criteria for appointing members of a regulator’s governing body, and the grounds </w:t>
            </w:r>
            <w:r w:rsidRPr="007D116C">
              <w:rPr>
                <w:rFonts w:ascii="Calibri" w:eastAsia="Times New Roman" w:hAnsi="Calibri" w:cs="Calibri"/>
                <w:sz w:val="20"/>
                <w:szCs w:val="20"/>
                <w:lang w:eastAsia="en-GB"/>
              </w:rPr>
              <w:lastRenderedPageBreak/>
              <w:t>and process for terminating their appointments, should be explicitly stated in legislation. The process should involve the</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p w14:paraId="4B5B8A7A"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legislature or judiciary for greater transparency and accountability.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auto"/>
            <w:hideMark/>
          </w:tcPr>
          <w:p w14:paraId="11DC4570" w14:textId="448E7702" w:rsidR="00AB0C7D" w:rsidRPr="007D116C" w:rsidRDefault="00AB0C7D" w:rsidP="00746094">
            <w:pPr>
              <w:numPr>
                <w:ilvl w:val="0"/>
                <w:numId w:val="11"/>
              </w:numPr>
              <w:spacing w:after="0" w:line="240" w:lineRule="auto"/>
              <w:ind w:left="436" w:hanging="283"/>
              <w:jc w:val="left"/>
              <w:textAlignment w:val="baseline"/>
              <w:rPr>
                <w:rFonts w:eastAsiaTheme="minorEastAsia"/>
                <w:sz w:val="20"/>
                <w:szCs w:val="20"/>
                <w:lang w:eastAsia="en-GB"/>
              </w:rPr>
            </w:pPr>
            <w:r w:rsidRPr="007D116C">
              <w:rPr>
                <w:rFonts w:ascii="Calibri" w:eastAsia="Times New Roman" w:hAnsi="Calibri" w:cs="Calibri"/>
                <w:sz w:val="20"/>
                <w:szCs w:val="20"/>
                <w:lang w:eastAsia="en-GB"/>
              </w:rPr>
              <w:lastRenderedPageBreak/>
              <w:t xml:space="preserve">The QBCC Act provides a range of experience and competencies that the Board should possess, but the </w:t>
            </w:r>
            <w:r w:rsidRPr="007D116C">
              <w:rPr>
                <w:rFonts w:ascii="Calibri" w:eastAsia="Times New Roman" w:hAnsi="Calibri" w:cs="Calibri"/>
                <w:sz w:val="20"/>
                <w:szCs w:val="20"/>
                <w:lang w:eastAsia="en-GB"/>
              </w:rPr>
              <w:lastRenderedPageBreak/>
              <w:t xml:space="preserve">process of appointment and termination is left to the Governor in Council, consistent with </w:t>
            </w:r>
            <w:r w:rsidR="4EA5315C" w:rsidRPr="007D116C">
              <w:rPr>
                <w:rFonts w:ascii="Segoe UI" w:eastAsia="Segoe UI" w:hAnsi="Segoe UI" w:cs="Segoe UI"/>
                <w:sz w:val="18"/>
                <w:szCs w:val="18"/>
              </w:rPr>
              <w:t>guidelines and conventions governing broader Qld public sector appointments</w:t>
            </w:r>
            <w:r w:rsidR="4EA5315C" w:rsidRPr="007D116C">
              <w:rPr>
                <w:rFonts w:ascii="Calibri" w:eastAsia="Times New Roman" w:hAnsi="Calibri" w:cs="Calibri"/>
                <w:sz w:val="20"/>
                <w:szCs w:val="20"/>
                <w:lang w:eastAsia="en-GB"/>
              </w:rPr>
              <w:t xml:space="preserve"> </w:t>
            </w:r>
            <w:r w:rsidRPr="007D116C">
              <w:rPr>
                <w:rFonts w:ascii="Calibri" w:eastAsia="Times New Roman" w:hAnsi="Calibri" w:cs="Calibri"/>
                <w:sz w:val="20"/>
                <w:szCs w:val="20"/>
                <w:lang w:eastAsia="en-GB"/>
              </w:rPr>
              <w:t>   </w:t>
            </w:r>
          </w:p>
          <w:p w14:paraId="4A60885E" w14:textId="77777777" w:rsidR="00AB0C7D" w:rsidRPr="007D116C" w:rsidRDefault="00AB0C7D" w:rsidP="00A41974">
            <w:pPr>
              <w:spacing w:after="0" w:line="240" w:lineRule="auto"/>
              <w:ind w:left="436" w:hanging="283"/>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tc>
      </w:tr>
      <w:tr w:rsidR="007D116C" w:rsidRPr="007D116C" w14:paraId="11AB2CC5" w14:textId="77777777" w:rsidTr="001548D7">
        <w:tc>
          <w:tcPr>
            <w:tcW w:w="3678" w:type="dxa"/>
            <w:tcBorders>
              <w:top w:val="nil"/>
              <w:left w:val="single" w:sz="6" w:space="0" w:color="auto"/>
              <w:bottom w:val="single" w:sz="6" w:space="0" w:color="auto"/>
              <w:right w:val="single" w:sz="6" w:space="0" w:color="auto"/>
            </w:tcBorders>
            <w:shd w:val="clear" w:color="auto" w:fill="EDEDED" w:themeFill="accent3" w:themeFillTint="33"/>
            <w:hideMark/>
          </w:tcPr>
          <w:p w14:paraId="1696EBDA"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lastRenderedPageBreak/>
              <w:t>Policies, procedures and criteria for selection and terms of appointment of the governing body should be documented and readily available to aid transparency and attract appropriate candidates.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EDEDED" w:themeFill="accent3" w:themeFillTint="33"/>
            <w:hideMark/>
          </w:tcPr>
          <w:p w14:paraId="36E2C085" w14:textId="5F90DC43" w:rsidR="00AB0C7D" w:rsidRPr="007D116C" w:rsidRDefault="00AB0C7D" w:rsidP="00746094">
            <w:pPr>
              <w:numPr>
                <w:ilvl w:val="0"/>
                <w:numId w:val="12"/>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The Queensland Government advises that the selection process should be “merit-based”, refer to the Department of Premier and Cabinet’s register of nominees for government boards, and pay heed to government policy in respect of diversity targets.</w:t>
            </w:r>
            <w:r w:rsidR="00E7159A" w:rsidRPr="007D116C">
              <w:rPr>
                <w:rStyle w:val="FootnoteReference"/>
                <w:sz w:val="20"/>
                <w:szCs w:val="20"/>
              </w:rPr>
              <w:footnoteReference w:id="34"/>
            </w:r>
          </w:p>
          <w:p w14:paraId="34007C3E" w14:textId="12AF2F61" w:rsidR="00AB0C7D" w:rsidRPr="007D116C" w:rsidRDefault="00AB0C7D" w:rsidP="00746094">
            <w:pPr>
              <w:numPr>
                <w:ilvl w:val="0"/>
                <w:numId w:val="12"/>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Guidance does not explicitly require transparency in the appointment process but would presumably at least follow state Board appointment processes</w:t>
            </w:r>
          </w:p>
        </w:tc>
      </w:tr>
      <w:tr w:rsidR="007D116C" w:rsidRPr="007D116C" w14:paraId="2186B3C9" w14:textId="77777777" w:rsidTr="001548D7">
        <w:tc>
          <w:tcPr>
            <w:tcW w:w="3678" w:type="dxa"/>
            <w:tcBorders>
              <w:top w:val="nil"/>
              <w:left w:val="single" w:sz="6" w:space="0" w:color="auto"/>
              <w:bottom w:val="single" w:sz="6" w:space="0" w:color="auto"/>
              <w:right w:val="single" w:sz="6" w:space="0" w:color="auto"/>
            </w:tcBorders>
            <w:shd w:val="clear" w:color="auto" w:fill="auto"/>
            <w:hideMark/>
          </w:tcPr>
          <w:p w14:paraId="6EE137A9"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There should be a clear allocation of decision making and other responsibilities between the responsible accountable political authority, the governing body and the Chief Executive Officer (CEO) or individual in charge of the organisation’s performance and implementation of decisions.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auto"/>
            <w:hideMark/>
          </w:tcPr>
          <w:p w14:paraId="51215424" w14:textId="77777777" w:rsidR="00AB0C7D" w:rsidRPr="007D116C" w:rsidRDefault="00AB0C7D" w:rsidP="00746094">
            <w:pPr>
              <w:numPr>
                <w:ilvl w:val="0"/>
                <w:numId w:val="13"/>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For the reasons noted above, the dual nature of the QBC Board’s remit is operationally functional. Other material and evidence is needed to explore actual practice, for example consultations and review of meeting records.  </w:t>
            </w:r>
          </w:p>
          <w:p w14:paraId="06A5CBC3" w14:textId="53325323" w:rsidR="00AB0C7D" w:rsidRPr="007D116C" w:rsidRDefault="00AB0C7D" w:rsidP="00746094">
            <w:pPr>
              <w:numPr>
                <w:ilvl w:val="0"/>
                <w:numId w:val="13"/>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Advising and governance may demand different skill and experience and is an area for the Review to seek evidence that Board processes are able to select for this</w:t>
            </w:r>
          </w:p>
        </w:tc>
      </w:tr>
      <w:tr w:rsidR="007D116C" w:rsidRPr="007D116C" w14:paraId="28184319" w14:textId="77777777" w:rsidTr="001548D7">
        <w:tc>
          <w:tcPr>
            <w:tcW w:w="3678" w:type="dxa"/>
            <w:tcBorders>
              <w:top w:val="nil"/>
              <w:left w:val="single" w:sz="6" w:space="0" w:color="auto"/>
              <w:bottom w:val="single" w:sz="6" w:space="0" w:color="auto"/>
              <w:right w:val="single" w:sz="6" w:space="0" w:color="auto"/>
            </w:tcBorders>
            <w:shd w:val="clear" w:color="auto" w:fill="EDEDED" w:themeFill="accent3" w:themeFillTint="33"/>
            <w:hideMark/>
          </w:tcPr>
          <w:p w14:paraId="47ABE57C"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Where a regulator has a multi-member governing body, the CEO or individual responsible for managing the organisation’s performance and implementing regulatory decisions should be primarily accountable to the regulator’s governing body.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EDEDED" w:themeFill="accent3" w:themeFillTint="33"/>
            <w:hideMark/>
          </w:tcPr>
          <w:p w14:paraId="288F9A1E" w14:textId="61897177" w:rsidR="00AB0C7D" w:rsidRPr="007D116C" w:rsidRDefault="00AB0C7D" w:rsidP="00746094">
            <w:pPr>
              <w:numPr>
                <w:ilvl w:val="0"/>
                <w:numId w:val="14"/>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 xml:space="preserve">Under the QBCC Act, the </w:t>
            </w:r>
            <w:r w:rsidR="00F47308" w:rsidRPr="007D116C">
              <w:rPr>
                <w:rFonts w:ascii="Calibri" w:eastAsia="Times New Roman" w:hAnsi="Calibri" w:cs="Calibri"/>
                <w:sz w:val="20"/>
                <w:szCs w:val="20"/>
                <w:lang w:eastAsia="en-GB"/>
              </w:rPr>
              <w:t>C</w:t>
            </w:r>
            <w:r w:rsidRPr="007D116C">
              <w:rPr>
                <w:rFonts w:ascii="Calibri" w:eastAsia="Times New Roman" w:hAnsi="Calibri" w:cs="Calibri"/>
                <w:sz w:val="20"/>
                <w:szCs w:val="20"/>
                <w:lang w:eastAsia="en-GB"/>
              </w:rPr>
              <w:t xml:space="preserve">ommissioner is appointed by the Board (with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’s approval) and reports only to the Board, which advises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w:t>
            </w:r>
          </w:p>
        </w:tc>
      </w:tr>
      <w:tr w:rsidR="007D116C" w:rsidRPr="007D116C" w14:paraId="6C458E5C" w14:textId="77777777" w:rsidTr="001548D7">
        <w:tc>
          <w:tcPr>
            <w:tcW w:w="3678" w:type="dxa"/>
            <w:tcBorders>
              <w:top w:val="nil"/>
              <w:left w:val="single" w:sz="6" w:space="0" w:color="auto"/>
              <w:bottom w:val="single" w:sz="6" w:space="0" w:color="auto"/>
              <w:right w:val="single" w:sz="6" w:space="0" w:color="auto"/>
            </w:tcBorders>
            <w:shd w:val="clear" w:color="auto" w:fill="auto"/>
            <w:hideMark/>
          </w:tcPr>
          <w:p w14:paraId="45D2D386"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role of members of the governing body who are appointed for their technical expertise or industry knowledge should clearly be to support robust decision making in the public interest, rather than to represent stakeholder interests.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auto"/>
            <w:hideMark/>
          </w:tcPr>
          <w:p w14:paraId="4409936C" w14:textId="70D2C249" w:rsidR="00AB0C7D" w:rsidRPr="007D116C" w:rsidRDefault="00AB0C7D" w:rsidP="00746094">
            <w:pPr>
              <w:numPr>
                <w:ilvl w:val="0"/>
                <w:numId w:val="15"/>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 xml:space="preserve">The QBCC Act lists “experience and competence” required by the board, and explicitly states that members are to be able to “make a contribution to the effective and efficient performance of the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’s functions”.  </w:t>
            </w:r>
          </w:p>
          <w:p w14:paraId="3E69649C" w14:textId="2A386791" w:rsidR="00AB0C7D" w:rsidRPr="007D116C" w:rsidRDefault="00533159" w:rsidP="00746094">
            <w:pPr>
              <w:numPr>
                <w:ilvl w:val="0"/>
                <w:numId w:val="15"/>
              </w:numPr>
              <w:spacing w:after="0" w:line="240" w:lineRule="auto"/>
              <w:ind w:left="436" w:hanging="283"/>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 xml:space="preserve">However, see the discussion of board composition in the next section: the QBC Board </w:t>
            </w:r>
            <w:r w:rsidR="00AF4686" w:rsidRPr="007D116C">
              <w:rPr>
                <w:rFonts w:eastAsia="Times New Roman" w:cstheme="minorHAnsi"/>
                <w:sz w:val="20"/>
                <w:szCs w:val="20"/>
                <w:lang w:eastAsia="en-GB"/>
              </w:rPr>
              <w:t xml:space="preserve">also </w:t>
            </w:r>
            <w:r w:rsidRPr="007D116C">
              <w:rPr>
                <w:rFonts w:eastAsia="Times New Roman" w:cstheme="minorHAnsi"/>
                <w:sz w:val="20"/>
                <w:szCs w:val="20"/>
                <w:lang w:eastAsia="en-GB"/>
              </w:rPr>
              <w:t>does explicitly provide for more representation of sectoral interests compared with other jurisdictions</w:t>
            </w:r>
            <w:r w:rsidR="00270684" w:rsidRPr="007D116C">
              <w:rPr>
                <w:rFonts w:eastAsia="Times New Roman" w:cstheme="minorHAnsi"/>
                <w:sz w:val="20"/>
                <w:szCs w:val="20"/>
                <w:lang w:eastAsia="en-GB"/>
              </w:rPr>
              <w:t>.</w:t>
            </w:r>
          </w:p>
        </w:tc>
      </w:tr>
      <w:tr w:rsidR="007D116C" w:rsidRPr="007D116C" w14:paraId="4E12ADE9" w14:textId="77777777" w:rsidTr="001548D7">
        <w:tc>
          <w:tcPr>
            <w:tcW w:w="3678" w:type="dxa"/>
            <w:tcBorders>
              <w:top w:val="nil"/>
              <w:left w:val="single" w:sz="6" w:space="0" w:color="auto"/>
              <w:bottom w:val="single" w:sz="6" w:space="0" w:color="auto"/>
              <w:right w:val="single" w:sz="6" w:space="0" w:color="auto"/>
            </w:tcBorders>
            <w:shd w:val="clear" w:color="auto" w:fill="EDEDED" w:themeFill="accent3" w:themeFillTint="33"/>
            <w:hideMark/>
          </w:tcPr>
          <w:p w14:paraId="43734985"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Funding levels should be adequate to enable the regulator, operating efficiently, to effectively fulfil the objectives set by government… [and] Funding processes should be transparent, efficient and as simple as possible.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EDEDED" w:themeFill="accent3" w:themeFillTint="33"/>
            <w:hideMark/>
          </w:tcPr>
          <w:p w14:paraId="38D854F3" w14:textId="77777777" w:rsidR="00AB0C7D" w:rsidRPr="007D116C" w:rsidRDefault="00AB0C7D" w:rsidP="00746094">
            <w:pPr>
              <w:numPr>
                <w:ilvl w:val="0"/>
                <w:numId w:val="16"/>
              </w:numPr>
              <w:spacing w:after="0" w:line="240" w:lineRule="auto"/>
              <w:ind w:left="436" w:hanging="283"/>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QBCC ran a healthy surplus in the most recent financial year.  </w:t>
            </w:r>
          </w:p>
          <w:p w14:paraId="5E3FBBC0" w14:textId="7B00FF45" w:rsidR="00AB0C7D" w:rsidRPr="007D116C" w:rsidRDefault="00AB0C7D" w:rsidP="00746094">
            <w:pPr>
              <w:numPr>
                <w:ilvl w:val="0"/>
                <w:numId w:val="17"/>
              </w:numPr>
              <w:spacing w:after="0" w:line="240" w:lineRule="auto"/>
              <w:ind w:left="436" w:hanging="283"/>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As noted below, the QBCC does not raise funds via a building levy, which is </w:t>
            </w:r>
            <w:r w:rsidR="00B14ECB" w:rsidRPr="007D116C">
              <w:rPr>
                <w:rFonts w:ascii="Calibri" w:eastAsia="Times New Roman" w:hAnsi="Calibri" w:cs="Calibri"/>
                <w:sz w:val="20"/>
                <w:szCs w:val="20"/>
                <w:lang w:eastAsia="en-GB"/>
              </w:rPr>
              <w:t xml:space="preserve">somewhat </w:t>
            </w:r>
            <w:r w:rsidRPr="007D116C">
              <w:rPr>
                <w:rFonts w:ascii="Calibri" w:eastAsia="Times New Roman" w:hAnsi="Calibri" w:cs="Calibri"/>
                <w:sz w:val="20"/>
                <w:szCs w:val="20"/>
                <w:lang w:eastAsia="en-GB"/>
              </w:rPr>
              <w:t>unusual in Australia.  </w:t>
            </w:r>
          </w:p>
        </w:tc>
      </w:tr>
      <w:tr w:rsidR="007D116C" w:rsidRPr="007D116C" w14:paraId="58FFF14E" w14:textId="77777777" w:rsidTr="001548D7">
        <w:tc>
          <w:tcPr>
            <w:tcW w:w="3678" w:type="dxa"/>
            <w:tcBorders>
              <w:top w:val="nil"/>
              <w:left w:val="single" w:sz="6" w:space="0" w:color="auto"/>
              <w:bottom w:val="single" w:sz="6" w:space="0" w:color="auto"/>
              <w:right w:val="single" w:sz="6" w:space="0" w:color="auto"/>
            </w:tcBorders>
            <w:shd w:val="clear" w:color="auto" w:fill="auto"/>
            <w:hideMark/>
          </w:tcPr>
          <w:p w14:paraId="3DA69278"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Regular independent external reviews of regulators should be arranged by the government, legislature or the regulator itself, in addition to any internal reviews. </w:t>
            </w:r>
            <w:r w:rsidRPr="007D116C">
              <w:rPr>
                <w:rFonts w:ascii="Calibri" w:eastAsia="Times New Roman" w:hAnsi="Calibri" w:cs="Calibri"/>
                <w:b/>
                <w:sz w:val="20"/>
                <w:szCs w:val="20"/>
                <w:lang w:eastAsia="en-GB"/>
              </w:rPr>
              <w:t> </w:t>
            </w:r>
            <w:r w:rsidRPr="007D116C">
              <w:rPr>
                <w:rFonts w:ascii="Calibri" w:eastAsia="Times New Roman" w:hAnsi="Calibri" w:cs="Calibri"/>
                <w:sz w:val="20"/>
                <w:szCs w:val="20"/>
                <w:lang w:eastAsia="en-GB"/>
              </w:rPr>
              <w:t> </w:t>
            </w:r>
          </w:p>
        </w:tc>
        <w:tc>
          <w:tcPr>
            <w:tcW w:w="4767" w:type="dxa"/>
            <w:tcBorders>
              <w:top w:val="nil"/>
              <w:left w:val="nil"/>
              <w:bottom w:val="single" w:sz="6" w:space="0" w:color="auto"/>
              <w:right w:val="single" w:sz="6" w:space="0" w:color="auto"/>
            </w:tcBorders>
            <w:shd w:val="clear" w:color="auto" w:fill="auto"/>
            <w:hideMark/>
          </w:tcPr>
          <w:p w14:paraId="3A4DE2BB" w14:textId="78287ADC" w:rsidR="00AB0C7D" w:rsidRPr="007D116C" w:rsidRDefault="00AB0C7D" w:rsidP="00746094">
            <w:pPr>
              <w:numPr>
                <w:ilvl w:val="0"/>
                <w:numId w:val="18"/>
              </w:numPr>
              <w:spacing w:after="0" w:line="240" w:lineRule="auto"/>
              <w:ind w:left="436" w:hanging="283"/>
              <w:jc w:val="left"/>
              <w:textAlignment w:val="baseline"/>
              <w:rPr>
                <w:rFonts w:ascii="Verdana" w:eastAsia="Times New Roman" w:hAnsi="Verdana" w:cs="Times New Roman"/>
                <w:sz w:val="20"/>
                <w:szCs w:val="20"/>
                <w:lang w:eastAsia="en-GB"/>
              </w:rPr>
            </w:pPr>
            <w:r w:rsidRPr="007D116C">
              <w:rPr>
                <w:rFonts w:ascii="Calibri" w:eastAsia="Times New Roman" w:hAnsi="Calibri" w:cs="Calibri"/>
                <w:sz w:val="20"/>
                <w:szCs w:val="20"/>
                <w:lang w:eastAsia="en-GB"/>
              </w:rPr>
              <w:t xml:space="preserve">In addition to the review to which this document is a contribution, there have been a number of reviews of the building and construction industry in recent years, including the </w:t>
            </w:r>
            <w:r w:rsidRPr="007D116C">
              <w:rPr>
                <w:rFonts w:ascii="Calibri" w:eastAsia="Times New Roman" w:hAnsi="Calibri" w:cs="Calibri"/>
                <w:i/>
                <w:sz w:val="20"/>
                <w:szCs w:val="20"/>
                <w:lang w:eastAsia="en-GB"/>
              </w:rPr>
              <w:t xml:space="preserve">Building Confidence Report </w:t>
            </w:r>
            <w:r w:rsidRPr="007D116C">
              <w:rPr>
                <w:rFonts w:ascii="Calibri" w:eastAsia="Times New Roman" w:hAnsi="Calibri" w:cs="Calibri"/>
                <w:sz w:val="20"/>
                <w:szCs w:val="20"/>
                <w:lang w:eastAsia="en-GB"/>
              </w:rPr>
              <w:t>(2018), a review by Weir Legal and Consulting (2018), and audit of the QBCC’s building licensing functions by the Queensland Audit Office</w:t>
            </w:r>
            <w:r w:rsidR="0033405A" w:rsidRPr="007D116C">
              <w:rPr>
                <w:rFonts w:ascii="Calibri" w:eastAsia="Times New Roman" w:hAnsi="Calibri" w:cs="Calibri"/>
                <w:sz w:val="20"/>
                <w:szCs w:val="20"/>
                <w:lang w:eastAsia="en-GB"/>
              </w:rPr>
              <w:t>.</w:t>
            </w:r>
            <w:r w:rsidR="00066204" w:rsidRPr="007D116C">
              <w:rPr>
                <w:rStyle w:val="FootnoteReference"/>
                <w:sz w:val="20"/>
                <w:szCs w:val="20"/>
              </w:rPr>
              <w:footnoteReference w:id="35"/>
            </w:r>
            <w:r w:rsidRPr="007D116C">
              <w:rPr>
                <w:rFonts w:ascii="Calibri" w:eastAsia="Times New Roman" w:hAnsi="Calibri" w:cs="Calibri"/>
                <w:sz w:val="20"/>
                <w:szCs w:val="20"/>
                <w:lang w:eastAsia="en-GB"/>
              </w:rPr>
              <w:t>  </w:t>
            </w:r>
          </w:p>
        </w:tc>
      </w:tr>
    </w:tbl>
    <w:p w14:paraId="347EDEC7" w14:textId="77777777" w:rsidR="00EE3116" w:rsidRPr="007D116C" w:rsidRDefault="00AB0C7D" w:rsidP="00EE3116">
      <w:pPr>
        <w:spacing w:after="0" w:line="240" w:lineRule="auto"/>
        <w:textAlignment w:val="baseline"/>
        <w:rPr>
          <w:rFonts w:ascii="Calibri" w:eastAsia="Times New Roman" w:hAnsi="Calibri" w:cs="Calibri"/>
          <w:lang w:eastAsia="en-GB"/>
        </w:rPr>
      </w:pPr>
      <w:r w:rsidRPr="007D116C">
        <w:rPr>
          <w:rFonts w:ascii="Calibri" w:eastAsia="Times New Roman" w:hAnsi="Calibri" w:cs="Calibri"/>
          <w:lang w:eastAsia="en-GB"/>
        </w:rPr>
        <w:lastRenderedPageBreak/>
        <w:t>  </w:t>
      </w:r>
    </w:p>
    <w:p w14:paraId="1E175011" w14:textId="648214F0" w:rsidR="00D84DE4" w:rsidRPr="007D116C" w:rsidRDefault="6D4215AE" w:rsidP="00D71E80">
      <w:pPr>
        <w:pStyle w:val="ListParagraph"/>
        <w:numPr>
          <w:ilvl w:val="0"/>
          <w:numId w:val="2"/>
        </w:numPr>
        <w:spacing w:after="0"/>
        <w:ind w:left="0" w:hanging="426"/>
        <w:textAlignment w:val="baseline"/>
        <w:rPr>
          <w:rFonts w:ascii="Segoe UI" w:eastAsia="Times New Roman" w:hAnsi="Segoe UI" w:cs="Segoe UI"/>
          <w:lang w:eastAsia="en-GB"/>
        </w:rPr>
      </w:pPr>
      <w:r w:rsidRPr="502F8547">
        <w:rPr>
          <w:rFonts w:ascii="Calibri" w:eastAsia="Times New Roman" w:hAnsi="Calibri" w:cs="Calibri"/>
          <w:lang w:eastAsia="en-GB"/>
        </w:rPr>
        <w:t xml:space="preserve">Table 1 reinforces the </w:t>
      </w:r>
      <w:r w:rsidR="7D345052" w:rsidRPr="502F8547">
        <w:rPr>
          <w:rFonts w:ascii="Calibri" w:eastAsia="Times New Roman" w:hAnsi="Calibri" w:cs="Calibri"/>
          <w:lang w:eastAsia="en-GB"/>
        </w:rPr>
        <w:t>features identified</w:t>
      </w:r>
      <w:r w:rsidRPr="502F8547">
        <w:rPr>
          <w:rFonts w:ascii="Calibri" w:eastAsia="Times New Roman" w:hAnsi="Calibri" w:cs="Calibri"/>
          <w:lang w:eastAsia="en-GB"/>
        </w:rPr>
        <w:t xml:space="preserve"> in </w:t>
      </w:r>
      <w:r w:rsidR="7D345052" w:rsidRPr="502F8547">
        <w:rPr>
          <w:rFonts w:ascii="Calibri" w:eastAsia="Times New Roman" w:hAnsi="Calibri" w:cs="Calibri"/>
          <w:lang w:eastAsia="en-GB"/>
        </w:rPr>
        <w:t>Part A</w:t>
      </w:r>
      <w:r w:rsidRPr="502F8547">
        <w:rPr>
          <w:rFonts w:ascii="Calibri" w:eastAsia="Times New Roman" w:hAnsi="Calibri" w:cs="Calibri"/>
          <w:lang w:eastAsia="en-GB"/>
        </w:rPr>
        <w:t xml:space="preserve"> about QBCC governance arrangements, in reference to both OECD recommended features and comparable Australian jurisdictions practice. In particular, the roles of the </w:t>
      </w:r>
      <w:r w:rsidR="69B4FB9E" w:rsidRPr="502F8547">
        <w:rPr>
          <w:rFonts w:ascii="Calibri" w:eastAsia="Times New Roman" w:hAnsi="Calibri" w:cs="Calibri"/>
          <w:lang w:eastAsia="en-GB"/>
        </w:rPr>
        <w:t>M</w:t>
      </w:r>
      <w:r w:rsidRPr="502F8547">
        <w:rPr>
          <w:rFonts w:ascii="Calibri" w:eastAsia="Times New Roman" w:hAnsi="Calibri" w:cs="Calibri"/>
          <w:lang w:eastAsia="en-GB"/>
        </w:rPr>
        <w:t xml:space="preserve">inister, </w:t>
      </w:r>
      <w:r w:rsidR="6E5FC07E" w:rsidRPr="502F8547">
        <w:rPr>
          <w:rFonts w:ascii="Calibri" w:eastAsia="Times New Roman" w:hAnsi="Calibri" w:cs="Calibri"/>
          <w:lang w:eastAsia="en-GB"/>
        </w:rPr>
        <w:t xml:space="preserve">QBC </w:t>
      </w:r>
      <w:r w:rsidR="4E7F3DE5" w:rsidRPr="502F8547">
        <w:rPr>
          <w:rFonts w:ascii="Calibri" w:eastAsia="Times New Roman" w:hAnsi="Calibri" w:cs="Calibri"/>
          <w:lang w:eastAsia="en-GB"/>
        </w:rPr>
        <w:t xml:space="preserve">Board, </w:t>
      </w:r>
      <w:r>
        <w:t xml:space="preserve">and </w:t>
      </w:r>
      <w:r w:rsidR="69B4FB9E">
        <w:t>C</w:t>
      </w:r>
      <w:r>
        <w:t>ommissioner contain variation</w:t>
      </w:r>
      <w:r w:rsidR="167F3083">
        <w:t>s</w:t>
      </w:r>
      <w:r>
        <w:t xml:space="preserve"> in certain features</w:t>
      </w:r>
      <w:r w:rsidR="16681624">
        <w:t xml:space="preserve">. </w:t>
      </w:r>
      <w:r w:rsidR="16681624" w:rsidRPr="502F8547">
        <w:rPr>
          <w:rFonts w:ascii="Calibri" w:eastAsia="Times New Roman" w:hAnsi="Calibri" w:cs="Calibri"/>
          <w:lang w:eastAsia="en-GB"/>
        </w:rPr>
        <w:t xml:space="preserve">These </w:t>
      </w:r>
      <w:r w:rsidR="7A9CA6F2" w:rsidRPr="502F8547">
        <w:rPr>
          <w:rFonts w:ascii="Calibri" w:eastAsia="Times New Roman" w:hAnsi="Calibri" w:cs="Calibri"/>
          <w:lang w:eastAsia="en-GB"/>
        </w:rPr>
        <w:t>variations</w:t>
      </w:r>
      <w:r w:rsidR="16681624" w:rsidRPr="502F8547">
        <w:rPr>
          <w:rFonts w:ascii="Calibri" w:eastAsia="Times New Roman" w:hAnsi="Calibri" w:cs="Calibri"/>
          <w:lang w:eastAsia="en-GB"/>
        </w:rPr>
        <w:t xml:space="preserve"> may be necessary to service the Queensland model and/or context</w:t>
      </w:r>
      <w:r w:rsidR="2A222A8D" w:rsidRPr="502F8547">
        <w:rPr>
          <w:rFonts w:ascii="Calibri" w:eastAsia="Times New Roman" w:hAnsi="Calibri" w:cs="Calibri"/>
          <w:lang w:eastAsia="en-GB"/>
        </w:rPr>
        <w:t xml:space="preserve">; they may be enhancements on </w:t>
      </w:r>
      <w:r w:rsidR="58730685" w:rsidRPr="502F8547">
        <w:rPr>
          <w:rFonts w:ascii="Calibri" w:eastAsia="Times New Roman" w:hAnsi="Calibri" w:cs="Calibri"/>
          <w:lang w:eastAsia="en-GB"/>
        </w:rPr>
        <w:t>minimum recommended features.</w:t>
      </w:r>
      <w:r w:rsidR="12CCBCC0" w:rsidRPr="502F8547">
        <w:rPr>
          <w:rFonts w:ascii="Calibri" w:eastAsia="Times New Roman" w:hAnsi="Calibri" w:cs="Calibri"/>
          <w:lang w:eastAsia="en-GB"/>
        </w:rPr>
        <w:t xml:space="preserve"> </w:t>
      </w:r>
      <w:r w:rsidR="2565D5A2" w:rsidRPr="502F8547">
        <w:rPr>
          <w:rFonts w:ascii="Calibri" w:eastAsia="Times New Roman" w:hAnsi="Calibri" w:cs="Calibri"/>
          <w:lang w:eastAsia="en-GB"/>
        </w:rPr>
        <w:t>It should be noted that v</w:t>
      </w:r>
      <w:r w:rsidR="12CCBCC0" w:rsidRPr="502F8547">
        <w:rPr>
          <w:rFonts w:ascii="Calibri" w:eastAsia="Times New Roman" w:hAnsi="Calibri" w:cs="Calibri"/>
          <w:lang w:eastAsia="en-GB"/>
        </w:rPr>
        <w:t>ariations in governance features from the</w:t>
      </w:r>
      <w:r w:rsidR="4251D5EE" w:rsidRPr="502F8547">
        <w:rPr>
          <w:rFonts w:ascii="Calibri" w:eastAsia="Times New Roman" w:hAnsi="Calibri" w:cs="Calibri"/>
          <w:lang w:eastAsia="en-GB"/>
        </w:rPr>
        <w:t xml:space="preserve"> OECD model </w:t>
      </w:r>
      <w:r w:rsidR="12CCBCC0" w:rsidRPr="502F8547">
        <w:rPr>
          <w:rFonts w:ascii="Calibri" w:eastAsia="Times New Roman" w:hAnsi="Calibri" w:cs="Calibri"/>
          <w:lang w:eastAsia="en-GB"/>
        </w:rPr>
        <w:t>may be commonplace across jurisdictions</w:t>
      </w:r>
      <w:r w:rsidR="2565D5A2" w:rsidRPr="502F8547">
        <w:rPr>
          <w:rFonts w:ascii="Calibri" w:eastAsia="Times New Roman" w:hAnsi="Calibri" w:cs="Calibri"/>
          <w:lang w:eastAsia="en-GB"/>
        </w:rPr>
        <w:t>.</w:t>
      </w:r>
    </w:p>
    <w:p w14:paraId="4340375C" w14:textId="731F90E2" w:rsidR="00D71E80" w:rsidRPr="007D116C" w:rsidRDefault="004C0259" w:rsidP="00D71E80">
      <w:pPr>
        <w:pStyle w:val="ListParagraph"/>
        <w:numPr>
          <w:ilvl w:val="0"/>
          <w:numId w:val="2"/>
        </w:numPr>
        <w:spacing w:after="0"/>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The reference to diversity is </w:t>
      </w:r>
      <w:r w:rsidR="005460CC" w:rsidRPr="007D116C">
        <w:rPr>
          <w:rFonts w:ascii="Calibri" w:eastAsia="Times New Roman" w:hAnsi="Calibri" w:cs="Calibri"/>
          <w:lang w:eastAsia="en-GB"/>
        </w:rPr>
        <w:t>straightforward</w:t>
      </w:r>
      <w:r w:rsidRPr="007D116C">
        <w:rPr>
          <w:rFonts w:ascii="Calibri" w:eastAsia="Times New Roman" w:hAnsi="Calibri" w:cs="Calibri"/>
          <w:lang w:eastAsia="en-GB"/>
        </w:rPr>
        <w:t xml:space="preserve"> in the OECD </w:t>
      </w:r>
      <w:r w:rsidR="00507D79" w:rsidRPr="007D116C">
        <w:rPr>
          <w:rFonts w:ascii="Calibri" w:eastAsia="Times New Roman" w:hAnsi="Calibri" w:cs="Calibri"/>
          <w:lang w:eastAsia="en-GB"/>
        </w:rPr>
        <w:t xml:space="preserve">recommendation. </w:t>
      </w:r>
      <w:r w:rsidR="00E250CF" w:rsidRPr="007D116C">
        <w:rPr>
          <w:rFonts w:ascii="Calibri" w:eastAsia="Times New Roman" w:hAnsi="Calibri" w:cs="Calibri"/>
          <w:lang w:eastAsia="en-GB"/>
        </w:rPr>
        <w:t xml:space="preserve">While </w:t>
      </w:r>
      <w:r w:rsidR="007D301D" w:rsidRPr="007D116C">
        <w:rPr>
          <w:rFonts w:ascii="Calibri" w:eastAsia="Times New Roman" w:hAnsi="Calibri" w:cs="Calibri"/>
          <w:lang w:eastAsia="en-GB"/>
        </w:rPr>
        <w:t>the</w:t>
      </w:r>
      <w:r w:rsidR="00507D79" w:rsidRPr="007D116C">
        <w:rPr>
          <w:rFonts w:ascii="Calibri" w:eastAsia="Times New Roman" w:hAnsi="Calibri" w:cs="Calibri"/>
          <w:lang w:eastAsia="en-GB"/>
        </w:rPr>
        <w:t xml:space="preserve"> QBC</w:t>
      </w:r>
      <w:r w:rsidR="001C292F" w:rsidRPr="007D116C">
        <w:rPr>
          <w:rFonts w:ascii="Calibri" w:eastAsia="Times New Roman" w:hAnsi="Calibri" w:cs="Calibri"/>
          <w:lang w:eastAsia="en-GB"/>
        </w:rPr>
        <w:t>C</w:t>
      </w:r>
      <w:r w:rsidR="00507D79" w:rsidRPr="007D116C">
        <w:rPr>
          <w:rFonts w:ascii="Calibri" w:eastAsia="Times New Roman" w:hAnsi="Calibri" w:cs="Calibri"/>
          <w:lang w:eastAsia="en-GB"/>
        </w:rPr>
        <w:t xml:space="preserve"> Act </w:t>
      </w:r>
      <w:r w:rsidR="007D301D" w:rsidRPr="007D116C">
        <w:rPr>
          <w:rFonts w:ascii="Calibri" w:eastAsia="Times New Roman" w:hAnsi="Calibri" w:cs="Calibri"/>
          <w:lang w:eastAsia="en-GB"/>
        </w:rPr>
        <w:t xml:space="preserve">is concerned with </w:t>
      </w:r>
      <w:r w:rsidR="00507D79" w:rsidRPr="007D116C">
        <w:rPr>
          <w:rFonts w:ascii="Calibri" w:eastAsia="Times New Roman" w:hAnsi="Calibri" w:cs="Calibri"/>
          <w:lang w:eastAsia="en-GB"/>
        </w:rPr>
        <w:t xml:space="preserve">the remit of industry experience </w:t>
      </w:r>
      <w:r w:rsidR="00A912EF" w:rsidRPr="007D116C">
        <w:rPr>
          <w:rFonts w:ascii="Calibri" w:eastAsia="Times New Roman" w:hAnsi="Calibri" w:cs="Calibri"/>
          <w:lang w:eastAsia="en-GB"/>
        </w:rPr>
        <w:t>in terms of breadth of members</w:t>
      </w:r>
      <w:r w:rsidR="00401AE6" w:rsidRPr="007D116C">
        <w:rPr>
          <w:rFonts w:ascii="Calibri" w:eastAsia="Times New Roman" w:hAnsi="Calibri" w:cs="Calibri"/>
          <w:lang w:eastAsia="en-GB"/>
        </w:rPr>
        <w:t xml:space="preserve">, </w:t>
      </w:r>
      <w:r w:rsidR="00692FAE" w:rsidRPr="007D116C">
        <w:rPr>
          <w:rFonts w:ascii="Calibri" w:eastAsia="Times New Roman" w:hAnsi="Calibri" w:cs="Calibri"/>
          <w:lang w:eastAsia="en-GB"/>
        </w:rPr>
        <w:t xml:space="preserve">the </w:t>
      </w:r>
      <w:r w:rsidR="005460CC" w:rsidRPr="007D116C">
        <w:rPr>
          <w:rFonts w:ascii="Calibri" w:eastAsia="Times New Roman" w:hAnsi="Calibri" w:cs="Calibri"/>
          <w:lang w:eastAsia="en-GB"/>
        </w:rPr>
        <w:t>diversity (lived experience)</w:t>
      </w:r>
      <w:r w:rsidR="00401AE6" w:rsidRPr="007D116C">
        <w:rPr>
          <w:rFonts w:ascii="Calibri" w:eastAsia="Times New Roman" w:hAnsi="Calibri" w:cs="Calibri"/>
          <w:lang w:eastAsia="en-GB"/>
        </w:rPr>
        <w:t xml:space="preserve"> aspect is </w:t>
      </w:r>
      <w:r w:rsidR="0023019F" w:rsidRPr="007D116C">
        <w:rPr>
          <w:rFonts w:ascii="Calibri" w:eastAsia="Times New Roman" w:hAnsi="Calibri" w:cs="Calibri"/>
          <w:lang w:eastAsia="en-GB"/>
        </w:rPr>
        <w:t>addressed generally in other Queensland board governance expectations</w:t>
      </w:r>
      <w:r w:rsidR="004F7331" w:rsidRPr="007D116C">
        <w:rPr>
          <w:rFonts w:ascii="Calibri" w:eastAsia="Times New Roman" w:hAnsi="Calibri" w:cs="Calibri"/>
          <w:lang w:eastAsia="en-GB"/>
        </w:rPr>
        <w:t xml:space="preserve"> </w:t>
      </w:r>
      <w:r w:rsidR="004F6158" w:rsidRPr="007D116C">
        <w:rPr>
          <w:rFonts w:ascii="Calibri" w:eastAsia="Times New Roman" w:hAnsi="Calibri" w:cs="Calibri"/>
          <w:lang w:eastAsia="en-GB"/>
        </w:rPr>
        <w:t xml:space="preserve">and </w:t>
      </w:r>
      <w:r w:rsidR="0023019F" w:rsidRPr="007D116C">
        <w:rPr>
          <w:rFonts w:ascii="Calibri" w:eastAsia="Times New Roman" w:hAnsi="Calibri" w:cs="Calibri"/>
          <w:lang w:eastAsia="en-GB"/>
        </w:rPr>
        <w:t>not</w:t>
      </w:r>
      <w:r w:rsidR="004F7331" w:rsidRPr="007D116C">
        <w:rPr>
          <w:rFonts w:ascii="Calibri" w:eastAsia="Times New Roman" w:hAnsi="Calibri" w:cs="Calibri"/>
          <w:lang w:eastAsia="en-GB"/>
        </w:rPr>
        <w:t xml:space="preserve"> a</w:t>
      </w:r>
      <w:r w:rsidR="0023019F" w:rsidRPr="007D116C">
        <w:rPr>
          <w:rFonts w:ascii="Calibri" w:eastAsia="Times New Roman" w:hAnsi="Calibri" w:cs="Calibri"/>
          <w:lang w:eastAsia="en-GB"/>
        </w:rPr>
        <w:t xml:space="preserve"> specific QB</w:t>
      </w:r>
      <w:r w:rsidR="008D4B95" w:rsidRPr="007D116C">
        <w:rPr>
          <w:rFonts w:ascii="Calibri" w:eastAsia="Times New Roman" w:hAnsi="Calibri" w:cs="Calibri"/>
          <w:lang w:eastAsia="en-GB"/>
        </w:rPr>
        <w:t>C</w:t>
      </w:r>
      <w:r w:rsidR="0023019F" w:rsidRPr="007D116C">
        <w:rPr>
          <w:rFonts w:ascii="Calibri" w:eastAsia="Times New Roman" w:hAnsi="Calibri" w:cs="Calibri"/>
          <w:lang w:eastAsia="en-GB"/>
        </w:rPr>
        <w:t xml:space="preserve"> </w:t>
      </w:r>
      <w:r w:rsidR="004F7331" w:rsidRPr="007D116C">
        <w:rPr>
          <w:rFonts w:ascii="Calibri" w:eastAsia="Times New Roman" w:hAnsi="Calibri" w:cs="Calibri"/>
          <w:lang w:eastAsia="en-GB"/>
        </w:rPr>
        <w:t xml:space="preserve">Board </w:t>
      </w:r>
      <w:r w:rsidR="0076309D" w:rsidRPr="007D116C">
        <w:rPr>
          <w:rFonts w:ascii="Calibri" w:eastAsia="Times New Roman" w:hAnsi="Calibri" w:cs="Calibri"/>
          <w:lang w:eastAsia="en-GB"/>
        </w:rPr>
        <w:t>membership document.</w:t>
      </w:r>
    </w:p>
    <w:p w14:paraId="3FD2658E" w14:textId="0A46FEB1" w:rsidR="00AB0C7D" w:rsidRPr="007D116C" w:rsidRDefault="00AB0C7D" w:rsidP="0005031A">
      <w:pPr>
        <w:spacing w:after="0" w:line="276" w:lineRule="auto"/>
        <w:ind w:left="720"/>
        <w:textAlignment w:val="baseline"/>
        <w:rPr>
          <w:rFonts w:ascii="Segoe UI" w:eastAsia="Times New Roman" w:hAnsi="Segoe UI" w:cs="Segoe UI"/>
          <w:lang w:eastAsia="en-GB"/>
        </w:rPr>
      </w:pPr>
      <w:r w:rsidRPr="007D116C">
        <w:rPr>
          <w:rFonts w:ascii="Calibri Light" w:eastAsia="Times New Roman" w:hAnsi="Calibri Light" w:cs="Calibri Light"/>
          <w:lang w:eastAsia="en-GB"/>
        </w:rPr>
        <w:t> </w:t>
      </w:r>
    </w:p>
    <w:p w14:paraId="058ED2A7" w14:textId="77777777" w:rsidR="00AB0C7D" w:rsidRPr="007D116C" w:rsidRDefault="00AB0C7D" w:rsidP="00EE1C51">
      <w:pPr>
        <w:pStyle w:val="Heading2"/>
        <w:rPr>
          <w:rFonts w:ascii="Segoe UI" w:hAnsi="Segoe UI" w:cs="Segoe UI"/>
          <w:lang w:eastAsia="en-GB"/>
        </w:rPr>
      </w:pPr>
      <w:bookmarkStart w:id="10" w:name="_Toc100599126"/>
      <w:r w:rsidRPr="007D116C">
        <w:rPr>
          <w:lang w:eastAsia="en-GB"/>
        </w:rPr>
        <w:t xml:space="preserve">OECD findings on </w:t>
      </w:r>
      <w:r w:rsidRPr="007D116C">
        <w:t>regulatory</w:t>
      </w:r>
      <w:r w:rsidRPr="007D116C">
        <w:rPr>
          <w:lang w:eastAsia="en-GB"/>
        </w:rPr>
        <w:t xml:space="preserve"> independence</w:t>
      </w:r>
      <w:bookmarkEnd w:id="10"/>
      <w:r w:rsidRPr="007D116C">
        <w:rPr>
          <w:lang w:eastAsia="en-GB"/>
        </w:rPr>
        <w:t> </w:t>
      </w:r>
    </w:p>
    <w:p w14:paraId="2CAEA421" w14:textId="0ECE831C" w:rsidR="000D6E5E" w:rsidRPr="007D116C" w:rsidRDefault="00AB0C7D" w:rsidP="000D6E5E">
      <w:pPr>
        <w:pStyle w:val="ListParagraph"/>
        <w:numPr>
          <w:ilvl w:val="0"/>
          <w:numId w:val="2"/>
        </w:numPr>
        <w:ind w:left="0" w:hanging="425"/>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t>In this section, the QBCC is compared against the OECD’s understanding of regulatory independence. The principles discussed above aim to capture what is required for a regulator to be both independent and accountable. OECD research finds that independence and accountability are positively correlated: regulators with more independence tend to have stronger accountability measures. And accountability measures are correlated with the scope of the functions the regulator undertakes: governments tend to impose stronger accountability measures on wider-ranging regulators</w:t>
      </w:r>
      <w:r w:rsidR="000A516C" w:rsidRPr="007D116C">
        <w:rPr>
          <w:rFonts w:ascii="Calibri" w:eastAsia="Times New Roman" w:hAnsi="Calibri" w:cs="Calibri"/>
          <w:lang w:eastAsia="en-GB"/>
        </w:rPr>
        <w:t>.</w:t>
      </w:r>
      <w:r w:rsidR="000A516C" w:rsidRPr="007D116C">
        <w:rPr>
          <w:rStyle w:val="FootnoteReference"/>
        </w:rPr>
        <w:footnoteReference w:id="36"/>
      </w:r>
      <w:r w:rsidRPr="007D116C">
        <w:rPr>
          <w:rFonts w:ascii="Calibri" w:eastAsia="Times New Roman" w:hAnsi="Calibri" w:cs="Calibri"/>
          <w:lang w:eastAsia="en-GB"/>
        </w:rPr>
        <w:t> </w:t>
      </w:r>
    </w:p>
    <w:p w14:paraId="70FCF3FF" w14:textId="4AA44944" w:rsidR="000D6E5E" w:rsidRPr="007D116C" w:rsidRDefault="6D4215AE" w:rsidP="16FFD785">
      <w:pPr>
        <w:pStyle w:val="ListParagraph"/>
        <w:numPr>
          <w:ilvl w:val="0"/>
          <w:numId w:val="2"/>
        </w:numPr>
        <w:ind w:left="0" w:hanging="425"/>
        <w:textAlignment w:val="baseline"/>
        <w:rPr>
          <w:rFonts w:ascii="Segoe UI" w:eastAsia="Times New Roman" w:hAnsi="Segoe UI" w:cs="Segoe UI"/>
          <w:lang w:eastAsia="en-GB"/>
        </w:rPr>
      </w:pPr>
      <w:r w:rsidRPr="007D116C">
        <w:rPr>
          <w:rFonts w:ascii="Calibri" w:eastAsia="Times New Roman" w:hAnsi="Calibri" w:cs="Calibri"/>
          <w:lang w:eastAsia="en-GB"/>
        </w:rPr>
        <w:t>Independence can be defined as the condition under which a regulator is “not subject to the direction on individual regulatory decisions by executive government”.</w:t>
      </w:r>
      <w:r w:rsidR="00A3608B" w:rsidRPr="007D116C">
        <w:rPr>
          <w:rStyle w:val="FootnoteReference"/>
          <w:rFonts w:ascii="Calibri" w:eastAsia="Times New Roman" w:hAnsi="Calibri" w:cs="Calibri"/>
          <w:lang w:eastAsia="en-GB"/>
        </w:rPr>
        <w:footnoteReference w:id="37"/>
      </w:r>
      <w:r w:rsidRPr="007D116C">
        <w:rPr>
          <w:rFonts w:ascii="Calibri" w:eastAsia="Times New Roman" w:hAnsi="Calibri" w:cs="Calibri"/>
          <w:lang w:eastAsia="en-GB"/>
        </w:rPr>
        <w:t xml:space="preserve"> This is not an absolute standard, because regulators ultimately derive their authority from the legislature and are answerable to the executive. However, there is a threshold of independence that regulators must usually meet or exceed in order to build trust among the entities they regulate. The answer to the question of how </w:t>
      </w:r>
      <w:r w:rsidRPr="007D116C">
        <w:rPr>
          <w:rFonts w:ascii="Calibri" w:eastAsia="Times New Roman" w:hAnsi="Calibri" w:cs="Calibri"/>
          <w:lang w:eastAsia="en-GB"/>
        </w:rPr>
        <w:lastRenderedPageBreak/>
        <w:t>independent a regulator should be turns on the outcomes the government aims to achieve and the circumstances of the regulated market. As the OECD puts it: “Independence is a tool towards more effective outcomes – and not an end in itself”.</w:t>
      </w:r>
      <w:r w:rsidR="008272E9" w:rsidRPr="007D116C">
        <w:rPr>
          <w:rStyle w:val="FootnoteReference"/>
          <w:rFonts w:ascii="Calibri" w:eastAsia="Times New Roman" w:hAnsi="Calibri" w:cs="Calibri"/>
          <w:lang w:eastAsia="en-GB"/>
        </w:rPr>
        <w:footnoteReference w:id="38"/>
      </w:r>
      <w:r w:rsidRPr="007D116C">
        <w:rPr>
          <w:rFonts w:ascii="Calibri" w:eastAsia="Times New Roman" w:hAnsi="Calibri" w:cs="Calibri"/>
          <w:lang w:eastAsia="en-GB"/>
        </w:rPr>
        <w:t xml:space="preserve"> Independence is most expedient where there is demand for impartial decision-making, a need for competitive neutrality between government and non-government entities, and where regulation is potentially high impact for regulated entities. An independent regulator may also contribute to stability within the regulated sector by making regulatory decision-making more consistent. In addition, there are other market failure arguments for regulatory independence, including expert governance reducing the information asymmetry between government and regulated entities (which are generally best placed to know the market)</w:t>
      </w:r>
      <w:r w:rsidR="4F57C589" w:rsidRPr="007D116C">
        <w:rPr>
          <w:rFonts w:ascii="Calibri" w:eastAsia="Times New Roman" w:hAnsi="Calibri" w:cs="Calibri"/>
          <w:lang w:eastAsia="en-GB"/>
        </w:rPr>
        <w:t>.</w:t>
      </w:r>
      <w:r w:rsidR="00875F66" w:rsidRPr="007D116C">
        <w:rPr>
          <w:rStyle w:val="FootnoteReference"/>
        </w:rPr>
        <w:footnoteReference w:id="39"/>
      </w:r>
      <w:r w:rsidRPr="007D116C">
        <w:rPr>
          <w:rFonts w:ascii="Calibri" w:eastAsia="Times New Roman" w:hAnsi="Calibri" w:cs="Calibri"/>
          <w:lang w:eastAsia="en-GB"/>
        </w:rPr>
        <w:t> </w:t>
      </w:r>
    </w:p>
    <w:p w14:paraId="6E5712B0" w14:textId="64EB2A31" w:rsidR="000D6E5E" w:rsidRPr="007D116C" w:rsidRDefault="3C1D34F9" w:rsidP="3B034824">
      <w:pPr>
        <w:pStyle w:val="ListParagraph"/>
        <w:numPr>
          <w:ilvl w:val="0"/>
          <w:numId w:val="2"/>
        </w:numPr>
        <w:ind w:left="0" w:hanging="425"/>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Accountability is linked in practice with transparency: the OECD supports measures, already practised in many Australian jurisdictions, like </w:t>
      </w:r>
      <w:r w:rsidR="216ECB54" w:rsidRPr="007D116C">
        <w:rPr>
          <w:rFonts w:ascii="Calibri" w:eastAsia="Times New Roman" w:hAnsi="Calibri" w:cs="Calibri"/>
          <w:lang w:eastAsia="en-GB"/>
        </w:rPr>
        <w:t>Minister</w:t>
      </w:r>
      <w:r w:rsidRPr="007D116C">
        <w:rPr>
          <w:rFonts w:ascii="Calibri" w:eastAsia="Times New Roman" w:hAnsi="Calibri" w:cs="Calibri"/>
          <w:lang w:eastAsia="en-GB"/>
        </w:rPr>
        <w:t>ial Statements of Expectation, the publication of annual reports and other reports to the executive and legislature, and the development of performance indicators</w:t>
      </w:r>
      <w:r w:rsidR="72E8A0C9" w:rsidRPr="007D116C">
        <w:rPr>
          <w:rFonts w:ascii="Calibri" w:eastAsia="Times New Roman" w:hAnsi="Calibri" w:cs="Calibri"/>
          <w:lang w:eastAsia="en-GB"/>
        </w:rPr>
        <w:t>.</w:t>
      </w:r>
      <w:r w:rsidR="00D27DBD" w:rsidRPr="007D116C">
        <w:rPr>
          <w:rStyle w:val="FootnoteReference"/>
        </w:rPr>
        <w:footnoteReference w:id="40"/>
      </w:r>
      <w:r w:rsidRPr="007D116C">
        <w:rPr>
          <w:rFonts w:ascii="Calibri" w:eastAsia="Times New Roman" w:hAnsi="Calibri" w:cs="Calibri"/>
          <w:lang w:eastAsia="en-GB"/>
        </w:rPr>
        <w:t xml:space="preserve"> Also important in this respect is stakeholder engagement and public consultation</w:t>
      </w:r>
      <w:r w:rsidR="29A6007B" w:rsidRPr="007D116C">
        <w:rPr>
          <w:rFonts w:ascii="Calibri" w:eastAsia="Times New Roman" w:hAnsi="Calibri" w:cs="Calibri"/>
          <w:lang w:eastAsia="en-GB"/>
        </w:rPr>
        <w:t>.</w:t>
      </w:r>
      <w:r w:rsidRPr="007D116C">
        <w:rPr>
          <w:rFonts w:ascii="Calibri" w:eastAsia="Times New Roman" w:hAnsi="Calibri" w:cs="Calibri"/>
          <w:lang w:eastAsia="en-GB"/>
        </w:rPr>
        <w:t xml:space="preserve"> </w:t>
      </w:r>
      <w:r w:rsidR="29A6007B" w:rsidRPr="007D116C">
        <w:rPr>
          <w:rFonts w:ascii="Calibri" w:eastAsia="Times New Roman" w:hAnsi="Calibri" w:cs="Calibri"/>
          <w:lang w:eastAsia="en-GB"/>
        </w:rPr>
        <w:t>W</w:t>
      </w:r>
      <w:r w:rsidRPr="007D116C">
        <w:rPr>
          <w:rFonts w:ascii="Calibri" w:eastAsia="Times New Roman" w:hAnsi="Calibri" w:cs="Calibri"/>
          <w:lang w:eastAsia="en-GB"/>
        </w:rPr>
        <w:t>hile there is a risk of industry capture of these processes, they are also opportunities for gathering evidence and making public executive government’s regulatory strategy</w:t>
      </w:r>
      <w:r w:rsidR="706F6B8C" w:rsidRPr="007D116C">
        <w:rPr>
          <w:rFonts w:ascii="Calibri" w:eastAsia="Times New Roman" w:hAnsi="Calibri" w:cs="Calibri"/>
          <w:lang w:eastAsia="en-GB"/>
        </w:rPr>
        <w:t>.</w:t>
      </w:r>
      <w:r w:rsidR="008F2797" w:rsidRPr="007D116C">
        <w:rPr>
          <w:rStyle w:val="FootnoteReference"/>
        </w:rPr>
        <w:footnoteReference w:id="41"/>
      </w:r>
      <w:r w:rsidRPr="007D116C">
        <w:rPr>
          <w:rFonts w:ascii="Calibri" w:eastAsia="Times New Roman" w:hAnsi="Calibri" w:cs="Calibri"/>
          <w:lang w:eastAsia="en-GB"/>
        </w:rPr>
        <w:t xml:space="preserve"> An OECD literature review shows that there is broad agreement on the “determinants of independence” – that is, those features of regulator governance that are associated with independence, including accountability measures. Common features include budget independence, whether the head of the regulator can be dismissed, appointment by parliament of head or members of the regulator, reporting to executive government or representatives from the regulated sector, executive price-setting power, and power to review or approve contract terms between regulated entities.</w:t>
      </w:r>
      <w:r w:rsidR="004675A6" w:rsidRPr="007D116C">
        <w:rPr>
          <w:rStyle w:val="FootnoteReference"/>
        </w:rPr>
        <w:footnoteReference w:id="42"/>
      </w:r>
      <w:r w:rsidRPr="007D116C">
        <w:rPr>
          <w:rFonts w:ascii="Calibri" w:eastAsia="Times New Roman" w:hAnsi="Calibri" w:cs="Calibri"/>
          <w:lang w:eastAsia="en-GB"/>
        </w:rPr>
        <w:t xml:space="preserve"> More generally, the OECD recommends that </w:t>
      </w:r>
      <w:r w:rsidRPr="007D116C">
        <w:rPr>
          <w:rFonts w:ascii="Calibri" w:eastAsia="Times New Roman" w:hAnsi="Calibri" w:cs="Calibri"/>
          <w:lang w:eastAsia="en-GB"/>
        </w:rPr>
        <w:lastRenderedPageBreak/>
        <w:t xml:space="preserve">regulators cultivate a “culture of independence” that includes, consistent with the principles identified above, </w:t>
      </w:r>
      <w:r w:rsidRPr="007D116C">
        <w:rPr>
          <w:rFonts w:ascii="Calibri" w:eastAsia="Times New Roman" w:hAnsi="Calibri" w:cs="Calibri"/>
          <w:b/>
          <w:bCs/>
          <w:lang w:eastAsia="en-GB"/>
        </w:rPr>
        <w:t>role clarity</w:t>
      </w:r>
      <w:r w:rsidRPr="007D116C">
        <w:rPr>
          <w:rFonts w:ascii="Calibri" w:eastAsia="Times New Roman" w:hAnsi="Calibri" w:cs="Calibri"/>
          <w:lang w:eastAsia="en-GB"/>
        </w:rPr>
        <w:t xml:space="preserve"> and </w:t>
      </w:r>
      <w:r w:rsidRPr="007D116C">
        <w:rPr>
          <w:rFonts w:ascii="Calibri" w:eastAsia="Times New Roman" w:hAnsi="Calibri" w:cs="Calibri"/>
          <w:b/>
          <w:bCs/>
          <w:lang w:eastAsia="en-GB"/>
        </w:rPr>
        <w:t xml:space="preserve">transparency </w:t>
      </w:r>
      <w:r w:rsidRPr="007D116C">
        <w:rPr>
          <w:rFonts w:ascii="Calibri" w:eastAsia="Times New Roman" w:hAnsi="Calibri" w:cs="Calibri"/>
          <w:lang w:eastAsia="en-GB"/>
        </w:rPr>
        <w:t xml:space="preserve">and </w:t>
      </w:r>
      <w:r w:rsidRPr="007D116C">
        <w:rPr>
          <w:rFonts w:ascii="Calibri" w:eastAsia="Times New Roman" w:hAnsi="Calibri" w:cs="Calibri"/>
          <w:b/>
          <w:bCs/>
          <w:lang w:eastAsia="en-GB"/>
        </w:rPr>
        <w:t>accountability</w:t>
      </w:r>
      <w:r w:rsidRPr="007D116C">
        <w:rPr>
          <w:rFonts w:ascii="Calibri" w:eastAsia="Times New Roman" w:hAnsi="Calibri" w:cs="Calibri"/>
          <w:lang w:eastAsia="en-GB"/>
        </w:rPr>
        <w:t>, along with financial independence, independence of leadership, and staff behaviour (meaning, among other things, giving staff a measure of independence in their work)</w:t>
      </w:r>
      <w:r w:rsidR="626344C6" w:rsidRPr="007D116C">
        <w:rPr>
          <w:rFonts w:ascii="Calibri" w:eastAsia="Times New Roman" w:hAnsi="Calibri" w:cs="Calibri"/>
          <w:lang w:eastAsia="en-GB"/>
        </w:rPr>
        <w:t>.</w:t>
      </w:r>
      <w:r w:rsidR="003E357B" w:rsidRPr="007D116C">
        <w:rPr>
          <w:rStyle w:val="FootnoteReference"/>
        </w:rPr>
        <w:footnoteReference w:id="43"/>
      </w:r>
      <w:r w:rsidRPr="007D116C">
        <w:rPr>
          <w:rFonts w:ascii="Calibri" w:eastAsia="Times New Roman" w:hAnsi="Calibri" w:cs="Calibri"/>
          <w:lang w:eastAsia="en-GB"/>
        </w:rPr>
        <w:t> </w:t>
      </w:r>
    </w:p>
    <w:p w14:paraId="62846AD7" w14:textId="678F57AF" w:rsidR="000B32BB" w:rsidRPr="007D116C" w:rsidRDefault="371A841C" w:rsidP="000B32BB">
      <w:pPr>
        <w:pStyle w:val="ListParagraph"/>
        <w:numPr>
          <w:ilvl w:val="0"/>
          <w:numId w:val="2"/>
        </w:numPr>
        <w:ind w:left="0" w:hanging="425"/>
        <w:textAlignment w:val="baseline"/>
        <w:rPr>
          <w:rFonts w:eastAsia="Times New Roman"/>
          <w:lang w:eastAsia="en-GB"/>
        </w:rPr>
      </w:pPr>
      <w:r w:rsidRPr="007D116C">
        <w:rPr>
          <w:rFonts w:eastAsia="Times New Roman"/>
          <w:lang w:eastAsia="en-GB"/>
        </w:rPr>
        <w:t>In the Australian context</w:t>
      </w:r>
      <w:r w:rsidR="04B3D02B" w:rsidRPr="007D116C">
        <w:rPr>
          <w:rFonts w:eastAsia="Times New Roman"/>
          <w:lang w:eastAsia="en-GB"/>
        </w:rPr>
        <w:t xml:space="preserve">, it sometimes emphasised that </w:t>
      </w:r>
      <w:r w:rsidR="49951850" w:rsidRPr="007D116C">
        <w:rPr>
          <w:rFonts w:eastAsia="Times New Roman"/>
          <w:lang w:eastAsia="en-GB"/>
        </w:rPr>
        <w:t>the independence of regulator</w:t>
      </w:r>
      <w:r w:rsidR="7F2E5067" w:rsidRPr="007D116C">
        <w:rPr>
          <w:rFonts w:eastAsia="Times New Roman"/>
          <w:lang w:eastAsia="en-GB"/>
        </w:rPr>
        <w:t xml:space="preserve">s is as much a product of </w:t>
      </w:r>
      <w:r w:rsidR="4AA1E167" w:rsidRPr="007D116C">
        <w:rPr>
          <w:rFonts w:eastAsia="Times New Roman"/>
          <w:lang w:eastAsia="en-GB"/>
        </w:rPr>
        <w:t>certain practices and behaviours within agencies as it is a product of the</w:t>
      </w:r>
      <w:r w:rsidR="167C6BE3" w:rsidRPr="007D116C">
        <w:rPr>
          <w:rFonts w:eastAsia="Times New Roman"/>
          <w:lang w:eastAsia="en-GB"/>
        </w:rPr>
        <w:t xml:space="preserve"> kind of formal or structural institutional features recommended by the OECD. </w:t>
      </w:r>
      <w:r w:rsidR="1F9B3FB5" w:rsidRPr="007D116C">
        <w:rPr>
          <w:rFonts w:eastAsia="Times New Roman"/>
          <w:lang w:eastAsia="en-GB"/>
        </w:rPr>
        <w:t>As Carolyn Jackson puts it, “</w:t>
      </w:r>
      <w:r w:rsidR="26FBCB5F" w:rsidRPr="007D116C">
        <w:rPr>
          <w:rFonts w:eastAsia="Times New Roman"/>
          <w:lang w:eastAsia="en-GB"/>
        </w:rPr>
        <w:t>Fundamentally, independence is about how the institutional environment and the agency interact</w:t>
      </w:r>
      <w:r w:rsidR="2F66FA48" w:rsidRPr="007D116C">
        <w:rPr>
          <w:rFonts w:eastAsia="Times New Roman"/>
          <w:lang w:eastAsia="en-GB"/>
        </w:rPr>
        <w:t>”.</w:t>
      </w:r>
      <w:r w:rsidR="00D14361" w:rsidRPr="007D116C">
        <w:rPr>
          <w:rStyle w:val="FootnoteReference"/>
          <w:rFonts w:eastAsia="Times New Roman" w:cstheme="minorHAnsi"/>
          <w:lang w:eastAsia="en-GB"/>
        </w:rPr>
        <w:footnoteReference w:id="44"/>
      </w:r>
      <w:r w:rsidR="072C8A56" w:rsidRPr="007D116C">
        <w:rPr>
          <w:rFonts w:eastAsia="Times New Roman"/>
          <w:lang w:eastAsia="en-GB"/>
        </w:rPr>
        <w:t xml:space="preserve"> That is, the </w:t>
      </w:r>
      <w:r w:rsidR="443C004C" w:rsidRPr="007D116C">
        <w:rPr>
          <w:rFonts w:eastAsia="Times New Roman"/>
          <w:lang w:eastAsia="en-GB"/>
        </w:rPr>
        <w:t>actions of regulators influence both their level of and the perception of their functional independence</w:t>
      </w:r>
      <w:r w:rsidR="327666DD" w:rsidRPr="007D116C">
        <w:rPr>
          <w:rFonts w:eastAsia="Times New Roman"/>
          <w:lang w:eastAsia="en-GB"/>
        </w:rPr>
        <w:t>:</w:t>
      </w:r>
      <w:r w:rsidR="3F4B62DC" w:rsidRPr="007D116C">
        <w:rPr>
          <w:rFonts w:eastAsia="Times New Roman"/>
          <w:lang w:eastAsia="en-GB"/>
        </w:rPr>
        <w:t xml:space="preserve"> </w:t>
      </w:r>
      <w:r w:rsidR="67F30BF0" w:rsidRPr="007D116C">
        <w:rPr>
          <w:rFonts w:eastAsia="Times New Roman"/>
          <w:lang w:eastAsia="en-GB"/>
        </w:rPr>
        <w:t>how regulators exercise their discretion</w:t>
      </w:r>
      <w:r w:rsidR="3C97265C" w:rsidRPr="007D116C">
        <w:rPr>
          <w:rFonts w:eastAsia="Times New Roman"/>
          <w:lang w:eastAsia="en-GB"/>
        </w:rPr>
        <w:t xml:space="preserve">, </w:t>
      </w:r>
      <w:r w:rsidR="7A9786C6" w:rsidRPr="007D116C">
        <w:rPr>
          <w:rFonts w:eastAsia="Times New Roman"/>
          <w:lang w:eastAsia="en-GB"/>
        </w:rPr>
        <w:t xml:space="preserve">participate in the policymaking process, </w:t>
      </w:r>
      <w:r w:rsidR="6DE0A02C" w:rsidRPr="007D116C">
        <w:rPr>
          <w:rFonts w:eastAsia="Times New Roman"/>
          <w:lang w:eastAsia="en-GB"/>
        </w:rPr>
        <w:t>and engage with regulated entities</w:t>
      </w:r>
      <w:r w:rsidR="1126CF22" w:rsidRPr="007D116C">
        <w:rPr>
          <w:rFonts w:eastAsia="Times New Roman"/>
          <w:lang w:eastAsia="en-GB"/>
        </w:rPr>
        <w:t xml:space="preserve">, among other actions they might take, </w:t>
      </w:r>
      <w:r w:rsidR="327666DD" w:rsidRPr="007D116C">
        <w:rPr>
          <w:rFonts w:eastAsia="Times New Roman"/>
          <w:lang w:eastAsia="en-GB"/>
        </w:rPr>
        <w:t xml:space="preserve">affects how they are treated by government and </w:t>
      </w:r>
      <w:r w:rsidR="14C8E02F" w:rsidRPr="007D116C">
        <w:rPr>
          <w:rFonts w:eastAsia="Times New Roman"/>
          <w:lang w:eastAsia="en-GB"/>
        </w:rPr>
        <w:t xml:space="preserve">whether stakeholders treat them as </w:t>
      </w:r>
      <w:r w:rsidR="2A694F74" w:rsidRPr="007D116C">
        <w:rPr>
          <w:rFonts w:eastAsia="Times New Roman"/>
          <w:lang w:eastAsia="en-GB"/>
        </w:rPr>
        <w:t>apolitical</w:t>
      </w:r>
      <w:r w:rsidR="35179A75" w:rsidRPr="007D116C">
        <w:rPr>
          <w:rFonts w:eastAsia="Times New Roman"/>
          <w:lang w:eastAsia="en-GB"/>
        </w:rPr>
        <w:t xml:space="preserve"> and impartial</w:t>
      </w:r>
      <w:r w:rsidR="2A694F74" w:rsidRPr="007D116C">
        <w:rPr>
          <w:rFonts w:eastAsia="Times New Roman"/>
          <w:lang w:eastAsia="en-GB"/>
        </w:rPr>
        <w:t xml:space="preserve"> actors or </w:t>
      </w:r>
      <w:r w:rsidR="2188592E" w:rsidRPr="007D116C">
        <w:rPr>
          <w:rFonts w:eastAsia="Times New Roman"/>
          <w:lang w:eastAsia="en-GB"/>
        </w:rPr>
        <w:t xml:space="preserve">as in some sense </w:t>
      </w:r>
      <w:r w:rsidR="45EF3B58" w:rsidRPr="007D116C">
        <w:rPr>
          <w:rFonts w:eastAsia="Times New Roman"/>
          <w:lang w:eastAsia="en-GB"/>
        </w:rPr>
        <w:t>impl</w:t>
      </w:r>
      <w:r w:rsidR="5101A20F" w:rsidRPr="007D116C">
        <w:rPr>
          <w:rFonts w:eastAsia="Times New Roman"/>
          <w:lang w:eastAsia="en-GB"/>
        </w:rPr>
        <w:t>icated in matters not strictly within the purview of their mandates.</w:t>
      </w:r>
      <w:r w:rsidR="1126CF22" w:rsidRPr="007D116C">
        <w:rPr>
          <w:rFonts w:eastAsia="Times New Roman"/>
          <w:lang w:eastAsia="en-GB"/>
        </w:rPr>
        <w:t xml:space="preserve"> </w:t>
      </w:r>
      <w:r w:rsidR="3F4B62DC" w:rsidRPr="007D116C">
        <w:rPr>
          <w:rFonts w:eastAsia="Times New Roman"/>
          <w:lang w:eastAsia="en-GB"/>
        </w:rPr>
        <w:t xml:space="preserve">Clearly, </w:t>
      </w:r>
      <w:r w:rsidR="79C5C07D" w:rsidRPr="007D116C">
        <w:rPr>
          <w:rFonts w:eastAsia="Times New Roman"/>
          <w:lang w:eastAsia="en-GB"/>
        </w:rPr>
        <w:t xml:space="preserve">a </w:t>
      </w:r>
      <w:r w:rsidR="5CAAF822" w:rsidRPr="007D116C">
        <w:rPr>
          <w:rFonts w:eastAsia="Times New Roman"/>
          <w:lang w:eastAsia="en-GB"/>
        </w:rPr>
        <w:t>regulator</w:t>
      </w:r>
      <w:r w:rsidR="79C5C07D" w:rsidRPr="007D116C">
        <w:rPr>
          <w:rFonts w:eastAsia="Times New Roman"/>
          <w:lang w:eastAsia="en-GB"/>
        </w:rPr>
        <w:t>’</w:t>
      </w:r>
      <w:r w:rsidR="5CAAF822" w:rsidRPr="007D116C">
        <w:rPr>
          <w:rFonts w:eastAsia="Times New Roman"/>
          <w:lang w:eastAsia="en-GB"/>
        </w:rPr>
        <w:t xml:space="preserve">s </w:t>
      </w:r>
      <w:r w:rsidR="1916E289" w:rsidRPr="007D116C">
        <w:rPr>
          <w:rFonts w:eastAsia="Times New Roman"/>
          <w:lang w:eastAsia="en-GB"/>
        </w:rPr>
        <w:t xml:space="preserve">functional independence will </w:t>
      </w:r>
      <w:r w:rsidR="5CAAF822" w:rsidRPr="007D116C">
        <w:rPr>
          <w:rFonts w:eastAsia="Times New Roman"/>
          <w:lang w:eastAsia="en-GB"/>
        </w:rPr>
        <w:t xml:space="preserve">depend, at least in part, on the capabilities and values of </w:t>
      </w:r>
      <w:r w:rsidR="79C5C07D" w:rsidRPr="007D116C">
        <w:rPr>
          <w:rFonts w:eastAsia="Times New Roman"/>
          <w:lang w:eastAsia="en-GB"/>
        </w:rPr>
        <w:t>decisionmakers within the agenc</w:t>
      </w:r>
      <w:r w:rsidR="47D9B6B9" w:rsidRPr="007D116C">
        <w:rPr>
          <w:rFonts w:eastAsia="Times New Roman"/>
          <w:lang w:eastAsia="en-GB"/>
        </w:rPr>
        <w:t>y.</w:t>
      </w:r>
      <w:r w:rsidR="79E37814" w:rsidRPr="007D116C">
        <w:rPr>
          <w:rFonts w:eastAsia="Times New Roman"/>
          <w:lang w:eastAsia="en-GB"/>
        </w:rPr>
        <w:t xml:space="preserve"> </w:t>
      </w:r>
      <w:r w:rsidR="2B7BF201" w:rsidRPr="007D116C">
        <w:rPr>
          <w:rFonts w:eastAsia="Times New Roman"/>
          <w:lang w:eastAsia="en-GB"/>
        </w:rPr>
        <w:t xml:space="preserve">As noted in Part D, below, this is especially relevant to risk-based regulatory approaches that </w:t>
      </w:r>
      <w:r w:rsidR="5463F199" w:rsidRPr="007D116C">
        <w:rPr>
          <w:rFonts w:eastAsia="Times New Roman"/>
          <w:lang w:eastAsia="en-GB"/>
        </w:rPr>
        <w:t xml:space="preserve">rely on regulators exercising </w:t>
      </w:r>
      <w:r w:rsidR="1AD80D0E" w:rsidRPr="007D116C">
        <w:rPr>
          <w:rFonts w:eastAsia="Times New Roman"/>
          <w:lang w:eastAsia="en-GB"/>
        </w:rPr>
        <w:t>wide-ranging discretion.</w:t>
      </w:r>
      <w:r w:rsidR="47D9B6B9" w:rsidRPr="007D116C">
        <w:rPr>
          <w:rFonts w:eastAsia="Times New Roman"/>
          <w:lang w:eastAsia="en-GB"/>
        </w:rPr>
        <w:t xml:space="preserve"> Consequently, </w:t>
      </w:r>
      <w:r w:rsidR="1AD80D0E" w:rsidRPr="007D116C">
        <w:rPr>
          <w:rFonts w:eastAsia="Times New Roman"/>
          <w:lang w:eastAsia="en-GB"/>
        </w:rPr>
        <w:t xml:space="preserve">Part E </w:t>
      </w:r>
      <w:r w:rsidR="0163A06E" w:rsidRPr="007D116C">
        <w:rPr>
          <w:rFonts w:eastAsia="Times New Roman"/>
          <w:lang w:eastAsia="en-GB"/>
        </w:rPr>
        <w:t>explains t</w:t>
      </w:r>
      <w:r w:rsidR="1AD80D0E" w:rsidRPr="007D116C">
        <w:rPr>
          <w:rFonts w:eastAsia="Times New Roman"/>
          <w:lang w:eastAsia="en-GB"/>
        </w:rPr>
        <w:t>he capability needs and values of regulators</w:t>
      </w:r>
      <w:r w:rsidR="0163A06E" w:rsidRPr="007D116C">
        <w:rPr>
          <w:rFonts w:eastAsia="Times New Roman"/>
          <w:lang w:eastAsia="en-GB"/>
        </w:rPr>
        <w:t>.</w:t>
      </w:r>
      <w:r w:rsidR="7C01D1CC" w:rsidRPr="007D116C">
        <w:rPr>
          <w:rFonts w:eastAsia="Times New Roman"/>
          <w:lang w:eastAsia="en-GB"/>
        </w:rPr>
        <w:t xml:space="preserve"> </w:t>
      </w:r>
    </w:p>
    <w:p w14:paraId="5BD9F291" w14:textId="26502DA6" w:rsidR="00FF1B40" w:rsidRPr="007D116C" w:rsidRDefault="6D4215AE" w:rsidP="000B32BB">
      <w:pPr>
        <w:pStyle w:val="ListParagraph"/>
        <w:numPr>
          <w:ilvl w:val="0"/>
          <w:numId w:val="2"/>
        </w:numPr>
        <w:ind w:left="0" w:hanging="425"/>
        <w:textAlignment w:val="baseline"/>
        <w:rPr>
          <w:rFonts w:eastAsia="Times New Roman"/>
          <w:lang w:eastAsia="en-GB"/>
        </w:rPr>
      </w:pPr>
      <w:r w:rsidRPr="502F8547">
        <w:rPr>
          <w:rFonts w:ascii="Calibri" w:eastAsia="Times New Roman" w:hAnsi="Calibri" w:cs="Calibri"/>
          <w:lang w:eastAsia="en-GB"/>
        </w:rPr>
        <w:t>The QBCC is established as an independent regulator. While the word ‘independent’ is not used in this context in the QBCC Act, the QBCC interprets independence to be part of its mandate, and the establishment of governance features like the QBC Board suggests this is consistent with government’s intent. However, based on the OECD’s research and recommendations, there are certain notable structural features of the QBCC related to its independence (without entering any judgement about its independence</w:t>
      </w:r>
      <w:r w:rsidR="10B65806" w:rsidRPr="502F8547">
        <w:rPr>
          <w:rFonts w:ascii="Calibri" w:eastAsia="Times New Roman" w:hAnsi="Calibri" w:cs="Calibri"/>
          <w:lang w:eastAsia="en-GB"/>
        </w:rPr>
        <w:t>).</w:t>
      </w:r>
      <w:r w:rsidRPr="502F8547">
        <w:rPr>
          <w:rFonts w:ascii="Calibri" w:eastAsia="Times New Roman" w:hAnsi="Calibri" w:cs="Calibri"/>
          <w:lang w:eastAsia="en-GB"/>
        </w:rPr>
        <w:t xml:space="preserve"> </w:t>
      </w:r>
      <w:r w:rsidR="345E8B21" w:rsidRPr="502F8547">
        <w:rPr>
          <w:rFonts w:ascii="Calibri" w:eastAsia="Times New Roman" w:hAnsi="Calibri" w:cs="Calibri"/>
          <w:lang w:eastAsia="en-GB"/>
        </w:rPr>
        <w:t>For example, t</w:t>
      </w:r>
      <w:r w:rsidR="21F97503" w:rsidRPr="502F8547">
        <w:rPr>
          <w:rFonts w:ascii="Calibri" w:eastAsia="Times New Roman" w:hAnsi="Calibri" w:cs="Calibri"/>
          <w:lang w:eastAsia="en-GB"/>
        </w:rPr>
        <w:t xml:space="preserve">he </w:t>
      </w:r>
      <w:r w:rsidR="5965F5A9" w:rsidRPr="502F8547">
        <w:rPr>
          <w:rFonts w:ascii="Calibri" w:eastAsia="Times New Roman" w:hAnsi="Calibri" w:cs="Calibri"/>
          <w:lang w:eastAsia="en-GB"/>
        </w:rPr>
        <w:t>Minister</w:t>
      </w:r>
      <w:r w:rsidR="21F97503" w:rsidRPr="502F8547">
        <w:rPr>
          <w:rFonts w:ascii="Calibri" w:eastAsia="Times New Roman" w:hAnsi="Calibri" w:cs="Calibri"/>
          <w:lang w:eastAsia="en-GB"/>
        </w:rPr>
        <w:t xml:space="preserve"> can make a directive to </w:t>
      </w:r>
      <w:r w:rsidRPr="502F8547">
        <w:rPr>
          <w:rFonts w:ascii="Calibri" w:eastAsia="Times New Roman" w:hAnsi="Calibri" w:cs="Calibri"/>
          <w:lang w:eastAsia="en-GB"/>
        </w:rPr>
        <w:t xml:space="preserve">the Board (s </w:t>
      </w:r>
      <w:r w:rsidRPr="502F8547">
        <w:rPr>
          <w:rFonts w:ascii="Calibri" w:eastAsia="Times New Roman" w:hAnsi="Calibri" w:cs="Calibri"/>
          <w:lang w:eastAsia="en-GB"/>
        </w:rPr>
        <w:lastRenderedPageBreak/>
        <w:t xml:space="preserve">20G(3) of the QBCC Act), </w:t>
      </w:r>
      <w:r w:rsidR="6AE3812C" w:rsidRPr="502F8547">
        <w:rPr>
          <w:rFonts w:ascii="Calibri" w:eastAsia="Times New Roman" w:hAnsi="Calibri" w:cs="Calibri"/>
          <w:lang w:eastAsia="en-GB"/>
        </w:rPr>
        <w:t xml:space="preserve">but </w:t>
      </w:r>
      <w:r w:rsidR="10885D15" w:rsidRPr="502F8547">
        <w:rPr>
          <w:rFonts w:ascii="Calibri" w:eastAsia="Times New Roman" w:hAnsi="Calibri" w:cs="Calibri"/>
          <w:lang w:eastAsia="en-GB"/>
        </w:rPr>
        <w:t>any such direction</w:t>
      </w:r>
      <w:r w:rsidR="6AE3812C" w:rsidRPr="502F8547">
        <w:rPr>
          <w:rFonts w:ascii="Calibri" w:eastAsia="Times New Roman" w:hAnsi="Calibri" w:cs="Calibri"/>
          <w:lang w:eastAsia="en-GB"/>
        </w:rPr>
        <w:t xml:space="preserve"> is</w:t>
      </w:r>
      <w:r w:rsidR="10885D15" w:rsidRPr="502F8547">
        <w:rPr>
          <w:rFonts w:ascii="Calibri" w:eastAsia="Times New Roman" w:hAnsi="Calibri" w:cs="Calibri"/>
          <w:lang w:eastAsia="en-GB"/>
        </w:rPr>
        <w:t xml:space="preserve"> then </w:t>
      </w:r>
      <w:r w:rsidR="5189EDF2" w:rsidRPr="502F8547">
        <w:rPr>
          <w:rFonts w:ascii="Calibri" w:eastAsia="Times New Roman" w:hAnsi="Calibri" w:cs="Calibri"/>
          <w:lang w:eastAsia="en-GB"/>
        </w:rPr>
        <w:t xml:space="preserve">subject to </w:t>
      </w:r>
      <w:r w:rsidR="6E91294D" w:rsidRPr="502F8547">
        <w:rPr>
          <w:rFonts w:ascii="Calibri" w:eastAsia="Times New Roman" w:hAnsi="Calibri" w:cs="Calibri"/>
          <w:lang w:eastAsia="en-GB"/>
        </w:rPr>
        <w:t xml:space="preserve">tabling in </w:t>
      </w:r>
      <w:r w:rsidR="5189EDF2" w:rsidRPr="502F8547">
        <w:rPr>
          <w:rFonts w:ascii="Calibri" w:eastAsia="Times New Roman" w:hAnsi="Calibri" w:cs="Calibri"/>
          <w:lang w:eastAsia="en-GB"/>
        </w:rPr>
        <w:t>Parliament</w:t>
      </w:r>
      <w:r w:rsidR="6E91294D" w:rsidRPr="502F8547">
        <w:rPr>
          <w:rFonts w:ascii="Calibri" w:eastAsia="Times New Roman" w:hAnsi="Calibri" w:cs="Calibri"/>
          <w:lang w:eastAsia="en-GB"/>
        </w:rPr>
        <w:t xml:space="preserve"> </w:t>
      </w:r>
      <w:r w:rsidR="23292532" w:rsidRPr="502F8547">
        <w:rPr>
          <w:rFonts w:ascii="Calibri" w:eastAsia="Times New Roman" w:hAnsi="Calibri" w:cs="Calibri"/>
          <w:lang w:eastAsia="en-GB"/>
        </w:rPr>
        <w:t>(per s 9).</w:t>
      </w:r>
      <w:r w:rsidRPr="502F8547">
        <w:rPr>
          <w:rFonts w:ascii="Calibri" w:eastAsia="Times New Roman" w:hAnsi="Calibri" w:cs="Calibri"/>
          <w:lang w:eastAsia="en-GB"/>
        </w:rPr>
        <w:t xml:space="preserve"> </w:t>
      </w:r>
      <w:r w:rsidR="751E2536" w:rsidRPr="502F8547">
        <w:rPr>
          <w:rFonts w:ascii="Calibri" w:eastAsia="Times New Roman" w:hAnsi="Calibri" w:cs="Calibri"/>
          <w:lang w:eastAsia="en-GB"/>
        </w:rPr>
        <w:t>T</w:t>
      </w:r>
      <w:r w:rsidRPr="502F8547">
        <w:rPr>
          <w:rFonts w:ascii="Calibri" w:eastAsia="Times New Roman" w:hAnsi="Calibri" w:cs="Calibri"/>
          <w:lang w:eastAsia="en-GB"/>
        </w:rPr>
        <w:t>he OECD also recommends that board members’ terms should be at least 5 years and staggered to cut across electoral cycles – but the term for QBC Board members is “no more than 3 years” (s 15), and this is shorter than the four-year electoral cycle of the state, meaning that an appointee’s term might be served entirely within a parliamentary term.</w:t>
      </w:r>
    </w:p>
    <w:p w14:paraId="56BDB509" w14:textId="5051F79D" w:rsidR="000A4787" w:rsidRPr="007D116C" w:rsidRDefault="6176A442" w:rsidP="00180BC0">
      <w:pPr>
        <w:pStyle w:val="ListParagraph"/>
        <w:numPr>
          <w:ilvl w:val="0"/>
          <w:numId w:val="2"/>
        </w:numPr>
        <w:ind w:left="0" w:hanging="425"/>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A related consideration, because it goes to perceptions of the functional independence of the agency, is transparency. </w:t>
      </w:r>
      <w:r w:rsidR="56D8E9DF" w:rsidRPr="007D116C">
        <w:rPr>
          <w:rFonts w:ascii="Calibri" w:eastAsia="Times New Roman" w:hAnsi="Calibri" w:cs="Calibri"/>
          <w:lang w:eastAsia="en-GB"/>
        </w:rPr>
        <w:t>For example, t</w:t>
      </w:r>
      <w:r w:rsidR="533FD423" w:rsidRPr="007D116C">
        <w:rPr>
          <w:rFonts w:ascii="Calibri" w:eastAsia="Times New Roman" w:hAnsi="Calibri" w:cs="Calibri"/>
          <w:lang w:eastAsia="en-GB"/>
        </w:rPr>
        <w:t>he appointment process for the QBC Board, while governed by broad whole-of-government guidelines, follows procedure laid out in the Act</w:t>
      </w:r>
      <w:r w:rsidR="56D8E9DF" w:rsidRPr="007D116C">
        <w:rPr>
          <w:rFonts w:ascii="Calibri" w:eastAsia="Times New Roman" w:hAnsi="Calibri" w:cs="Calibri"/>
          <w:lang w:eastAsia="en-GB"/>
        </w:rPr>
        <w:t>;</w:t>
      </w:r>
      <w:r w:rsidR="533FD423" w:rsidRPr="007D116C">
        <w:rPr>
          <w:rFonts w:ascii="Calibri" w:eastAsia="Times New Roman" w:hAnsi="Calibri" w:cs="Calibri"/>
          <w:lang w:eastAsia="en-GB"/>
        </w:rPr>
        <w:t xml:space="preserve"> </w:t>
      </w:r>
      <w:r w:rsidR="56D8E9DF" w:rsidRPr="007D116C">
        <w:rPr>
          <w:rFonts w:ascii="Calibri" w:eastAsia="Times New Roman" w:hAnsi="Calibri" w:cs="Calibri"/>
          <w:lang w:eastAsia="en-GB"/>
        </w:rPr>
        <w:t>h</w:t>
      </w:r>
      <w:r w:rsidR="533FD423" w:rsidRPr="007D116C">
        <w:rPr>
          <w:rFonts w:ascii="Calibri" w:eastAsia="Times New Roman" w:hAnsi="Calibri" w:cs="Calibri"/>
          <w:lang w:eastAsia="en-GB"/>
        </w:rPr>
        <w:t>owever</w:t>
      </w:r>
      <w:r w:rsidR="1526AD5E" w:rsidRPr="007D116C">
        <w:rPr>
          <w:rFonts w:ascii="Calibri" w:eastAsia="Times New Roman" w:hAnsi="Calibri" w:cs="Calibri"/>
          <w:lang w:eastAsia="en-GB"/>
        </w:rPr>
        <w:t>,</w:t>
      </w:r>
      <w:r w:rsidR="533FD423" w:rsidRPr="007D116C">
        <w:rPr>
          <w:rFonts w:ascii="Calibri" w:eastAsia="Times New Roman" w:hAnsi="Calibri" w:cs="Calibri"/>
          <w:lang w:eastAsia="en-GB"/>
        </w:rPr>
        <w:t xml:space="preserve"> QBCC</w:t>
      </w:r>
      <w:r w:rsidR="0A9C9276" w:rsidRPr="007D116C">
        <w:rPr>
          <w:rFonts w:ascii="Calibri" w:eastAsia="Times New Roman" w:hAnsi="Calibri" w:cs="Calibri"/>
          <w:lang w:eastAsia="en-GB"/>
        </w:rPr>
        <w:t>-</w:t>
      </w:r>
      <w:r w:rsidR="533FD423" w:rsidRPr="007D116C">
        <w:rPr>
          <w:rFonts w:ascii="Calibri" w:eastAsia="Times New Roman" w:hAnsi="Calibri" w:cs="Calibri"/>
          <w:lang w:eastAsia="en-GB"/>
        </w:rPr>
        <w:t>specific processes (such as a skills matrix</w:t>
      </w:r>
      <w:r w:rsidR="0A9C9276" w:rsidRPr="007D116C">
        <w:rPr>
          <w:rFonts w:ascii="Calibri" w:eastAsia="Times New Roman" w:hAnsi="Calibri" w:cs="Calibri"/>
          <w:lang w:eastAsia="en-GB"/>
        </w:rPr>
        <w:t xml:space="preserve"> for potential appointees</w:t>
      </w:r>
      <w:r w:rsidR="533FD423" w:rsidRPr="007D116C">
        <w:rPr>
          <w:rFonts w:ascii="Calibri" w:eastAsia="Times New Roman" w:hAnsi="Calibri" w:cs="Calibri"/>
          <w:lang w:eastAsia="en-GB"/>
        </w:rPr>
        <w:t>) are not articulated</w:t>
      </w:r>
      <w:r w:rsidR="69AF672B" w:rsidRPr="007D116C">
        <w:rPr>
          <w:rFonts w:ascii="Calibri" w:eastAsia="Times New Roman" w:hAnsi="Calibri" w:cs="Calibri"/>
          <w:lang w:eastAsia="en-GB"/>
        </w:rPr>
        <w:t xml:space="preserve"> </w:t>
      </w:r>
      <w:r w:rsidR="3BEE082B" w:rsidRPr="007D116C">
        <w:rPr>
          <w:rFonts w:ascii="Calibri" w:eastAsia="Times New Roman" w:hAnsi="Calibri" w:cs="Calibri"/>
          <w:lang w:eastAsia="en-GB"/>
        </w:rPr>
        <w:t xml:space="preserve">and </w:t>
      </w:r>
      <w:r w:rsidR="20670624" w:rsidRPr="007D116C">
        <w:t>the procedure for appointments by</w:t>
      </w:r>
      <w:r w:rsidR="3BEE082B" w:rsidRPr="007D116C">
        <w:t xml:space="preserve"> </w:t>
      </w:r>
      <w:r w:rsidR="4E7F79B0" w:rsidRPr="007D116C">
        <w:t>the Governor in Council</w:t>
      </w:r>
      <w:r w:rsidR="20670624" w:rsidRPr="007D116C">
        <w:t xml:space="preserve"> </w:t>
      </w:r>
      <w:r w:rsidR="5A17F784" w:rsidRPr="007D116C">
        <w:t>do not seem to be publicly available.</w:t>
      </w:r>
      <w:r w:rsidR="4E7F79B0" w:rsidRPr="007D116C">
        <w:t xml:space="preserve"> Government departments are responsible for preparing all documentation (Cabinet Submissions and Executive Council Minutes)</w:t>
      </w:r>
      <w:r w:rsidR="0018AD67" w:rsidRPr="007D116C">
        <w:rPr>
          <w:rFonts w:ascii="Calibri" w:eastAsia="Times New Roman" w:hAnsi="Calibri" w:cs="Calibri"/>
          <w:lang w:eastAsia="en-GB"/>
        </w:rPr>
        <w:t xml:space="preserve"> to cover recruitment to the Board.</w:t>
      </w:r>
      <w:r w:rsidR="0022179F" w:rsidRPr="007D116C">
        <w:rPr>
          <w:rStyle w:val="FootnoteReference"/>
          <w:rFonts w:ascii="Calibri" w:eastAsia="Times New Roman" w:hAnsi="Calibri" w:cs="Calibri"/>
          <w:lang w:eastAsia="en-GB"/>
        </w:rPr>
        <w:footnoteReference w:id="45"/>
      </w:r>
      <w:r w:rsidR="766290A9" w:rsidRPr="007D116C">
        <w:rPr>
          <w:rFonts w:ascii="Calibri" w:eastAsia="Times New Roman" w:hAnsi="Calibri" w:cs="Calibri"/>
          <w:lang w:eastAsia="en-GB"/>
        </w:rPr>
        <w:t xml:space="preserve"> Additionally, t</w:t>
      </w:r>
      <w:r w:rsidR="746B4E55" w:rsidRPr="007D116C">
        <w:rPr>
          <w:rFonts w:ascii="Calibri" w:eastAsia="Times New Roman" w:hAnsi="Calibri" w:cs="Calibri"/>
          <w:lang w:eastAsia="en-GB"/>
        </w:rPr>
        <w:t xml:space="preserve">he Act is silent on reappointment of Board members. </w:t>
      </w:r>
      <w:r w:rsidR="67D8C73B" w:rsidRPr="007D116C">
        <w:rPr>
          <w:rFonts w:ascii="Calibri" w:eastAsia="Times New Roman" w:hAnsi="Calibri" w:cs="Calibri"/>
          <w:lang w:eastAsia="en-GB"/>
        </w:rPr>
        <w:t xml:space="preserve">Arguments for or against </w:t>
      </w:r>
      <w:r w:rsidR="243961CC" w:rsidRPr="007D116C">
        <w:rPr>
          <w:rFonts w:ascii="Calibri" w:eastAsia="Times New Roman" w:hAnsi="Calibri" w:cs="Calibri"/>
          <w:lang w:eastAsia="en-GB"/>
        </w:rPr>
        <w:t xml:space="preserve">the </w:t>
      </w:r>
      <w:r w:rsidR="3496EE41" w:rsidRPr="007D116C">
        <w:rPr>
          <w:rFonts w:ascii="Calibri" w:eastAsia="Times New Roman" w:hAnsi="Calibri" w:cs="Calibri"/>
          <w:lang w:eastAsia="en-GB"/>
        </w:rPr>
        <w:t xml:space="preserve">value of </w:t>
      </w:r>
      <w:r w:rsidR="67D8C73B" w:rsidRPr="007D116C">
        <w:rPr>
          <w:rFonts w:ascii="Calibri" w:eastAsia="Times New Roman" w:hAnsi="Calibri" w:cs="Calibri"/>
          <w:lang w:eastAsia="en-GB"/>
        </w:rPr>
        <w:t>reappointment notwithstanding</w:t>
      </w:r>
      <w:r w:rsidR="67D8C73B" w:rsidRPr="007D116C">
        <w:rPr>
          <w:rFonts w:ascii="Calibri" w:eastAsia="Times New Roman" w:hAnsi="Calibri" w:cs="Calibri"/>
          <w:b/>
          <w:bCs/>
          <w:lang w:eastAsia="en-GB"/>
        </w:rPr>
        <w:t xml:space="preserve">, </w:t>
      </w:r>
      <w:r w:rsidR="5E6662C7" w:rsidRPr="007D116C">
        <w:rPr>
          <w:rFonts w:ascii="Calibri" w:eastAsia="Times New Roman" w:hAnsi="Calibri" w:cs="Calibri"/>
          <w:lang w:eastAsia="en-GB"/>
        </w:rPr>
        <w:t xml:space="preserve">an administrative amendment could resolve any ambiguity on </w:t>
      </w:r>
      <w:r w:rsidR="7898DCDF" w:rsidRPr="007D116C">
        <w:rPr>
          <w:rFonts w:ascii="Calibri" w:eastAsia="Times New Roman" w:hAnsi="Calibri" w:cs="Calibri"/>
          <w:lang w:eastAsia="en-GB"/>
        </w:rPr>
        <w:t>whether</w:t>
      </w:r>
      <w:r w:rsidR="2B950B5F" w:rsidRPr="007D116C">
        <w:rPr>
          <w:rFonts w:ascii="Calibri" w:eastAsia="Times New Roman" w:hAnsi="Calibri" w:cs="Calibri"/>
          <w:lang w:eastAsia="en-GB"/>
        </w:rPr>
        <w:t xml:space="preserve"> reappointment is allowab</w:t>
      </w:r>
      <w:r w:rsidR="7898DCDF" w:rsidRPr="007D116C">
        <w:rPr>
          <w:rFonts w:ascii="Calibri" w:eastAsia="Times New Roman" w:hAnsi="Calibri" w:cs="Calibri"/>
          <w:lang w:eastAsia="en-GB"/>
        </w:rPr>
        <w:t>le</w:t>
      </w:r>
      <w:r w:rsidR="5E6662C7" w:rsidRPr="007D116C">
        <w:rPr>
          <w:rFonts w:ascii="Calibri" w:eastAsia="Times New Roman" w:hAnsi="Calibri" w:cs="Calibri"/>
          <w:lang w:eastAsia="en-GB"/>
        </w:rPr>
        <w:t>.</w:t>
      </w:r>
      <w:r w:rsidR="1720A2C3" w:rsidRPr="007D116C">
        <w:rPr>
          <w:rFonts w:ascii="Calibri" w:eastAsia="Times New Roman" w:hAnsi="Calibri" w:cs="Calibri"/>
          <w:lang w:eastAsia="en-GB"/>
        </w:rPr>
        <w:t xml:space="preserve"> </w:t>
      </w:r>
    </w:p>
    <w:p w14:paraId="321C9AD8" w14:textId="77777777" w:rsidR="00AB0C7D" w:rsidRPr="007D116C" w:rsidRDefault="00AB0C7D" w:rsidP="007665C6">
      <w:pPr>
        <w:spacing w:after="0" w:line="240" w:lineRule="auto"/>
        <w:textAlignment w:val="baseline"/>
        <w:rPr>
          <w:rFonts w:ascii="Segoe UI" w:eastAsia="Times New Roman" w:hAnsi="Segoe UI" w:cs="Segoe UI"/>
          <w:lang w:eastAsia="en-GB"/>
        </w:rPr>
      </w:pPr>
      <w:r w:rsidRPr="007D116C">
        <w:rPr>
          <w:rFonts w:ascii="Calibri" w:eastAsia="Times New Roman" w:hAnsi="Calibri" w:cs="Calibri"/>
          <w:lang w:eastAsia="en-GB"/>
        </w:rPr>
        <w:t>  </w:t>
      </w:r>
    </w:p>
    <w:p w14:paraId="5AE3A3C8" w14:textId="77777777" w:rsidR="00093043" w:rsidRPr="007D116C" w:rsidRDefault="00093043">
      <w:pPr>
        <w:rPr>
          <w:rFonts w:asciiTheme="majorHAnsi" w:eastAsiaTheme="majorEastAsia" w:hAnsiTheme="majorHAnsi" w:cstheme="majorBidi"/>
          <w:b/>
          <w:lang w:eastAsia="en-GB"/>
        </w:rPr>
      </w:pPr>
      <w:r w:rsidRPr="007D116C">
        <w:rPr>
          <w:lang w:eastAsia="en-GB"/>
        </w:rPr>
        <w:br w:type="page"/>
      </w:r>
    </w:p>
    <w:p w14:paraId="0E6D263A" w14:textId="2D060467" w:rsidR="00AB0C7D" w:rsidRPr="007D116C" w:rsidRDefault="00050C85" w:rsidP="0009282F">
      <w:pPr>
        <w:pStyle w:val="Heading1"/>
        <w:rPr>
          <w:rFonts w:ascii="Segoe UI" w:hAnsi="Segoe UI" w:cs="Segoe UI"/>
          <w:lang w:eastAsia="en-GB"/>
        </w:rPr>
      </w:pPr>
      <w:bookmarkStart w:id="11" w:name="_Toc100599127"/>
      <w:r w:rsidRPr="007D116C">
        <w:rPr>
          <w:lang w:eastAsia="en-GB"/>
        </w:rPr>
        <w:lastRenderedPageBreak/>
        <w:t xml:space="preserve">Part C: </w:t>
      </w:r>
      <w:r w:rsidR="00AB0C7D" w:rsidRPr="007D116C">
        <w:rPr>
          <w:lang w:eastAsia="en-GB"/>
        </w:rPr>
        <w:t xml:space="preserve">Comparison with </w:t>
      </w:r>
      <w:r w:rsidR="00AB0C7D" w:rsidRPr="007D116C">
        <w:t>other</w:t>
      </w:r>
      <w:r w:rsidR="00AB0C7D" w:rsidRPr="007D116C">
        <w:rPr>
          <w:lang w:eastAsia="en-GB"/>
        </w:rPr>
        <w:t xml:space="preserve"> Australian jurisdictions</w:t>
      </w:r>
      <w:bookmarkEnd w:id="11"/>
      <w:r w:rsidR="00AB0C7D" w:rsidRPr="007D116C">
        <w:rPr>
          <w:lang w:eastAsia="en-GB"/>
        </w:rPr>
        <w:t> </w:t>
      </w:r>
    </w:p>
    <w:p w14:paraId="54DB4B61" w14:textId="7395265C" w:rsidR="0009282F" w:rsidRPr="007D116C" w:rsidRDefault="43A4801E" w:rsidP="73BD4827">
      <w:pPr>
        <w:pStyle w:val="ListParagraph"/>
        <w:numPr>
          <w:ilvl w:val="0"/>
          <w:numId w:val="2"/>
        </w:numPr>
        <w:ind w:left="0" w:hanging="425"/>
        <w:textAlignment w:val="baseline"/>
        <w:rPr>
          <w:rFonts w:ascii="Segoe UI" w:eastAsia="Times New Roman" w:hAnsi="Segoe UI" w:cs="Segoe UI"/>
          <w:lang w:eastAsia="en-GB"/>
        </w:rPr>
      </w:pPr>
      <w:r w:rsidRPr="007D116C">
        <w:rPr>
          <w:rFonts w:ascii="Calibri" w:eastAsia="Times New Roman" w:hAnsi="Calibri" w:cs="Calibri"/>
          <w:lang w:eastAsia="en-GB"/>
        </w:rPr>
        <w:t>The comparison of the QBCC’s governance model with the OECD evidence base suggests that some of the observed features of the QBCC vary from best practice as understood in the literature. However, as the OECD notes, the key question in respect of a governance model is whether it aids the regulator in achieving the objects for which it was created by the legislature. It is important, then, to place the QBCC within the context of the actual practices of similar regulators operating in similar circumstances. For relevance and brevity, the comparative analysis has been restricted to Australia’s jurisdictions with a sizeable building and construction industry. </w:t>
      </w:r>
    </w:p>
    <w:p w14:paraId="439BC88C" w14:textId="2B87F1BD" w:rsidR="00AB0C7D" w:rsidRPr="007D116C" w:rsidRDefault="3C1D34F9" w:rsidP="0009282F">
      <w:pPr>
        <w:pStyle w:val="ListParagraph"/>
        <w:numPr>
          <w:ilvl w:val="0"/>
          <w:numId w:val="2"/>
        </w:numPr>
        <w:ind w:left="0" w:hanging="425"/>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t>To establish the basis for the comparative analysis Table 2, below, shows by state the peak regulator, its governance model, and its functions.  </w:t>
      </w:r>
    </w:p>
    <w:p w14:paraId="4A6975CE" w14:textId="33388A97" w:rsidR="00AB0C7D" w:rsidRPr="007D116C" w:rsidRDefault="00AB0C7D" w:rsidP="00F323AD">
      <w:pPr>
        <w:pStyle w:val="Heading3"/>
        <w:rPr>
          <w:rFonts w:ascii="Segoe UI" w:hAnsi="Segoe UI" w:cs="Segoe UI"/>
          <w:lang w:eastAsia="en-GB"/>
        </w:rPr>
      </w:pPr>
      <w:bookmarkStart w:id="12" w:name="_Toc98853492"/>
      <w:bookmarkStart w:id="13" w:name="_Toc100599128"/>
      <w:r w:rsidRPr="007D116C">
        <w:rPr>
          <w:lang w:eastAsia="en-GB"/>
        </w:rPr>
        <w:t>Table 2: Key features of regulatory system for comparable jurisdictions</w:t>
      </w:r>
      <w:bookmarkEnd w:id="12"/>
      <w:bookmarkEnd w:id="13"/>
      <w:r w:rsidRPr="007D116C">
        <w:rPr>
          <w:lang w:eastAsia="en-GB"/>
        </w:rPr>
        <w:t xml:space="preserve">   </w:t>
      </w: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2144"/>
        <w:gridCol w:w="3331"/>
        <w:gridCol w:w="2655"/>
      </w:tblGrid>
      <w:tr w:rsidR="007D116C" w:rsidRPr="007D116C" w14:paraId="6881CF53" w14:textId="77777777" w:rsidTr="001548D7">
        <w:tc>
          <w:tcPr>
            <w:tcW w:w="82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4AD93C99" w14:textId="2E9F27AD" w:rsidR="00AB0C7D" w:rsidRPr="007D116C" w:rsidRDefault="00AB0C7D" w:rsidP="00747981">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State </w:t>
            </w:r>
          </w:p>
        </w:tc>
        <w:tc>
          <w:tcPr>
            <w:tcW w:w="2144" w:type="dxa"/>
            <w:tcBorders>
              <w:top w:val="single" w:sz="6" w:space="0" w:color="auto"/>
              <w:left w:val="nil"/>
              <w:bottom w:val="single" w:sz="6" w:space="0" w:color="auto"/>
              <w:right w:val="single" w:sz="6" w:space="0" w:color="auto"/>
            </w:tcBorders>
            <w:shd w:val="clear" w:color="auto" w:fill="000000" w:themeFill="text1"/>
            <w:hideMark/>
          </w:tcPr>
          <w:p w14:paraId="0AF68E7B" w14:textId="2AC1D836" w:rsidR="00AB0C7D" w:rsidRPr="007D116C" w:rsidRDefault="00AB0C7D" w:rsidP="00747981">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Peak regulator </w:t>
            </w:r>
          </w:p>
        </w:tc>
        <w:tc>
          <w:tcPr>
            <w:tcW w:w="3331" w:type="dxa"/>
            <w:tcBorders>
              <w:top w:val="single" w:sz="6" w:space="0" w:color="auto"/>
              <w:left w:val="nil"/>
              <w:bottom w:val="single" w:sz="6" w:space="0" w:color="auto"/>
              <w:right w:val="single" w:sz="6" w:space="0" w:color="auto"/>
            </w:tcBorders>
            <w:shd w:val="clear" w:color="auto" w:fill="000000" w:themeFill="text1"/>
            <w:hideMark/>
          </w:tcPr>
          <w:p w14:paraId="2FC4B071" w14:textId="69906A94" w:rsidR="00AB0C7D" w:rsidRPr="007D116C" w:rsidRDefault="00AB0C7D" w:rsidP="00747981">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Governance </w:t>
            </w:r>
          </w:p>
        </w:tc>
        <w:tc>
          <w:tcPr>
            <w:tcW w:w="2655" w:type="dxa"/>
            <w:tcBorders>
              <w:top w:val="single" w:sz="6" w:space="0" w:color="auto"/>
              <w:left w:val="nil"/>
              <w:bottom w:val="single" w:sz="6" w:space="0" w:color="auto"/>
              <w:right w:val="single" w:sz="6" w:space="0" w:color="auto"/>
            </w:tcBorders>
            <w:shd w:val="clear" w:color="auto" w:fill="000000" w:themeFill="text1"/>
            <w:hideMark/>
          </w:tcPr>
          <w:p w14:paraId="27B1BBE4" w14:textId="64559D3C" w:rsidR="00AB0C7D" w:rsidRPr="007D116C" w:rsidRDefault="00AB0C7D" w:rsidP="00747981">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Functions </w:t>
            </w:r>
          </w:p>
        </w:tc>
      </w:tr>
      <w:tr w:rsidR="007D116C" w:rsidRPr="007D116C" w14:paraId="6C195CB0" w14:textId="77777777" w:rsidTr="001548D7">
        <w:tc>
          <w:tcPr>
            <w:tcW w:w="825" w:type="dxa"/>
            <w:tcBorders>
              <w:top w:val="nil"/>
              <w:left w:val="single" w:sz="6" w:space="0" w:color="auto"/>
              <w:bottom w:val="single" w:sz="6" w:space="0" w:color="auto"/>
              <w:right w:val="single" w:sz="6" w:space="0" w:color="auto"/>
            </w:tcBorders>
            <w:shd w:val="clear" w:color="auto" w:fill="FFFFFF" w:themeFill="background1"/>
            <w:hideMark/>
          </w:tcPr>
          <w:p w14:paraId="56FB9784"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New South Wales  </w:t>
            </w:r>
          </w:p>
        </w:tc>
        <w:tc>
          <w:tcPr>
            <w:tcW w:w="2144" w:type="dxa"/>
            <w:tcBorders>
              <w:top w:val="nil"/>
              <w:left w:val="nil"/>
              <w:bottom w:val="single" w:sz="6" w:space="0" w:color="auto"/>
              <w:right w:val="single" w:sz="6" w:space="0" w:color="auto"/>
            </w:tcBorders>
            <w:shd w:val="clear" w:color="auto" w:fill="FFFFFF" w:themeFill="background1"/>
            <w:hideMark/>
          </w:tcPr>
          <w:p w14:paraId="0CF0802B" w14:textId="42E515EB"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NSW Fair Trading and Office of the Building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 (OBC), both within the Department of Customer Service   </w:t>
            </w:r>
          </w:p>
        </w:tc>
        <w:tc>
          <w:tcPr>
            <w:tcW w:w="3331" w:type="dxa"/>
            <w:tcBorders>
              <w:top w:val="nil"/>
              <w:left w:val="nil"/>
              <w:bottom w:val="single" w:sz="6" w:space="0" w:color="auto"/>
              <w:right w:val="single" w:sz="6" w:space="0" w:color="auto"/>
            </w:tcBorders>
            <w:shd w:val="clear" w:color="auto" w:fill="FFFFFF" w:themeFill="background1"/>
            <w:hideMark/>
          </w:tcPr>
          <w:p w14:paraId="0171A39A" w14:textId="712D1F3E"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OBC reports to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for Better Regulation and Innovation, and works with NSW Fair Trading, which has related functions (see below) and the same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NSW Fair Trading is part of the government’s customer service cluster; OBC is an independent body under the auspices of DCS</w:t>
            </w:r>
            <w:r w:rsidR="007779D3" w:rsidRPr="007D116C">
              <w:rPr>
                <w:rFonts w:ascii="Calibri" w:eastAsia="Times New Roman" w:hAnsi="Calibri" w:cs="Calibri"/>
                <w:sz w:val="20"/>
                <w:szCs w:val="20"/>
                <w:lang w:eastAsia="en-GB"/>
              </w:rPr>
              <w:t>.</w:t>
            </w:r>
            <w:r w:rsidR="007779D3" w:rsidRPr="007D116C">
              <w:rPr>
                <w:rStyle w:val="FootnoteReference"/>
                <w:sz w:val="20"/>
                <w:szCs w:val="20"/>
              </w:rPr>
              <w:footnoteReference w:id="46"/>
            </w:r>
            <w:r w:rsidRPr="007D116C">
              <w:rPr>
                <w:rFonts w:ascii="Calibri" w:eastAsia="Times New Roman" w:hAnsi="Calibri" w:cs="Calibri"/>
                <w:sz w:val="20"/>
                <w:szCs w:val="20"/>
                <w:lang w:eastAsia="en-GB"/>
              </w:rPr>
              <w:t>  </w:t>
            </w:r>
          </w:p>
        </w:tc>
        <w:tc>
          <w:tcPr>
            <w:tcW w:w="2655" w:type="dxa"/>
            <w:tcBorders>
              <w:top w:val="nil"/>
              <w:left w:val="nil"/>
              <w:bottom w:val="single" w:sz="6" w:space="0" w:color="auto"/>
              <w:right w:val="single" w:sz="6" w:space="0" w:color="auto"/>
            </w:tcBorders>
            <w:shd w:val="clear" w:color="auto" w:fill="FFFFFF" w:themeFill="background1"/>
            <w:hideMark/>
          </w:tcPr>
          <w:p w14:paraId="7F9E0456"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functions of building industry regulation are divided between the OBC (defects, rectification), NSW Fair Trading (disputes, security of payments, safety compliance), Service NSW (licensing, certification).  </w:t>
            </w:r>
          </w:p>
        </w:tc>
      </w:tr>
      <w:tr w:rsidR="007D116C" w:rsidRPr="007D116C" w14:paraId="412AA364" w14:textId="77777777" w:rsidTr="001548D7">
        <w:tc>
          <w:tcPr>
            <w:tcW w:w="825" w:type="dxa"/>
            <w:tcBorders>
              <w:top w:val="nil"/>
              <w:left w:val="single" w:sz="6" w:space="0" w:color="auto"/>
              <w:bottom w:val="single" w:sz="6" w:space="0" w:color="auto"/>
              <w:right w:val="single" w:sz="6" w:space="0" w:color="auto"/>
            </w:tcBorders>
            <w:shd w:val="clear" w:color="auto" w:fill="D9D9D9" w:themeFill="background1" w:themeFillShade="D9"/>
            <w:hideMark/>
          </w:tcPr>
          <w:p w14:paraId="2405C4A6"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Victoria  </w:t>
            </w:r>
          </w:p>
        </w:tc>
        <w:tc>
          <w:tcPr>
            <w:tcW w:w="2144" w:type="dxa"/>
            <w:tcBorders>
              <w:top w:val="nil"/>
              <w:left w:val="nil"/>
              <w:bottom w:val="single" w:sz="6" w:space="0" w:color="auto"/>
              <w:right w:val="single" w:sz="6" w:space="0" w:color="auto"/>
            </w:tcBorders>
            <w:shd w:val="clear" w:color="auto" w:fill="D9D9D9" w:themeFill="background1" w:themeFillShade="D9"/>
            <w:hideMark/>
          </w:tcPr>
          <w:p w14:paraId="0C55DFC3" w14:textId="7777777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Victorian Building Authority (VBA)  </w:t>
            </w:r>
          </w:p>
        </w:tc>
        <w:tc>
          <w:tcPr>
            <w:tcW w:w="3331" w:type="dxa"/>
            <w:tcBorders>
              <w:top w:val="nil"/>
              <w:left w:val="nil"/>
              <w:bottom w:val="single" w:sz="6" w:space="0" w:color="auto"/>
              <w:right w:val="single" w:sz="6" w:space="0" w:color="auto"/>
            </w:tcBorders>
            <w:shd w:val="clear" w:color="auto" w:fill="D9D9D9" w:themeFill="background1" w:themeFillShade="D9"/>
            <w:hideMark/>
          </w:tcPr>
          <w:p w14:paraId="5575EBF1" w14:textId="0ABF7616"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VBA reports to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for Planning. It is governed by the VBA Board, which sets “direction and priorities” and oversees the functions of the VBA, including appointing the CEO. The VBA Board is chaired by the Chief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 and has 12 members in total, who have a mix of experience relevant to the industry. The CEO is responsible for day-to-day operations.  </w:t>
            </w:r>
          </w:p>
        </w:tc>
        <w:tc>
          <w:tcPr>
            <w:tcW w:w="2655" w:type="dxa"/>
            <w:tcBorders>
              <w:top w:val="nil"/>
              <w:left w:val="nil"/>
              <w:bottom w:val="single" w:sz="6" w:space="0" w:color="auto"/>
              <w:right w:val="single" w:sz="6" w:space="0" w:color="auto"/>
            </w:tcBorders>
            <w:shd w:val="clear" w:color="auto" w:fill="D9D9D9" w:themeFill="background1" w:themeFillShade="D9"/>
            <w:hideMark/>
          </w:tcPr>
          <w:p w14:paraId="27E96DEB" w14:textId="386EFCD7"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VBA lists its functions as including: registration, licensing and disciplining builders and plumbers; security of payment; certification; inspections; compliance; data collection; and handling consumer complaints</w:t>
            </w:r>
            <w:r w:rsidR="00AE15D1" w:rsidRPr="007D116C">
              <w:rPr>
                <w:rFonts w:ascii="Calibri" w:eastAsia="Times New Roman" w:hAnsi="Calibri" w:cs="Calibri"/>
                <w:sz w:val="20"/>
                <w:szCs w:val="20"/>
                <w:lang w:eastAsia="en-GB"/>
              </w:rPr>
              <w:t>.</w:t>
            </w:r>
            <w:r w:rsidR="00AE15D1" w:rsidRPr="007D116C">
              <w:rPr>
                <w:rStyle w:val="FootnoteReference"/>
                <w:sz w:val="20"/>
                <w:szCs w:val="20"/>
              </w:rPr>
              <w:footnoteReference w:id="47"/>
            </w:r>
            <w:r w:rsidRPr="007D116C">
              <w:rPr>
                <w:rFonts w:ascii="Calibri" w:eastAsia="Times New Roman" w:hAnsi="Calibri" w:cs="Calibri"/>
                <w:sz w:val="20"/>
                <w:szCs w:val="20"/>
                <w:lang w:eastAsia="en-GB"/>
              </w:rPr>
              <w:t>  </w:t>
            </w:r>
          </w:p>
        </w:tc>
      </w:tr>
      <w:tr w:rsidR="007D116C" w:rsidRPr="007D116C" w14:paraId="6F6455D5" w14:textId="77777777" w:rsidTr="001548D7">
        <w:tc>
          <w:tcPr>
            <w:tcW w:w="825" w:type="dxa"/>
            <w:tcBorders>
              <w:top w:val="nil"/>
              <w:left w:val="single" w:sz="6" w:space="0" w:color="auto"/>
              <w:bottom w:val="single" w:sz="6" w:space="0" w:color="auto"/>
              <w:right w:val="single" w:sz="6" w:space="0" w:color="auto"/>
            </w:tcBorders>
            <w:shd w:val="clear" w:color="auto" w:fill="FFFFFF" w:themeFill="background1"/>
            <w:hideMark/>
          </w:tcPr>
          <w:p w14:paraId="1BCB170F"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South Australia  </w:t>
            </w:r>
          </w:p>
        </w:tc>
        <w:tc>
          <w:tcPr>
            <w:tcW w:w="2144" w:type="dxa"/>
            <w:tcBorders>
              <w:top w:val="nil"/>
              <w:left w:val="nil"/>
              <w:bottom w:val="single" w:sz="6" w:space="0" w:color="auto"/>
              <w:right w:val="single" w:sz="6" w:space="0" w:color="auto"/>
            </w:tcBorders>
            <w:shd w:val="clear" w:color="auto" w:fill="FFFFFF" w:themeFill="background1"/>
            <w:hideMark/>
          </w:tcPr>
          <w:p w14:paraId="59406B38" w14:textId="6E21ED0D"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State Planning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 xml:space="preserve"> is established by the </w:t>
            </w:r>
            <w:r w:rsidRPr="007D116C">
              <w:rPr>
                <w:rFonts w:ascii="Calibri" w:eastAsia="Times New Roman" w:hAnsi="Calibri" w:cs="Calibri"/>
                <w:i/>
                <w:sz w:val="20"/>
                <w:szCs w:val="20"/>
                <w:lang w:eastAsia="en-GB"/>
              </w:rPr>
              <w:t xml:space="preserve">Planning, Development and Infrastructure Act </w:t>
            </w:r>
            <w:r w:rsidRPr="007D116C">
              <w:rPr>
                <w:rFonts w:ascii="Calibri" w:eastAsia="Times New Roman" w:hAnsi="Calibri" w:cs="Calibri"/>
                <w:i/>
                <w:sz w:val="20"/>
                <w:szCs w:val="20"/>
                <w:lang w:eastAsia="en-GB"/>
              </w:rPr>
              <w:lastRenderedPageBreak/>
              <w:t xml:space="preserve">2016 </w:t>
            </w:r>
            <w:r w:rsidRPr="007D116C">
              <w:rPr>
                <w:rFonts w:ascii="Calibri" w:eastAsia="Times New Roman" w:hAnsi="Calibri" w:cs="Calibri"/>
                <w:sz w:val="20"/>
                <w:szCs w:val="20"/>
                <w:lang w:eastAsia="en-GB"/>
              </w:rPr>
              <w:t>(PDI Act), and has responsibility for the Building Rules, which include that Act.   </w:t>
            </w:r>
          </w:p>
          <w:p w14:paraId="175E3C35" w14:textId="268FFB5E"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Other functions are undertaken by Consumer and Business Services (CBS), a division of the Attorney-General’s Department, which handles the licensing and registration of builders and plumbers</w:t>
            </w:r>
            <w:r w:rsidR="00922409" w:rsidRPr="007D116C">
              <w:rPr>
                <w:rStyle w:val="FootnoteReference"/>
                <w:sz w:val="20"/>
                <w:szCs w:val="20"/>
              </w:rPr>
              <w:footnoteReference w:id="48"/>
            </w:r>
            <w:r w:rsidRPr="007D116C">
              <w:rPr>
                <w:rFonts w:ascii="Calibri" w:eastAsia="Times New Roman" w:hAnsi="Calibri" w:cs="Calibri"/>
                <w:sz w:val="20"/>
                <w:szCs w:val="20"/>
                <w:lang w:eastAsia="en-GB"/>
              </w:rPr>
              <w:t xml:space="preserve"> and handles complaints, and the Small Business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 who is responsible for security of payment</w:t>
            </w:r>
            <w:r w:rsidR="006345EC" w:rsidRPr="007D116C">
              <w:rPr>
                <w:rFonts w:ascii="Calibri" w:eastAsia="Times New Roman" w:hAnsi="Calibri" w:cs="Calibri"/>
                <w:sz w:val="20"/>
                <w:szCs w:val="20"/>
                <w:lang w:eastAsia="en-GB"/>
              </w:rPr>
              <w:t>.</w:t>
            </w:r>
            <w:r w:rsidR="006345EC" w:rsidRPr="007D116C">
              <w:rPr>
                <w:rStyle w:val="FootnoteReference"/>
                <w:sz w:val="20"/>
                <w:szCs w:val="20"/>
              </w:rPr>
              <w:footnoteReference w:id="49"/>
            </w:r>
            <w:r w:rsidRPr="007D116C">
              <w:rPr>
                <w:rFonts w:ascii="Calibri" w:eastAsia="Times New Roman" w:hAnsi="Calibri" w:cs="Calibri"/>
                <w:sz w:val="20"/>
                <w:szCs w:val="20"/>
                <w:lang w:eastAsia="en-GB"/>
              </w:rPr>
              <w:t>  </w:t>
            </w:r>
          </w:p>
        </w:tc>
        <w:tc>
          <w:tcPr>
            <w:tcW w:w="3331" w:type="dxa"/>
            <w:tcBorders>
              <w:top w:val="nil"/>
              <w:left w:val="nil"/>
              <w:bottom w:val="single" w:sz="6" w:space="0" w:color="auto"/>
              <w:right w:val="single" w:sz="6" w:space="0" w:color="auto"/>
            </w:tcBorders>
            <w:shd w:val="clear" w:color="auto" w:fill="FFFFFF" w:themeFill="background1"/>
            <w:hideMark/>
          </w:tcPr>
          <w:p w14:paraId="15387035" w14:textId="1451365A"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lastRenderedPageBreak/>
              <w:t xml:space="preserve">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responsible for the </w:t>
            </w:r>
            <w:r w:rsidR="00F47308" w:rsidRPr="007D116C">
              <w:rPr>
                <w:rFonts w:ascii="Calibri" w:eastAsia="Times New Roman" w:hAnsi="Calibri" w:cs="Calibri"/>
                <w:sz w:val="20"/>
                <w:szCs w:val="20"/>
                <w:lang w:eastAsia="en-GB"/>
              </w:rPr>
              <w:t>C</w:t>
            </w:r>
            <w:r w:rsidRPr="007D116C">
              <w:rPr>
                <w:rFonts w:ascii="Calibri" w:eastAsia="Times New Roman" w:hAnsi="Calibri" w:cs="Calibri"/>
                <w:sz w:val="20"/>
                <w:szCs w:val="20"/>
                <w:lang w:eastAsia="en-GB"/>
              </w:rPr>
              <w:t xml:space="preserve">ommission is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for Planning and Local Government (at present, this portfolio is held by the Attorney-General).   </w:t>
            </w:r>
          </w:p>
          <w:p w14:paraId="31356883" w14:textId="19D231E4"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lastRenderedPageBreak/>
              <w:t xml:space="preserve">The </w:t>
            </w:r>
            <w:r w:rsidR="00F47308" w:rsidRPr="007D116C">
              <w:rPr>
                <w:rFonts w:ascii="Calibri" w:eastAsia="Times New Roman" w:hAnsi="Calibri" w:cs="Calibri"/>
                <w:sz w:val="20"/>
                <w:szCs w:val="20"/>
                <w:lang w:eastAsia="en-GB"/>
              </w:rPr>
              <w:t>C</w:t>
            </w:r>
            <w:r w:rsidRPr="007D116C">
              <w:rPr>
                <w:rFonts w:ascii="Calibri" w:eastAsia="Times New Roman" w:hAnsi="Calibri" w:cs="Calibri"/>
                <w:sz w:val="20"/>
                <w:szCs w:val="20"/>
                <w:lang w:eastAsia="en-GB"/>
              </w:rPr>
              <w:t xml:space="preserve">ommission is appointed by the </w:t>
            </w:r>
            <w:r w:rsidR="00141D87" w:rsidRPr="007D116C">
              <w:rPr>
                <w:rFonts w:ascii="Calibri" w:eastAsia="Times New Roman" w:hAnsi="Calibri" w:cs="Calibri"/>
                <w:sz w:val="20"/>
                <w:szCs w:val="20"/>
                <w:lang w:eastAsia="en-GB"/>
              </w:rPr>
              <w:t>m</w:t>
            </w:r>
            <w:r w:rsidRPr="007D116C">
              <w:rPr>
                <w:rFonts w:ascii="Calibri" w:eastAsia="Times New Roman" w:hAnsi="Calibri" w:cs="Calibri"/>
                <w:sz w:val="20"/>
                <w:szCs w:val="20"/>
                <w:lang w:eastAsia="en-GB"/>
              </w:rPr>
              <w:t xml:space="preserve">inister and comprises four members (maximum of six) who must have relevant expertise as stipulated in the PDI Act and one </w:t>
            </w:r>
            <w:r w:rsidRPr="007D116C">
              <w:rPr>
                <w:rFonts w:ascii="Calibri" w:eastAsia="Times New Roman" w:hAnsi="Calibri" w:cs="Calibri"/>
                <w:i/>
                <w:sz w:val="20"/>
                <w:szCs w:val="20"/>
                <w:lang w:eastAsia="en-GB"/>
              </w:rPr>
              <w:t xml:space="preserve">ex officio </w:t>
            </w:r>
            <w:r w:rsidRPr="007D116C">
              <w:rPr>
                <w:rFonts w:ascii="Calibri" w:eastAsia="Times New Roman" w:hAnsi="Calibri" w:cs="Calibri"/>
                <w:sz w:val="20"/>
                <w:szCs w:val="20"/>
                <w:lang w:eastAsia="en-GB"/>
              </w:rPr>
              <w:t xml:space="preserve">representative from the Attorney-General’s Department. The </w:t>
            </w:r>
            <w:r w:rsidR="00BE366E" w:rsidRPr="007D116C">
              <w:rPr>
                <w:rFonts w:ascii="Calibri" w:eastAsia="Times New Roman" w:hAnsi="Calibri" w:cs="Calibri"/>
                <w:sz w:val="20"/>
                <w:szCs w:val="20"/>
                <w:lang w:eastAsia="en-GB"/>
              </w:rPr>
              <w:t>C</w:t>
            </w:r>
            <w:r w:rsidRPr="007D116C">
              <w:rPr>
                <w:rFonts w:ascii="Calibri" w:eastAsia="Times New Roman" w:hAnsi="Calibri" w:cs="Calibri"/>
                <w:sz w:val="20"/>
                <w:szCs w:val="20"/>
                <w:lang w:eastAsia="en-GB"/>
              </w:rPr>
              <w:t xml:space="preserve">ommission is supported by that department. The </w:t>
            </w:r>
            <w:r w:rsidR="00BE366E" w:rsidRPr="007D116C">
              <w:rPr>
                <w:rFonts w:ascii="Calibri" w:eastAsia="Times New Roman" w:hAnsi="Calibri" w:cs="Calibri"/>
                <w:sz w:val="20"/>
                <w:szCs w:val="20"/>
                <w:lang w:eastAsia="en-GB"/>
              </w:rPr>
              <w:t>C</w:t>
            </w:r>
            <w:r w:rsidRPr="007D116C">
              <w:rPr>
                <w:rFonts w:ascii="Calibri" w:eastAsia="Times New Roman" w:hAnsi="Calibri" w:cs="Calibri"/>
                <w:sz w:val="20"/>
                <w:szCs w:val="20"/>
                <w:lang w:eastAsia="en-GB"/>
              </w:rPr>
              <w:t>ommission has delegated some of its building-related functions</w:t>
            </w:r>
            <w:r w:rsidR="008A2927" w:rsidRPr="007D116C">
              <w:rPr>
                <w:rStyle w:val="FootnoteReference"/>
                <w:sz w:val="20"/>
                <w:szCs w:val="20"/>
              </w:rPr>
              <w:footnoteReference w:id="50"/>
            </w:r>
            <w:r w:rsidRPr="007D116C">
              <w:rPr>
                <w:rFonts w:ascii="Calibri" w:eastAsia="Times New Roman" w:hAnsi="Calibri" w:cs="Calibri"/>
                <w:sz w:val="20"/>
                <w:szCs w:val="20"/>
                <w:lang w:eastAsia="en-GB"/>
              </w:rPr>
              <w:t xml:space="preserve"> to the Building Technical Panel (BTP) (a committee established pursuant to the PDI Act), which has four permanent members and six experts who join as required.  </w:t>
            </w:r>
          </w:p>
        </w:tc>
        <w:tc>
          <w:tcPr>
            <w:tcW w:w="2655" w:type="dxa"/>
            <w:tcBorders>
              <w:top w:val="nil"/>
              <w:left w:val="nil"/>
              <w:bottom w:val="single" w:sz="6" w:space="0" w:color="auto"/>
              <w:right w:val="single" w:sz="6" w:space="0" w:color="auto"/>
            </w:tcBorders>
            <w:shd w:val="clear" w:color="auto" w:fill="FFFFFF" w:themeFill="background1"/>
            <w:hideMark/>
          </w:tcPr>
          <w:p w14:paraId="68F73976" w14:textId="759BA63C"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lastRenderedPageBreak/>
              <w:t xml:space="preserve">The </w:t>
            </w:r>
            <w:r w:rsidR="00141D87" w:rsidRPr="007D116C">
              <w:rPr>
                <w:rFonts w:ascii="Calibri" w:eastAsia="Times New Roman" w:hAnsi="Calibri" w:cs="Calibri"/>
                <w:sz w:val="20"/>
                <w:szCs w:val="20"/>
                <w:lang w:eastAsia="en-GB"/>
              </w:rPr>
              <w:t>c</w:t>
            </w:r>
            <w:r w:rsidRPr="007D116C">
              <w:rPr>
                <w:rFonts w:ascii="Calibri" w:eastAsia="Times New Roman" w:hAnsi="Calibri" w:cs="Calibri"/>
                <w:sz w:val="20"/>
                <w:szCs w:val="20"/>
                <w:lang w:eastAsia="en-GB"/>
              </w:rPr>
              <w:t xml:space="preserve">ommission does not seem to perform any regulatory functions directly. Building-related functions are delegate to the BTP. Licensing and </w:t>
            </w:r>
            <w:r w:rsidRPr="007D116C">
              <w:rPr>
                <w:rFonts w:ascii="Calibri" w:eastAsia="Times New Roman" w:hAnsi="Calibri" w:cs="Calibri"/>
                <w:sz w:val="20"/>
                <w:szCs w:val="20"/>
                <w:lang w:eastAsia="en-GB"/>
              </w:rPr>
              <w:lastRenderedPageBreak/>
              <w:t xml:space="preserve">registration and other consumer matters are handled by CBS. Security of payment sits with the Small Business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 Compliance and inspections are the responsibility of local councils.</w:t>
            </w:r>
            <w:r w:rsidR="00BC1389" w:rsidRPr="007D116C">
              <w:rPr>
                <w:rStyle w:val="FootnoteReference"/>
                <w:sz w:val="20"/>
                <w:szCs w:val="20"/>
              </w:rPr>
              <w:footnoteReference w:id="51"/>
            </w:r>
            <w:r w:rsidRPr="007D116C">
              <w:rPr>
                <w:rFonts w:ascii="Calibri" w:eastAsia="Times New Roman" w:hAnsi="Calibri" w:cs="Calibri"/>
                <w:sz w:val="20"/>
                <w:szCs w:val="20"/>
                <w:lang w:eastAsia="en-GB"/>
              </w:rPr>
              <w:t>  </w:t>
            </w:r>
          </w:p>
        </w:tc>
      </w:tr>
      <w:tr w:rsidR="007D116C" w:rsidRPr="007D116C" w14:paraId="7F669355" w14:textId="77777777" w:rsidTr="001548D7">
        <w:tc>
          <w:tcPr>
            <w:tcW w:w="825" w:type="dxa"/>
            <w:tcBorders>
              <w:top w:val="nil"/>
              <w:left w:val="single" w:sz="6" w:space="0" w:color="auto"/>
              <w:bottom w:val="single" w:sz="6" w:space="0" w:color="auto"/>
              <w:right w:val="single" w:sz="6" w:space="0" w:color="auto"/>
            </w:tcBorders>
            <w:shd w:val="clear" w:color="auto" w:fill="D9D9D9" w:themeFill="background1" w:themeFillShade="D9"/>
            <w:hideMark/>
          </w:tcPr>
          <w:p w14:paraId="773DB0C8"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lastRenderedPageBreak/>
              <w:t>Western Australia  </w:t>
            </w:r>
          </w:p>
        </w:tc>
        <w:tc>
          <w:tcPr>
            <w:tcW w:w="2144" w:type="dxa"/>
            <w:tcBorders>
              <w:top w:val="nil"/>
              <w:left w:val="nil"/>
              <w:bottom w:val="single" w:sz="6" w:space="0" w:color="auto"/>
              <w:right w:val="single" w:sz="6" w:space="0" w:color="auto"/>
            </w:tcBorders>
            <w:shd w:val="clear" w:color="auto" w:fill="D9D9D9" w:themeFill="background1" w:themeFillShade="D9"/>
            <w:hideMark/>
          </w:tcPr>
          <w:p w14:paraId="14B3D1C9" w14:textId="5B6AB0D5" w:rsidR="00AB0C7D" w:rsidRPr="007D116C" w:rsidRDefault="00AB0C7D"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Building and Energy (includes the Building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 xml:space="preserve">er), which is a division of the Industry Regulation and Consumer Protection Group within the Department of Mines, Industry Regulation and Safety (DMIRS). The Building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 role is performed by the Group head, the Deputy Director General Industry Regulation and Consumer Protection.</w:t>
            </w:r>
            <w:r w:rsidR="0058189C" w:rsidRPr="007D116C">
              <w:rPr>
                <w:rStyle w:val="FootnoteReference"/>
                <w:sz w:val="20"/>
                <w:szCs w:val="20"/>
              </w:rPr>
              <w:footnoteReference w:id="52"/>
            </w:r>
            <w:r w:rsidRPr="007D116C">
              <w:rPr>
                <w:rFonts w:ascii="Calibri" w:eastAsia="Times New Roman" w:hAnsi="Calibri" w:cs="Calibri"/>
                <w:sz w:val="20"/>
                <w:szCs w:val="20"/>
                <w:lang w:eastAsia="en-GB"/>
              </w:rPr>
              <w:t>  </w:t>
            </w:r>
          </w:p>
        </w:tc>
        <w:tc>
          <w:tcPr>
            <w:tcW w:w="3331" w:type="dxa"/>
            <w:tcBorders>
              <w:top w:val="nil"/>
              <w:left w:val="nil"/>
              <w:bottom w:val="single" w:sz="6" w:space="0" w:color="auto"/>
              <w:right w:val="single" w:sz="6" w:space="0" w:color="auto"/>
            </w:tcBorders>
            <w:shd w:val="clear" w:color="auto" w:fill="D9D9D9" w:themeFill="background1" w:themeFillShade="D9"/>
            <w:hideMark/>
          </w:tcPr>
          <w:p w14:paraId="5183B980" w14:textId="31BE5041" w:rsidR="00AB0C7D" w:rsidRPr="007D116C" w:rsidRDefault="000640C1"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DMIRS</w:t>
            </w:r>
            <w:r w:rsidR="00AB0C7D" w:rsidRPr="007D116C">
              <w:rPr>
                <w:rFonts w:ascii="Calibri" w:eastAsia="Times New Roman" w:hAnsi="Calibri" w:cs="Calibri"/>
                <w:sz w:val="20"/>
                <w:szCs w:val="20"/>
                <w:lang w:eastAsia="en-GB"/>
              </w:rPr>
              <w:t xml:space="preserve"> serves three </w:t>
            </w:r>
            <w:r w:rsidR="002D6C67" w:rsidRPr="007D116C">
              <w:rPr>
                <w:rFonts w:ascii="Calibri" w:eastAsia="Times New Roman" w:hAnsi="Calibri" w:cs="Calibri"/>
                <w:sz w:val="20"/>
                <w:szCs w:val="20"/>
                <w:lang w:eastAsia="en-GB"/>
              </w:rPr>
              <w:t>Minister</w:t>
            </w:r>
            <w:r w:rsidR="00AB0C7D" w:rsidRPr="007D116C">
              <w:rPr>
                <w:rFonts w:ascii="Calibri" w:eastAsia="Times New Roman" w:hAnsi="Calibri" w:cs="Calibri"/>
                <w:sz w:val="20"/>
                <w:szCs w:val="20"/>
                <w:lang w:eastAsia="en-GB"/>
              </w:rPr>
              <w:t xml:space="preserve">s who are all multi-hatted. Their portfolios include Mines and Petroleum, Energy, Environment, Commerce, and Industrial Relations. The Building </w:t>
            </w:r>
            <w:r w:rsidR="002D6C67" w:rsidRPr="007D116C">
              <w:rPr>
                <w:rFonts w:ascii="Calibri" w:eastAsia="Times New Roman" w:hAnsi="Calibri" w:cs="Calibri"/>
                <w:sz w:val="20"/>
                <w:szCs w:val="20"/>
                <w:lang w:eastAsia="en-GB"/>
              </w:rPr>
              <w:t>Commission</w:t>
            </w:r>
            <w:r w:rsidR="00AB0C7D" w:rsidRPr="007D116C">
              <w:rPr>
                <w:rFonts w:ascii="Calibri" w:eastAsia="Times New Roman" w:hAnsi="Calibri" w:cs="Calibri"/>
                <w:sz w:val="20"/>
                <w:szCs w:val="20"/>
                <w:lang w:eastAsia="en-GB"/>
              </w:rPr>
              <w:t xml:space="preserve">er reports to the Director General of the Department, who reports to the </w:t>
            </w:r>
            <w:r w:rsidR="002D6C67" w:rsidRPr="007D116C">
              <w:rPr>
                <w:rFonts w:ascii="Calibri" w:eastAsia="Times New Roman" w:hAnsi="Calibri" w:cs="Calibri"/>
                <w:sz w:val="20"/>
                <w:szCs w:val="20"/>
                <w:lang w:eastAsia="en-GB"/>
              </w:rPr>
              <w:t>Minister</w:t>
            </w:r>
            <w:r w:rsidR="00AB0C7D" w:rsidRPr="007D116C">
              <w:rPr>
                <w:rFonts w:ascii="Calibri" w:eastAsia="Times New Roman" w:hAnsi="Calibri" w:cs="Calibri"/>
                <w:sz w:val="20"/>
                <w:szCs w:val="20"/>
                <w:lang w:eastAsia="en-GB"/>
              </w:rPr>
              <w:t xml:space="preserve">s. The </w:t>
            </w:r>
            <w:r w:rsidR="002D6C67" w:rsidRPr="007D116C">
              <w:rPr>
                <w:rFonts w:ascii="Calibri" w:eastAsia="Times New Roman" w:hAnsi="Calibri" w:cs="Calibri"/>
                <w:sz w:val="20"/>
                <w:szCs w:val="20"/>
                <w:lang w:eastAsia="en-GB"/>
              </w:rPr>
              <w:t>Minister</w:t>
            </w:r>
            <w:r w:rsidR="00AB0C7D" w:rsidRPr="007D116C">
              <w:rPr>
                <w:rFonts w:ascii="Calibri" w:eastAsia="Times New Roman" w:hAnsi="Calibri" w:cs="Calibri"/>
                <w:sz w:val="20"/>
                <w:szCs w:val="20"/>
                <w:lang w:eastAsia="en-GB"/>
              </w:rPr>
              <w:t xml:space="preserve"> also appoints the Building Services Board, which is responsible for statutory functions like determining conditions on, amending, and cancelling the registration of builders, and determining disciplinary actions on complaints forwarded by the </w:t>
            </w:r>
            <w:r w:rsidR="00BE366E" w:rsidRPr="007D116C">
              <w:rPr>
                <w:rFonts w:ascii="Calibri" w:eastAsia="Times New Roman" w:hAnsi="Calibri" w:cs="Calibri"/>
                <w:sz w:val="20"/>
                <w:szCs w:val="20"/>
                <w:lang w:eastAsia="en-GB"/>
              </w:rPr>
              <w:t>C</w:t>
            </w:r>
            <w:r w:rsidR="00AB0C7D" w:rsidRPr="007D116C">
              <w:rPr>
                <w:rFonts w:ascii="Calibri" w:eastAsia="Times New Roman" w:hAnsi="Calibri" w:cs="Calibri"/>
                <w:sz w:val="20"/>
                <w:szCs w:val="20"/>
                <w:lang w:eastAsia="en-GB"/>
              </w:rPr>
              <w:t>ommissioner.  </w:t>
            </w:r>
          </w:p>
        </w:tc>
        <w:tc>
          <w:tcPr>
            <w:tcW w:w="2655" w:type="dxa"/>
            <w:tcBorders>
              <w:top w:val="nil"/>
              <w:left w:val="nil"/>
              <w:bottom w:val="single" w:sz="6" w:space="0" w:color="auto"/>
              <w:right w:val="single" w:sz="6" w:space="0" w:color="auto"/>
            </w:tcBorders>
            <w:shd w:val="clear" w:color="auto" w:fill="D9D9D9" w:themeFill="background1" w:themeFillShade="D9"/>
            <w:hideMark/>
          </w:tcPr>
          <w:p w14:paraId="45704728" w14:textId="5D3F631A" w:rsidR="00AB0C7D" w:rsidRPr="007D116C" w:rsidRDefault="6D4215AE" w:rsidP="00A41974">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Building and Energy is responsible for regulation, enforcement, inspection, consumer complaints, and the registration or licensing of builders, building surveyors, adjudicators, electrical workers, gas fitters, painters, and plumbers.</w:t>
            </w:r>
            <w:r w:rsidR="00F97962" w:rsidRPr="007D116C">
              <w:rPr>
                <w:rStyle w:val="FootnoteReference"/>
                <w:sz w:val="20"/>
                <w:szCs w:val="20"/>
              </w:rPr>
              <w:footnoteReference w:id="53"/>
            </w:r>
            <w:r w:rsidRPr="007D116C">
              <w:rPr>
                <w:rFonts w:ascii="Calibri" w:eastAsia="Times New Roman" w:hAnsi="Calibri" w:cs="Calibri"/>
                <w:sz w:val="20"/>
                <w:szCs w:val="20"/>
                <w:lang w:eastAsia="en-GB"/>
              </w:rPr>
              <w:t xml:space="preserve">  Per s 86 of the above act, the Building </w:t>
            </w:r>
            <w:r w:rsidR="5965F5A9"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 is responsible for functions including administering the Building Services Board, research and training, the provision of information relevant to building standards and consumer protection, auditing building work, handling complaints. The Building Services Board is responsible for the functions related to registration.  </w:t>
            </w:r>
          </w:p>
        </w:tc>
      </w:tr>
    </w:tbl>
    <w:p w14:paraId="63AA40AF" w14:textId="01062E97" w:rsidR="000F2318" w:rsidRPr="007D116C" w:rsidRDefault="3C1D34F9" w:rsidP="502F8547">
      <w:pPr>
        <w:pStyle w:val="ListParagraph"/>
        <w:numPr>
          <w:ilvl w:val="0"/>
          <w:numId w:val="2"/>
        </w:numPr>
        <w:spacing w:before="240"/>
        <w:ind w:left="0" w:hanging="426"/>
        <w:textAlignment w:val="baseline"/>
        <w:rPr>
          <w:rFonts w:ascii="Segoe UI" w:eastAsia="Times New Roman" w:hAnsi="Segoe UI" w:cs="Segoe UI"/>
          <w:lang w:eastAsia="en-GB"/>
        </w:rPr>
      </w:pPr>
      <w:r w:rsidRPr="502F8547">
        <w:rPr>
          <w:rFonts w:ascii="Calibri" w:eastAsia="Times New Roman" w:hAnsi="Calibri" w:cs="Calibri"/>
          <w:lang w:eastAsia="en-GB"/>
        </w:rPr>
        <w:lastRenderedPageBreak/>
        <w:t xml:space="preserve">The first </w:t>
      </w:r>
      <w:r w:rsidR="486E9345" w:rsidRPr="502F8547">
        <w:rPr>
          <w:rFonts w:ascii="Calibri" w:eastAsia="Times New Roman" w:hAnsi="Calibri" w:cs="Calibri"/>
          <w:lang w:eastAsia="en-GB"/>
        </w:rPr>
        <w:t>feature identified</w:t>
      </w:r>
      <w:r w:rsidRPr="502F8547">
        <w:rPr>
          <w:rFonts w:ascii="Calibri" w:eastAsia="Times New Roman" w:hAnsi="Calibri" w:cs="Calibri"/>
          <w:lang w:eastAsia="en-GB"/>
        </w:rPr>
        <w:t xml:space="preserve"> above was that the QBCC is a one-stop-shop with a wide range of functions. This is unusual in Australia, as can be shown by breaking down some of the information in Table 2: </w:t>
      </w:r>
    </w:p>
    <w:p w14:paraId="1637E272" w14:textId="77777777" w:rsidR="000F2318" w:rsidRPr="007D116C" w:rsidRDefault="00AB0C7D" w:rsidP="000F2318">
      <w:pPr>
        <w:pStyle w:val="ListParagraph"/>
        <w:numPr>
          <w:ilvl w:val="1"/>
          <w:numId w:val="2"/>
        </w:numPr>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t>Table 3 analyses the mainland states by three aspects of their building industry regulatory systems: whether there is a single peak regulator, whether the regulatory system includes an independent statutory authority, and whether there is a board that plays some governance role in the regulatory system. </w:t>
      </w:r>
    </w:p>
    <w:p w14:paraId="32988B78" w14:textId="75132059" w:rsidR="00AB0C7D" w:rsidRPr="007D116C" w:rsidRDefault="00AB0C7D" w:rsidP="000F2318">
      <w:pPr>
        <w:pStyle w:val="ListParagraph"/>
        <w:numPr>
          <w:ilvl w:val="1"/>
          <w:numId w:val="2"/>
        </w:numPr>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t>Table 4 shows alternatives to Queensland’s one</w:t>
      </w:r>
      <w:r w:rsidR="00CE53FD" w:rsidRPr="007D116C">
        <w:rPr>
          <w:rFonts w:ascii="Calibri" w:eastAsia="Times New Roman" w:hAnsi="Calibri" w:cs="Calibri"/>
          <w:lang w:eastAsia="en-GB"/>
        </w:rPr>
        <w:t>-</w:t>
      </w:r>
      <w:r w:rsidRPr="007D116C">
        <w:rPr>
          <w:rFonts w:ascii="Calibri" w:eastAsia="Times New Roman" w:hAnsi="Calibri" w:cs="Calibri"/>
          <w:lang w:eastAsia="en-GB"/>
        </w:rPr>
        <w:t>stop shop model; it analyses the distribution o</w:t>
      </w:r>
      <w:r w:rsidR="000F2318" w:rsidRPr="007D116C">
        <w:rPr>
          <w:rFonts w:ascii="Calibri" w:eastAsia="Times New Roman" w:hAnsi="Calibri" w:cs="Calibri"/>
          <w:lang w:eastAsia="en-GB"/>
        </w:rPr>
        <w:t xml:space="preserve">f </w:t>
      </w:r>
      <w:r w:rsidRPr="007D116C">
        <w:rPr>
          <w:rFonts w:ascii="Calibri" w:eastAsia="Times New Roman" w:hAnsi="Calibri" w:cs="Calibri"/>
          <w:lang w:eastAsia="en-GB"/>
        </w:rPr>
        <w:t xml:space="preserve">regulatory function across different </w:t>
      </w:r>
      <w:r w:rsidR="00FD5ED8" w:rsidRPr="007D116C">
        <w:rPr>
          <w:rFonts w:ascii="Calibri" w:eastAsia="Times New Roman" w:hAnsi="Calibri" w:cs="Calibri"/>
          <w:lang w:eastAsia="en-GB"/>
        </w:rPr>
        <w:t xml:space="preserve">agencies </w:t>
      </w:r>
      <w:r w:rsidRPr="007D116C">
        <w:rPr>
          <w:rFonts w:ascii="Calibri" w:eastAsia="Times New Roman" w:hAnsi="Calibri" w:cs="Calibri"/>
          <w:lang w:eastAsia="en-GB"/>
        </w:rPr>
        <w:t>with</w:t>
      </w:r>
      <w:r w:rsidR="00FD5ED8" w:rsidRPr="007D116C">
        <w:rPr>
          <w:rFonts w:ascii="Calibri" w:eastAsia="Times New Roman" w:hAnsi="Calibri" w:cs="Calibri"/>
          <w:lang w:eastAsia="en-GB"/>
        </w:rPr>
        <w:t>in</w:t>
      </w:r>
      <w:r w:rsidRPr="007D116C">
        <w:rPr>
          <w:rFonts w:ascii="Calibri" w:eastAsia="Times New Roman" w:hAnsi="Calibri" w:cs="Calibri"/>
          <w:lang w:eastAsia="en-GB"/>
        </w:rPr>
        <w:t xml:space="preserve"> the mainland states  </w:t>
      </w:r>
    </w:p>
    <w:p w14:paraId="212B57A8" w14:textId="77777777" w:rsidR="00AB0C7D" w:rsidRPr="007D116C" w:rsidRDefault="00AB0C7D" w:rsidP="00F323AD">
      <w:pPr>
        <w:pStyle w:val="Heading3"/>
        <w:rPr>
          <w:rFonts w:ascii="Segoe UI" w:hAnsi="Segoe UI" w:cs="Segoe UI"/>
          <w:szCs w:val="22"/>
          <w:lang w:eastAsia="en-GB"/>
        </w:rPr>
      </w:pPr>
      <w:bookmarkStart w:id="14" w:name="_Toc98853493"/>
      <w:bookmarkStart w:id="15" w:name="_Toc100599129"/>
      <w:r w:rsidRPr="007D116C">
        <w:rPr>
          <w:szCs w:val="22"/>
          <w:lang w:eastAsia="en-GB"/>
        </w:rPr>
        <w:t>Table 3: Regulatory systems, mainland states </w:t>
      </w:r>
      <w:bookmarkEnd w:id="14"/>
      <w:bookmarkEnd w:id="15"/>
      <w:r w:rsidRPr="007D116C">
        <w:rPr>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620"/>
        <w:gridCol w:w="1800"/>
        <w:gridCol w:w="1800"/>
      </w:tblGrid>
      <w:tr w:rsidR="007D116C" w:rsidRPr="007D116C" w14:paraId="2019E0BF" w14:textId="77777777" w:rsidTr="00AB0C7D">
        <w:tc>
          <w:tcPr>
            <w:tcW w:w="1980" w:type="dxa"/>
            <w:tcBorders>
              <w:top w:val="single" w:sz="6" w:space="0" w:color="auto"/>
              <w:left w:val="single" w:sz="6" w:space="0" w:color="auto"/>
              <w:bottom w:val="single" w:sz="12" w:space="0" w:color="auto"/>
              <w:right w:val="single" w:sz="6" w:space="0" w:color="auto"/>
            </w:tcBorders>
            <w:shd w:val="clear" w:color="auto" w:fill="000000"/>
            <w:hideMark/>
          </w:tcPr>
          <w:p w14:paraId="16CE9270" w14:textId="467167D0" w:rsidR="00AB0C7D" w:rsidRPr="007D116C" w:rsidRDefault="00AB0C7D" w:rsidP="004913AB">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lang w:eastAsia="en-GB"/>
              </w:rPr>
              <w:t> </w:t>
            </w:r>
          </w:p>
        </w:tc>
        <w:tc>
          <w:tcPr>
            <w:tcW w:w="1620" w:type="dxa"/>
            <w:tcBorders>
              <w:top w:val="single" w:sz="6" w:space="0" w:color="auto"/>
              <w:left w:val="nil"/>
              <w:bottom w:val="single" w:sz="12" w:space="0" w:color="auto"/>
              <w:right w:val="single" w:sz="6" w:space="0" w:color="auto"/>
            </w:tcBorders>
            <w:shd w:val="clear" w:color="auto" w:fill="000000"/>
            <w:hideMark/>
          </w:tcPr>
          <w:p w14:paraId="0DD49454" w14:textId="07A86BE9" w:rsidR="00AB0C7D" w:rsidRPr="007D116C" w:rsidRDefault="00AB0C7D" w:rsidP="004913AB">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lang w:eastAsia="en-GB"/>
              </w:rPr>
              <w:t>Single peak regulator? </w:t>
            </w:r>
          </w:p>
        </w:tc>
        <w:tc>
          <w:tcPr>
            <w:tcW w:w="1800" w:type="dxa"/>
            <w:tcBorders>
              <w:top w:val="single" w:sz="6" w:space="0" w:color="auto"/>
              <w:left w:val="nil"/>
              <w:bottom w:val="single" w:sz="12" w:space="0" w:color="auto"/>
              <w:right w:val="single" w:sz="6" w:space="0" w:color="auto"/>
            </w:tcBorders>
            <w:shd w:val="clear" w:color="auto" w:fill="000000"/>
            <w:hideMark/>
          </w:tcPr>
          <w:p w14:paraId="2F4B127D" w14:textId="634078D9" w:rsidR="00AB0C7D" w:rsidRPr="007D116C" w:rsidRDefault="00AB0C7D" w:rsidP="004913AB">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lang w:eastAsia="en-GB"/>
              </w:rPr>
              <w:t>Independent statutory authority? </w:t>
            </w:r>
          </w:p>
        </w:tc>
        <w:tc>
          <w:tcPr>
            <w:tcW w:w="1800" w:type="dxa"/>
            <w:tcBorders>
              <w:top w:val="single" w:sz="6" w:space="0" w:color="auto"/>
              <w:left w:val="nil"/>
              <w:bottom w:val="single" w:sz="12" w:space="0" w:color="auto"/>
              <w:right w:val="single" w:sz="6" w:space="0" w:color="auto"/>
            </w:tcBorders>
            <w:shd w:val="clear" w:color="auto" w:fill="000000"/>
            <w:hideMark/>
          </w:tcPr>
          <w:p w14:paraId="6E11132F" w14:textId="3B69074E" w:rsidR="00AB0C7D" w:rsidRPr="007D116C" w:rsidRDefault="00AB0C7D" w:rsidP="004913AB">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lang w:eastAsia="en-GB"/>
              </w:rPr>
              <w:t>Board with governance functions? </w:t>
            </w:r>
          </w:p>
        </w:tc>
      </w:tr>
      <w:tr w:rsidR="007D116C" w:rsidRPr="007D116C" w14:paraId="2FB71400" w14:textId="77777777" w:rsidTr="00AB0C7D">
        <w:tc>
          <w:tcPr>
            <w:tcW w:w="1980" w:type="dxa"/>
            <w:tcBorders>
              <w:top w:val="single" w:sz="12" w:space="0" w:color="auto"/>
              <w:left w:val="single" w:sz="6" w:space="0" w:color="auto"/>
              <w:bottom w:val="single" w:sz="6" w:space="0" w:color="auto"/>
              <w:right w:val="single" w:sz="6" w:space="0" w:color="auto"/>
            </w:tcBorders>
            <w:shd w:val="clear" w:color="auto" w:fill="D9D9D9"/>
            <w:hideMark/>
          </w:tcPr>
          <w:p w14:paraId="1BCFBDCE"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Queensland  </w:t>
            </w:r>
          </w:p>
        </w:tc>
        <w:tc>
          <w:tcPr>
            <w:tcW w:w="1620" w:type="dxa"/>
            <w:tcBorders>
              <w:top w:val="single" w:sz="12" w:space="0" w:color="auto"/>
              <w:left w:val="nil"/>
              <w:bottom w:val="single" w:sz="6" w:space="0" w:color="auto"/>
              <w:right w:val="single" w:sz="6" w:space="0" w:color="auto"/>
            </w:tcBorders>
            <w:shd w:val="clear" w:color="auto" w:fill="D9D9D9"/>
            <w:hideMark/>
          </w:tcPr>
          <w:p w14:paraId="0BB14714" w14:textId="4990540F"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c>
          <w:tcPr>
            <w:tcW w:w="1800" w:type="dxa"/>
            <w:tcBorders>
              <w:top w:val="single" w:sz="12" w:space="0" w:color="auto"/>
              <w:left w:val="nil"/>
              <w:bottom w:val="single" w:sz="6" w:space="0" w:color="auto"/>
              <w:right w:val="single" w:sz="6" w:space="0" w:color="auto"/>
            </w:tcBorders>
            <w:shd w:val="clear" w:color="auto" w:fill="D9D9D9"/>
            <w:hideMark/>
          </w:tcPr>
          <w:p w14:paraId="2B00896F" w14:textId="40F59353"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c>
          <w:tcPr>
            <w:tcW w:w="1800" w:type="dxa"/>
            <w:tcBorders>
              <w:top w:val="single" w:sz="12" w:space="0" w:color="auto"/>
              <w:left w:val="nil"/>
              <w:bottom w:val="single" w:sz="6" w:space="0" w:color="auto"/>
              <w:right w:val="single" w:sz="6" w:space="0" w:color="auto"/>
            </w:tcBorders>
            <w:shd w:val="clear" w:color="auto" w:fill="D9D9D9"/>
            <w:hideMark/>
          </w:tcPr>
          <w:p w14:paraId="4EA51F85" w14:textId="2821A2C2"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r>
      <w:tr w:rsidR="007D116C" w:rsidRPr="007D116C" w14:paraId="12558000"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1D86FFF2"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New South Wales  </w:t>
            </w:r>
          </w:p>
        </w:tc>
        <w:tc>
          <w:tcPr>
            <w:tcW w:w="1620" w:type="dxa"/>
            <w:tcBorders>
              <w:top w:val="nil"/>
              <w:left w:val="nil"/>
              <w:bottom w:val="single" w:sz="6" w:space="0" w:color="auto"/>
              <w:right w:val="single" w:sz="6" w:space="0" w:color="auto"/>
            </w:tcBorders>
            <w:shd w:val="clear" w:color="auto" w:fill="FFFFFF" w:themeFill="background1"/>
            <w:hideMark/>
          </w:tcPr>
          <w:p w14:paraId="5F15A660" w14:textId="2D6DAA85"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w:t>
            </w:r>
          </w:p>
        </w:tc>
        <w:tc>
          <w:tcPr>
            <w:tcW w:w="1800" w:type="dxa"/>
            <w:tcBorders>
              <w:top w:val="nil"/>
              <w:left w:val="nil"/>
              <w:bottom w:val="single" w:sz="6" w:space="0" w:color="auto"/>
              <w:right w:val="single" w:sz="6" w:space="0" w:color="auto"/>
            </w:tcBorders>
            <w:shd w:val="clear" w:color="auto" w:fill="FFFFFF" w:themeFill="background1"/>
            <w:hideMark/>
          </w:tcPr>
          <w:p w14:paraId="5C9CAB4E" w14:textId="63337313"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c>
          <w:tcPr>
            <w:tcW w:w="1800" w:type="dxa"/>
            <w:tcBorders>
              <w:top w:val="nil"/>
              <w:left w:val="nil"/>
              <w:bottom w:val="single" w:sz="6" w:space="0" w:color="auto"/>
              <w:right w:val="single" w:sz="6" w:space="0" w:color="auto"/>
            </w:tcBorders>
            <w:shd w:val="clear" w:color="auto" w:fill="FFFFFF" w:themeFill="background1"/>
            <w:hideMark/>
          </w:tcPr>
          <w:p w14:paraId="0164C7E6" w14:textId="47D29A09"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w:t>
            </w:r>
          </w:p>
        </w:tc>
      </w:tr>
      <w:tr w:rsidR="007D116C" w:rsidRPr="007D116C" w14:paraId="691E2909"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751C3160"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Victoria  </w:t>
            </w:r>
          </w:p>
        </w:tc>
        <w:tc>
          <w:tcPr>
            <w:tcW w:w="1620" w:type="dxa"/>
            <w:tcBorders>
              <w:top w:val="nil"/>
              <w:left w:val="nil"/>
              <w:bottom w:val="single" w:sz="6" w:space="0" w:color="auto"/>
              <w:right w:val="single" w:sz="6" w:space="0" w:color="auto"/>
            </w:tcBorders>
            <w:shd w:val="clear" w:color="auto" w:fill="FFFFFF" w:themeFill="background1"/>
            <w:hideMark/>
          </w:tcPr>
          <w:p w14:paraId="559F301D" w14:textId="756C27F4"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c>
          <w:tcPr>
            <w:tcW w:w="1800" w:type="dxa"/>
            <w:tcBorders>
              <w:top w:val="nil"/>
              <w:left w:val="nil"/>
              <w:bottom w:val="single" w:sz="6" w:space="0" w:color="auto"/>
              <w:right w:val="single" w:sz="6" w:space="0" w:color="auto"/>
            </w:tcBorders>
            <w:shd w:val="clear" w:color="auto" w:fill="FFFFFF" w:themeFill="background1"/>
            <w:hideMark/>
          </w:tcPr>
          <w:p w14:paraId="5705B0E9" w14:textId="5145AFEE"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c>
          <w:tcPr>
            <w:tcW w:w="1800" w:type="dxa"/>
            <w:tcBorders>
              <w:top w:val="nil"/>
              <w:left w:val="nil"/>
              <w:bottom w:val="single" w:sz="6" w:space="0" w:color="auto"/>
              <w:right w:val="single" w:sz="6" w:space="0" w:color="auto"/>
            </w:tcBorders>
            <w:shd w:val="clear" w:color="auto" w:fill="FFFFFF" w:themeFill="background1"/>
            <w:hideMark/>
          </w:tcPr>
          <w:p w14:paraId="1060B576" w14:textId="797B13B3"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r>
      <w:tr w:rsidR="007D116C" w:rsidRPr="007D116C" w14:paraId="2C632A5D"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45192ED0"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Western Australia  </w:t>
            </w:r>
          </w:p>
        </w:tc>
        <w:tc>
          <w:tcPr>
            <w:tcW w:w="1620" w:type="dxa"/>
            <w:tcBorders>
              <w:top w:val="nil"/>
              <w:left w:val="nil"/>
              <w:bottom w:val="single" w:sz="6" w:space="0" w:color="auto"/>
              <w:right w:val="single" w:sz="6" w:space="0" w:color="auto"/>
            </w:tcBorders>
            <w:shd w:val="clear" w:color="auto" w:fill="FFFFFF" w:themeFill="background1"/>
            <w:hideMark/>
          </w:tcPr>
          <w:p w14:paraId="7225B4A8" w14:textId="01AFBCDB"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c>
          <w:tcPr>
            <w:tcW w:w="1800" w:type="dxa"/>
            <w:tcBorders>
              <w:top w:val="nil"/>
              <w:left w:val="nil"/>
              <w:bottom w:val="single" w:sz="6" w:space="0" w:color="auto"/>
              <w:right w:val="single" w:sz="6" w:space="0" w:color="auto"/>
            </w:tcBorders>
            <w:shd w:val="clear" w:color="auto" w:fill="FFFFFF" w:themeFill="background1"/>
            <w:hideMark/>
          </w:tcPr>
          <w:p w14:paraId="2B907BBB" w14:textId="4DECD6BA"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w:t>
            </w:r>
          </w:p>
        </w:tc>
        <w:tc>
          <w:tcPr>
            <w:tcW w:w="1800" w:type="dxa"/>
            <w:tcBorders>
              <w:top w:val="nil"/>
              <w:left w:val="nil"/>
              <w:bottom w:val="single" w:sz="6" w:space="0" w:color="auto"/>
              <w:right w:val="single" w:sz="6" w:space="0" w:color="auto"/>
            </w:tcBorders>
            <w:shd w:val="clear" w:color="auto" w:fill="FFFFFF" w:themeFill="background1"/>
            <w:hideMark/>
          </w:tcPr>
          <w:p w14:paraId="60E78195" w14:textId="11F68E1E"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r>
      <w:tr w:rsidR="007D116C" w:rsidRPr="007D116C" w14:paraId="1D0ABE66"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735D0793"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South Australia  </w:t>
            </w:r>
          </w:p>
        </w:tc>
        <w:tc>
          <w:tcPr>
            <w:tcW w:w="1620" w:type="dxa"/>
            <w:tcBorders>
              <w:top w:val="nil"/>
              <w:left w:val="nil"/>
              <w:bottom w:val="single" w:sz="6" w:space="0" w:color="auto"/>
              <w:right w:val="single" w:sz="6" w:space="0" w:color="auto"/>
            </w:tcBorders>
            <w:shd w:val="clear" w:color="auto" w:fill="FFFFFF" w:themeFill="background1"/>
            <w:hideMark/>
          </w:tcPr>
          <w:p w14:paraId="52F891C8" w14:textId="3AB6D8A2"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w:t>
            </w:r>
          </w:p>
        </w:tc>
        <w:tc>
          <w:tcPr>
            <w:tcW w:w="1800" w:type="dxa"/>
            <w:tcBorders>
              <w:top w:val="nil"/>
              <w:left w:val="nil"/>
              <w:bottom w:val="single" w:sz="6" w:space="0" w:color="auto"/>
              <w:right w:val="single" w:sz="6" w:space="0" w:color="auto"/>
            </w:tcBorders>
            <w:shd w:val="clear" w:color="auto" w:fill="FFFFFF" w:themeFill="background1"/>
            <w:hideMark/>
          </w:tcPr>
          <w:p w14:paraId="24FD7768" w14:textId="13A1A07C"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w:t>
            </w:r>
          </w:p>
        </w:tc>
        <w:tc>
          <w:tcPr>
            <w:tcW w:w="1800" w:type="dxa"/>
            <w:tcBorders>
              <w:top w:val="nil"/>
              <w:left w:val="nil"/>
              <w:bottom w:val="single" w:sz="6" w:space="0" w:color="auto"/>
              <w:right w:val="single" w:sz="6" w:space="0" w:color="auto"/>
            </w:tcBorders>
            <w:shd w:val="clear" w:color="auto" w:fill="FFFFFF" w:themeFill="background1"/>
            <w:hideMark/>
          </w:tcPr>
          <w:p w14:paraId="2ADA8AC7" w14:textId="3A968286" w:rsidR="00AB0C7D" w:rsidRPr="007D116C" w:rsidRDefault="00AB0C7D" w:rsidP="00B16AD3">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w:t>
            </w:r>
          </w:p>
        </w:tc>
      </w:tr>
    </w:tbl>
    <w:p w14:paraId="40371B2F" w14:textId="77777777" w:rsidR="00AB0C7D" w:rsidRPr="007D116C" w:rsidRDefault="00AB0C7D" w:rsidP="00AB0C7D">
      <w:pPr>
        <w:spacing w:after="0" w:line="240" w:lineRule="auto"/>
        <w:textAlignment w:val="baseline"/>
        <w:rPr>
          <w:rFonts w:ascii="Segoe UI" w:eastAsia="Times New Roman" w:hAnsi="Segoe UI" w:cs="Segoe UI"/>
          <w:lang w:eastAsia="en-GB"/>
        </w:rPr>
      </w:pPr>
      <w:r w:rsidRPr="007D116C">
        <w:rPr>
          <w:rFonts w:ascii="Calibri" w:eastAsia="Times New Roman" w:hAnsi="Calibri" w:cs="Calibri"/>
          <w:lang w:eastAsia="en-GB"/>
        </w:rPr>
        <w:t>  </w:t>
      </w:r>
    </w:p>
    <w:p w14:paraId="1D1AA288" w14:textId="77777777" w:rsidR="00AB0C7D" w:rsidRPr="007D116C" w:rsidRDefault="00AB0C7D" w:rsidP="00F323AD">
      <w:pPr>
        <w:pStyle w:val="Heading3"/>
        <w:rPr>
          <w:rFonts w:ascii="Segoe UI" w:hAnsi="Segoe UI" w:cs="Segoe UI"/>
          <w:szCs w:val="22"/>
          <w:lang w:eastAsia="en-GB"/>
        </w:rPr>
      </w:pPr>
      <w:bookmarkStart w:id="16" w:name="_Toc98853494"/>
      <w:bookmarkStart w:id="17" w:name="_Toc100599130"/>
      <w:r w:rsidRPr="007D116C">
        <w:rPr>
          <w:szCs w:val="22"/>
          <w:lang w:eastAsia="en-GB"/>
        </w:rPr>
        <w:t>Table 4: Distribution of construction industry regulation functions, mainland states </w:t>
      </w:r>
      <w:bookmarkEnd w:id="16"/>
      <w:bookmarkEnd w:id="17"/>
      <w:r w:rsidRPr="007D116C">
        <w:rPr>
          <w:szCs w:val="22"/>
          <w:lang w:eastAsia="en-GB"/>
        </w:rPr>
        <w:t> </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1466"/>
        <w:gridCol w:w="990"/>
        <w:gridCol w:w="1080"/>
        <w:gridCol w:w="1065"/>
        <w:gridCol w:w="810"/>
        <w:gridCol w:w="1185"/>
        <w:gridCol w:w="975"/>
        <w:gridCol w:w="795"/>
      </w:tblGrid>
      <w:tr w:rsidR="007D116C" w:rsidRPr="007D116C" w14:paraId="1030B17E" w14:textId="77777777" w:rsidTr="0099465F">
        <w:tc>
          <w:tcPr>
            <w:tcW w:w="559" w:type="dxa"/>
            <w:tcBorders>
              <w:top w:val="single" w:sz="6" w:space="0" w:color="000000"/>
              <w:left w:val="single" w:sz="6" w:space="0" w:color="000000"/>
              <w:bottom w:val="single" w:sz="6" w:space="0" w:color="000000"/>
              <w:right w:val="nil"/>
            </w:tcBorders>
            <w:shd w:val="clear" w:color="auto" w:fill="000000"/>
            <w:hideMark/>
          </w:tcPr>
          <w:p w14:paraId="21DA07AF" w14:textId="474A1972"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 </w:t>
            </w:r>
          </w:p>
        </w:tc>
        <w:tc>
          <w:tcPr>
            <w:tcW w:w="1466" w:type="dxa"/>
            <w:tcBorders>
              <w:top w:val="single" w:sz="6" w:space="0" w:color="000000"/>
              <w:left w:val="nil"/>
              <w:bottom w:val="single" w:sz="6" w:space="0" w:color="000000"/>
              <w:right w:val="nil"/>
            </w:tcBorders>
            <w:shd w:val="clear" w:color="auto" w:fill="000000"/>
            <w:hideMark/>
          </w:tcPr>
          <w:p w14:paraId="44659AF7" w14:textId="00BF09A7"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Licensing and registration </w:t>
            </w:r>
          </w:p>
        </w:tc>
        <w:tc>
          <w:tcPr>
            <w:tcW w:w="990" w:type="dxa"/>
            <w:tcBorders>
              <w:top w:val="single" w:sz="6" w:space="0" w:color="000000"/>
              <w:left w:val="nil"/>
              <w:bottom w:val="single" w:sz="6" w:space="0" w:color="000000"/>
              <w:right w:val="nil"/>
            </w:tcBorders>
            <w:shd w:val="clear" w:color="auto" w:fill="000000"/>
            <w:hideMark/>
          </w:tcPr>
          <w:p w14:paraId="08F6E022" w14:textId="3BE1F9F9"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Site inspections </w:t>
            </w:r>
          </w:p>
        </w:tc>
        <w:tc>
          <w:tcPr>
            <w:tcW w:w="1080" w:type="dxa"/>
            <w:tcBorders>
              <w:top w:val="single" w:sz="6" w:space="0" w:color="000000"/>
              <w:left w:val="nil"/>
              <w:bottom w:val="single" w:sz="6" w:space="0" w:color="000000"/>
              <w:right w:val="nil"/>
            </w:tcBorders>
            <w:shd w:val="clear" w:color="auto" w:fill="000000"/>
            <w:hideMark/>
          </w:tcPr>
          <w:p w14:paraId="02012922" w14:textId="673FA909"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Rectification orders </w:t>
            </w:r>
          </w:p>
        </w:tc>
        <w:tc>
          <w:tcPr>
            <w:tcW w:w="1065" w:type="dxa"/>
            <w:tcBorders>
              <w:top w:val="single" w:sz="6" w:space="0" w:color="000000"/>
              <w:left w:val="nil"/>
              <w:bottom w:val="single" w:sz="6" w:space="0" w:color="000000"/>
              <w:right w:val="nil"/>
            </w:tcBorders>
            <w:shd w:val="clear" w:color="auto" w:fill="000000"/>
            <w:hideMark/>
          </w:tcPr>
          <w:p w14:paraId="0193BA59" w14:textId="1044B2F0"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Certification of building products </w:t>
            </w:r>
          </w:p>
        </w:tc>
        <w:tc>
          <w:tcPr>
            <w:tcW w:w="810" w:type="dxa"/>
            <w:tcBorders>
              <w:top w:val="single" w:sz="6" w:space="0" w:color="000000"/>
              <w:left w:val="nil"/>
              <w:bottom w:val="single" w:sz="6" w:space="0" w:color="000000"/>
              <w:right w:val="nil"/>
            </w:tcBorders>
            <w:shd w:val="clear" w:color="auto" w:fill="000000"/>
            <w:hideMark/>
          </w:tcPr>
          <w:p w14:paraId="1B609645" w14:textId="36914D8C"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Payment security  </w:t>
            </w:r>
          </w:p>
        </w:tc>
        <w:tc>
          <w:tcPr>
            <w:tcW w:w="1185" w:type="dxa"/>
            <w:tcBorders>
              <w:top w:val="single" w:sz="6" w:space="0" w:color="000000"/>
              <w:left w:val="nil"/>
              <w:bottom w:val="single" w:sz="6" w:space="0" w:color="000000"/>
              <w:right w:val="nil"/>
            </w:tcBorders>
            <w:shd w:val="clear" w:color="auto" w:fill="000000"/>
            <w:hideMark/>
          </w:tcPr>
          <w:p w14:paraId="63718670" w14:textId="7F58BBB6"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Adjudications </w:t>
            </w:r>
          </w:p>
        </w:tc>
        <w:tc>
          <w:tcPr>
            <w:tcW w:w="975" w:type="dxa"/>
            <w:tcBorders>
              <w:top w:val="single" w:sz="6" w:space="0" w:color="000000"/>
              <w:left w:val="nil"/>
              <w:bottom w:val="single" w:sz="6" w:space="0" w:color="000000"/>
              <w:right w:val="nil"/>
            </w:tcBorders>
            <w:shd w:val="clear" w:color="auto" w:fill="000000"/>
            <w:hideMark/>
          </w:tcPr>
          <w:p w14:paraId="153F5849" w14:textId="0A263CBE"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Consumer complaints </w:t>
            </w:r>
          </w:p>
        </w:tc>
        <w:tc>
          <w:tcPr>
            <w:tcW w:w="795" w:type="dxa"/>
            <w:tcBorders>
              <w:top w:val="single" w:sz="6" w:space="0" w:color="000000"/>
              <w:left w:val="nil"/>
              <w:bottom w:val="single" w:sz="6" w:space="0" w:color="000000"/>
              <w:right w:val="single" w:sz="6" w:space="0" w:color="000000"/>
            </w:tcBorders>
            <w:shd w:val="clear" w:color="auto" w:fill="000000"/>
            <w:hideMark/>
          </w:tcPr>
          <w:p w14:paraId="3A2A9F5E" w14:textId="77F4EFCE" w:rsidR="00AB0C7D" w:rsidRPr="007D116C" w:rsidRDefault="00AB0C7D" w:rsidP="004913AB">
            <w:pPr>
              <w:spacing w:after="0" w:line="240" w:lineRule="auto"/>
              <w:jc w:val="center"/>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Publicity </w:t>
            </w:r>
          </w:p>
        </w:tc>
      </w:tr>
      <w:tr w:rsidR="007D116C" w:rsidRPr="007D116C" w14:paraId="4453D682" w14:textId="77777777" w:rsidTr="0099465F">
        <w:tc>
          <w:tcPr>
            <w:tcW w:w="559" w:type="dxa"/>
            <w:tcBorders>
              <w:top w:val="nil"/>
              <w:left w:val="single" w:sz="6" w:space="0" w:color="auto"/>
              <w:bottom w:val="single" w:sz="6" w:space="0" w:color="auto"/>
              <w:right w:val="single" w:sz="6" w:space="0" w:color="auto"/>
            </w:tcBorders>
            <w:shd w:val="clear" w:color="auto" w:fill="CCCCCC"/>
            <w:hideMark/>
          </w:tcPr>
          <w:p w14:paraId="3715E82B"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QLD </w:t>
            </w:r>
            <w:r w:rsidRPr="007D116C">
              <w:rPr>
                <w:rFonts w:ascii="Calibri" w:eastAsia="Times New Roman" w:hAnsi="Calibri" w:cs="Calibri"/>
                <w:sz w:val="20"/>
                <w:szCs w:val="20"/>
                <w:lang w:eastAsia="en-GB"/>
              </w:rPr>
              <w:t> </w:t>
            </w:r>
          </w:p>
        </w:tc>
        <w:tc>
          <w:tcPr>
            <w:tcW w:w="1466" w:type="dxa"/>
            <w:tcBorders>
              <w:top w:val="nil"/>
              <w:left w:val="nil"/>
              <w:bottom w:val="single" w:sz="6" w:space="0" w:color="auto"/>
              <w:right w:val="single" w:sz="6" w:space="0" w:color="auto"/>
            </w:tcBorders>
            <w:shd w:val="clear" w:color="auto" w:fill="CCCCCC"/>
            <w:hideMark/>
          </w:tcPr>
          <w:p w14:paraId="5E7898B4"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c>
          <w:tcPr>
            <w:tcW w:w="990" w:type="dxa"/>
            <w:tcBorders>
              <w:top w:val="nil"/>
              <w:left w:val="nil"/>
              <w:bottom w:val="single" w:sz="6" w:space="0" w:color="auto"/>
              <w:right w:val="single" w:sz="6" w:space="0" w:color="auto"/>
            </w:tcBorders>
            <w:shd w:val="clear" w:color="auto" w:fill="CCCCCC"/>
            <w:hideMark/>
          </w:tcPr>
          <w:p w14:paraId="53871E7C"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c>
          <w:tcPr>
            <w:tcW w:w="1080" w:type="dxa"/>
            <w:tcBorders>
              <w:top w:val="nil"/>
              <w:left w:val="nil"/>
              <w:bottom w:val="single" w:sz="6" w:space="0" w:color="auto"/>
              <w:right w:val="single" w:sz="6" w:space="0" w:color="auto"/>
            </w:tcBorders>
            <w:shd w:val="clear" w:color="auto" w:fill="CCCCCC"/>
            <w:hideMark/>
          </w:tcPr>
          <w:p w14:paraId="01A966DF"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c>
          <w:tcPr>
            <w:tcW w:w="1065" w:type="dxa"/>
            <w:tcBorders>
              <w:top w:val="nil"/>
              <w:left w:val="nil"/>
              <w:bottom w:val="single" w:sz="6" w:space="0" w:color="auto"/>
              <w:right w:val="single" w:sz="6" w:space="0" w:color="auto"/>
            </w:tcBorders>
            <w:shd w:val="clear" w:color="auto" w:fill="CCCCCC"/>
            <w:hideMark/>
          </w:tcPr>
          <w:p w14:paraId="5ADC3B19"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c>
          <w:tcPr>
            <w:tcW w:w="810" w:type="dxa"/>
            <w:tcBorders>
              <w:top w:val="nil"/>
              <w:left w:val="nil"/>
              <w:bottom w:val="single" w:sz="6" w:space="0" w:color="auto"/>
              <w:right w:val="single" w:sz="6" w:space="0" w:color="auto"/>
            </w:tcBorders>
            <w:shd w:val="clear" w:color="auto" w:fill="CCCCCC"/>
            <w:hideMark/>
          </w:tcPr>
          <w:p w14:paraId="4DD40FDD"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c>
          <w:tcPr>
            <w:tcW w:w="1185" w:type="dxa"/>
            <w:tcBorders>
              <w:top w:val="nil"/>
              <w:left w:val="nil"/>
              <w:bottom w:val="single" w:sz="6" w:space="0" w:color="auto"/>
              <w:right w:val="single" w:sz="6" w:space="0" w:color="auto"/>
            </w:tcBorders>
            <w:shd w:val="clear" w:color="auto" w:fill="CCCCCC"/>
            <w:hideMark/>
          </w:tcPr>
          <w:p w14:paraId="5B717829"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c>
          <w:tcPr>
            <w:tcW w:w="975" w:type="dxa"/>
            <w:tcBorders>
              <w:top w:val="nil"/>
              <w:left w:val="nil"/>
              <w:bottom w:val="single" w:sz="6" w:space="0" w:color="auto"/>
              <w:right w:val="single" w:sz="6" w:space="0" w:color="auto"/>
            </w:tcBorders>
            <w:shd w:val="clear" w:color="auto" w:fill="CCCCCC"/>
            <w:hideMark/>
          </w:tcPr>
          <w:p w14:paraId="2B1BA5CC"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c>
          <w:tcPr>
            <w:tcW w:w="795" w:type="dxa"/>
            <w:tcBorders>
              <w:top w:val="nil"/>
              <w:left w:val="nil"/>
              <w:bottom w:val="single" w:sz="6" w:space="0" w:color="auto"/>
              <w:right w:val="single" w:sz="6" w:space="0" w:color="auto"/>
            </w:tcBorders>
            <w:shd w:val="clear" w:color="auto" w:fill="CCCCCC"/>
            <w:hideMark/>
          </w:tcPr>
          <w:p w14:paraId="5EB441F9"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w:t>
            </w:r>
          </w:p>
        </w:tc>
      </w:tr>
      <w:tr w:rsidR="007D116C" w:rsidRPr="007D116C" w14:paraId="23198190" w14:textId="77777777" w:rsidTr="0099465F">
        <w:tc>
          <w:tcPr>
            <w:tcW w:w="559" w:type="dxa"/>
            <w:tcBorders>
              <w:top w:val="nil"/>
              <w:left w:val="single" w:sz="6" w:space="0" w:color="auto"/>
              <w:bottom w:val="single" w:sz="6" w:space="0" w:color="auto"/>
              <w:right w:val="single" w:sz="6" w:space="0" w:color="auto"/>
            </w:tcBorders>
            <w:shd w:val="clear" w:color="auto" w:fill="FFFFFF" w:themeFill="background1"/>
            <w:hideMark/>
          </w:tcPr>
          <w:p w14:paraId="5F590607"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NSW </w:t>
            </w:r>
            <w:r w:rsidRPr="007D116C">
              <w:rPr>
                <w:rFonts w:ascii="Calibri" w:eastAsia="Times New Roman" w:hAnsi="Calibri" w:cs="Calibri"/>
                <w:sz w:val="20"/>
                <w:szCs w:val="20"/>
                <w:lang w:eastAsia="en-GB"/>
              </w:rPr>
              <w:t> </w:t>
            </w:r>
          </w:p>
        </w:tc>
        <w:tc>
          <w:tcPr>
            <w:tcW w:w="1466" w:type="dxa"/>
            <w:tcBorders>
              <w:top w:val="nil"/>
              <w:left w:val="nil"/>
              <w:bottom w:val="single" w:sz="6" w:space="0" w:color="auto"/>
              <w:right w:val="single" w:sz="6" w:space="0" w:color="auto"/>
            </w:tcBorders>
            <w:shd w:val="clear" w:color="auto" w:fill="FFFFFF" w:themeFill="background1"/>
            <w:hideMark/>
          </w:tcPr>
          <w:p w14:paraId="75491B59"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Service NSW  </w:t>
            </w:r>
          </w:p>
        </w:tc>
        <w:tc>
          <w:tcPr>
            <w:tcW w:w="990" w:type="dxa"/>
            <w:tcBorders>
              <w:top w:val="nil"/>
              <w:left w:val="nil"/>
              <w:bottom w:val="single" w:sz="6" w:space="0" w:color="auto"/>
              <w:right w:val="single" w:sz="6" w:space="0" w:color="auto"/>
            </w:tcBorders>
            <w:shd w:val="clear" w:color="auto" w:fill="FFFFFF" w:themeFill="background1"/>
            <w:hideMark/>
          </w:tcPr>
          <w:p w14:paraId="10AB1940"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Various  </w:t>
            </w:r>
          </w:p>
        </w:tc>
        <w:tc>
          <w:tcPr>
            <w:tcW w:w="1080" w:type="dxa"/>
            <w:tcBorders>
              <w:top w:val="nil"/>
              <w:left w:val="nil"/>
              <w:bottom w:val="single" w:sz="6" w:space="0" w:color="auto"/>
              <w:right w:val="single" w:sz="6" w:space="0" w:color="auto"/>
            </w:tcBorders>
            <w:shd w:val="clear" w:color="auto" w:fill="FFFFFF" w:themeFill="background1"/>
            <w:hideMark/>
          </w:tcPr>
          <w:p w14:paraId="0EF45FBB"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OBC  </w:t>
            </w:r>
          </w:p>
        </w:tc>
        <w:tc>
          <w:tcPr>
            <w:tcW w:w="1065" w:type="dxa"/>
            <w:tcBorders>
              <w:top w:val="nil"/>
              <w:left w:val="nil"/>
              <w:bottom w:val="single" w:sz="6" w:space="0" w:color="auto"/>
              <w:right w:val="single" w:sz="6" w:space="0" w:color="auto"/>
            </w:tcBorders>
            <w:shd w:val="clear" w:color="auto" w:fill="FFFFFF" w:themeFill="background1"/>
            <w:hideMark/>
          </w:tcPr>
          <w:p w14:paraId="5009343E"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NSW Fair Trading  </w:t>
            </w:r>
          </w:p>
        </w:tc>
        <w:tc>
          <w:tcPr>
            <w:tcW w:w="810" w:type="dxa"/>
            <w:tcBorders>
              <w:top w:val="nil"/>
              <w:left w:val="nil"/>
              <w:bottom w:val="single" w:sz="6" w:space="0" w:color="auto"/>
              <w:right w:val="single" w:sz="6" w:space="0" w:color="auto"/>
            </w:tcBorders>
            <w:shd w:val="clear" w:color="auto" w:fill="FFFFFF" w:themeFill="background1"/>
            <w:hideMark/>
          </w:tcPr>
          <w:p w14:paraId="0C2607EB"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NSW Fair Trading  </w:t>
            </w:r>
          </w:p>
        </w:tc>
        <w:tc>
          <w:tcPr>
            <w:tcW w:w="1185" w:type="dxa"/>
            <w:tcBorders>
              <w:top w:val="nil"/>
              <w:left w:val="nil"/>
              <w:bottom w:val="single" w:sz="6" w:space="0" w:color="auto"/>
              <w:right w:val="single" w:sz="6" w:space="0" w:color="auto"/>
            </w:tcBorders>
            <w:shd w:val="clear" w:color="auto" w:fill="FFFFFF" w:themeFill="background1"/>
            <w:hideMark/>
          </w:tcPr>
          <w:p w14:paraId="2A0A6A3C"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NSW Fair Trading  </w:t>
            </w:r>
          </w:p>
        </w:tc>
        <w:tc>
          <w:tcPr>
            <w:tcW w:w="975" w:type="dxa"/>
            <w:tcBorders>
              <w:top w:val="nil"/>
              <w:left w:val="nil"/>
              <w:bottom w:val="single" w:sz="6" w:space="0" w:color="auto"/>
              <w:right w:val="single" w:sz="6" w:space="0" w:color="auto"/>
            </w:tcBorders>
            <w:shd w:val="clear" w:color="auto" w:fill="FFFFFF" w:themeFill="background1"/>
            <w:hideMark/>
          </w:tcPr>
          <w:p w14:paraId="6C9A4B8C"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NSW Fair Trading  </w:t>
            </w:r>
          </w:p>
        </w:tc>
        <w:tc>
          <w:tcPr>
            <w:tcW w:w="795" w:type="dxa"/>
            <w:tcBorders>
              <w:top w:val="nil"/>
              <w:left w:val="nil"/>
              <w:bottom w:val="single" w:sz="6" w:space="0" w:color="auto"/>
              <w:right w:val="single" w:sz="6" w:space="0" w:color="auto"/>
            </w:tcBorders>
            <w:shd w:val="clear" w:color="auto" w:fill="FFFFFF" w:themeFill="background1"/>
            <w:hideMark/>
          </w:tcPr>
          <w:p w14:paraId="76512C32"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Various  </w:t>
            </w:r>
          </w:p>
        </w:tc>
      </w:tr>
      <w:tr w:rsidR="007D116C" w:rsidRPr="007D116C" w14:paraId="222AE275" w14:textId="77777777" w:rsidTr="0099465F">
        <w:tc>
          <w:tcPr>
            <w:tcW w:w="559" w:type="dxa"/>
            <w:tcBorders>
              <w:top w:val="nil"/>
              <w:left w:val="single" w:sz="6" w:space="0" w:color="auto"/>
              <w:bottom w:val="single" w:sz="6" w:space="0" w:color="auto"/>
              <w:right w:val="single" w:sz="6" w:space="0" w:color="auto"/>
            </w:tcBorders>
            <w:shd w:val="clear" w:color="auto" w:fill="FFFFFF" w:themeFill="background1"/>
            <w:hideMark/>
          </w:tcPr>
          <w:p w14:paraId="248C2D7B"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VIC </w:t>
            </w:r>
            <w:r w:rsidRPr="007D116C">
              <w:rPr>
                <w:rFonts w:ascii="Calibri" w:eastAsia="Times New Roman" w:hAnsi="Calibri" w:cs="Calibri"/>
                <w:sz w:val="20"/>
                <w:szCs w:val="20"/>
                <w:lang w:eastAsia="en-GB"/>
              </w:rPr>
              <w:t> </w:t>
            </w:r>
          </w:p>
        </w:tc>
        <w:tc>
          <w:tcPr>
            <w:tcW w:w="1466" w:type="dxa"/>
            <w:tcBorders>
              <w:top w:val="nil"/>
              <w:left w:val="nil"/>
              <w:bottom w:val="single" w:sz="6" w:space="0" w:color="auto"/>
              <w:right w:val="single" w:sz="6" w:space="0" w:color="auto"/>
            </w:tcBorders>
            <w:shd w:val="clear" w:color="auto" w:fill="FFFFFF" w:themeFill="background1"/>
            <w:hideMark/>
          </w:tcPr>
          <w:p w14:paraId="30B99C0E"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c>
          <w:tcPr>
            <w:tcW w:w="990" w:type="dxa"/>
            <w:tcBorders>
              <w:top w:val="nil"/>
              <w:left w:val="nil"/>
              <w:bottom w:val="single" w:sz="6" w:space="0" w:color="auto"/>
              <w:right w:val="single" w:sz="6" w:space="0" w:color="auto"/>
            </w:tcBorders>
            <w:shd w:val="clear" w:color="auto" w:fill="FFFFFF" w:themeFill="background1"/>
            <w:hideMark/>
          </w:tcPr>
          <w:p w14:paraId="5BA48CCA"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c>
          <w:tcPr>
            <w:tcW w:w="1080" w:type="dxa"/>
            <w:tcBorders>
              <w:top w:val="nil"/>
              <w:left w:val="nil"/>
              <w:bottom w:val="single" w:sz="6" w:space="0" w:color="auto"/>
              <w:right w:val="single" w:sz="6" w:space="0" w:color="auto"/>
            </w:tcBorders>
            <w:shd w:val="clear" w:color="auto" w:fill="FFFFFF" w:themeFill="background1"/>
            <w:hideMark/>
          </w:tcPr>
          <w:p w14:paraId="52BA1B11"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c>
          <w:tcPr>
            <w:tcW w:w="1065" w:type="dxa"/>
            <w:tcBorders>
              <w:top w:val="nil"/>
              <w:left w:val="nil"/>
              <w:bottom w:val="single" w:sz="6" w:space="0" w:color="auto"/>
              <w:right w:val="single" w:sz="6" w:space="0" w:color="auto"/>
            </w:tcBorders>
            <w:shd w:val="clear" w:color="auto" w:fill="FFFFFF" w:themeFill="background1"/>
            <w:hideMark/>
          </w:tcPr>
          <w:p w14:paraId="48AD346A"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c>
          <w:tcPr>
            <w:tcW w:w="810" w:type="dxa"/>
            <w:tcBorders>
              <w:top w:val="nil"/>
              <w:left w:val="nil"/>
              <w:bottom w:val="single" w:sz="6" w:space="0" w:color="auto"/>
              <w:right w:val="single" w:sz="6" w:space="0" w:color="auto"/>
            </w:tcBorders>
            <w:shd w:val="clear" w:color="auto" w:fill="FFFFFF" w:themeFill="background1"/>
            <w:hideMark/>
          </w:tcPr>
          <w:p w14:paraId="37C0AD29"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c>
          <w:tcPr>
            <w:tcW w:w="1185" w:type="dxa"/>
            <w:tcBorders>
              <w:top w:val="nil"/>
              <w:left w:val="nil"/>
              <w:bottom w:val="single" w:sz="6" w:space="0" w:color="auto"/>
              <w:right w:val="single" w:sz="6" w:space="0" w:color="auto"/>
            </w:tcBorders>
            <w:shd w:val="clear" w:color="auto" w:fill="FFFFFF" w:themeFill="background1"/>
            <w:hideMark/>
          </w:tcPr>
          <w:p w14:paraId="75BFD1E3"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c>
          <w:tcPr>
            <w:tcW w:w="975" w:type="dxa"/>
            <w:tcBorders>
              <w:top w:val="nil"/>
              <w:left w:val="nil"/>
              <w:bottom w:val="single" w:sz="6" w:space="0" w:color="auto"/>
              <w:right w:val="single" w:sz="6" w:space="0" w:color="auto"/>
            </w:tcBorders>
            <w:shd w:val="clear" w:color="auto" w:fill="FFFFFF" w:themeFill="background1"/>
            <w:hideMark/>
          </w:tcPr>
          <w:p w14:paraId="5AE3E30E"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c>
          <w:tcPr>
            <w:tcW w:w="795" w:type="dxa"/>
            <w:tcBorders>
              <w:top w:val="nil"/>
              <w:left w:val="nil"/>
              <w:bottom w:val="single" w:sz="6" w:space="0" w:color="auto"/>
              <w:right w:val="single" w:sz="6" w:space="0" w:color="auto"/>
            </w:tcBorders>
            <w:shd w:val="clear" w:color="auto" w:fill="FFFFFF" w:themeFill="background1"/>
            <w:hideMark/>
          </w:tcPr>
          <w:p w14:paraId="738A7802"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w:t>
            </w:r>
          </w:p>
        </w:tc>
      </w:tr>
      <w:tr w:rsidR="007D116C" w:rsidRPr="007D116C" w14:paraId="60F23A46" w14:textId="77777777" w:rsidTr="0099465F">
        <w:tc>
          <w:tcPr>
            <w:tcW w:w="559" w:type="dxa"/>
            <w:tcBorders>
              <w:top w:val="nil"/>
              <w:left w:val="single" w:sz="6" w:space="0" w:color="auto"/>
              <w:bottom w:val="single" w:sz="6" w:space="0" w:color="auto"/>
              <w:right w:val="single" w:sz="6" w:space="0" w:color="auto"/>
            </w:tcBorders>
            <w:shd w:val="clear" w:color="auto" w:fill="FFFFFF" w:themeFill="background1"/>
            <w:hideMark/>
          </w:tcPr>
          <w:p w14:paraId="623E748C"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WA </w:t>
            </w:r>
            <w:r w:rsidRPr="007D116C">
              <w:rPr>
                <w:rFonts w:ascii="Calibri" w:eastAsia="Times New Roman" w:hAnsi="Calibri" w:cs="Calibri"/>
                <w:sz w:val="20"/>
                <w:szCs w:val="20"/>
                <w:lang w:eastAsia="en-GB"/>
              </w:rPr>
              <w:t> </w:t>
            </w:r>
          </w:p>
        </w:tc>
        <w:tc>
          <w:tcPr>
            <w:tcW w:w="1466" w:type="dxa"/>
            <w:tcBorders>
              <w:top w:val="nil"/>
              <w:left w:val="nil"/>
              <w:bottom w:val="single" w:sz="6" w:space="0" w:color="auto"/>
              <w:right w:val="single" w:sz="6" w:space="0" w:color="auto"/>
            </w:tcBorders>
            <w:shd w:val="clear" w:color="auto" w:fill="FFFFFF" w:themeFill="background1"/>
            <w:hideMark/>
          </w:tcPr>
          <w:p w14:paraId="110A1B18"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B&amp;E (BSB)  </w:t>
            </w:r>
          </w:p>
        </w:tc>
        <w:tc>
          <w:tcPr>
            <w:tcW w:w="990" w:type="dxa"/>
            <w:tcBorders>
              <w:top w:val="nil"/>
              <w:left w:val="nil"/>
              <w:bottom w:val="single" w:sz="6" w:space="0" w:color="auto"/>
              <w:right w:val="single" w:sz="6" w:space="0" w:color="auto"/>
            </w:tcBorders>
            <w:shd w:val="clear" w:color="auto" w:fill="FFFFFF" w:themeFill="background1"/>
            <w:hideMark/>
          </w:tcPr>
          <w:p w14:paraId="4BBE2157"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B&amp;E  </w:t>
            </w:r>
          </w:p>
        </w:tc>
        <w:tc>
          <w:tcPr>
            <w:tcW w:w="1080" w:type="dxa"/>
            <w:tcBorders>
              <w:top w:val="nil"/>
              <w:left w:val="nil"/>
              <w:bottom w:val="single" w:sz="6" w:space="0" w:color="auto"/>
              <w:right w:val="single" w:sz="6" w:space="0" w:color="auto"/>
            </w:tcBorders>
            <w:shd w:val="clear" w:color="auto" w:fill="FFFFFF" w:themeFill="background1"/>
            <w:hideMark/>
          </w:tcPr>
          <w:p w14:paraId="5811D43B"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B&amp;E  </w:t>
            </w:r>
          </w:p>
        </w:tc>
        <w:tc>
          <w:tcPr>
            <w:tcW w:w="1065" w:type="dxa"/>
            <w:tcBorders>
              <w:top w:val="nil"/>
              <w:left w:val="nil"/>
              <w:bottom w:val="single" w:sz="6" w:space="0" w:color="auto"/>
              <w:right w:val="single" w:sz="6" w:space="0" w:color="auto"/>
            </w:tcBorders>
            <w:shd w:val="clear" w:color="auto" w:fill="FFFFFF" w:themeFill="background1"/>
            <w:hideMark/>
          </w:tcPr>
          <w:p w14:paraId="3F07BC2B"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B&amp;E  </w:t>
            </w:r>
          </w:p>
        </w:tc>
        <w:tc>
          <w:tcPr>
            <w:tcW w:w="810" w:type="dxa"/>
            <w:tcBorders>
              <w:top w:val="nil"/>
              <w:left w:val="nil"/>
              <w:bottom w:val="single" w:sz="6" w:space="0" w:color="auto"/>
              <w:right w:val="single" w:sz="6" w:space="0" w:color="auto"/>
            </w:tcBorders>
            <w:shd w:val="clear" w:color="auto" w:fill="FFFFFF" w:themeFill="background1"/>
            <w:hideMark/>
          </w:tcPr>
          <w:p w14:paraId="26CA8435"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B&amp;E  </w:t>
            </w:r>
          </w:p>
        </w:tc>
        <w:tc>
          <w:tcPr>
            <w:tcW w:w="1185" w:type="dxa"/>
            <w:tcBorders>
              <w:top w:val="nil"/>
              <w:left w:val="nil"/>
              <w:bottom w:val="single" w:sz="6" w:space="0" w:color="auto"/>
              <w:right w:val="single" w:sz="6" w:space="0" w:color="auto"/>
            </w:tcBorders>
            <w:shd w:val="clear" w:color="auto" w:fill="FFFFFF" w:themeFill="background1"/>
            <w:hideMark/>
          </w:tcPr>
          <w:p w14:paraId="423E9CC7"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B&amp;E  </w:t>
            </w:r>
          </w:p>
        </w:tc>
        <w:tc>
          <w:tcPr>
            <w:tcW w:w="975" w:type="dxa"/>
            <w:tcBorders>
              <w:top w:val="nil"/>
              <w:left w:val="nil"/>
              <w:bottom w:val="single" w:sz="6" w:space="0" w:color="auto"/>
              <w:right w:val="single" w:sz="6" w:space="0" w:color="auto"/>
            </w:tcBorders>
            <w:shd w:val="clear" w:color="auto" w:fill="FFFFFF" w:themeFill="background1"/>
            <w:hideMark/>
          </w:tcPr>
          <w:p w14:paraId="7711489E"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DMIRS  </w:t>
            </w:r>
          </w:p>
        </w:tc>
        <w:tc>
          <w:tcPr>
            <w:tcW w:w="795" w:type="dxa"/>
            <w:tcBorders>
              <w:top w:val="nil"/>
              <w:left w:val="nil"/>
              <w:bottom w:val="single" w:sz="6" w:space="0" w:color="auto"/>
              <w:right w:val="single" w:sz="6" w:space="0" w:color="auto"/>
            </w:tcBorders>
            <w:shd w:val="clear" w:color="auto" w:fill="FFFFFF" w:themeFill="background1"/>
            <w:hideMark/>
          </w:tcPr>
          <w:p w14:paraId="6D1BDCCB"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B&amp;E (BC)  </w:t>
            </w:r>
          </w:p>
        </w:tc>
      </w:tr>
      <w:tr w:rsidR="007D116C" w:rsidRPr="007D116C" w14:paraId="173B24A0" w14:textId="77777777" w:rsidTr="0099465F">
        <w:tc>
          <w:tcPr>
            <w:tcW w:w="559" w:type="dxa"/>
            <w:tcBorders>
              <w:top w:val="nil"/>
              <w:left w:val="single" w:sz="6" w:space="0" w:color="auto"/>
              <w:bottom w:val="single" w:sz="6" w:space="0" w:color="auto"/>
              <w:right w:val="single" w:sz="6" w:space="0" w:color="auto"/>
            </w:tcBorders>
            <w:shd w:val="clear" w:color="auto" w:fill="FFFFFF" w:themeFill="background1"/>
            <w:hideMark/>
          </w:tcPr>
          <w:p w14:paraId="47B28A3D"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b/>
                <w:sz w:val="20"/>
                <w:szCs w:val="20"/>
                <w:lang w:eastAsia="en-GB"/>
              </w:rPr>
              <w:t>SA </w:t>
            </w:r>
            <w:r w:rsidRPr="007D116C">
              <w:rPr>
                <w:rFonts w:ascii="Calibri" w:eastAsia="Times New Roman" w:hAnsi="Calibri" w:cs="Calibri"/>
                <w:sz w:val="20"/>
                <w:szCs w:val="20"/>
                <w:lang w:eastAsia="en-GB"/>
              </w:rPr>
              <w:t> </w:t>
            </w:r>
          </w:p>
        </w:tc>
        <w:tc>
          <w:tcPr>
            <w:tcW w:w="1466" w:type="dxa"/>
            <w:tcBorders>
              <w:top w:val="nil"/>
              <w:left w:val="nil"/>
              <w:bottom w:val="single" w:sz="6" w:space="0" w:color="auto"/>
              <w:right w:val="single" w:sz="6" w:space="0" w:color="auto"/>
            </w:tcBorders>
            <w:shd w:val="clear" w:color="auto" w:fill="FFFFFF" w:themeFill="background1"/>
            <w:hideMark/>
          </w:tcPr>
          <w:p w14:paraId="276E14D6"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CBS  </w:t>
            </w:r>
          </w:p>
        </w:tc>
        <w:tc>
          <w:tcPr>
            <w:tcW w:w="990" w:type="dxa"/>
            <w:tcBorders>
              <w:top w:val="nil"/>
              <w:left w:val="nil"/>
              <w:bottom w:val="single" w:sz="6" w:space="0" w:color="auto"/>
              <w:right w:val="single" w:sz="6" w:space="0" w:color="auto"/>
            </w:tcBorders>
            <w:shd w:val="clear" w:color="auto" w:fill="FFFFFF" w:themeFill="background1"/>
            <w:hideMark/>
          </w:tcPr>
          <w:p w14:paraId="452224F1"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Various  </w:t>
            </w:r>
          </w:p>
        </w:tc>
        <w:tc>
          <w:tcPr>
            <w:tcW w:w="1080" w:type="dxa"/>
            <w:tcBorders>
              <w:top w:val="nil"/>
              <w:left w:val="nil"/>
              <w:bottom w:val="single" w:sz="6" w:space="0" w:color="auto"/>
              <w:right w:val="single" w:sz="6" w:space="0" w:color="auto"/>
            </w:tcBorders>
            <w:shd w:val="clear" w:color="auto" w:fill="FFFFFF" w:themeFill="background1"/>
            <w:hideMark/>
          </w:tcPr>
          <w:p w14:paraId="49F00B2A"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SPC  </w:t>
            </w:r>
          </w:p>
        </w:tc>
        <w:tc>
          <w:tcPr>
            <w:tcW w:w="1065" w:type="dxa"/>
            <w:tcBorders>
              <w:top w:val="nil"/>
              <w:left w:val="nil"/>
              <w:bottom w:val="single" w:sz="6" w:space="0" w:color="auto"/>
              <w:right w:val="single" w:sz="6" w:space="0" w:color="auto"/>
            </w:tcBorders>
            <w:shd w:val="clear" w:color="auto" w:fill="FFFFFF" w:themeFill="background1"/>
            <w:hideMark/>
          </w:tcPr>
          <w:p w14:paraId="18E92D64"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SPC  </w:t>
            </w:r>
          </w:p>
        </w:tc>
        <w:tc>
          <w:tcPr>
            <w:tcW w:w="810" w:type="dxa"/>
            <w:tcBorders>
              <w:top w:val="nil"/>
              <w:left w:val="nil"/>
              <w:bottom w:val="single" w:sz="6" w:space="0" w:color="auto"/>
              <w:right w:val="single" w:sz="6" w:space="0" w:color="auto"/>
            </w:tcBorders>
            <w:shd w:val="clear" w:color="auto" w:fill="FFFFFF" w:themeFill="background1"/>
            <w:hideMark/>
          </w:tcPr>
          <w:p w14:paraId="447F14B8"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SBC  </w:t>
            </w:r>
          </w:p>
        </w:tc>
        <w:tc>
          <w:tcPr>
            <w:tcW w:w="1185" w:type="dxa"/>
            <w:tcBorders>
              <w:top w:val="nil"/>
              <w:left w:val="nil"/>
              <w:bottom w:val="single" w:sz="6" w:space="0" w:color="auto"/>
              <w:right w:val="single" w:sz="6" w:space="0" w:color="auto"/>
            </w:tcBorders>
            <w:shd w:val="clear" w:color="auto" w:fill="FFFFFF" w:themeFill="background1"/>
            <w:hideMark/>
          </w:tcPr>
          <w:p w14:paraId="5A4AA3F2"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SBC  </w:t>
            </w:r>
          </w:p>
        </w:tc>
        <w:tc>
          <w:tcPr>
            <w:tcW w:w="975" w:type="dxa"/>
            <w:tcBorders>
              <w:top w:val="nil"/>
              <w:left w:val="nil"/>
              <w:bottom w:val="single" w:sz="6" w:space="0" w:color="auto"/>
              <w:right w:val="single" w:sz="6" w:space="0" w:color="auto"/>
            </w:tcBorders>
            <w:shd w:val="clear" w:color="auto" w:fill="FFFFFF" w:themeFill="background1"/>
            <w:hideMark/>
          </w:tcPr>
          <w:p w14:paraId="7C80513A"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CBS  </w:t>
            </w:r>
          </w:p>
        </w:tc>
        <w:tc>
          <w:tcPr>
            <w:tcW w:w="795" w:type="dxa"/>
            <w:tcBorders>
              <w:top w:val="nil"/>
              <w:left w:val="nil"/>
              <w:bottom w:val="single" w:sz="6" w:space="0" w:color="auto"/>
              <w:right w:val="single" w:sz="6" w:space="0" w:color="auto"/>
            </w:tcBorders>
            <w:shd w:val="clear" w:color="auto" w:fill="FFFFFF" w:themeFill="background1"/>
            <w:hideMark/>
          </w:tcPr>
          <w:p w14:paraId="61B927DD" w14:textId="77777777" w:rsidR="00AB0C7D" w:rsidRPr="007D116C" w:rsidRDefault="00AB0C7D" w:rsidP="00AB0C7D">
            <w:pPr>
              <w:spacing w:after="0" w:line="240" w:lineRule="auto"/>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SPC  </w:t>
            </w:r>
          </w:p>
        </w:tc>
      </w:tr>
    </w:tbl>
    <w:p w14:paraId="52F8D1B6" w14:textId="77777777" w:rsidR="00AB0C7D" w:rsidRPr="007D116C" w:rsidRDefault="00AB0C7D" w:rsidP="00AB0C7D">
      <w:pPr>
        <w:spacing w:after="0" w:line="240" w:lineRule="auto"/>
        <w:textAlignment w:val="baseline"/>
        <w:rPr>
          <w:rFonts w:ascii="Segoe UI" w:eastAsia="Times New Roman" w:hAnsi="Segoe UI" w:cs="Segoe UI"/>
          <w:lang w:eastAsia="en-GB"/>
        </w:rPr>
      </w:pPr>
      <w:r w:rsidRPr="007D116C">
        <w:rPr>
          <w:rFonts w:ascii="Calibri" w:eastAsia="Times New Roman" w:hAnsi="Calibri" w:cs="Calibri"/>
          <w:lang w:eastAsia="en-GB"/>
        </w:rPr>
        <w:t>  </w:t>
      </w:r>
    </w:p>
    <w:p w14:paraId="755469E3" w14:textId="79CCE1B3" w:rsidR="00D7108D" w:rsidRPr="007D116C" w:rsidRDefault="3C1D34F9" w:rsidP="00401E37">
      <w:pPr>
        <w:pStyle w:val="ListParagraph"/>
        <w:numPr>
          <w:ilvl w:val="0"/>
          <w:numId w:val="2"/>
        </w:numPr>
        <w:spacing w:after="0"/>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Tables 3 and 4 show that Australia’s largest jurisdictions have taken diverse approaches to regulating the construction industry:</w:t>
      </w:r>
    </w:p>
    <w:p w14:paraId="5FE29E04" w14:textId="43FB9B78" w:rsidR="00D7108D" w:rsidRPr="007D116C" w:rsidRDefault="00AB0C7D" w:rsidP="00401E37">
      <w:pPr>
        <w:pStyle w:val="ListParagraph"/>
        <w:numPr>
          <w:ilvl w:val="1"/>
          <w:numId w:val="2"/>
        </w:numPr>
        <w:spacing w:after="0"/>
        <w:textAlignment w:val="baseline"/>
        <w:rPr>
          <w:rFonts w:ascii="Segoe UI" w:eastAsia="Times New Roman" w:hAnsi="Segoe UI" w:cs="Segoe UI"/>
          <w:lang w:eastAsia="en-GB"/>
        </w:rPr>
      </w:pPr>
      <w:r w:rsidRPr="007D116C">
        <w:rPr>
          <w:rFonts w:ascii="Calibri" w:eastAsia="Times New Roman" w:hAnsi="Calibri" w:cs="Calibri"/>
          <w:lang w:eastAsia="en-GB"/>
        </w:rPr>
        <w:t>The two systems that are most similar are those</w:t>
      </w:r>
      <w:r w:rsidR="00D76A63" w:rsidRPr="007D116C">
        <w:rPr>
          <w:rFonts w:ascii="Calibri" w:eastAsia="Times New Roman" w:hAnsi="Calibri" w:cs="Calibri"/>
          <w:lang w:eastAsia="en-GB"/>
        </w:rPr>
        <w:t xml:space="preserve"> in</w:t>
      </w:r>
      <w:r w:rsidRPr="007D116C">
        <w:rPr>
          <w:rFonts w:ascii="Calibri" w:eastAsia="Times New Roman" w:hAnsi="Calibri" w:cs="Calibri"/>
          <w:lang w:eastAsia="en-GB"/>
        </w:rPr>
        <w:t xml:space="preserve"> Queensland and Victoria. While Queensland, Victoria, and Western Australia have consolidated regulatory functions into a </w:t>
      </w:r>
      <w:r w:rsidRPr="007D116C">
        <w:rPr>
          <w:rFonts w:ascii="Calibri" w:eastAsia="Times New Roman" w:hAnsi="Calibri" w:cs="Calibri"/>
          <w:lang w:eastAsia="en-GB"/>
        </w:rPr>
        <w:lastRenderedPageBreak/>
        <w:t xml:space="preserve">single peak regulator, the </w:t>
      </w:r>
      <w:r w:rsidR="003445F2" w:rsidRPr="007D116C">
        <w:rPr>
          <w:rFonts w:ascii="Calibri" w:eastAsia="Times New Roman" w:hAnsi="Calibri" w:cs="Calibri"/>
          <w:lang w:eastAsia="en-GB"/>
        </w:rPr>
        <w:t xml:space="preserve">Western Australian body </w:t>
      </w:r>
      <w:r w:rsidRPr="007D116C">
        <w:rPr>
          <w:rFonts w:ascii="Calibri" w:eastAsia="Times New Roman" w:hAnsi="Calibri" w:cs="Calibri"/>
          <w:lang w:eastAsia="en-GB"/>
        </w:rPr>
        <w:t>is not an independent statutory body but is instead part of a government department.</w:t>
      </w:r>
    </w:p>
    <w:p w14:paraId="1EAE77DB" w14:textId="72712CBC" w:rsidR="00401E37" w:rsidRPr="007D116C" w:rsidRDefault="6D4215AE" w:rsidP="00401E37">
      <w:pPr>
        <w:pStyle w:val="ListParagraph"/>
        <w:numPr>
          <w:ilvl w:val="1"/>
          <w:numId w:val="2"/>
        </w:numPr>
        <w:spacing w:after="0"/>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Four of the states have boards that perform some governance role within the regulatory system, but as Table 2 details, these roles differ widely: whereas the QBC Board is intended as the equivalent of a corporate board for the QBCC, and a similar arrangement obtains in Victoria, in South Australia, the Building Technical Panel is a committee of the State Planning </w:t>
      </w:r>
      <w:r w:rsidR="5965F5A9" w:rsidRPr="007D116C">
        <w:rPr>
          <w:rFonts w:ascii="Calibri" w:eastAsia="Times New Roman" w:hAnsi="Calibri" w:cs="Calibri"/>
          <w:lang w:eastAsia="en-GB"/>
        </w:rPr>
        <w:t>Commission</w:t>
      </w:r>
      <w:r w:rsidRPr="007D116C">
        <w:rPr>
          <w:rFonts w:ascii="Calibri" w:eastAsia="Times New Roman" w:hAnsi="Calibri" w:cs="Calibri"/>
          <w:lang w:eastAsia="en-GB"/>
        </w:rPr>
        <w:t xml:space="preserve">, which has a remit much wider than the construction industry, and in Western Australia, the Building Services Board is limited to registration and disciplinary functions. New South Wales has no board of any kind but has recently established the independent Office of the Building </w:t>
      </w:r>
      <w:r w:rsidR="5965F5A9" w:rsidRPr="007D116C">
        <w:rPr>
          <w:rFonts w:ascii="Calibri" w:eastAsia="Times New Roman" w:hAnsi="Calibri" w:cs="Calibri"/>
          <w:lang w:eastAsia="en-GB"/>
        </w:rPr>
        <w:t>Commission</w:t>
      </w:r>
      <w:r w:rsidRPr="007D116C">
        <w:rPr>
          <w:rFonts w:ascii="Calibri" w:eastAsia="Times New Roman" w:hAnsi="Calibri" w:cs="Calibri"/>
          <w:lang w:eastAsia="en-GB"/>
        </w:rPr>
        <w:t>er to supplement the functions of its main multi-sector regulator. </w:t>
      </w:r>
    </w:p>
    <w:p w14:paraId="6D43AF60" w14:textId="4E1D0926" w:rsidR="00AB0C7D" w:rsidRPr="007D116C" w:rsidRDefault="3C1D34F9" w:rsidP="00401E37">
      <w:pPr>
        <w:pStyle w:val="ListParagraph"/>
        <w:numPr>
          <w:ilvl w:val="0"/>
          <w:numId w:val="2"/>
        </w:numPr>
        <w:spacing w:after="0"/>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The </w:t>
      </w:r>
      <w:r w:rsidRPr="007D116C">
        <w:rPr>
          <w:rFonts w:ascii="Calibri" w:eastAsia="Times New Roman" w:hAnsi="Calibri" w:cs="Calibri"/>
          <w:b/>
          <w:bCs/>
          <w:lang w:eastAsia="en-GB"/>
        </w:rPr>
        <w:t xml:space="preserve">second </w:t>
      </w:r>
      <w:r w:rsidR="5BB6B561" w:rsidRPr="007D116C">
        <w:rPr>
          <w:rFonts w:ascii="Calibri" w:eastAsia="Times New Roman" w:hAnsi="Calibri" w:cs="Calibri"/>
          <w:b/>
          <w:bCs/>
          <w:lang w:eastAsia="en-GB"/>
        </w:rPr>
        <w:t>identified feature</w:t>
      </w:r>
      <w:r w:rsidRPr="007D116C">
        <w:rPr>
          <w:rFonts w:ascii="Calibri" w:eastAsia="Times New Roman" w:hAnsi="Calibri" w:cs="Calibri"/>
          <w:b/>
          <w:bCs/>
          <w:lang w:eastAsia="en-GB"/>
        </w:rPr>
        <w:t xml:space="preserve"> </w:t>
      </w:r>
      <w:r w:rsidRPr="007D116C">
        <w:rPr>
          <w:rFonts w:ascii="Calibri" w:eastAsia="Times New Roman" w:hAnsi="Calibri" w:cs="Calibri"/>
          <w:lang w:eastAsia="en-GB"/>
        </w:rPr>
        <w:t>above was that QBCC’s financial position seems healthy. However, it must be reiterated that the home warranty insurance scheme is effectively self-funding and its revenues are not available to QBCC for its regular operations. This prompts two points of comparison with the other mainland states’ regulators: sources of funding, and whether other regulators also run insurance schemes. This information is contained in Table 5, below.  </w:t>
      </w:r>
    </w:p>
    <w:p w14:paraId="58ABDEB3" w14:textId="77777777" w:rsidR="00AB0C7D" w:rsidRPr="007D116C" w:rsidRDefault="00AB0C7D" w:rsidP="000509C8">
      <w:pPr>
        <w:pStyle w:val="Heading3"/>
        <w:spacing w:line="240" w:lineRule="auto"/>
        <w:rPr>
          <w:rFonts w:ascii="Segoe UI" w:hAnsi="Segoe UI" w:cs="Segoe UI"/>
          <w:szCs w:val="22"/>
          <w:lang w:eastAsia="en-GB"/>
        </w:rPr>
      </w:pPr>
      <w:bookmarkStart w:id="18" w:name="_Toc98853495"/>
      <w:bookmarkStart w:id="19" w:name="_Toc100599131"/>
      <w:r w:rsidRPr="007D116C">
        <w:rPr>
          <w:szCs w:val="22"/>
          <w:lang w:eastAsia="en-GB"/>
        </w:rPr>
        <w:t>Table 5: Sources of funding and insurance role for construction industry regulators, mainland states </w:t>
      </w:r>
      <w:bookmarkEnd w:id="18"/>
      <w:bookmarkEnd w:id="19"/>
      <w:r w:rsidRPr="007D116C">
        <w:rPr>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3390"/>
        <w:gridCol w:w="3540"/>
      </w:tblGrid>
      <w:tr w:rsidR="007D116C" w:rsidRPr="007D116C" w14:paraId="5080161A" w14:textId="77777777" w:rsidTr="6855D54F">
        <w:tc>
          <w:tcPr>
            <w:tcW w:w="198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548B575C" w14:textId="77777777" w:rsidR="00AB0C7D" w:rsidRPr="007D116C" w:rsidRDefault="00AB0C7D" w:rsidP="00AB0C7D">
            <w:pPr>
              <w:spacing w:after="0" w:line="240" w:lineRule="auto"/>
              <w:textAlignment w:val="baseline"/>
              <w:rPr>
                <w:rFonts w:ascii="Times New Roman" w:eastAsia="Times New Roman" w:hAnsi="Times New Roman" w:cs="Times New Roman"/>
                <w:lang w:eastAsia="en-GB"/>
              </w:rPr>
            </w:pPr>
            <w:r w:rsidRPr="007D116C">
              <w:rPr>
                <w:rFonts w:ascii="Calibri" w:eastAsia="Times New Roman" w:hAnsi="Calibri" w:cs="Calibri"/>
                <w:lang w:eastAsia="en-GB"/>
              </w:rPr>
              <w:t>  </w:t>
            </w:r>
          </w:p>
        </w:tc>
        <w:tc>
          <w:tcPr>
            <w:tcW w:w="3390" w:type="dxa"/>
            <w:tcBorders>
              <w:top w:val="single" w:sz="6" w:space="0" w:color="auto"/>
              <w:left w:val="nil"/>
              <w:bottom w:val="single" w:sz="6" w:space="0" w:color="auto"/>
              <w:right w:val="single" w:sz="6" w:space="0" w:color="auto"/>
            </w:tcBorders>
            <w:shd w:val="clear" w:color="auto" w:fill="000000" w:themeFill="text1"/>
            <w:hideMark/>
          </w:tcPr>
          <w:p w14:paraId="00A35891" w14:textId="3E3363D1" w:rsidR="00AB0C7D" w:rsidRPr="007D116C" w:rsidRDefault="00AB0C7D" w:rsidP="004B40B7">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b/>
                <w:bCs/>
                <w:lang w:eastAsia="en-GB"/>
              </w:rPr>
              <w:t>Primary funding</w:t>
            </w:r>
            <w:r w:rsidRPr="007D116C">
              <w:rPr>
                <w:rFonts w:ascii="Calibri" w:eastAsia="Times New Roman" w:hAnsi="Calibri" w:cs="Calibri"/>
                <w:lang w:eastAsia="en-GB"/>
              </w:rPr>
              <w:t> </w:t>
            </w:r>
          </w:p>
        </w:tc>
        <w:tc>
          <w:tcPr>
            <w:tcW w:w="3540" w:type="dxa"/>
            <w:tcBorders>
              <w:top w:val="single" w:sz="6" w:space="0" w:color="auto"/>
              <w:left w:val="nil"/>
              <w:bottom w:val="single" w:sz="6" w:space="0" w:color="auto"/>
              <w:right w:val="single" w:sz="6" w:space="0" w:color="auto"/>
            </w:tcBorders>
            <w:shd w:val="clear" w:color="auto" w:fill="000000" w:themeFill="text1"/>
            <w:hideMark/>
          </w:tcPr>
          <w:p w14:paraId="1589549F" w14:textId="54891846" w:rsidR="00AB0C7D" w:rsidRPr="007D116C" w:rsidRDefault="00AB0C7D" w:rsidP="004B40B7">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b/>
                <w:bCs/>
                <w:lang w:eastAsia="en-GB"/>
              </w:rPr>
              <w:t>Insurer?</w:t>
            </w:r>
            <w:r w:rsidRPr="007D116C">
              <w:rPr>
                <w:rFonts w:ascii="Calibri" w:eastAsia="Times New Roman" w:hAnsi="Calibri" w:cs="Calibri"/>
                <w:lang w:eastAsia="en-GB"/>
              </w:rPr>
              <w:t> </w:t>
            </w:r>
          </w:p>
        </w:tc>
      </w:tr>
      <w:tr w:rsidR="007D116C" w:rsidRPr="007D116C" w14:paraId="49A05927" w14:textId="77777777" w:rsidTr="6855D54F">
        <w:tc>
          <w:tcPr>
            <w:tcW w:w="1980" w:type="dxa"/>
            <w:tcBorders>
              <w:top w:val="nil"/>
              <w:left w:val="single" w:sz="6" w:space="0" w:color="auto"/>
              <w:bottom w:val="single" w:sz="6" w:space="0" w:color="auto"/>
              <w:right w:val="single" w:sz="6" w:space="0" w:color="auto"/>
            </w:tcBorders>
            <w:shd w:val="clear" w:color="auto" w:fill="D9D9D9" w:themeFill="background1" w:themeFillShade="D9"/>
            <w:hideMark/>
          </w:tcPr>
          <w:p w14:paraId="5CDCCD94"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Queensland  </w:t>
            </w:r>
          </w:p>
        </w:tc>
        <w:tc>
          <w:tcPr>
            <w:tcW w:w="3390" w:type="dxa"/>
            <w:tcBorders>
              <w:top w:val="nil"/>
              <w:left w:val="nil"/>
              <w:bottom w:val="single" w:sz="6" w:space="0" w:color="auto"/>
              <w:right w:val="single" w:sz="6" w:space="0" w:color="auto"/>
            </w:tcBorders>
            <w:shd w:val="clear" w:color="auto" w:fill="D9D9D9" w:themeFill="background1" w:themeFillShade="D9"/>
            <w:hideMark/>
          </w:tcPr>
          <w:p w14:paraId="1DC79F1A"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Licensing and registration (regulator)  </w:t>
            </w:r>
          </w:p>
          <w:p w14:paraId="0E2F7759"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Insurance premiums (insurer)  </w:t>
            </w:r>
          </w:p>
        </w:tc>
        <w:tc>
          <w:tcPr>
            <w:tcW w:w="3540" w:type="dxa"/>
            <w:tcBorders>
              <w:top w:val="nil"/>
              <w:left w:val="nil"/>
              <w:bottom w:val="single" w:sz="6" w:space="0" w:color="auto"/>
              <w:right w:val="single" w:sz="6" w:space="0" w:color="auto"/>
            </w:tcBorders>
            <w:shd w:val="clear" w:color="auto" w:fill="D9D9D9" w:themeFill="background1" w:themeFillShade="D9"/>
            <w:hideMark/>
          </w:tcPr>
          <w:p w14:paraId="4E024F13"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Yes – home warranty insurance scheme  </w:t>
            </w:r>
          </w:p>
        </w:tc>
      </w:tr>
      <w:tr w:rsidR="007D116C" w:rsidRPr="007D116C" w14:paraId="3399C59F"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2789116D"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New South Wales  </w:t>
            </w:r>
          </w:p>
        </w:tc>
        <w:tc>
          <w:tcPr>
            <w:tcW w:w="3390" w:type="dxa"/>
            <w:tcBorders>
              <w:top w:val="nil"/>
              <w:left w:val="nil"/>
              <w:bottom w:val="single" w:sz="6" w:space="0" w:color="auto"/>
              <w:right w:val="single" w:sz="6" w:space="0" w:color="auto"/>
            </w:tcBorders>
            <w:shd w:val="clear" w:color="auto" w:fill="FFFFFF" w:themeFill="background1"/>
            <w:hideMark/>
          </w:tcPr>
          <w:p w14:paraId="506E376C"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Licensing and registration   </w:t>
            </w:r>
          </w:p>
          <w:p w14:paraId="2F51063F"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Developer levy  </w:t>
            </w:r>
          </w:p>
        </w:tc>
        <w:tc>
          <w:tcPr>
            <w:tcW w:w="3540" w:type="dxa"/>
            <w:tcBorders>
              <w:top w:val="nil"/>
              <w:left w:val="nil"/>
              <w:bottom w:val="single" w:sz="6" w:space="0" w:color="auto"/>
              <w:right w:val="single" w:sz="6" w:space="0" w:color="auto"/>
            </w:tcBorders>
            <w:shd w:val="clear" w:color="auto" w:fill="FFFFFF" w:themeFill="background1"/>
            <w:hideMark/>
          </w:tcPr>
          <w:p w14:paraId="52697AD3" w14:textId="677988D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 home building compensation cover is provided by iCare HBCF.</w:t>
            </w:r>
            <w:r w:rsidR="00F867BB" w:rsidRPr="007D116C">
              <w:rPr>
                <w:rStyle w:val="FootnoteReference"/>
                <w:sz w:val="20"/>
                <w:szCs w:val="20"/>
              </w:rPr>
              <w:footnoteReference w:id="54"/>
            </w:r>
            <w:r w:rsidRPr="007D116C">
              <w:rPr>
                <w:rFonts w:ascii="Calibri" w:eastAsia="Times New Roman" w:hAnsi="Calibri" w:cs="Calibri"/>
                <w:sz w:val="20"/>
                <w:szCs w:val="20"/>
                <w:lang w:eastAsia="en-GB"/>
              </w:rPr>
              <w:t>  </w:t>
            </w:r>
          </w:p>
        </w:tc>
      </w:tr>
      <w:tr w:rsidR="007D116C" w:rsidRPr="007D116C" w14:paraId="5120D6AE"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2D3F3DDA"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Victoria  </w:t>
            </w:r>
          </w:p>
        </w:tc>
        <w:tc>
          <w:tcPr>
            <w:tcW w:w="3390" w:type="dxa"/>
            <w:tcBorders>
              <w:top w:val="nil"/>
              <w:left w:val="nil"/>
              <w:bottom w:val="single" w:sz="6" w:space="0" w:color="auto"/>
              <w:right w:val="single" w:sz="6" w:space="0" w:color="auto"/>
            </w:tcBorders>
            <w:shd w:val="clear" w:color="auto" w:fill="FFFFFF" w:themeFill="background1"/>
            <w:hideMark/>
          </w:tcPr>
          <w:p w14:paraId="6E34ACE8"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Building permit levy  </w:t>
            </w:r>
          </w:p>
          <w:p w14:paraId="75DA42E1"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Consolidated revenue  </w:t>
            </w:r>
          </w:p>
        </w:tc>
        <w:tc>
          <w:tcPr>
            <w:tcW w:w="3540" w:type="dxa"/>
            <w:tcBorders>
              <w:top w:val="nil"/>
              <w:left w:val="nil"/>
              <w:bottom w:val="single" w:sz="6" w:space="0" w:color="auto"/>
              <w:right w:val="single" w:sz="6" w:space="0" w:color="auto"/>
            </w:tcBorders>
            <w:shd w:val="clear" w:color="auto" w:fill="FFFFFF" w:themeFill="background1"/>
            <w:hideMark/>
          </w:tcPr>
          <w:p w14:paraId="5144A2A8" w14:textId="7FF01CAE"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 cover is offered by Victorian Managed Insurance Authority and by some private insurers.</w:t>
            </w:r>
            <w:r w:rsidR="000A4D93" w:rsidRPr="007D116C">
              <w:rPr>
                <w:rStyle w:val="FootnoteReference"/>
                <w:sz w:val="20"/>
                <w:szCs w:val="20"/>
              </w:rPr>
              <w:footnoteReference w:id="55"/>
            </w:r>
            <w:r w:rsidRPr="007D116C">
              <w:rPr>
                <w:rFonts w:ascii="Calibri" w:eastAsia="Times New Roman" w:hAnsi="Calibri" w:cs="Calibri"/>
                <w:sz w:val="20"/>
                <w:szCs w:val="20"/>
                <w:lang w:eastAsia="en-GB"/>
              </w:rPr>
              <w:t>  </w:t>
            </w:r>
          </w:p>
        </w:tc>
      </w:tr>
      <w:tr w:rsidR="007D116C" w:rsidRPr="007D116C" w14:paraId="0C74C612"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73D8AE45"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lastRenderedPageBreak/>
              <w:t>South Australia  </w:t>
            </w:r>
          </w:p>
        </w:tc>
        <w:tc>
          <w:tcPr>
            <w:tcW w:w="3390" w:type="dxa"/>
            <w:tcBorders>
              <w:top w:val="nil"/>
              <w:left w:val="nil"/>
              <w:bottom w:val="single" w:sz="6" w:space="0" w:color="auto"/>
              <w:right w:val="single" w:sz="6" w:space="0" w:color="auto"/>
            </w:tcBorders>
            <w:shd w:val="clear" w:color="auto" w:fill="FFFFFF" w:themeFill="background1"/>
            <w:hideMark/>
          </w:tcPr>
          <w:p w14:paraId="5AA27DD5"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Consolidated revenue  </w:t>
            </w:r>
          </w:p>
          <w:p w14:paraId="26C23C75" w14:textId="0E2F402A"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Fees (development assessment)</w:t>
            </w:r>
            <w:r w:rsidR="004A4CCA" w:rsidRPr="007D116C">
              <w:rPr>
                <w:rStyle w:val="FootnoteReference"/>
                <w:sz w:val="20"/>
                <w:szCs w:val="20"/>
              </w:rPr>
              <w:footnoteReference w:id="56"/>
            </w:r>
            <w:r w:rsidRPr="007D116C">
              <w:rPr>
                <w:rFonts w:ascii="Calibri" w:eastAsia="Times New Roman" w:hAnsi="Calibri" w:cs="Calibri"/>
                <w:sz w:val="20"/>
                <w:szCs w:val="20"/>
                <w:lang w:eastAsia="en-GB"/>
              </w:rPr>
              <w:t xml:space="preserve"> (SPC)  </w:t>
            </w:r>
          </w:p>
        </w:tc>
        <w:tc>
          <w:tcPr>
            <w:tcW w:w="3540" w:type="dxa"/>
            <w:tcBorders>
              <w:top w:val="nil"/>
              <w:left w:val="nil"/>
              <w:bottom w:val="single" w:sz="6" w:space="0" w:color="auto"/>
              <w:right w:val="single" w:sz="6" w:space="0" w:color="auto"/>
            </w:tcBorders>
            <w:shd w:val="clear" w:color="auto" w:fill="FFFFFF" w:themeFill="background1"/>
            <w:hideMark/>
          </w:tcPr>
          <w:p w14:paraId="04961373" w14:textId="5C3FA345"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 SA Government underwrites private insurers that provide cover.</w:t>
            </w:r>
            <w:r w:rsidR="005C3649" w:rsidRPr="007D116C">
              <w:rPr>
                <w:rStyle w:val="FootnoteReference"/>
                <w:sz w:val="20"/>
                <w:szCs w:val="20"/>
              </w:rPr>
              <w:footnoteReference w:id="57"/>
            </w:r>
            <w:r w:rsidRPr="007D116C">
              <w:rPr>
                <w:rFonts w:ascii="Calibri" w:eastAsia="Times New Roman" w:hAnsi="Calibri" w:cs="Calibri"/>
                <w:sz w:val="20"/>
                <w:szCs w:val="20"/>
                <w:lang w:eastAsia="en-GB"/>
              </w:rPr>
              <w:t>  </w:t>
            </w:r>
          </w:p>
        </w:tc>
      </w:tr>
      <w:tr w:rsidR="007D116C" w:rsidRPr="007D116C" w14:paraId="2C0CE127" w14:textId="77777777" w:rsidTr="00747981">
        <w:tc>
          <w:tcPr>
            <w:tcW w:w="1980" w:type="dxa"/>
            <w:tcBorders>
              <w:top w:val="nil"/>
              <w:left w:val="single" w:sz="6" w:space="0" w:color="auto"/>
              <w:bottom w:val="single" w:sz="6" w:space="0" w:color="auto"/>
              <w:right w:val="single" w:sz="6" w:space="0" w:color="auto"/>
            </w:tcBorders>
            <w:shd w:val="clear" w:color="auto" w:fill="FFFFFF" w:themeFill="background1"/>
            <w:hideMark/>
          </w:tcPr>
          <w:p w14:paraId="76DF6937"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Western Australia  </w:t>
            </w:r>
          </w:p>
        </w:tc>
        <w:tc>
          <w:tcPr>
            <w:tcW w:w="3390" w:type="dxa"/>
            <w:tcBorders>
              <w:top w:val="nil"/>
              <w:left w:val="nil"/>
              <w:bottom w:val="single" w:sz="6" w:space="0" w:color="auto"/>
              <w:right w:val="single" w:sz="6" w:space="0" w:color="auto"/>
            </w:tcBorders>
            <w:shd w:val="clear" w:color="auto" w:fill="FFFFFF" w:themeFill="background1"/>
            <w:hideMark/>
          </w:tcPr>
          <w:p w14:paraId="73D46A86"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Consolidated revenue  </w:t>
            </w:r>
          </w:p>
          <w:p w14:paraId="37078726" w14:textId="77777777"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Building Services Levy  </w:t>
            </w:r>
          </w:p>
        </w:tc>
        <w:tc>
          <w:tcPr>
            <w:tcW w:w="3540" w:type="dxa"/>
            <w:tcBorders>
              <w:top w:val="nil"/>
              <w:left w:val="nil"/>
              <w:bottom w:val="single" w:sz="6" w:space="0" w:color="auto"/>
              <w:right w:val="single" w:sz="6" w:space="0" w:color="auto"/>
            </w:tcBorders>
            <w:shd w:val="clear" w:color="auto" w:fill="FFFFFF" w:themeFill="background1"/>
            <w:hideMark/>
          </w:tcPr>
          <w:p w14:paraId="36D88902" w14:textId="1850DE5C" w:rsidR="00AB0C7D" w:rsidRPr="007D116C" w:rsidRDefault="00AB0C7D" w:rsidP="004B40B7">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No – WA Government approves private providers.</w:t>
            </w:r>
            <w:r w:rsidR="00A71F3C" w:rsidRPr="007D116C">
              <w:rPr>
                <w:rStyle w:val="FootnoteReference"/>
                <w:sz w:val="20"/>
                <w:szCs w:val="20"/>
              </w:rPr>
              <w:footnoteReference w:id="58"/>
            </w:r>
            <w:r w:rsidRPr="007D116C">
              <w:rPr>
                <w:rFonts w:ascii="Calibri" w:eastAsia="Times New Roman" w:hAnsi="Calibri" w:cs="Calibri"/>
                <w:sz w:val="20"/>
                <w:szCs w:val="20"/>
                <w:lang w:eastAsia="en-GB"/>
              </w:rPr>
              <w:t>  </w:t>
            </w:r>
          </w:p>
        </w:tc>
      </w:tr>
    </w:tbl>
    <w:p w14:paraId="2BD70FEC" w14:textId="2C48E4F4" w:rsidR="00AB0C7D" w:rsidRPr="007D116C" w:rsidRDefault="00AB0C7D" w:rsidP="00AB0C7D">
      <w:pPr>
        <w:spacing w:after="0" w:line="240" w:lineRule="auto"/>
        <w:textAlignment w:val="baseline"/>
        <w:rPr>
          <w:rFonts w:ascii="Segoe UI" w:eastAsia="Times New Roman" w:hAnsi="Segoe UI" w:cs="Segoe UI"/>
          <w:lang w:eastAsia="en-GB"/>
        </w:rPr>
      </w:pPr>
      <w:r w:rsidRPr="007D116C">
        <w:rPr>
          <w:rFonts w:ascii="Calibri" w:eastAsia="Times New Roman" w:hAnsi="Calibri" w:cs="Calibri"/>
          <w:lang w:eastAsia="en-GB"/>
        </w:rPr>
        <w:t>   </w:t>
      </w:r>
    </w:p>
    <w:p w14:paraId="35FEB171" w14:textId="09BDF2EE" w:rsidR="002D2FB4" w:rsidRPr="007D116C" w:rsidRDefault="3C1D34F9" w:rsidP="002D2FB4">
      <w:pPr>
        <w:pStyle w:val="ListParagraph"/>
        <w:numPr>
          <w:ilvl w:val="0"/>
          <w:numId w:val="2"/>
        </w:numPr>
        <w:ind w:left="0" w:hanging="425"/>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t>Table 5 shows that</w:t>
      </w:r>
      <w:r w:rsidR="002D2FB4" w:rsidRPr="007D116C">
        <w:rPr>
          <w:rFonts w:ascii="Calibri" w:eastAsia="Times New Roman" w:hAnsi="Calibri" w:cs="Calibri"/>
          <w:lang w:eastAsia="en-GB"/>
        </w:rPr>
        <w:t xml:space="preserve"> Queensland is the only state with a construction industry regulator that also administers an insurance scheme. While other states’ regulators play a regulatory role in the construction insurance market, they are not insurers. In New South Wales, South Australia, and Western Australia, home warranty insurance (and equivalents) are provided by approved private insurers, whereas in Victoria, there is a government scheme but it is administered separately from the VBA, and the government also permits some competition from private insurers.</w:t>
      </w:r>
    </w:p>
    <w:p w14:paraId="0245F71C" w14:textId="4FA47AB0" w:rsidR="00281DF8" w:rsidRPr="007D116C" w:rsidRDefault="6444D876" w:rsidP="16FFD785">
      <w:pPr>
        <w:pStyle w:val="ListParagraph"/>
        <w:numPr>
          <w:ilvl w:val="0"/>
          <w:numId w:val="2"/>
        </w:numPr>
        <w:ind w:left="0" w:hanging="425"/>
        <w:textAlignment w:val="baseline"/>
        <w:rPr>
          <w:rFonts w:ascii="Segoe UI" w:eastAsia="Times New Roman" w:hAnsi="Segoe UI" w:cs="Segoe UI"/>
          <w:lang w:eastAsia="en-GB"/>
        </w:rPr>
      </w:pPr>
      <w:r w:rsidRPr="007D116C">
        <w:rPr>
          <w:rFonts w:ascii="Segoe UI" w:eastAsia="Times New Roman" w:hAnsi="Segoe UI" w:cs="Segoe UI"/>
          <w:lang w:eastAsia="en-GB"/>
        </w:rPr>
        <w:t xml:space="preserve">QBCC </w:t>
      </w:r>
      <w:r w:rsidR="02BCBD0D" w:rsidRPr="007D116C">
        <w:rPr>
          <w:rFonts w:ascii="Calibri" w:eastAsia="Times New Roman" w:hAnsi="Calibri" w:cs="Calibri"/>
          <w:lang w:eastAsia="en-GB"/>
        </w:rPr>
        <w:t xml:space="preserve">is </w:t>
      </w:r>
      <w:r w:rsidR="18823533" w:rsidRPr="007D116C">
        <w:rPr>
          <w:rFonts w:ascii="Calibri" w:eastAsia="Times New Roman" w:hAnsi="Calibri" w:cs="Calibri"/>
          <w:lang w:eastAsia="en-GB"/>
        </w:rPr>
        <w:t>somewhat unusual among</w:t>
      </w:r>
      <w:r w:rsidR="43A4801E" w:rsidRPr="007D116C">
        <w:rPr>
          <w:rFonts w:ascii="Calibri" w:eastAsia="Times New Roman" w:hAnsi="Calibri" w:cs="Calibri"/>
          <w:lang w:eastAsia="en-GB"/>
        </w:rPr>
        <w:t xml:space="preserve"> </w:t>
      </w:r>
      <w:r w:rsidR="657C4161" w:rsidRPr="007D116C">
        <w:rPr>
          <w:rFonts w:ascii="Calibri" w:eastAsia="Times New Roman" w:hAnsi="Calibri" w:cs="Calibri"/>
          <w:lang w:eastAsia="en-GB"/>
        </w:rPr>
        <w:t xml:space="preserve">building and construction regulators in </w:t>
      </w:r>
      <w:r w:rsidR="43A4801E" w:rsidRPr="007D116C">
        <w:rPr>
          <w:rFonts w:ascii="Calibri" w:eastAsia="Times New Roman" w:hAnsi="Calibri" w:cs="Calibri"/>
          <w:lang w:eastAsia="en-GB"/>
        </w:rPr>
        <w:t>mainland state</w:t>
      </w:r>
      <w:r w:rsidR="18823533" w:rsidRPr="007D116C">
        <w:rPr>
          <w:rFonts w:ascii="Calibri" w:eastAsia="Times New Roman" w:hAnsi="Calibri" w:cs="Calibri"/>
          <w:lang w:eastAsia="en-GB"/>
        </w:rPr>
        <w:t>s in that it is not funded</w:t>
      </w:r>
      <w:r w:rsidR="43A4801E" w:rsidRPr="007D116C">
        <w:rPr>
          <w:rFonts w:ascii="Calibri" w:eastAsia="Times New Roman" w:hAnsi="Calibri" w:cs="Calibri"/>
          <w:lang w:eastAsia="en-GB"/>
        </w:rPr>
        <w:t xml:space="preserve"> </w:t>
      </w:r>
      <w:r w:rsidR="1F8F335F" w:rsidRPr="007D116C">
        <w:rPr>
          <w:rFonts w:ascii="Calibri" w:eastAsia="Times New Roman" w:hAnsi="Calibri" w:cs="Calibri"/>
          <w:lang w:eastAsia="en-GB"/>
        </w:rPr>
        <w:t>by</w:t>
      </w:r>
      <w:r w:rsidR="43A4801E" w:rsidRPr="007D116C">
        <w:rPr>
          <w:rFonts w:ascii="Calibri" w:eastAsia="Times New Roman" w:hAnsi="Calibri" w:cs="Calibri"/>
          <w:lang w:eastAsia="en-GB"/>
        </w:rPr>
        <w:t xml:space="preserve"> a building levy. In th</w:t>
      </w:r>
      <w:r w:rsidR="1F8F335F" w:rsidRPr="007D116C">
        <w:rPr>
          <w:rFonts w:ascii="Calibri" w:eastAsia="Times New Roman" w:hAnsi="Calibri" w:cs="Calibri"/>
          <w:lang w:eastAsia="en-GB"/>
        </w:rPr>
        <w:t>ree</w:t>
      </w:r>
      <w:r w:rsidR="43A4801E" w:rsidRPr="007D116C">
        <w:rPr>
          <w:rFonts w:ascii="Calibri" w:eastAsia="Times New Roman" w:hAnsi="Calibri" w:cs="Calibri"/>
          <w:lang w:eastAsia="en-GB"/>
        </w:rPr>
        <w:t xml:space="preserve"> other</w:t>
      </w:r>
      <w:r w:rsidR="1F8F335F" w:rsidRPr="007D116C">
        <w:rPr>
          <w:rFonts w:ascii="Calibri" w:eastAsia="Times New Roman" w:hAnsi="Calibri" w:cs="Calibri"/>
          <w:lang w:eastAsia="en-GB"/>
        </w:rPr>
        <w:t xml:space="preserve"> mainland</w:t>
      </w:r>
      <w:r w:rsidR="43A4801E" w:rsidRPr="007D116C">
        <w:rPr>
          <w:rFonts w:ascii="Calibri" w:eastAsia="Times New Roman" w:hAnsi="Calibri" w:cs="Calibri"/>
          <w:lang w:eastAsia="en-GB"/>
        </w:rPr>
        <w:t xml:space="preserve"> states, such levies, imposed on builders, fund different parts of the regulatory system: in NSW, the recently introduced developer levy will fund the regulatory activities of NSW Fair Trading and the Office of the Building </w:t>
      </w:r>
      <w:r w:rsidR="77EEAE78" w:rsidRPr="007D116C">
        <w:rPr>
          <w:rFonts w:ascii="Calibri" w:eastAsia="Times New Roman" w:hAnsi="Calibri" w:cs="Calibri"/>
          <w:lang w:eastAsia="en-GB"/>
        </w:rPr>
        <w:t>Commission</w:t>
      </w:r>
      <w:r w:rsidR="43A4801E" w:rsidRPr="007D116C">
        <w:rPr>
          <w:rFonts w:ascii="Calibri" w:eastAsia="Times New Roman" w:hAnsi="Calibri" w:cs="Calibri"/>
          <w:lang w:eastAsia="en-GB"/>
        </w:rPr>
        <w:t>er</w:t>
      </w:r>
      <w:r w:rsidR="601ECC1D" w:rsidRPr="007D116C">
        <w:rPr>
          <w:rFonts w:ascii="Calibri" w:eastAsia="Times New Roman" w:hAnsi="Calibri" w:cs="Calibri"/>
          <w:lang w:eastAsia="en-GB"/>
        </w:rPr>
        <w:t xml:space="preserve">; </w:t>
      </w:r>
      <w:r w:rsidR="43A4801E" w:rsidRPr="007D116C">
        <w:rPr>
          <w:rFonts w:ascii="Calibri" w:eastAsia="Times New Roman" w:hAnsi="Calibri" w:cs="Calibri"/>
          <w:lang w:eastAsia="en-GB"/>
        </w:rPr>
        <w:t>in Victoria, the building levy is the primary source of funding for the VBA</w:t>
      </w:r>
      <w:r w:rsidR="601ECC1D" w:rsidRPr="007D116C">
        <w:rPr>
          <w:rFonts w:ascii="Calibri" w:eastAsia="Times New Roman" w:hAnsi="Calibri" w:cs="Calibri"/>
          <w:lang w:eastAsia="en-GB"/>
        </w:rPr>
        <w:t>; and in Western Australia the levy funds the Building Commissioner, an office within Building and Energy.</w:t>
      </w:r>
      <w:r w:rsidR="002D2FB4" w:rsidRPr="007D116C">
        <w:rPr>
          <w:rStyle w:val="FootnoteReference"/>
          <w:rFonts w:ascii="Calibri" w:eastAsia="Times New Roman" w:hAnsi="Calibri" w:cs="Calibri"/>
          <w:lang w:eastAsia="en-GB"/>
        </w:rPr>
        <w:footnoteReference w:id="59"/>
      </w:r>
      <w:r w:rsidR="43A4801E" w:rsidRPr="007D116C">
        <w:rPr>
          <w:rFonts w:ascii="Calibri" w:eastAsia="Times New Roman" w:hAnsi="Calibri" w:cs="Calibri"/>
          <w:lang w:eastAsia="en-GB"/>
        </w:rPr>
        <w:t xml:space="preserve"> </w:t>
      </w:r>
      <w:r w:rsidR="16097A2D" w:rsidRPr="007D116C">
        <w:rPr>
          <w:rFonts w:ascii="Calibri" w:eastAsia="Times New Roman" w:hAnsi="Calibri" w:cs="Calibri"/>
          <w:lang w:eastAsia="en-GB"/>
        </w:rPr>
        <w:t>I</w:t>
      </w:r>
      <w:r w:rsidR="43A4801E" w:rsidRPr="007D116C">
        <w:rPr>
          <w:rFonts w:ascii="Calibri" w:eastAsia="Times New Roman" w:hAnsi="Calibri" w:cs="Calibri"/>
          <w:lang w:eastAsia="en-GB"/>
        </w:rPr>
        <w:t>n South Australia the levy is specifically for funding construction industry training programs</w:t>
      </w:r>
      <w:r w:rsidR="1084F480" w:rsidRPr="007D116C">
        <w:rPr>
          <w:rFonts w:ascii="Calibri" w:eastAsia="Times New Roman" w:hAnsi="Calibri" w:cs="Calibri"/>
          <w:lang w:eastAsia="en-GB"/>
        </w:rPr>
        <w:t>.</w:t>
      </w:r>
      <w:r w:rsidR="601ECC1D" w:rsidRPr="007D116C">
        <w:rPr>
          <w:rFonts w:ascii="Calibri" w:eastAsia="Times New Roman" w:hAnsi="Calibri" w:cs="Calibri"/>
          <w:lang w:eastAsia="en-GB"/>
        </w:rPr>
        <w:t xml:space="preserve"> </w:t>
      </w:r>
      <w:r w:rsidR="16097A2D" w:rsidRPr="007D116C">
        <w:rPr>
          <w:rFonts w:ascii="Calibri" w:eastAsia="Times New Roman" w:hAnsi="Calibri" w:cs="Calibri"/>
          <w:lang w:eastAsia="en-GB"/>
        </w:rPr>
        <w:t>The situation in Queensland is more similar to South Australia than the other mainland states</w:t>
      </w:r>
      <w:r w:rsidR="747F7484" w:rsidRPr="007D116C">
        <w:rPr>
          <w:rFonts w:ascii="Calibri" w:eastAsia="Times New Roman" w:hAnsi="Calibri" w:cs="Calibri"/>
          <w:lang w:eastAsia="en-GB"/>
        </w:rPr>
        <w:t xml:space="preserve">. There are three building levies in Queensland, imposed by </w:t>
      </w:r>
      <w:r w:rsidR="4D2BC57E" w:rsidRPr="007D116C">
        <w:rPr>
          <w:rFonts w:ascii="Calibri" w:eastAsia="Times New Roman" w:hAnsi="Calibri" w:cs="Calibri"/>
          <w:lang w:eastAsia="en-GB"/>
        </w:rPr>
        <w:t>s</w:t>
      </w:r>
      <w:r w:rsidR="15CB48C0" w:rsidRPr="007D116C">
        <w:rPr>
          <w:rFonts w:ascii="Calibri" w:eastAsia="Times New Roman" w:hAnsi="Calibri" w:cs="Calibri"/>
          <w:lang w:eastAsia="en-GB"/>
        </w:rPr>
        <w:t> </w:t>
      </w:r>
      <w:r w:rsidR="4D2BC57E" w:rsidRPr="007D116C">
        <w:rPr>
          <w:rFonts w:ascii="Calibri" w:eastAsia="Times New Roman" w:hAnsi="Calibri" w:cs="Calibri"/>
          <w:lang w:eastAsia="en-GB"/>
        </w:rPr>
        <w:t>66 of the Building and Construction Industry (Portable Long Service Leave) Act 1991</w:t>
      </w:r>
      <w:r w:rsidR="15CB48C0" w:rsidRPr="007D116C">
        <w:rPr>
          <w:rFonts w:ascii="Calibri" w:eastAsia="Times New Roman" w:hAnsi="Calibri" w:cs="Calibri"/>
          <w:lang w:eastAsia="en-GB"/>
        </w:rPr>
        <w:t xml:space="preserve">: the building and construction industry </w:t>
      </w:r>
      <w:r w:rsidR="754BEA75" w:rsidRPr="007D116C">
        <w:rPr>
          <w:rFonts w:ascii="Calibri" w:eastAsia="Times New Roman" w:hAnsi="Calibri" w:cs="Calibri"/>
          <w:lang w:eastAsia="en-GB"/>
        </w:rPr>
        <w:t xml:space="preserve">training </w:t>
      </w:r>
      <w:r w:rsidR="15CB48C0" w:rsidRPr="007D116C">
        <w:rPr>
          <w:rFonts w:ascii="Calibri" w:eastAsia="Times New Roman" w:hAnsi="Calibri" w:cs="Calibri"/>
          <w:lang w:eastAsia="en-GB"/>
        </w:rPr>
        <w:t xml:space="preserve">levy, which funds </w:t>
      </w:r>
      <w:r w:rsidR="3D4A06BB" w:rsidRPr="007D116C">
        <w:rPr>
          <w:rFonts w:ascii="Calibri" w:eastAsia="Times New Roman" w:hAnsi="Calibri" w:cs="Calibri"/>
          <w:lang w:eastAsia="en-GB"/>
        </w:rPr>
        <w:t>Construction Skills Queensland, an independent industry-run training provide</w:t>
      </w:r>
      <w:r w:rsidR="65FF0BA9" w:rsidRPr="007D116C">
        <w:rPr>
          <w:rFonts w:ascii="Calibri" w:eastAsia="Times New Roman" w:hAnsi="Calibri" w:cs="Calibri"/>
          <w:lang w:eastAsia="en-GB"/>
        </w:rPr>
        <w:t xml:space="preserve">r; the long service levy, which funds a portable long service </w:t>
      </w:r>
      <w:r w:rsidR="65FF0BA9" w:rsidRPr="007D116C">
        <w:rPr>
          <w:rFonts w:ascii="Calibri" w:eastAsia="Times New Roman" w:hAnsi="Calibri" w:cs="Calibri"/>
          <w:lang w:eastAsia="en-GB"/>
        </w:rPr>
        <w:lastRenderedPageBreak/>
        <w:t>scheme administered by QLeave</w:t>
      </w:r>
      <w:r w:rsidR="2D30878B" w:rsidRPr="007D116C">
        <w:rPr>
          <w:rFonts w:ascii="Calibri" w:eastAsia="Times New Roman" w:hAnsi="Calibri" w:cs="Calibri"/>
          <w:lang w:eastAsia="en-GB"/>
        </w:rPr>
        <w:t>; and the work health and safety levy</w:t>
      </w:r>
      <w:r w:rsidR="4CBD200A" w:rsidRPr="007D116C">
        <w:rPr>
          <w:rFonts w:ascii="Calibri" w:eastAsia="Times New Roman" w:hAnsi="Calibri" w:cs="Calibri"/>
          <w:lang w:eastAsia="en-GB"/>
        </w:rPr>
        <w:t xml:space="preserve">, which </w:t>
      </w:r>
      <w:r w:rsidR="068BA9B9" w:rsidRPr="007D116C">
        <w:rPr>
          <w:rFonts w:ascii="Calibri" w:eastAsia="Times New Roman" w:hAnsi="Calibri" w:cs="Calibri"/>
          <w:lang w:eastAsia="en-GB"/>
        </w:rPr>
        <w:t>funds WorkSafe.</w:t>
      </w:r>
      <w:r w:rsidR="00DE23F4" w:rsidRPr="007D116C">
        <w:rPr>
          <w:rStyle w:val="FootnoteReference"/>
          <w:rFonts w:ascii="Calibri" w:eastAsia="Times New Roman" w:hAnsi="Calibri" w:cs="Calibri"/>
          <w:lang w:eastAsia="en-GB"/>
        </w:rPr>
        <w:footnoteReference w:id="60"/>
      </w:r>
      <w:r w:rsidR="068BA9B9" w:rsidRPr="007D116C">
        <w:rPr>
          <w:rFonts w:ascii="Calibri" w:eastAsia="Times New Roman" w:hAnsi="Calibri" w:cs="Calibri"/>
          <w:lang w:eastAsia="en-GB"/>
        </w:rPr>
        <w:t xml:space="preserve"> </w:t>
      </w:r>
      <w:r w:rsidR="7CEC0C6D" w:rsidRPr="007D116C">
        <w:rPr>
          <w:rFonts w:ascii="Calibri" w:eastAsia="Times New Roman" w:hAnsi="Calibri" w:cs="Calibri"/>
          <w:lang w:eastAsia="en-GB"/>
        </w:rPr>
        <w:t xml:space="preserve">The use of </w:t>
      </w:r>
      <w:r w:rsidR="75B4BB55" w:rsidRPr="007D116C">
        <w:rPr>
          <w:rFonts w:ascii="Calibri" w:eastAsia="Times New Roman" w:hAnsi="Calibri" w:cs="Calibri"/>
          <w:lang w:eastAsia="en-GB"/>
        </w:rPr>
        <w:t>building and construction industry levies in mainland states is shown in Table 6, below.</w:t>
      </w:r>
    </w:p>
    <w:p w14:paraId="0473ECD8" w14:textId="78AFB68B" w:rsidR="00B0474C" w:rsidRPr="007D116C" w:rsidRDefault="00B0474C" w:rsidP="00B0474C">
      <w:pPr>
        <w:pStyle w:val="Heading3"/>
        <w:spacing w:line="240" w:lineRule="auto"/>
        <w:rPr>
          <w:rFonts w:ascii="Segoe UI" w:hAnsi="Segoe UI" w:cs="Segoe UI"/>
          <w:szCs w:val="22"/>
          <w:lang w:eastAsia="en-GB"/>
        </w:rPr>
      </w:pPr>
      <w:bookmarkStart w:id="20" w:name="_Toc100599132"/>
      <w:r w:rsidRPr="007D116C">
        <w:rPr>
          <w:szCs w:val="22"/>
          <w:lang w:eastAsia="en-GB"/>
        </w:rPr>
        <w:t>Table 6: Building and construction industry</w:t>
      </w:r>
      <w:r w:rsidR="00CA131E" w:rsidRPr="007D116C">
        <w:rPr>
          <w:szCs w:val="22"/>
          <w:lang w:eastAsia="en-GB"/>
        </w:rPr>
        <w:t xml:space="preserve"> levies</w:t>
      </w:r>
      <w:r w:rsidRPr="007D116C">
        <w:rPr>
          <w:szCs w:val="22"/>
          <w:lang w:eastAsia="en-GB"/>
        </w:rPr>
        <w:t>, mainland states </w:t>
      </w:r>
      <w:bookmarkEnd w:id="20"/>
      <w:r w:rsidRPr="007D116C">
        <w:rPr>
          <w:szCs w:val="22"/>
          <w:lang w:eastAsia="en-GB"/>
        </w:rPr>
        <w:t> </w:t>
      </w:r>
    </w:p>
    <w:tbl>
      <w:tblPr>
        <w:tblStyle w:val="TableGrid"/>
        <w:tblW w:w="0" w:type="auto"/>
        <w:tblLook w:val="04A0" w:firstRow="1" w:lastRow="0" w:firstColumn="1" w:lastColumn="0" w:noHBand="0" w:noVBand="1"/>
      </w:tblPr>
      <w:tblGrid>
        <w:gridCol w:w="1838"/>
        <w:gridCol w:w="3969"/>
        <w:gridCol w:w="1134"/>
        <w:gridCol w:w="911"/>
        <w:gridCol w:w="1164"/>
      </w:tblGrid>
      <w:tr w:rsidR="007D116C" w:rsidRPr="007D116C" w14:paraId="5CDA584C" w14:textId="77777777" w:rsidTr="16FFD785">
        <w:tc>
          <w:tcPr>
            <w:tcW w:w="1838" w:type="dxa"/>
            <w:shd w:val="clear" w:color="auto" w:fill="000000" w:themeFill="text1"/>
          </w:tcPr>
          <w:p w14:paraId="79AE4FE2" w14:textId="7FD51A7E" w:rsidR="00B0474C" w:rsidRPr="007D116C" w:rsidRDefault="00ED7785" w:rsidP="008652E2">
            <w:pPr>
              <w:jc w:val="center"/>
              <w:rPr>
                <w:b/>
                <w:bCs/>
              </w:rPr>
            </w:pPr>
            <w:r w:rsidRPr="007D116C">
              <w:rPr>
                <w:b/>
                <w:bCs/>
              </w:rPr>
              <w:t>State</w:t>
            </w:r>
          </w:p>
        </w:tc>
        <w:tc>
          <w:tcPr>
            <w:tcW w:w="3969" w:type="dxa"/>
            <w:shd w:val="clear" w:color="auto" w:fill="000000" w:themeFill="text1"/>
          </w:tcPr>
          <w:p w14:paraId="2F3B8E9C" w14:textId="77777777" w:rsidR="00B0474C" w:rsidRPr="007D116C" w:rsidRDefault="00B0474C" w:rsidP="008652E2">
            <w:pPr>
              <w:jc w:val="center"/>
              <w:rPr>
                <w:b/>
                <w:bCs/>
              </w:rPr>
            </w:pPr>
            <w:r w:rsidRPr="007D116C">
              <w:rPr>
                <w:b/>
                <w:bCs/>
              </w:rPr>
              <w:t>Building and construction industry levies</w:t>
            </w:r>
          </w:p>
        </w:tc>
        <w:tc>
          <w:tcPr>
            <w:tcW w:w="1134" w:type="dxa"/>
            <w:shd w:val="clear" w:color="auto" w:fill="000000" w:themeFill="text1"/>
          </w:tcPr>
          <w:p w14:paraId="1ADAB3BE" w14:textId="77777777" w:rsidR="00B0474C" w:rsidRPr="007D116C" w:rsidRDefault="00B0474C" w:rsidP="008652E2">
            <w:pPr>
              <w:jc w:val="center"/>
              <w:rPr>
                <w:b/>
                <w:bCs/>
              </w:rPr>
            </w:pPr>
            <w:r w:rsidRPr="007D116C">
              <w:rPr>
                <w:b/>
                <w:bCs/>
              </w:rPr>
              <w:t>Threshold</w:t>
            </w:r>
          </w:p>
        </w:tc>
        <w:tc>
          <w:tcPr>
            <w:tcW w:w="911" w:type="dxa"/>
            <w:shd w:val="clear" w:color="auto" w:fill="000000" w:themeFill="text1"/>
          </w:tcPr>
          <w:p w14:paraId="532E34EC" w14:textId="77777777" w:rsidR="00B0474C" w:rsidRPr="007D116C" w:rsidRDefault="00B0474C" w:rsidP="008652E2">
            <w:pPr>
              <w:jc w:val="center"/>
              <w:rPr>
                <w:b/>
                <w:bCs/>
              </w:rPr>
            </w:pPr>
            <w:r w:rsidRPr="007D116C">
              <w:rPr>
                <w:b/>
                <w:bCs/>
              </w:rPr>
              <w:t>Levy</w:t>
            </w:r>
          </w:p>
        </w:tc>
        <w:tc>
          <w:tcPr>
            <w:tcW w:w="1164" w:type="dxa"/>
            <w:shd w:val="clear" w:color="auto" w:fill="000000" w:themeFill="text1"/>
          </w:tcPr>
          <w:p w14:paraId="2EB124B7" w14:textId="77777777" w:rsidR="00B0474C" w:rsidRPr="007D116C" w:rsidRDefault="00B0474C" w:rsidP="008652E2">
            <w:pPr>
              <w:jc w:val="center"/>
              <w:rPr>
                <w:b/>
                <w:bCs/>
              </w:rPr>
            </w:pPr>
            <w:r w:rsidRPr="007D116C">
              <w:rPr>
                <w:b/>
                <w:bCs/>
              </w:rPr>
              <w:t>Project cost per $1000</w:t>
            </w:r>
          </w:p>
        </w:tc>
      </w:tr>
      <w:tr w:rsidR="007D116C" w:rsidRPr="007D116C" w14:paraId="6FF23615" w14:textId="77777777" w:rsidTr="16FFD785">
        <w:trPr>
          <w:trHeight w:val="255"/>
        </w:trPr>
        <w:tc>
          <w:tcPr>
            <w:tcW w:w="1838" w:type="dxa"/>
            <w:vMerge w:val="restart"/>
            <w:shd w:val="clear" w:color="auto" w:fill="D9D9D9" w:themeFill="background1" w:themeFillShade="D9"/>
          </w:tcPr>
          <w:p w14:paraId="3F7A30F4" w14:textId="77777777" w:rsidR="00B0474C" w:rsidRPr="007D116C" w:rsidRDefault="31E8EDEB" w:rsidP="008652E2">
            <w:pPr>
              <w:jc w:val="left"/>
            </w:pPr>
            <w:r w:rsidRPr="007D116C">
              <w:t>Queensland</w:t>
            </w:r>
            <w:r w:rsidR="00B0474C" w:rsidRPr="007D116C">
              <w:rPr>
                <w:rStyle w:val="FootnoteReference"/>
              </w:rPr>
              <w:footnoteReference w:id="61"/>
            </w:r>
          </w:p>
        </w:tc>
        <w:tc>
          <w:tcPr>
            <w:tcW w:w="3969" w:type="dxa"/>
            <w:shd w:val="clear" w:color="auto" w:fill="D9D9D9" w:themeFill="background1" w:themeFillShade="D9"/>
          </w:tcPr>
          <w:p w14:paraId="4DB4D635" w14:textId="77777777" w:rsidR="00B0474C" w:rsidRPr="007D116C" w:rsidRDefault="00B0474C" w:rsidP="00CE5686">
            <w:pPr>
              <w:jc w:val="left"/>
            </w:pPr>
            <w:r w:rsidRPr="007D116C">
              <w:t>Portable Long Service Leave Levy</w:t>
            </w:r>
          </w:p>
        </w:tc>
        <w:tc>
          <w:tcPr>
            <w:tcW w:w="1134" w:type="dxa"/>
            <w:shd w:val="clear" w:color="auto" w:fill="D9D9D9" w:themeFill="background1" w:themeFillShade="D9"/>
          </w:tcPr>
          <w:p w14:paraId="2D8A99BA" w14:textId="77777777" w:rsidR="00B0474C" w:rsidRPr="007D116C" w:rsidRDefault="00B0474C" w:rsidP="00CE5686">
            <w:pPr>
              <w:jc w:val="left"/>
            </w:pPr>
            <w:r w:rsidRPr="007D116C">
              <w:t>$150,000</w:t>
            </w:r>
          </w:p>
        </w:tc>
        <w:tc>
          <w:tcPr>
            <w:tcW w:w="911" w:type="dxa"/>
            <w:shd w:val="clear" w:color="auto" w:fill="D9D9D9" w:themeFill="background1" w:themeFillShade="D9"/>
          </w:tcPr>
          <w:p w14:paraId="393852AE" w14:textId="77777777" w:rsidR="00B0474C" w:rsidRPr="007D116C" w:rsidRDefault="00B0474C" w:rsidP="00CE5686">
            <w:r w:rsidRPr="007D116C">
              <w:t>0.35%</w:t>
            </w:r>
          </w:p>
        </w:tc>
        <w:tc>
          <w:tcPr>
            <w:tcW w:w="1164" w:type="dxa"/>
            <w:vMerge w:val="restart"/>
            <w:shd w:val="clear" w:color="auto" w:fill="D9D9D9" w:themeFill="background1" w:themeFillShade="D9"/>
          </w:tcPr>
          <w:p w14:paraId="40C8BC72" w14:textId="77777777" w:rsidR="00B0474C" w:rsidRPr="007D116C" w:rsidRDefault="00B0474C" w:rsidP="00CE5686">
            <w:r w:rsidRPr="007D116C">
              <w:t>$5.75</w:t>
            </w:r>
          </w:p>
        </w:tc>
      </w:tr>
      <w:tr w:rsidR="007D116C" w:rsidRPr="007D116C" w14:paraId="596DAE4E" w14:textId="77777777" w:rsidTr="16FFD785">
        <w:trPr>
          <w:trHeight w:val="237"/>
        </w:trPr>
        <w:tc>
          <w:tcPr>
            <w:tcW w:w="1838" w:type="dxa"/>
            <w:vMerge/>
          </w:tcPr>
          <w:p w14:paraId="3A11A736" w14:textId="77777777" w:rsidR="00B0474C" w:rsidRPr="007D116C" w:rsidRDefault="00B0474C" w:rsidP="008652E2">
            <w:pPr>
              <w:jc w:val="left"/>
            </w:pPr>
          </w:p>
        </w:tc>
        <w:tc>
          <w:tcPr>
            <w:tcW w:w="3969" w:type="dxa"/>
            <w:shd w:val="clear" w:color="auto" w:fill="D9D9D9" w:themeFill="background1" w:themeFillShade="D9"/>
          </w:tcPr>
          <w:p w14:paraId="52488587" w14:textId="77777777" w:rsidR="00B0474C" w:rsidRPr="007D116C" w:rsidRDefault="00B0474C" w:rsidP="00CE5686">
            <w:pPr>
              <w:jc w:val="left"/>
            </w:pPr>
            <w:r w:rsidRPr="007D116C">
              <w:t>Work Health and Safety Levy</w:t>
            </w:r>
          </w:p>
        </w:tc>
        <w:tc>
          <w:tcPr>
            <w:tcW w:w="1134" w:type="dxa"/>
            <w:shd w:val="clear" w:color="auto" w:fill="D9D9D9" w:themeFill="background1" w:themeFillShade="D9"/>
          </w:tcPr>
          <w:p w14:paraId="43376DC0" w14:textId="77777777" w:rsidR="00B0474C" w:rsidRPr="007D116C" w:rsidRDefault="00B0474C" w:rsidP="00CE5686">
            <w:pPr>
              <w:jc w:val="left"/>
            </w:pPr>
            <w:r w:rsidRPr="007D116C">
              <w:t>$150,000</w:t>
            </w:r>
          </w:p>
        </w:tc>
        <w:tc>
          <w:tcPr>
            <w:tcW w:w="911" w:type="dxa"/>
            <w:shd w:val="clear" w:color="auto" w:fill="D9D9D9" w:themeFill="background1" w:themeFillShade="D9"/>
          </w:tcPr>
          <w:p w14:paraId="407A3332" w14:textId="77777777" w:rsidR="00B0474C" w:rsidRPr="007D116C" w:rsidRDefault="00B0474C" w:rsidP="00CE5686">
            <w:pPr>
              <w:jc w:val="left"/>
            </w:pPr>
            <w:r w:rsidRPr="007D116C">
              <w:t>0.125%</w:t>
            </w:r>
          </w:p>
        </w:tc>
        <w:tc>
          <w:tcPr>
            <w:tcW w:w="1164" w:type="dxa"/>
            <w:vMerge/>
          </w:tcPr>
          <w:p w14:paraId="2B0AD3D7" w14:textId="77777777" w:rsidR="00B0474C" w:rsidRPr="007D116C" w:rsidRDefault="00B0474C" w:rsidP="00CE5686"/>
        </w:tc>
      </w:tr>
      <w:tr w:rsidR="007D116C" w:rsidRPr="007D116C" w14:paraId="360621F2" w14:textId="77777777" w:rsidTr="16FFD785">
        <w:trPr>
          <w:trHeight w:val="285"/>
        </w:trPr>
        <w:tc>
          <w:tcPr>
            <w:tcW w:w="1838" w:type="dxa"/>
            <w:vMerge/>
          </w:tcPr>
          <w:p w14:paraId="5FC4BFF3" w14:textId="77777777" w:rsidR="00B0474C" w:rsidRPr="007D116C" w:rsidRDefault="00B0474C" w:rsidP="008652E2">
            <w:pPr>
              <w:jc w:val="left"/>
            </w:pPr>
          </w:p>
        </w:tc>
        <w:tc>
          <w:tcPr>
            <w:tcW w:w="3969" w:type="dxa"/>
            <w:shd w:val="clear" w:color="auto" w:fill="D9D9D9" w:themeFill="background1" w:themeFillShade="D9"/>
          </w:tcPr>
          <w:p w14:paraId="1A04B069" w14:textId="77777777" w:rsidR="00B0474C" w:rsidRPr="007D116C" w:rsidRDefault="00B0474C" w:rsidP="00CE5686">
            <w:pPr>
              <w:jc w:val="left"/>
            </w:pPr>
            <w:r w:rsidRPr="007D116C">
              <w:t>Construction Skill Queensland Levy</w:t>
            </w:r>
          </w:p>
        </w:tc>
        <w:tc>
          <w:tcPr>
            <w:tcW w:w="1134" w:type="dxa"/>
            <w:shd w:val="clear" w:color="auto" w:fill="D9D9D9" w:themeFill="background1" w:themeFillShade="D9"/>
          </w:tcPr>
          <w:p w14:paraId="40F06B89" w14:textId="77777777" w:rsidR="00B0474C" w:rsidRPr="007D116C" w:rsidRDefault="00B0474C" w:rsidP="00CE5686">
            <w:pPr>
              <w:jc w:val="left"/>
            </w:pPr>
            <w:r w:rsidRPr="007D116C">
              <w:t>$150,000</w:t>
            </w:r>
          </w:p>
        </w:tc>
        <w:tc>
          <w:tcPr>
            <w:tcW w:w="911" w:type="dxa"/>
            <w:shd w:val="clear" w:color="auto" w:fill="D9D9D9" w:themeFill="background1" w:themeFillShade="D9"/>
          </w:tcPr>
          <w:p w14:paraId="625A33DE" w14:textId="77777777" w:rsidR="00B0474C" w:rsidRPr="007D116C" w:rsidRDefault="00B0474C" w:rsidP="00CE5686">
            <w:r w:rsidRPr="007D116C">
              <w:t>0.1%</w:t>
            </w:r>
          </w:p>
        </w:tc>
        <w:tc>
          <w:tcPr>
            <w:tcW w:w="1164" w:type="dxa"/>
            <w:vMerge/>
          </w:tcPr>
          <w:p w14:paraId="3984C854" w14:textId="77777777" w:rsidR="00B0474C" w:rsidRPr="007D116C" w:rsidRDefault="00B0474C" w:rsidP="00CE5686"/>
        </w:tc>
      </w:tr>
      <w:tr w:rsidR="007D116C" w:rsidRPr="007D116C" w14:paraId="1BDC6CE8" w14:textId="77777777" w:rsidTr="16FFD785">
        <w:trPr>
          <w:trHeight w:val="195"/>
        </w:trPr>
        <w:tc>
          <w:tcPr>
            <w:tcW w:w="1838" w:type="dxa"/>
            <w:vMerge w:val="restart"/>
          </w:tcPr>
          <w:p w14:paraId="24511C2E" w14:textId="77777777" w:rsidR="00B0474C" w:rsidRPr="007D116C" w:rsidRDefault="31E8EDEB" w:rsidP="008652E2">
            <w:pPr>
              <w:jc w:val="left"/>
            </w:pPr>
            <w:r w:rsidRPr="007D116C">
              <w:t>New South Wales</w:t>
            </w:r>
            <w:r w:rsidR="00B0474C" w:rsidRPr="007D116C">
              <w:rPr>
                <w:rStyle w:val="FootnoteReference"/>
              </w:rPr>
              <w:footnoteReference w:id="62"/>
            </w:r>
          </w:p>
        </w:tc>
        <w:tc>
          <w:tcPr>
            <w:tcW w:w="3969" w:type="dxa"/>
          </w:tcPr>
          <w:p w14:paraId="56B2CD54" w14:textId="77777777" w:rsidR="00B0474C" w:rsidRPr="007D116C" w:rsidRDefault="00B0474C" w:rsidP="00CE5686">
            <w:pPr>
              <w:jc w:val="left"/>
            </w:pPr>
            <w:r w:rsidRPr="007D116C">
              <w:t>Long Service Levy</w:t>
            </w:r>
          </w:p>
        </w:tc>
        <w:tc>
          <w:tcPr>
            <w:tcW w:w="1134" w:type="dxa"/>
          </w:tcPr>
          <w:p w14:paraId="247BE755" w14:textId="77777777" w:rsidR="00B0474C" w:rsidRPr="007D116C" w:rsidRDefault="00B0474C" w:rsidP="00CE5686">
            <w:pPr>
              <w:jc w:val="left"/>
            </w:pPr>
            <w:r w:rsidRPr="007D116C">
              <w:t>$25,000</w:t>
            </w:r>
          </w:p>
        </w:tc>
        <w:tc>
          <w:tcPr>
            <w:tcW w:w="911" w:type="dxa"/>
          </w:tcPr>
          <w:p w14:paraId="40667D39" w14:textId="77777777" w:rsidR="00B0474C" w:rsidRPr="007D116C" w:rsidRDefault="00B0474C" w:rsidP="00CE5686">
            <w:r w:rsidRPr="007D116C">
              <w:t>0.35%</w:t>
            </w:r>
          </w:p>
        </w:tc>
        <w:tc>
          <w:tcPr>
            <w:tcW w:w="1164" w:type="dxa"/>
            <w:vMerge w:val="restart"/>
          </w:tcPr>
          <w:p w14:paraId="36DEC947" w14:textId="77777777" w:rsidR="00B0474C" w:rsidRPr="007D116C" w:rsidRDefault="00B0474C" w:rsidP="00CE5686">
            <w:r w:rsidRPr="007D116C">
              <w:t>$3.50</w:t>
            </w:r>
          </w:p>
        </w:tc>
      </w:tr>
      <w:tr w:rsidR="007D116C" w:rsidRPr="007D116C" w14:paraId="6EFA7C00" w14:textId="77777777" w:rsidTr="16FFD785">
        <w:trPr>
          <w:trHeight w:val="345"/>
        </w:trPr>
        <w:tc>
          <w:tcPr>
            <w:tcW w:w="1838" w:type="dxa"/>
            <w:vMerge/>
          </w:tcPr>
          <w:p w14:paraId="724AB806" w14:textId="77777777" w:rsidR="00B0474C" w:rsidRPr="007D116C" w:rsidRDefault="00B0474C" w:rsidP="008652E2">
            <w:pPr>
              <w:jc w:val="left"/>
            </w:pPr>
          </w:p>
        </w:tc>
        <w:tc>
          <w:tcPr>
            <w:tcW w:w="3969" w:type="dxa"/>
          </w:tcPr>
          <w:p w14:paraId="3782C3C7" w14:textId="77777777" w:rsidR="00B0474C" w:rsidRPr="007D116C" w:rsidRDefault="00B0474C" w:rsidP="00CE5686">
            <w:pPr>
              <w:jc w:val="left"/>
            </w:pPr>
            <w:r w:rsidRPr="007D116C">
              <w:t>Developers Levy</w:t>
            </w:r>
          </w:p>
        </w:tc>
        <w:tc>
          <w:tcPr>
            <w:tcW w:w="2045" w:type="dxa"/>
            <w:gridSpan w:val="2"/>
          </w:tcPr>
          <w:p w14:paraId="2E9D7E0A" w14:textId="77777777" w:rsidR="00B0474C" w:rsidRPr="007D116C" w:rsidRDefault="00B0474C" w:rsidP="00CE5686">
            <w:pPr>
              <w:jc w:val="left"/>
            </w:pPr>
            <w:r w:rsidRPr="007D116C">
              <w:t>To be confirmed</w:t>
            </w:r>
          </w:p>
        </w:tc>
        <w:tc>
          <w:tcPr>
            <w:tcW w:w="1164" w:type="dxa"/>
            <w:vMerge/>
          </w:tcPr>
          <w:p w14:paraId="6AF909D1" w14:textId="77777777" w:rsidR="00B0474C" w:rsidRPr="007D116C" w:rsidRDefault="00B0474C" w:rsidP="00CE5686"/>
        </w:tc>
      </w:tr>
      <w:tr w:rsidR="007D116C" w:rsidRPr="007D116C" w14:paraId="30EAFCD5" w14:textId="77777777" w:rsidTr="16FFD785">
        <w:trPr>
          <w:trHeight w:val="240"/>
        </w:trPr>
        <w:tc>
          <w:tcPr>
            <w:tcW w:w="1838" w:type="dxa"/>
            <w:vMerge w:val="restart"/>
            <w:shd w:val="clear" w:color="auto" w:fill="F2F2F2" w:themeFill="background1" w:themeFillShade="F2"/>
          </w:tcPr>
          <w:p w14:paraId="1A740D8E" w14:textId="77777777" w:rsidR="00532DB2" w:rsidRPr="007D116C" w:rsidRDefault="534C92CE" w:rsidP="008652E2">
            <w:pPr>
              <w:jc w:val="left"/>
            </w:pPr>
            <w:r w:rsidRPr="007D116C">
              <w:t>Victoria</w:t>
            </w:r>
            <w:r w:rsidR="00532DB2" w:rsidRPr="007D116C">
              <w:rPr>
                <w:rStyle w:val="FootnoteReference"/>
              </w:rPr>
              <w:footnoteReference w:id="63"/>
            </w:r>
          </w:p>
        </w:tc>
        <w:tc>
          <w:tcPr>
            <w:tcW w:w="3969" w:type="dxa"/>
            <w:shd w:val="clear" w:color="auto" w:fill="F2F2F2" w:themeFill="background1" w:themeFillShade="F2"/>
          </w:tcPr>
          <w:p w14:paraId="7138B64F" w14:textId="77777777" w:rsidR="00532DB2" w:rsidRPr="007D116C" w:rsidRDefault="00532DB2" w:rsidP="00CE5686">
            <w:pPr>
              <w:jc w:val="left"/>
            </w:pPr>
            <w:r w:rsidRPr="007D116C">
              <w:t>Building Permit Levy</w:t>
            </w:r>
          </w:p>
        </w:tc>
        <w:tc>
          <w:tcPr>
            <w:tcW w:w="1134" w:type="dxa"/>
            <w:shd w:val="clear" w:color="auto" w:fill="F2F2F2" w:themeFill="background1" w:themeFillShade="F2"/>
          </w:tcPr>
          <w:p w14:paraId="27B6D79B" w14:textId="77777777" w:rsidR="00532DB2" w:rsidRPr="007D116C" w:rsidRDefault="00532DB2" w:rsidP="00CE5686">
            <w:pPr>
              <w:jc w:val="left"/>
            </w:pPr>
            <w:r w:rsidRPr="007D116C">
              <w:t>$10,000</w:t>
            </w:r>
          </w:p>
        </w:tc>
        <w:tc>
          <w:tcPr>
            <w:tcW w:w="911" w:type="dxa"/>
            <w:shd w:val="clear" w:color="auto" w:fill="F2F2F2" w:themeFill="background1" w:themeFillShade="F2"/>
          </w:tcPr>
          <w:p w14:paraId="2C7A2628" w14:textId="77777777" w:rsidR="00532DB2" w:rsidRPr="007D116C" w:rsidRDefault="00532DB2" w:rsidP="00CE5686">
            <w:pPr>
              <w:jc w:val="left"/>
            </w:pPr>
            <w:r w:rsidRPr="007D116C">
              <w:t>0.128%</w:t>
            </w:r>
          </w:p>
        </w:tc>
        <w:tc>
          <w:tcPr>
            <w:tcW w:w="1164" w:type="dxa"/>
            <w:shd w:val="clear" w:color="auto" w:fill="F2F2F2" w:themeFill="background1" w:themeFillShade="F2"/>
          </w:tcPr>
          <w:p w14:paraId="6516A5FE" w14:textId="77777777" w:rsidR="00532DB2" w:rsidRPr="007D116C" w:rsidRDefault="00532DB2" w:rsidP="00CE5686">
            <w:pPr>
              <w:jc w:val="left"/>
            </w:pPr>
            <w:r w:rsidRPr="007D116C">
              <w:t>$1.28</w:t>
            </w:r>
          </w:p>
        </w:tc>
      </w:tr>
      <w:tr w:rsidR="007D116C" w:rsidRPr="007D116C" w14:paraId="1154C396" w14:textId="77777777" w:rsidTr="16FFD785">
        <w:trPr>
          <w:trHeight w:val="271"/>
        </w:trPr>
        <w:tc>
          <w:tcPr>
            <w:tcW w:w="1838" w:type="dxa"/>
            <w:vMerge/>
          </w:tcPr>
          <w:p w14:paraId="41F23F03" w14:textId="77777777" w:rsidR="00532DB2" w:rsidRPr="007D116C" w:rsidRDefault="00532DB2" w:rsidP="008652E2">
            <w:pPr>
              <w:jc w:val="left"/>
            </w:pPr>
          </w:p>
        </w:tc>
        <w:tc>
          <w:tcPr>
            <w:tcW w:w="3969" w:type="dxa"/>
            <w:shd w:val="clear" w:color="auto" w:fill="F2F2F2" w:themeFill="background1" w:themeFillShade="F2"/>
          </w:tcPr>
          <w:p w14:paraId="05682272" w14:textId="6A7A68EF" w:rsidR="00532DB2" w:rsidRPr="007D116C" w:rsidRDefault="00532DB2" w:rsidP="00CE5686">
            <w:pPr>
              <w:jc w:val="left"/>
            </w:pPr>
            <w:r w:rsidRPr="007D116C">
              <w:t>Cladding Rectification Levy</w:t>
            </w:r>
          </w:p>
        </w:tc>
        <w:tc>
          <w:tcPr>
            <w:tcW w:w="1134" w:type="dxa"/>
            <w:shd w:val="clear" w:color="auto" w:fill="F2F2F2" w:themeFill="background1" w:themeFillShade="F2"/>
          </w:tcPr>
          <w:p w14:paraId="06FE266A" w14:textId="77777777" w:rsidR="00532DB2" w:rsidRPr="007D116C" w:rsidRDefault="00532DB2" w:rsidP="00CE5686">
            <w:pPr>
              <w:jc w:val="left"/>
            </w:pPr>
            <w:r w:rsidRPr="007D116C">
              <w:t>$800,000</w:t>
            </w:r>
          </w:p>
        </w:tc>
        <w:tc>
          <w:tcPr>
            <w:tcW w:w="911" w:type="dxa"/>
            <w:shd w:val="clear" w:color="auto" w:fill="F2F2F2" w:themeFill="background1" w:themeFillShade="F2"/>
          </w:tcPr>
          <w:p w14:paraId="5F14706C" w14:textId="77777777" w:rsidR="00532DB2" w:rsidRPr="007D116C" w:rsidRDefault="00532DB2" w:rsidP="00CE5686">
            <w:pPr>
              <w:jc w:val="left"/>
            </w:pPr>
            <w:r w:rsidRPr="007D116C">
              <w:t>0.128%</w:t>
            </w:r>
          </w:p>
        </w:tc>
        <w:tc>
          <w:tcPr>
            <w:tcW w:w="1164" w:type="dxa"/>
            <w:shd w:val="clear" w:color="auto" w:fill="F2F2F2" w:themeFill="background1" w:themeFillShade="F2"/>
          </w:tcPr>
          <w:p w14:paraId="2E29B6C1" w14:textId="77777777" w:rsidR="00532DB2" w:rsidRPr="007D116C" w:rsidRDefault="00532DB2" w:rsidP="00CE5686">
            <w:pPr>
              <w:jc w:val="left"/>
            </w:pPr>
            <w:r w:rsidRPr="007D116C">
              <w:t>$3.56</w:t>
            </w:r>
          </w:p>
        </w:tc>
      </w:tr>
      <w:tr w:rsidR="007D116C" w:rsidRPr="007D116C" w14:paraId="6AE06F9D" w14:textId="77777777" w:rsidTr="16FFD785">
        <w:trPr>
          <w:trHeight w:val="252"/>
        </w:trPr>
        <w:tc>
          <w:tcPr>
            <w:tcW w:w="1838" w:type="dxa"/>
            <w:vMerge/>
          </w:tcPr>
          <w:p w14:paraId="0CEF6453" w14:textId="77777777" w:rsidR="00532DB2" w:rsidRPr="007D116C" w:rsidRDefault="00532DB2" w:rsidP="004824C6">
            <w:pPr>
              <w:jc w:val="left"/>
            </w:pPr>
          </w:p>
        </w:tc>
        <w:tc>
          <w:tcPr>
            <w:tcW w:w="3969" w:type="dxa"/>
            <w:shd w:val="clear" w:color="auto" w:fill="F2F2F2" w:themeFill="background1" w:themeFillShade="F2"/>
          </w:tcPr>
          <w:p w14:paraId="56E885F0" w14:textId="67D91B81" w:rsidR="00532DB2" w:rsidRPr="007D116C" w:rsidRDefault="00532DB2" w:rsidP="00CE5686">
            <w:pPr>
              <w:jc w:val="left"/>
            </w:pPr>
            <w:r w:rsidRPr="007D116C">
              <w:t>Portable Long Service Leave Levy</w:t>
            </w:r>
          </w:p>
        </w:tc>
        <w:tc>
          <w:tcPr>
            <w:tcW w:w="2045" w:type="dxa"/>
            <w:gridSpan w:val="2"/>
            <w:shd w:val="clear" w:color="auto" w:fill="F2F2F2" w:themeFill="background1" w:themeFillShade="F2"/>
          </w:tcPr>
          <w:p w14:paraId="5F545866" w14:textId="64D08E67" w:rsidR="00532DB2" w:rsidRPr="007D116C" w:rsidRDefault="0057237F" w:rsidP="00CE5686">
            <w:pPr>
              <w:jc w:val="left"/>
            </w:pPr>
            <w:r w:rsidRPr="007D116C">
              <w:t>2.7% of total remuneration</w:t>
            </w:r>
          </w:p>
        </w:tc>
        <w:tc>
          <w:tcPr>
            <w:tcW w:w="1164" w:type="dxa"/>
            <w:shd w:val="clear" w:color="auto" w:fill="F2F2F2" w:themeFill="background1" w:themeFillShade="F2"/>
          </w:tcPr>
          <w:p w14:paraId="41D03079" w14:textId="77777777" w:rsidR="00532DB2" w:rsidRPr="007D116C" w:rsidRDefault="00532DB2" w:rsidP="00CE5686">
            <w:pPr>
              <w:jc w:val="left"/>
            </w:pPr>
          </w:p>
        </w:tc>
      </w:tr>
      <w:tr w:rsidR="007D116C" w:rsidRPr="007D116C" w14:paraId="045F988E" w14:textId="77777777" w:rsidTr="16FFD785">
        <w:trPr>
          <w:trHeight w:val="255"/>
        </w:trPr>
        <w:tc>
          <w:tcPr>
            <w:tcW w:w="1838" w:type="dxa"/>
            <w:vMerge w:val="restart"/>
          </w:tcPr>
          <w:p w14:paraId="7BE0112E" w14:textId="77777777" w:rsidR="00B0474C" w:rsidRPr="007D116C" w:rsidRDefault="31E8EDEB" w:rsidP="008652E2">
            <w:pPr>
              <w:jc w:val="left"/>
            </w:pPr>
            <w:r w:rsidRPr="007D116C">
              <w:t>South Australia</w:t>
            </w:r>
            <w:r w:rsidR="00B0474C" w:rsidRPr="007D116C">
              <w:rPr>
                <w:rStyle w:val="FootnoteReference"/>
              </w:rPr>
              <w:footnoteReference w:id="64"/>
            </w:r>
          </w:p>
        </w:tc>
        <w:tc>
          <w:tcPr>
            <w:tcW w:w="3969" w:type="dxa"/>
          </w:tcPr>
          <w:p w14:paraId="5DFFFAAF" w14:textId="77777777" w:rsidR="00B0474C" w:rsidRPr="007D116C" w:rsidRDefault="00B0474C" w:rsidP="00CE5686">
            <w:pPr>
              <w:jc w:val="left"/>
            </w:pPr>
            <w:r w:rsidRPr="007D116C">
              <w:t>Construction Industry Training Fund Levy</w:t>
            </w:r>
          </w:p>
        </w:tc>
        <w:tc>
          <w:tcPr>
            <w:tcW w:w="1134" w:type="dxa"/>
          </w:tcPr>
          <w:p w14:paraId="4040F7D9" w14:textId="77777777" w:rsidR="00B0474C" w:rsidRPr="007D116C" w:rsidRDefault="00B0474C" w:rsidP="00CE5686">
            <w:pPr>
              <w:jc w:val="left"/>
            </w:pPr>
            <w:r w:rsidRPr="007D116C">
              <w:t>$40,000</w:t>
            </w:r>
          </w:p>
        </w:tc>
        <w:tc>
          <w:tcPr>
            <w:tcW w:w="911" w:type="dxa"/>
          </w:tcPr>
          <w:p w14:paraId="1771055E" w14:textId="77777777" w:rsidR="00B0474C" w:rsidRPr="007D116C" w:rsidRDefault="00B0474C" w:rsidP="00CE5686">
            <w:r w:rsidRPr="007D116C">
              <w:t>0.25%</w:t>
            </w:r>
          </w:p>
        </w:tc>
        <w:tc>
          <w:tcPr>
            <w:tcW w:w="1164" w:type="dxa"/>
            <w:vMerge w:val="restart"/>
          </w:tcPr>
          <w:p w14:paraId="65E7B034" w14:textId="77777777" w:rsidR="00B0474C" w:rsidRPr="007D116C" w:rsidRDefault="00B0474C" w:rsidP="00CE5686">
            <w:r w:rsidRPr="007D116C">
              <w:t>$2.50</w:t>
            </w:r>
          </w:p>
        </w:tc>
      </w:tr>
      <w:tr w:rsidR="007D116C" w:rsidRPr="007D116C" w14:paraId="198E2E3A" w14:textId="77777777" w:rsidTr="16FFD785">
        <w:trPr>
          <w:trHeight w:val="270"/>
        </w:trPr>
        <w:tc>
          <w:tcPr>
            <w:tcW w:w="1838" w:type="dxa"/>
            <w:vMerge/>
          </w:tcPr>
          <w:p w14:paraId="626C3502" w14:textId="77777777" w:rsidR="00B0474C" w:rsidRPr="007D116C" w:rsidRDefault="00B0474C" w:rsidP="008652E2">
            <w:pPr>
              <w:jc w:val="left"/>
            </w:pPr>
          </w:p>
        </w:tc>
        <w:tc>
          <w:tcPr>
            <w:tcW w:w="3969" w:type="dxa"/>
          </w:tcPr>
          <w:p w14:paraId="6C3A7B1F" w14:textId="77777777" w:rsidR="00B0474C" w:rsidRPr="007D116C" w:rsidRDefault="00B0474C" w:rsidP="00CE5686">
            <w:pPr>
              <w:jc w:val="left"/>
            </w:pPr>
            <w:r w:rsidRPr="007D116C">
              <w:t>Portable Long Service Leave Levy</w:t>
            </w:r>
          </w:p>
        </w:tc>
        <w:tc>
          <w:tcPr>
            <w:tcW w:w="2045" w:type="dxa"/>
            <w:gridSpan w:val="2"/>
          </w:tcPr>
          <w:p w14:paraId="1A923599" w14:textId="77777777" w:rsidR="00B0474C" w:rsidRPr="007D116C" w:rsidRDefault="00B0474C" w:rsidP="00CE5686">
            <w:pPr>
              <w:jc w:val="left"/>
            </w:pPr>
            <w:r w:rsidRPr="007D116C">
              <w:t>2% of total remuneration</w:t>
            </w:r>
          </w:p>
        </w:tc>
        <w:tc>
          <w:tcPr>
            <w:tcW w:w="1164" w:type="dxa"/>
            <w:vMerge/>
          </w:tcPr>
          <w:p w14:paraId="761EE042" w14:textId="77777777" w:rsidR="00B0474C" w:rsidRPr="007D116C" w:rsidRDefault="00B0474C" w:rsidP="00CE5686"/>
        </w:tc>
      </w:tr>
      <w:tr w:rsidR="007D116C" w:rsidRPr="007D116C" w14:paraId="1E8E79E6" w14:textId="77777777" w:rsidTr="16FFD785">
        <w:trPr>
          <w:trHeight w:val="255"/>
        </w:trPr>
        <w:tc>
          <w:tcPr>
            <w:tcW w:w="1838" w:type="dxa"/>
            <w:vMerge w:val="restart"/>
            <w:shd w:val="clear" w:color="auto" w:fill="F2F2F2" w:themeFill="background1" w:themeFillShade="F2"/>
          </w:tcPr>
          <w:p w14:paraId="7E90306C" w14:textId="77777777" w:rsidR="00B0474C" w:rsidRPr="007D116C" w:rsidRDefault="31E8EDEB" w:rsidP="008652E2">
            <w:pPr>
              <w:jc w:val="left"/>
            </w:pPr>
            <w:r w:rsidRPr="007D116C">
              <w:t>Western Australia</w:t>
            </w:r>
            <w:r w:rsidR="00B0474C" w:rsidRPr="007D116C">
              <w:rPr>
                <w:rStyle w:val="FootnoteReference"/>
              </w:rPr>
              <w:footnoteReference w:id="65"/>
            </w:r>
          </w:p>
        </w:tc>
        <w:tc>
          <w:tcPr>
            <w:tcW w:w="3969" w:type="dxa"/>
            <w:shd w:val="clear" w:color="auto" w:fill="F2F2F2" w:themeFill="background1" w:themeFillShade="F2"/>
          </w:tcPr>
          <w:p w14:paraId="6B578904" w14:textId="2E4FFCB1" w:rsidR="00B0474C" w:rsidRPr="007D116C" w:rsidRDefault="00B0474C" w:rsidP="00CE5686">
            <w:r w:rsidRPr="007D116C">
              <w:t>Building Services Levy</w:t>
            </w:r>
          </w:p>
        </w:tc>
        <w:tc>
          <w:tcPr>
            <w:tcW w:w="1134" w:type="dxa"/>
            <w:shd w:val="clear" w:color="auto" w:fill="F2F2F2" w:themeFill="background1" w:themeFillShade="F2"/>
          </w:tcPr>
          <w:p w14:paraId="18305B5D" w14:textId="77777777" w:rsidR="00B0474C" w:rsidRPr="007D116C" w:rsidRDefault="00B0474C" w:rsidP="00CE5686">
            <w:r w:rsidRPr="007D116C">
              <w:t>$45,000</w:t>
            </w:r>
          </w:p>
          <w:p w14:paraId="122DAA79" w14:textId="77777777" w:rsidR="00B0474C" w:rsidRPr="007D116C" w:rsidRDefault="00B0474C" w:rsidP="00CE5686"/>
        </w:tc>
        <w:tc>
          <w:tcPr>
            <w:tcW w:w="911" w:type="dxa"/>
            <w:shd w:val="clear" w:color="auto" w:fill="F2F2F2" w:themeFill="background1" w:themeFillShade="F2"/>
          </w:tcPr>
          <w:p w14:paraId="7CF19375" w14:textId="77777777" w:rsidR="00B0474C" w:rsidRPr="007D116C" w:rsidRDefault="00B0474C" w:rsidP="00CE5686">
            <w:r w:rsidRPr="007D116C">
              <w:t>0.137%</w:t>
            </w:r>
          </w:p>
        </w:tc>
        <w:tc>
          <w:tcPr>
            <w:tcW w:w="1164" w:type="dxa"/>
            <w:vMerge w:val="restart"/>
            <w:shd w:val="clear" w:color="auto" w:fill="F2F2F2" w:themeFill="background1" w:themeFillShade="F2"/>
          </w:tcPr>
          <w:p w14:paraId="5AB2F5D9" w14:textId="08F67726" w:rsidR="00B0474C" w:rsidRPr="007D116C" w:rsidRDefault="00B0474C" w:rsidP="00CE5686">
            <w:r w:rsidRPr="007D116C">
              <w:t>$</w:t>
            </w:r>
            <w:r w:rsidR="00CF0A86" w:rsidRPr="007D116C">
              <w:t>3</w:t>
            </w:r>
            <w:r w:rsidRPr="007D116C">
              <w:t>.37</w:t>
            </w:r>
          </w:p>
        </w:tc>
      </w:tr>
      <w:tr w:rsidR="007D116C" w:rsidRPr="007D116C" w14:paraId="56DCAF15" w14:textId="77777777" w:rsidTr="16FFD785">
        <w:trPr>
          <w:trHeight w:val="540"/>
        </w:trPr>
        <w:tc>
          <w:tcPr>
            <w:tcW w:w="1838" w:type="dxa"/>
            <w:vMerge/>
          </w:tcPr>
          <w:p w14:paraId="4CF1BD11" w14:textId="77777777" w:rsidR="001760A2" w:rsidRPr="007D116C" w:rsidRDefault="001760A2" w:rsidP="008652E2">
            <w:pPr>
              <w:jc w:val="left"/>
            </w:pPr>
          </w:p>
        </w:tc>
        <w:tc>
          <w:tcPr>
            <w:tcW w:w="3969" w:type="dxa"/>
            <w:shd w:val="clear" w:color="auto" w:fill="F2F2F2" w:themeFill="background1" w:themeFillShade="F2"/>
          </w:tcPr>
          <w:p w14:paraId="70EF10A9" w14:textId="4D9DD1B1" w:rsidR="001760A2" w:rsidRPr="007D116C" w:rsidRDefault="001760A2" w:rsidP="00CE5686">
            <w:pPr>
              <w:jc w:val="left"/>
            </w:pPr>
            <w:r w:rsidRPr="007D116C">
              <w:t>Construction Training Fund Levy</w:t>
            </w:r>
          </w:p>
        </w:tc>
        <w:tc>
          <w:tcPr>
            <w:tcW w:w="1134" w:type="dxa"/>
            <w:shd w:val="clear" w:color="auto" w:fill="F2F2F2" w:themeFill="background1" w:themeFillShade="F2"/>
          </w:tcPr>
          <w:p w14:paraId="1E5F1B48" w14:textId="37939DA3" w:rsidR="001760A2" w:rsidRPr="007D116C" w:rsidRDefault="00CF0A86" w:rsidP="00CE5686">
            <w:r w:rsidRPr="007D116C">
              <w:t>$20,000</w:t>
            </w:r>
          </w:p>
        </w:tc>
        <w:tc>
          <w:tcPr>
            <w:tcW w:w="911" w:type="dxa"/>
            <w:shd w:val="clear" w:color="auto" w:fill="F2F2F2" w:themeFill="background1" w:themeFillShade="F2"/>
          </w:tcPr>
          <w:p w14:paraId="41A6649C" w14:textId="298014FB" w:rsidR="001760A2" w:rsidRPr="007D116C" w:rsidRDefault="00CF0A86" w:rsidP="00CE5686">
            <w:r w:rsidRPr="007D116C">
              <w:t>0.2%</w:t>
            </w:r>
          </w:p>
        </w:tc>
        <w:tc>
          <w:tcPr>
            <w:tcW w:w="1164" w:type="dxa"/>
            <w:vMerge/>
          </w:tcPr>
          <w:p w14:paraId="276E8B24" w14:textId="77777777" w:rsidR="001760A2" w:rsidRPr="007D116C" w:rsidRDefault="001760A2" w:rsidP="00CE5686"/>
        </w:tc>
      </w:tr>
      <w:tr w:rsidR="007D116C" w:rsidRPr="007D116C" w14:paraId="642A103C" w14:textId="77777777" w:rsidTr="16FFD785">
        <w:trPr>
          <w:trHeight w:val="525"/>
        </w:trPr>
        <w:tc>
          <w:tcPr>
            <w:tcW w:w="1838" w:type="dxa"/>
            <w:vMerge/>
          </w:tcPr>
          <w:p w14:paraId="5AE72DE4" w14:textId="77777777" w:rsidR="00B0474C" w:rsidRPr="007D116C" w:rsidRDefault="00B0474C" w:rsidP="00CE5686"/>
        </w:tc>
        <w:tc>
          <w:tcPr>
            <w:tcW w:w="3969" w:type="dxa"/>
            <w:shd w:val="clear" w:color="auto" w:fill="F2F2F2" w:themeFill="background1" w:themeFillShade="F2"/>
          </w:tcPr>
          <w:p w14:paraId="71D86CA6" w14:textId="24D9AB86" w:rsidR="00546C55" w:rsidRPr="007D116C" w:rsidRDefault="00B0474C" w:rsidP="00CE5686">
            <w:pPr>
              <w:jc w:val="left"/>
            </w:pPr>
            <w:r w:rsidRPr="007D116C">
              <w:t>Portable Long Service Leave Levy</w:t>
            </w:r>
          </w:p>
        </w:tc>
        <w:tc>
          <w:tcPr>
            <w:tcW w:w="2045" w:type="dxa"/>
            <w:gridSpan w:val="2"/>
            <w:shd w:val="clear" w:color="auto" w:fill="F2F2F2" w:themeFill="background1" w:themeFillShade="F2"/>
          </w:tcPr>
          <w:p w14:paraId="16CD20EE" w14:textId="77777777" w:rsidR="00B0474C" w:rsidRPr="007D116C" w:rsidRDefault="00B0474C" w:rsidP="00CE5686">
            <w:pPr>
              <w:jc w:val="left"/>
            </w:pPr>
            <w:r w:rsidRPr="007D116C">
              <w:t>1.35% of employee pay rate</w:t>
            </w:r>
          </w:p>
        </w:tc>
        <w:tc>
          <w:tcPr>
            <w:tcW w:w="1164" w:type="dxa"/>
            <w:vMerge/>
          </w:tcPr>
          <w:p w14:paraId="5675116B" w14:textId="77777777" w:rsidR="00B0474C" w:rsidRPr="007D116C" w:rsidRDefault="00B0474C" w:rsidP="00CE5686"/>
        </w:tc>
      </w:tr>
    </w:tbl>
    <w:p w14:paraId="59CE0748" w14:textId="77777777" w:rsidR="008C5542" w:rsidRPr="007D116C" w:rsidRDefault="008C5542">
      <w:pPr>
        <w:pStyle w:val="ListParagraph"/>
        <w:ind w:left="0"/>
        <w:contextualSpacing w:val="0"/>
        <w:textAlignment w:val="baseline"/>
        <w:rPr>
          <w:rFonts w:eastAsia="Times New Roman" w:cstheme="minorHAnsi"/>
          <w:lang w:eastAsia="en-GB"/>
        </w:rPr>
      </w:pPr>
    </w:p>
    <w:p w14:paraId="701601AA" w14:textId="2884D601" w:rsidR="006A38B4" w:rsidRPr="007D116C" w:rsidRDefault="2D60636B" w:rsidP="16FFD785">
      <w:pPr>
        <w:pStyle w:val="ListParagraph"/>
        <w:numPr>
          <w:ilvl w:val="0"/>
          <w:numId w:val="2"/>
        </w:numPr>
        <w:spacing w:before="240"/>
        <w:ind w:left="0" w:hanging="425"/>
        <w:textAlignment w:val="baseline"/>
        <w:rPr>
          <w:rFonts w:ascii="Segoe UI" w:eastAsia="Times New Roman" w:hAnsi="Segoe UI" w:cs="Segoe UI"/>
          <w:lang w:eastAsia="en-GB"/>
        </w:rPr>
      </w:pPr>
      <w:r w:rsidRPr="007D116C">
        <w:rPr>
          <w:rFonts w:eastAsia="Times New Roman"/>
          <w:lang w:eastAsia="en-GB"/>
        </w:rPr>
        <w:t>Tabl</w:t>
      </w:r>
      <w:r w:rsidR="5A897186" w:rsidRPr="007D116C">
        <w:rPr>
          <w:rFonts w:eastAsia="Times New Roman"/>
          <w:lang w:eastAsia="en-GB"/>
        </w:rPr>
        <w:t>e 6 shows that</w:t>
      </w:r>
      <w:r w:rsidR="49C313F4" w:rsidRPr="007D116C">
        <w:rPr>
          <w:rFonts w:eastAsia="Times New Roman"/>
          <w:lang w:eastAsia="en-GB"/>
        </w:rPr>
        <w:t xml:space="preserve"> </w:t>
      </w:r>
      <w:r w:rsidR="09F930B4" w:rsidRPr="007D116C">
        <w:rPr>
          <w:rFonts w:eastAsia="Times New Roman"/>
          <w:lang w:eastAsia="en-GB"/>
        </w:rPr>
        <w:t>Queensland’s building and construction industry</w:t>
      </w:r>
      <w:r w:rsidR="265B17FF" w:rsidRPr="007D116C">
        <w:rPr>
          <w:rFonts w:eastAsia="Times New Roman"/>
          <w:lang w:eastAsia="en-GB"/>
        </w:rPr>
        <w:t xml:space="preserve"> combine</w:t>
      </w:r>
      <w:r w:rsidR="14F638E0" w:rsidRPr="007D116C">
        <w:rPr>
          <w:rFonts w:eastAsia="Times New Roman"/>
          <w:lang w:eastAsia="en-GB"/>
        </w:rPr>
        <w:t>d</w:t>
      </w:r>
      <w:r w:rsidR="09F930B4" w:rsidRPr="007D116C">
        <w:rPr>
          <w:rFonts w:eastAsia="Times New Roman"/>
          <w:lang w:eastAsia="en-GB"/>
        </w:rPr>
        <w:t xml:space="preserve"> levies</w:t>
      </w:r>
      <w:r w:rsidR="2F8F67CC" w:rsidRPr="007D116C">
        <w:rPr>
          <w:rFonts w:eastAsia="Times New Roman"/>
          <w:lang w:eastAsia="en-GB"/>
        </w:rPr>
        <w:t xml:space="preserve"> </w:t>
      </w:r>
      <w:r w:rsidR="341B8726" w:rsidRPr="007D116C">
        <w:rPr>
          <w:rFonts w:eastAsia="Times New Roman"/>
          <w:lang w:eastAsia="en-GB"/>
        </w:rPr>
        <w:t xml:space="preserve">imposed </w:t>
      </w:r>
      <w:r w:rsidR="2F8F67CC" w:rsidRPr="007D116C">
        <w:rPr>
          <w:rFonts w:eastAsia="Times New Roman"/>
          <w:lang w:eastAsia="en-GB"/>
        </w:rPr>
        <w:t>upon developers</w:t>
      </w:r>
      <w:r w:rsidR="530B32ED" w:rsidRPr="007D116C">
        <w:rPr>
          <w:rFonts w:eastAsia="Times New Roman"/>
          <w:lang w:eastAsia="en-GB"/>
        </w:rPr>
        <w:t xml:space="preserve"> </w:t>
      </w:r>
      <w:r w:rsidR="40C42A5C" w:rsidRPr="007D116C">
        <w:rPr>
          <w:rFonts w:eastAsia="Times New Roman"/>
          <w:lang w:eastAsia="en-GB"/>
        </w:rPr>
        <w:t>for work</w:t>
      </w:r>
      <w:r w:rsidR="6E03080A" w:rsidRPr="007D116C">
        <w:rPr>
          <w:rFonts w:eastAsia="Times New Roman"/>
          <w:lang w:eastAsia="en-GB"/>
        </w:rPr>
        <w:t>force entitlements and conditions</w:t>
      </w:r>
      <w:r w:rsidR="38C762DB" w:rsidRPr="007D116C">
        <w:rPr>
          <w:rFonts w:eastAsia="Times New Roman"/>
          <w:lang w:eastAsia="en-GB"/>
        </w:rPr>
        <w:t xml:space="preserve"> </w:t>
      </w:r>
      <w:r w:rsidR="129ADA06" w:rsidRPr="007D116C">
        <w:rPr>
          <w:rFonts w:eastAsia="Times New Roman"/>
          <w:lang w:eastAsia="en-GB"/>
        </w:rPr>
        <w:t>are comparable in intent with other jurisdictions.</w:t>
      </w:r>
      <w:r w:rsidR="40B5D25B" w:rsidRPr="007D116C">
        <w:rPr>
          <w:rFonts w:eastAsia="Times New Roman"/>
          <w:lang w:eastAsia="en-GB"/>
        </w:rPr>
        <w:t xml:space="preserve"> </w:t>
      </w:r>
      <w:r w:rsidR="49C3EF9C" w:rsidRPr="007D116C">
        <w:rPr>
          <w:rFonts w:eastAsia="Times New Roman"/>
          <w:lang w:eastAsia="en-GB"/>
        </w:rPr>
        <w:t>However</w:t>
      </w:r>
      <w:r w:rsidR="004AD18F" w:rsidRPr="007D116C">
        <w:rPr>
          <w:rFonts w:eastAsia="Times New Roman"/>
          <w:lang w:eastAsia="en-GB"/>
        </w:rPr>
        <w:t xml:space="preserve">, </w:t>
      </w:r>
      <w:r w:rsidR="129ADA06" w:rsidRPr="007D116C">
        <w:rPr>
          <w:rFonts w:eastAsia="Times New Roman"/>
          <w:lang w:eastAsia="en-GB"/>
        </w:rPr>
        <w:t>Queensland’s lev</w:t>
      </w:r>
      <w:r w:rsidR="3147AFB0" w:rsidRPr="007D116C">
        <w:rPr>
          <w:rFonts w:eastAsia="Times New Roman"/>
          <w:lang w:eastAsia="en-GB"/>
        </w:rPr>
        <w:t>ies are</w:t>
      </w:r>
      <w:r w:rsidR="658C6262" w:rsidRPr="007D116C">
        <w:rPr>
          <w:rFonts w:eastAsia="Times New Roman"/>
          <w:lang w:eastAsia="en-GB"/>
        </w:rPr>
        <w:t xml:space="preserve"> imposed on </w:t>
      </w:r>
      <w:r w:rsidR="2AB4E77E" w:rsidRPr="007D116C">
        <w:rPr>
          <w:rFonts w:eastAsia="Times New Roman"/>
          <w:lang w:eastAsia="en-GB"/>
        </w:rPr>
        <w:t>projects above</w:t>
      </w:r>
      <w:r w:rsidR="06910186" w:rsidRPr="007D116C">
        <w:rPr>
          <w:rFonts w:eastAsia="Times New Roman"/>
          <w:lang w:eastAsia="en-GB"/>
        </w:rPr>
        <w:t xml:space="preserve"> $150,000</w:t>
      </w:r>
      <w:r w:rsidR="1BAC336D" w:rsidRPr="007D116C">
        <w:rPr>
          <w:rFonts w:eastAsia="Times New Roman"/>
          <w:lang w:eastAsia="en-GB"/>
        </w:rPr>
        <w:t>,</w:t>
      </w:r>
      <w:r w:rsidR="2AB4E77E" w:rsidRPr="007D116C">
        <w:rPr>
          <w:rFonts w:eastAsia="Times New Roman"/>
          <w:lang w:eastAsia="en-GB"/>
        </w:rPr>
        <w:t xml:space="preserve"> a threshold </w:t>
      </w:r>
      <w:r w:rsidR="462A4E24" w:rsidRPr="007D116C">
        <w:rPr>
          <w:rFonts w:eastAsia="Times New Roman"/>
          <w:lang w:eastAsia="en-GB"/>
        </w:rPr>
        <w:t xml:space="preserve">that is </w:t>
      </w:r>
      <w:r w:rsidR="50876278" w:rsidRPr="007D116C">
        <w:rPr>
          <w:rFonts w:eastAsia="Times New Roman"/>
          <w:lang w:eastAsia="en-GB"/>
        </w:rPr>
        <w:t>significantl</w:t>
      </w:r>
      <w:r w:rsidR="3EF48BBC" w:rsidRPr="007D116C">
        <w:rPr>
          <w:rFonts w:eastAsia="Times New Roman"/>
          <w:lang w:eastAsia="en-GB"/>
        </w:rPr>
        <w:t>y</w:t>
      </w:r>
      <w:r w:rsidR="462A4E24" w:rsidRPr="007D116C">
        <w:rPr>
          <w:rFonts w:eastAsia="Times New Roman"/>
          <w:lang w:eastAsia="en-GB"/>
        </w:rPr>
        <w:t xml:space="preserve"> higher than those other states.</w:t>
      </w:r>
      <w:r w:rsidR="7041EE08" w:rsidRPr="007D116C">
        <w:rPr>
          <w:rFonts w:eastAsia="Times New Roman"/>
          <w:lang w:eastAsia="en-GB"/>
        </w:rPr>
        <w:t xml:space="preserve"> </w:t>
      </w:r>
      <w:r w:rsidR="202EAEB1" w:rsidRPr="007D116C">
        <w:rPr>
          <w:rFonts w:eastAsia="Times New Roman"/>
          <w:lang w:eastAsia="en-GB"/>
        </w:rPr>
        <w:t>On the other hand</w:t>
      </w:r>
      <w:r w:rsidR="070BE68B" w:rsidRPr="007D116C">
        <w:rPr>
          <w:rFonts w:eastAsia="Times New Roman"/>
          <w:lang w:eastAsia="en-GB"/>
        </w:rPr>
        <w:t xml:space="preserve">, </w:t>
      </w:r>
      <w:r w:rsidR="23CF19A2" w:rsidRPr="007D116C">
        <w:rPr>
          <w:rFonts w:eastAsia="Times New Roman"/>
          <w:lang w:eastAsia="en-GB"/>
        </w:rPr>
        <w:t>Queensland’s levies</w:t>
      </w:r>
      <w:r w:rsidR="10293116" w:rsidRPr="007D116C">
        <w:rPr>
          <w:rFonts w:eastAsia="Times New Roman"/>
          <w:lang w:eastAsia="en-GB"/>
        </w:rPr>
        <w:t xml:space="preserve"> </w:t>
      </w:r>
      <w:r w:rsidR="19D92683" w:rsidRPr="007D116C">
        <w:rPr>
          <w:rFonts w:eastAsia="Times New Roman"/>
          <w:lang w:eastAsia="en-GB"/>
        </w:rPr>
        <w:t>for its</w:t>
      </w:r>
      <w:r w:rsidR="4669B4E9" w:rsidRPr="007D116C">
        <w:rPr>
          <w:rFonts w:eastAsia="Times New Roman"/>
          <w:lang w:eastAsia="en-GB"/>
        </w:rPr>
        <w:t xml:space="preserve"> industry portable long service leave scheme</w:t>
      </w:r>
      <w:r w:rsidR="16151458" w:rsidRPr="007D116C">
        <w:rPr>
          <w:rFonts w:eastAsia="Times New Roman"/>
          <w:lang w:eastAsia="en-GB"/>
        </w:rPr>
        <w:t xml:space="preserve"> are applie</w:t>
      </w:r>
      <w:r w:rsidR="0F0C5D4C" w:rsidRPr="007D116C">
        <w:rPr>
          <w:rFonts w:eastAsia="Times New Roman"/>
          <w:lang w:eastAsia="en-GB"/>
        </w:rPr>
        <w:t>d</w:t>
      </w:r>
      <w:r w:rsidR="52204F28" w:rsidRPr="007D116C">
        <w:rPr>
          <w:rFonts w:eastAsia="Times New Roman"/>
          <w:lang w:eastAsia="en-GB"/>
        </w:rPr>
        <w:t xml:space="preserve"> on total value of a </w:t>
      </w:r>
      <w:r w:rsidR="26F45967" w:rsidRPr="007D116C">
        <w:rPr>
          <w:rFonts w:eastAsia="Times New Roman"/>
          <w:lang w:eastAsia="en-GB"/>
        </w:rPr>
        <w:t xml:space="preserve">works; other than NSW, the other jurisdictions </w:t>
      </w:r>
      <w:r w:rsidR="051D7C3D" w:rsidRPr="007D116C">
        <w:rPr>
          <w:rFonts w:eastAsia="Times New Roman"/>
          <w:lang w:eastAsia="en-GB"/>
        </w:rPr>
        <w:t>limit such levies only to the gross payroll value of a works</w:t>
      </w:r>
      <w:r w:rsidR="0222A1FE" w:rsidRPr="007D116C">
        <w:rPr>
          <w:rFonts w:eastAsia="Times New Roman"/>
          <w:lang w:eastAsia="en-GB"/>
        </w:rPr>
        <w:t xml:space="preserve"> or employer</w:t>
      </w:r>
      <w:r w:rsidR="708DC7C8" w:rsidRPr="007D116C">
        <w:rPr>
          <w:rFonts w:eastAsia="Times New Roman"/>
          <w:lang w:eastAsia="en-GB"/>
        </w:rPr>
        <w:t xml:space="preserve">. </w:t>
      </w:r>
      <w:r w:rsidR="5F6E94B3" w:rsidRPr="007D116C">
        <w:rPr>
          <w:rFonts w:eastAsia="Times New Roman"/>
          <w:lang w:eastAsia="en-GB"/>
        </w:rPr>
        <w:t xml:space="preserve">It is also worth noting that the Construction Skill Queensland Levy </w:t>
      </w:r>
      <w:r w:rsidR="77857D72" w:rsidRPr="007D116C">
        <w:rPr>
          <w:rFonts w:eastAsia="Times New Roman"/>
          <w:lang w:eastAsia="en-GB"/>
        </w:rPr>
        <w:t>is charged at a lower rate upon projects over a higher threshold than South Australia’s similar Construction</w:t>
      </w:r>
      <w:r w:rsidR="24EB5324" w:rsidRPr="007D116C">
        <w:rPr>
          <w:rFonts w:eastAsia="Times New Roman"/>
          <w:lang w:eastAsia="en-GB"/>
        </w:rPr>
        <w:t> </w:t>
      </w:r>
      <w:r w:rsidR="77857D72" w:rsidRPr="007D116C">
        <w:rPr>
          <w:rFonts w:eastAsia="Times New Roman"/>
          <w:lang w:eastAsia="en-GB"/>
        </w:rPr>
        <w:t>Industry</w:t>
      </w:r>
      <w:r w:rsidR="24EB5324" w:rsidRPr="007D116C">
        <w:rPr>
          <w:rFonts w:eastAsia="Times New Roman"/>
          <w:lang w:eastAsia="en-GB"/>
        </w:rPr>
        <w:t xml:space="preserve"> Training Fund Levy. </w:t>
      </w:r>
      <w:r w:rsidR="293CD329" w:rsidRPr="008A236E">
        <w:rPr>
          <w:rFonts w:eastAsiaTheme="minorEastAsia"/>
          <w:lang w:eastAsia="en-GB"/>
        </w:rPr>
        <w:t xml:space="preserve">Only </w:t>
      </w:r>
      <w:r w:rsidR="01939F04" w:rsidRPr="008A236E">
        <w:rPr>
          <w:rFonts w:eastAsiaTheme="minorEastAsia"/>
          <w:lang w:eastAsia="en-GB"/>
        </w:rPr>
        <w:t>Western Australia currently charge</w:t>
      </w:r>
      <w:r w:rsidR="763514CA" w:rsidRPr="008A236E">
        <w:rPr>
          <w:rFonts w:eastAsiaTheme="minorEastAsia"/>
          <w:lang w:eastAsia="en-GB"/>
        </w:rPr>
        <w:t xml:space="preserve">s </w:t>
      </w:r>
      <w:r w:rsidR="01939F04" w:rsidRPr="008A236E">
        <w:rPr>
          <w:rFonts w:eastAsiaTheme="minorEastAsia"/>
          <w:lang w:eastAsia="en-GB"/>
        </w:rPr>
        <w:t xml:space="preserve">a </w:t>
      </w:r>
      <w:r w:rsidR="519893B7" w:rsidRPr="008A236E">
        <w:rPr>
          <w:rFonts w:eastAsiaTheme="minorEastAsia"/>
          <w:lang w:eastAsia="en-GB"/>
        </w:rPr>
        <w:t xml:space="preserve">general </w:t>
      </w:r>
      <w:r w:rsidR="01939F04" w:rsidRPr="008A236E">
        <w:rPr>
          <w:rFonts w:eastAsiaTheme="minorEastAsia"/>
          <w:lang w:eastAsia="en-GB"/>
        </w:rPr>
        <w:t xml:space="preserve">levy to developers </w:t>
      </w:r>
      <w:r w:rsidR="763514CA" w:rsidRPr="008A236E">
        <w:rPr>
          <w:rFonts w:eastAsiaTheme="minorEastAsia"/>
          <w:lang w:eastAsia="en-GB"/>
        </w:rPr>
        <w:t xml:space="preserve">for projects, </w:t>
      </w:r>
      <w:r w:rsidR="63B468E7" w:rsidRPr="007D116C">
        <w:rPr>
          <w:rFonts w:eastAsiaTheme="minorEastAsia"/>
          <w:lang w:eastAsia="en-GB"/>
        </w:rPr>
        <w:t>which is collected by local governments and remitted to the Building Commissioner</w:t>
      </w:r>
      <w:r w:rsidR="763514CA" w:rsidRPr="008A236E">
        <w:rPr>
          <w:rFonts w:eastAsiaTheme="minorEastAsia"/>
          <w:lang w:eastAsia="en-GB"/>
        </w:rPr>
        <w:t>.</w:t>
      </w:r>
      <w:r w:rsidR="3CFD379F" w:rsidRPr="008A236E">
        <w:rPr>
          <w:rFonts w:eastAsiaTheme="minorEastAsia"/>
          <w:lang w:eastAsia="en-GB"/>
        </w:rPr>
        <w:t xml:space="preserve"> NSW is currently </w:t>
      </w:r>
      <w:r w:rsidR="519893B7" w:rsidRPr="008A236E">
        <w:rPr>
          <w:rFonts w:eastAsiaTheme="minorEastAsia"/>
          <w:lang w:eastAsia="en-GB"/>
        </w:rPr>
        <w:t>bringing</w:t>
      </w:r>
      <w:r w:rsidR="3CFD379F" w:rsidRPr="008A236E">
        <w:rPr>
          <w:rFonts w:eastAsiaTheme="minorEastAsia"/>
          <w:lang w:eastAsia="en-GB"/>
        </w:rPr>
        <w:t xml:space="preserve"> </w:t>
      </w:r>
      <w:r w:rsidR="519893B7" w:rsidRPr="008A236E">
        <w:rPr>
          <w:rFonts w:eastAsiaTheme="minorEastAsia"/>
          <w:lang w:eastAsia="en-GB"/>
        </w:rPr>
        <w:t xml:space="preserve">in </w:t>
      </w:r>
      <w:r w:rsidR="3CFD379F" w:rsidRPr="008A236E">
        <w:rPr>
          <w:rFonts w:eastAsiaTheme="minorEastAsia"/>
          <w:lang w:eastAsia="en-GB"/>
        </w:rPr>
        <w:t>a developer levy</w:t>
      </w:r>
      <w:r w:rsidR="7CDE3427" w:rsidRPr="008A236E">
        <w:rPr>
          <w:rFonts w:eastAsiaTheme="minorEastAsia"/>
          <w:lang w:eastAsia="en-GB"/>
        </w:rPr>
        <w:t xml:space="preserve"> which will apply to </w:t>
      </w:r>
      <w:r w:rsidR="3C5A1CAE" w:rsidRPr="008A236E">
        <w:rPr>
          <w:rFonts w:eastAsiaTheme="minorEastAsia"/>
          <w:lang w:eastAsia="en-GB"/>
        </w:rPr>
        <w:t xml:space="preserve">funding compliance and quality assurance </w:t>
      </w:r>
      <w:r w:rsidR="7CDE3427" w:rsidRPr="008A236E">
        <w:rPr>
          <w:rFonts w:eastAsiaTheme="minorEastAsia"/>
          <w:lang w:eastAsia="en-GB"/>
        </w:rPr>
        <w:t>the residential apartments</w:t>
      </w:r>
      <w:r w:rsidR="3C5A1CAE" w:rsidRPr="008A236E">
        <w:rPr>
          <w:rFonts w:eastAsiaTheme="minorEastAsia"/>
          <w:lang w:eastAsia="en-GB"/>
        </w:rPr>
        <w:t xml:space="preserve"> sector.</w:t>
      </w:r>
      <w:r w:rsidR="5F7C7052" w:rsidRPr="008A236E">
        <w:rPr>
          <w:rFonts w:eastAsiaTheme="minorEastAsia"/>
          <w:lang w:eastAsia="en-GB"/>
        </w:rPr>
        <w:t xml:space="preserve"> Consolidated revenue, then, remains the other funding source for a number of jurisdictions.</w:t>
      </w:r>
    </w:p>
    <w:p w14:paraId="128C83F1" w14:textId="2F029C6D" w:rsidR="00AB0C7D" w:rsidRPr="007D116C" w:rsidRDefault="3C1D34F9" w:rsidP="006C6ABE">
      <w:pPr>
        <w:pStyle w:val="ListParagraph"/>
        <w:numPr>
          <w:ilvl w:val="0"/>
          <w:numId w:val="2"/>
        </w:numPr>
        <w:ind w:left="0" w:hanging="425"/>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The </w:t>
      </w:r>
      <w:r w:rsidRPr="007D116C">
        <w:rPr>
          <w:rFonts w:ascii="Calibri" w:eastAsia="Times New Roman" w:hAnsi="Calibri" w:cs="Calibri"/>
          <w:b/>
          <w:bCs/>
          <w:lang w:eastAsia="en-GB"/>
        </w:rPr>
        <w:t xml:space="preserve">third </w:t>
      </w:r>
      <w:r w:rsidR="1DEFE535" w:rsidRPr="007D116C">
        <w:rPr>
          <w:rFonts w:ascii="Calibri" w:eastAsia="Times New Roman" w:hAnsi="Calibri" w:cs="Calibri"/>
          <w:b/>
          <w:bCs/>
          <w:lang w:eastAsia="en-GB"/>
        </w:rPr>
        <w:t>feature</w:t>
      </w:r>
      <w:r w:rsidRPr="007D116C">
        <w:rPr>
          <w:rFonts w:ascii="Calibri" w:eastAsia="Times New Roman" w:hAnsi="Calibri" w:cs="Calibri"/>
          <w:lang w:eastAsia="en-GB"/>
        </w:rPr>
        <w:t xml:space="preserve"> above was that no </w:t>
      </w:r>
      <w:r w:rsidR="216ECB54" w:rsidRPr="007D116C">
        <w:rPr>
          <w:rFonts w:ascii="Calibri" w:eastAsia="Times New Roman" w:hAnsi="Calibri" w:cs="Calibri"/>
          <w:lang w:eastAsia="en-GB"/>
        </w:rPr>
        <w:t>Minister</w:t>
      </w:r>
      <w:r w:rsidRPr="007D116C">
        <w:rPr>
          <w:rFonts w:ascii="Calibri" w:eastAsia="Times New Roman" w:hAnsi="Calibri" w:cs="Calibri"/>
          <w:lang w:eastAsia="en-GB"/>
        </w:rPr>
        <w:t xml:space="preserve"> has issued a direction to the QBCC under the Act. While a specific direction as to a regulatory outcome would be unusual, and contrary to the principles of independence recognised by the OECD, those same principles strongly suggest that </w:t>
      </w:r>
      <w:r w:rsidR="216ECB54" w:rsidRPr="007D116C">
        <w:rPr>
          <w:rFonts w:ascii="Calibri" w:eastAsia="Times New Roman" w:hAnsi="Calibri" w:cs="Calibri"/>
          <w:lang w:eastAsia="en-GB"/>
        </w:rPr>
        <w:t>Minister</w:t>
      </w:r>
      <w:r w:rsidRPr="007D116C">
        <w:rPr>
          <w:rFonts w:ascii="Calibri" w:eastAsia="Times New Roman" w:hAnsi="Calibri" w:cs="Calibri"/>
          <w:lang w:eastAsia="en-GB"/>
        </w:rPr>
        <w:t>ial Statements of Expectation and similar are important for regulatory independence, and by extension effectiveness, because they clarify the roles of the key actors within the regulatory system</w:t>
      </w:r>
      <w:r w:rsidR="777D6A14" w:rsidRPr="007D116C">
        <w:rPr>
          <w:rFonts w:ascii="Calibri" w:eastAsia="Times New Roman" w:hAnsi="Calibri" w:cs="Calibri"/>
          <w:lang w:eastAsia="en-GB"/>
        </w:rPr>
        <w:t xml:space="preserve"> and support</w:t>
      </w:r>
      <w:r w:rsidR="10D8B2E5" w:rsidRPr="007D116C">
        <w:rPr>
          <w:rFonts w:ascii="Calibri" w:eastAsia="Times New Roman" w:hAnsi="Calibri" w:cs="Calibri"/>
          <w:lang w:eastAsia="en-GB"/>
        </w:rPr>
        <w:t xml:space="preserve"> transparency</w:t>
      </w:r>
      <w:r w:rsidRPr="007D116C">
        <w:rPr>
          <w:rFonts w:ascii="Calibri" w:eastAsia="Times New Roman" w:hAnsi="Calibri" w:cs="Calibri"/>
          <w:lang w:eastAsia="en-GB"/>
        </w:rPr>
        <w:t>. It is therefore worthwhile to broaden this observation and compare the use of such strategic documents across Australian jurisdiction</w:t>
      </w:r>
      <w:r w:rsidR="4FA12A13" w:rsidRPr="007D116C">
        <w:rPr>
          <w:rFonts w:ascii="Calibri" w:eastAsia="Times New Roman" w:hAnsi="Calibri" w:cs="Calibri"/>
          <w:lang w:eastAsia="en-GB"/>
        </w:rPr>
        <w:t>s</w:t>
      </w:r>
      <w:r w:rsidRPr="007D116C">
        <w:rPr>
          <w:rFonts w:ascii="Calibri" w:eastAsia="Times New Roman" w:hAnsi="Calibri" w:cs="Calibri"/>
          <w:lang w:eastAsia="en-GB"/>
        </w:rPr>
        <w:t xml:space="preserve">. This information is compiled in Table </w:t>
      </w:r>
      <w:r w:rsidR="00FB16AB" w:rsidRPr="007D116C">
        <w:rPr>
          <w:rFonts w:ascii="Calibri" w:eastAsia="Times New Roman" w:hAnsi="Calibri" w:cs="Calibri"/>
          <w:lang w:eastAsia="en-GB"/>
        </w:rPr>
        <w:t>7</w:t>
      </w:r>
      <w:r w:rsidRPr="007D116C">
        <w:rPr>
          <w:rFonts w:ascii="Calibri" w:eastAsia="Times New Roman" w:hAnsi="Calibri" w:cs="Calibri"/>
          <w:lang w:eastAsia="en-GB"/>
        </w:rPr>
        <w:t>, below.  </w:t>
      </w:r>
    </w:p>
    <w:p w14:paraId="45392ACF" w14:textId="77777777" w:rsidR="00D02AEB" w:rsidRDefault="00D02AEB">
      <w:pPr>
        <w:rPr>
          <w:rFonts w:eastAsiaTheme="majorEastAsia" w:cstheme="majorBidi"/>
          <w:b/>
          <w:lang w:eastAsia="en-GB"/>
        </w:rPr>
      </w:pPr>
      <w:bookmarkStart w:id="21" w:name="_Toc98853496"/>
      <w:r>
        <w:rPr>
          <w:lang w:eastAsia="en-GB"/>
        </w:rPr>
        <w:br w:type="page"/>
      </w:r>
    </w:p>
    <w:p w14:paraId="33AE71FE" w14:textId="469B0C71" w:rsidR="00AB0C7D" w:rsidRPr="007D116C" w:rsidRDefault="00AB0C7D" w:rsidP="00F323AD">
      <w:pPr>
        <w:pStyle w:val="Heading3"/>
        <w:rPr>
          <w:rFonts w:ascii="Segoe UI" w:hAnsi="Segoe UI" w:cs="Segoe UI"/>
          <w:szCs w:val="22"/>
          <w:lang w:eastAsia="en-GB"/>
        </w:rPr>
      </w:pPr>
      <w:bookmarkStart w:id="22" w:name="_Toc100599133"/>
      <w:r w:rsidRPr="007D116C">
        <w:rPr>
          <w:szCs w:val="22"/>
          <w:lang w:eastAsia="en-GB"/>
        </w:rPr>
        <w:lastRenderedPageBreak/>
        <w:t xml:space="preserve">Table </w:t>
      </w:r>
      <w:r w:rsidR="00FB16AB" w:rsidRPr="007D116C">
        <w:rPr>
          <w:szCs w:val="22"/>
          <w:lang w:eastAsia="en-GB"/>
        </w:rPr>
        <w:t>7</w:t>
      </w:r>
      <w:r w:rsidRPr="007D116C">
        <w:rPr>
          <w:szCs w:val="22"/>
          <w:lang w:eastAsia="en-GB"/>
        </w:rPr>
        <w:t>: Strategic and governance documents, building regulators, mainland states </w:t>
      </w:r>
      <w:bookmarkEnd w:id="21"/>
      <w:bookmarkEnd w:id="22"/>
      <w:r w:rsidRPr="007D116C">
        <w:rPr>
          <w:szCs w:val="22"/>
          <w:lang w:eastAsia="en-GB"/>
        </w:rP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1466"/>
        <w:gridCol w:w="6441"/>
      </w:tblGrid>
      <w:tr w:rsidR="007D116C" w:rsidRPr="007D116C" w14:paraId="1B81F17E" w14:textId="77777777" w:rsidTr="502F8547">
        <w:tc>
          <w:tcPr>
            <w:tcW w:w="1078"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4657F504" w14:textId="77777777" w:rsidR="00AB0C7D" w:rsidRPr="007D116C" w:rsidRDefault="00AB0C7D" w:rsidP="00AB0C7D">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b/>
                <w:bCs/>
                <w:lang w:eastAsia="en-GB"/>
              </w:rPr>
              <w:t>State </w:t>
            </w:r>
            <w:r w:rsidRPr="007D116C">
              <w:rPr>
                <w:rFonts w:ascii="Calibri" w:eastAsia="Times New Roman" w:hAnsi="Calibri" w:cs="Calibri"/>
                <w:lang w:eastAsia="en-GB"/>
              </w:rPr>
              <w:t>  </w:t>
            </w:r>
          </w:p>
        </w:tc>
        <w:tc>
          <w:tcPr>
            <w:tcW w:w="1466" w:type="dxa"/>
            <w:tcBorders>
              <w:top w:val="single" w:sz="6" w:space="0" w:color="auto"/>
              <w:left w:val="nil"/>
              <w:bottom w:val="single" w:sz="6" w:space="0" w:color="auto"/>
              <w:right w:val="single" w:sz="6" w:space="0" w:color="auto"/>
            </w:tcBorders>
            <w:shd w:val="clear" w:color="auto" w:fill="000000" w:themeFill="text1"/>
            <w:hideMark/>
          </w:tcPr>
          <w:p w14:paraId="375F68D4" w14:textId="77777777" w:rsidR="00AB0C7D" w:rsidRPr="007D116C" w:rsidRDefault="00AB0C7D" w:rsidP="00AB0C7D">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b/>
                <w:bCs/>
                <w:lang w:eastAsia="en-GB"/>
              </w:rPr>
              <w:t>Key documents</w:t>
            </w:r>
            <w:r w:rsidRPr="007D116C">
              <w:rPr>
                <w:rFonts w:ascii="Calibri" w:eastAsia="Times New Roman" w:hAnsi="Calibri" w:cs="Calibri"/>
                <w:lang w:eastAsia="en-GB"/>
              </w:rPr>
              <w:t>  </w:t>
            </w:r>
          </w:p>
        </w:tc>
        <w:tc>
          <w:tcPr>
            <w:tcW w:w="6441" w:type="dxa"/>
            <w:tcBorders>
              <w:top w:val="single" w:sz="6" w:space="0" w:color="auto"/>
              <w:left w:val="nil"/>
              <w:bottom w:val="single" w:sz="6" w:space="0" w:color="auto"/>
              <w:right w:val="single" w:sz="6" w:space="0" w:color="auto"/>
            </w:tcBorders>
            <w:shd w:val="clear" w:color="auto" w:fill="000000" w:themeFill="text1"/>
            <w:hideMark/>
          </w:tcPr>
          <w:p w14:paraId="624566B4" w14:textId="77777777" w:rsidR="00AB0C7D" w:rsidRPr="007D116C" w:rsidRDefault="00AB0C7D" w:rsidP="00AB0C7D">
            <w:pPr>
              <w:spacing w:after="0" w:line="240" w:lineRule="auto"/>
              <w:jc w:val="center"/>
              <w:textAlignment w:val="baseline"/>
              <w:rPr>
                <w:rFonts w:ascii="Times New Roman" w:eastAsia="Times New Roman" w:hAnsi="Times New Roman" w:cs="Times New Roman"/>
                <w:lang w:eastAsia="en-GB"/>
              </w:rPr>
            </w:pPr>
            <w:r w:rsidRPr="007D116C">
              <w:rPr>
                <w:rFonts w:ascii="Calibri" w:eastAsia="Times New Roman" w:hAnsi="Calibri" w:cs="Calibri"/>
                <w:b/>
                <w:bCs/>
                <w:lang w:eastAsia="en-GB"/>
              </w:rPr>
              <w:t>Notes</w:t>
            </w:r>
            <w:r w:rsidRPr="007D116C">
              <w:rPr>
                <w:rFonts w:ascii="Calibri" w:eastAsia="Times New Roman" w:hAnsi="Calibri" w:cs="Calibri"/>
                <w:lang w:eastAsia="en-GB"/>
              </w:rPr>
              <w:t>  </w:t>
            </w:r>
          </w:p>
        </w:tc>
      </w:tr>
      <w:tr w:rsidR="007D116C" w:rsidRPr="007D116C" w14:paraId="2D06426B" w14:textId="77777777" w:rsidTr="502F8547">
        <w:trPr>
          <w:trHeight w:val="345"/>
        </w:trPr>
        <w:tc>
          <w:tcPr>
            <w:tcW w:w="1078" w:type="dxa"/>
            <w:vMerge w:val="restart"/>
            <w:tcBorders>
              <w:top w:val="nil"/>
              <w:left w:val="single" w:sz="6" w:space="0" w:color="auto"/>
              <w:bottom w:val="single" w:sz="6" w:space="0" w:color="auto"/>
              <w:right w:val="single" w:sz="4" w:space="0" w:color="auto"/>
            </w:tcBorders>
            <w:shd w:val="clear" w:color="auto" w:fill="D9D9D9" w:themeFill="background1" w:themeFillShade="D9"/>
            <w:hideMark/>
          </w:tcPr>
          <w:p w14:paraId="631A2A0A"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Queensland  </w:t>
            </w:r>
          </w:p>
          <w:p w14:paraId="7DCBB578"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p w14:paraId="0AFDB5C2"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42327C03" w14:textId="5C3FBABE" w:rsidR="00AB0C7D" w:rsidRPr="007D116C" w:rsidRDefault="5965F5A9"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Minister</w:t>
            </w:r>
            <w:r w:rsidR="6D4215AE" w:rsidRPr="007D116C">
              <w:rPr>
                <w:rFonts w:ascii="Calibri" w:eastAsia="Times New Roman" w:hAnsi="Calibri" w:cs="Calibri"/>
                <w:sz w:val="20"/>
                <w:szCs w:val="20"/>
                <w:lang w:eastAsia="en-GB"/>
              </w:rPr>
              <w:t>ial charter letter (1 Dec 2020)</w:t>
            </w:r>
            <w:r w:rsidR="00937C36" w:rsidRPr="007D116C">
              <w:rPr>
                <w:rStyle w:val="FootnoteReference"/>
                <w:sz w:val="20"/>
                <w:szCs w:val="20"/>
              </w:rPr>
              <w:footnoteReference w:id="66"/>
            </w:r>
            <w:r w:rsidR="6D4215AE"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25CC6332"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Letter from Premier outlining portfolio priorities (see below for details).  </w:t>
            </w:r>
          </w:p>
        </w:tc>
      </w:tr>
      <w:tr w:rsidR="007D116C" w:rsidRPr="007D116C" w14:paraId="0B56DF87" w14:textId="77777777" w:rsidTr="502F8547">
        <w:trPr>
          <w:trHeight w:val="390"/>
        </w:trPr>
        <w:tc>
          <w:tcPr>
            <w:tcW w:w="1078" w:type="dxa"/>
            <w:vMerge/>
            <w:vAlign w:val="center"/>
            <w:hideMark/>
          </w:tcPr>
          <w:p w14:paraId="642EC0C3"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70A5D406" w14:textId="3E2A65B7"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QBCC Strategic Plan 2020-2024</w:t>
            </w:r>
            <w:r w:rsidR="0095798C" w:rsidRPr="007D116C">
              <w:rPr>
                <w:rStyle w:val="FootnoteReference"/>
                <w:sz w:val="20"/>
                <w:szCs w:val="20"/>
              </w:rPr>
              <w:footnoteReference w:id="67"/>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24C3EC8F"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A plan-on-a-page that states the mandate, objectives, strategies, measures, and risks and opportunities for QBCC over the period.  </w:t>
            </w:r>
          </w:p>
        </w:tc>
      </w:tr>
      <w:tr w:rsidR="007D116C" w:rsidRPr="007D116C" w14:paraId="2B0D7E05" w14:textId="77777777" w:rsidTr="502F8547">
        <w:trPr>
          <w:trHeight w:val="1510"/>
        </w:trPr>
        <w:tc>
          <w:tcPr>
            <w:tcW w:w="1078" w:type="dxa"/>
            <w:vMerge/>
            <w:vAlign w:val="center"/>
            <w:hideMark/>
          </w:tcPr>
          <w:p w14:paraId="1EC9ECA7"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43887565" w14:textId="49456ED3"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Queensland Government Regulator Performance Framework</w:t>
            </w:r>
            <w:r w:rsidR="006F7461" w:rsidRPr="007D116C">
              <w:rPr>
                <w:rStyle w:val="FootnoteReference"/>
                <w:sz w:val="20"/>
                <w:szCs w:val="20"/>
              </w:rPr>
              <w:footnoteReference w:id="68"/>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650C7C68" w14:textId="32AAB14B"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Identifies 5 model practices against which each Queensland regulator is to report annually. Model Practice 1 is to “Ensure regulatory activity is proportionate to risk and minimises unnecessary burden”.</w:t>
            </w:r>
            <w:r w:rsidR="00AC05FF" w:rsidRPr="007D116C">
              <w:rPr>
                <w:rStyle w:val="FootnoteReference"/>
                <w:sz w:val="20"/>
                <w:szCs w:val="20"/>
              </w:rPr>
              <w:footnoteReference w:id="69"/>
            </w:r>
            <w:r w:rsidRPr="007D116C">
              <w:rPr>
                <w:rFonts w:ascii="Calibri" w:eastAsia="Times New Roman" w:hAnsi="Calibri" w:cs="Calibri"/>
                <w:sz w:val="20"/>
                <w:szCs w:val="20"/>
                <w:lang w:eastAsia="en-GB"/>
              </w:rPr>
              <w:t>  </w:t>
            </w:r>
          </w:p>
        </w:tc>
      </w:tr>
      <w:tr w:rsidR="007D116C" w:rsidRPr="007D116C" w14:paraId="24CB2F97" w14:textId="77777777" w:rsidTr="502F8547">
        <w:trPr>
          <w:trHeight w:val="1131"/>
        </w:trPr>
        <w:tc>
          <w:tcPr>
            <w:tcW w:w="1078" w:type="dxa"/>
            <w:vMerge w:val="restart"/>
            <w:tcBorders>
              <w:top w:val="single" w:sz="4" w:space="0" w:color="auto"/>
              <w:left w:val="single" w:sz="6" w:space="0" w:color="auto"/>
              <w:bottom w:val="single" w:sz="6" w:space="0" w:color="auto"/>
              <w:right w:val="single" w:sz="4" w:space="0" w:color="auto"/>
            </w:tcBorders>
            <w:shd w:val="clear" w:color="auto" w:fill="FFFFFF" w:themeFill="background1"/>
            <w:hideMark/>
          </w:tcPr>
          <w:p w14:paraId="779BE431" w14:textId="0167729C"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New South Wales</w:t>
            </w:r>
          </w:p>
        </w:tc>
        <w:tc>
          <w:tcPr>
            <w:tcW w:w="1466" w:type="dxa"/>
            <w:tcBorders>
              <w:top w:val="nil"/>
              <w:left w:val="single" w:sz="4" w:space="0" w:color="auto"/>
              <w:bottom w:val="single" w:sz="6" w:space="0" w:color="auto"/>
              <w:right w:val="single" w:sz="6" w:space="0" w:color="auto"/>
            </w:tcBorders>
            <w:shd w:val="clear" w:color="auto" w:fill="FFFFFF" w:themeFill="background1"/>
            <w:hideMark/>
          </w:tcPr>
          <w:p w14:paraId="328E2051" w14:textId="6034FB61"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NSW Fair Trading Roadmap 2019-2022</w:t>
            </w:r>
            <w:r w:rsidR="001277F3" w:rsidRPr="007D116C">
              <w:rPr>
                <w:rStyle w:val="FootnoteReference"/>
                <w:sz w:val="20"/>
                <w:szCs w:val="20"/>
              </w:rPr>
              <w:footnoteReference w:id="70"/>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FFFFFF" w:themeFill="background1"/>
            <w:hideMark/>
          </w:tcPr>
          <w:p w14:paraId="117A884A"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Outlines strategic outcomes, activities, and measures for three action areas: ‘Consumers are empowered and protected’, ‘Businesses comply’, and ‘Trusted regulator’. A section for sector action plans, including for building and construction, notes they have not yet been developed (p. 12).  </w:t>
            </w:r>
          </w:p>
        </w:tc>
      </w:tr>
      <w:tr w:rsidR="007D116C" w:rsidRPr="007D116C" w14:paraId="0FBC4F28" w14:textId="77777777" w:rsidTr="502F8547">
        <w:trPr>
          <w:trHeight w:val="570"/>
        </w:trPr>
        <w:tc>
          <w:tcPr>
            <w:tcW w:w="1078" w:type="dxa"/>
            <w:vMerge/>
            <w:vAlign w:val="center"/>
            <w:hideMark/>
          </w:tcPr>
          <w:p w14:paraId="21ED69E2"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FFFFFF" w:themeFill="background1"/>
            <w:hideMark/>
          </w:tcPr>
          <w:p w14:paraId="2C03B528"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NSW Fair Trading Statements of Regulatory Intent  </w:t>
            </w:r>
          </w:p>
        </w:tc>
        <w:tc>
          <w:tcPr>
            <w:tcW w:w="6441" w:type="dxa"/>
            <w:tcBorders>
              <w:top w:val="nil"/>
              <w:left w:val="nil"/>
              <w:bottom w:val="single" w:sz="6" w:space="0" w:color="auto"/>
              <w:right w:val="single" w:sz="6" w:space="0" w:color="auto"/>
            </w:tcBorders>
            <w:shd w:val="clear" w:color="auto" w:fill="FFFFFF" w:themeFill="background1"/>
            <w:hideMark/>
          </w:tcPr>
          <w:p w14:paraId="25497FE6" w14:textId="3C7306D6"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Statements issued to clarify the approach taken by the agency to specific regulatory matters. Relevant examples include the three statements issued interpreting the </w:t>
            </w:r>
            <w:r w:rsidRPr="502F8547">
              <w:rPr>
                <w:rFonts w:ascii="Calibri" w:eastAsia="Times New Roman" w:hAnsi="Calibri" w:cs="Calibri"/>
                <w:i/>
                <w:iCs/>
                <w:sz w:val="20"/>
                <w:szCs w:val="20"/>
                <w:lang w:eastAsia="en-GB"/>
              </w:rPr>
              <w:t>Home Building Act 1989</w:t>
            </w:r>
            <w:r w:rsidRPr="007D116C">
              <w:rPr>
                <w:rFonts w:ascii="Calibri" w:eastAsia="Times New Roman" w:hAnsi="Calibri" w:cs="Calibri"/>
                <w:sz w:val="20"/>
                <w:szCs w:val="20"/>
                <w:lang w:eastAsia="en-GB"/>
              </w:rPr>
              <w:t>.</w:t>
            </w:r>
            <w:r w:rsidR="00B063CF" w:rsidRPr="007D116C">
              <w:rPr>
                <w:rStyle w:val="FootnoteReference"/>
                <w:sz w:val="20"/>
                <w:szCs w:val="20"/>
              </w:rPr>
              <w:footnoteReference w:id="71"/>
            </w:r>
            <w:r w:rsidRPr="007D116C">
              <w:rPr>
                <w:rFonts w:ascii="Calibri" w:eastAsia="Times New Roman" w:hAnsi="Calibri" w:cs="Calibri"/>
                <w:sz w:val="20"/>
                <w:szCs w:val="20"/>
                <w:lang w:eastAsia="en-GB"/>
              </w:rPr>
              <w:t>  </w:t>
            </w:r>
          </w:p>
        </w:tc>
      </w:tr>
      <w:tr w:rsidR="007D116C" w:rsidRPr="007D116C" w14:paraId="24E1D9C4" w14:textId="77777777" w:rsidTr="502F8547">
        <w:trPr>
          <w:trHeight w:val="1403"/>
        </w:trPr>
        <w:tc>
          <w:tcPr>
            <w:tcW w:w="1078" w:type="dxa"/>
            <w:vMerge/>
            <w:vAlign w:val="center"/>
            <w:hideMark/>
          </w:tcPr>
          <w:p w14:paraId="463578A3"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single" w:sz="4" w:space="0" w:color="auto"/>
              <w:left w:val="single" w:sz="4" w:space="0" w:color="auto"/>
              <w:bottom w:val="single" w:sz="6" w:space="0" w:color="auto"/>
              <w:right w:val="single" w:sz="6" w:space="0" w:color="auto"/>
            </w:tcBorders>
            <w:shd w:val="clear" w:color="auto" w:fill="FFFFFF" w:themeFill="background1"/>
            <w:hideMark/>
          </w:tcPr>
          <w:p w14:paraId="0C61ED85" w14:textId="78A4711B"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Construct NSW strategy</w:t>
            </w:r>
            <w:r w:rsidRPr="007D116C">
              <w:rPr>
                <w:rFonts w:ascii="Calibri" w:eastAsia="Times New Roman" w:hAnsi="Calibri" w:cs="Calibri"/>
                <w:sz w:val="20"/>
                <w:szCs w:val="20"/>
                <w:vertAlign w:val="superscript"/>
                <w:lang w:eastAsia="en-GB"/>
              </w:rPr>
              <w:t>49</w:t>
            </w:r>
          </w:p>
        </w:tc>
        <w:tc>
          <w:tcPr>
            <w:tcW w:w="6441" w:type="dxa"/>
            <w:tcBorders>
              <w:top w:val="single" w:sz="4" w:space="0" w:color="auto"/>
              <w:left w:val="nil"/>
              <w:bottom w:val="single" w:sz="6" w:space="0" w:color="auto"/>
              <w:right w:val="single" w:sz="6" w:space="0" w:color="auto"/>
            </w:tcBorders>
            <w:shd w:val="clear" w:color="auto" w:fill="FFFFFF" w:themeFill="background1"/>
            <w:hideMark/>
          </w:tcPr>
          <w:p w14:paraId="23E1B4CD" w14:textId="0980646C"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strategy that the NSW Building </w:t>
            </w:r>
            <w:r w:rsidR="5965F5A9"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 was established to oversee. Identifies six areas of reform: regulation, ratings, education, contracts, digital tools, and data and research. Progress against the strategy is</w:t>
            </w:r>
            <w:r w:rsidR="3E99965F" w:rsidRPr="007D116C">
              <w:rPr>
                <w:rFonts w:ascii="Calibri" w:eastAsia="Times New Roman" w:hAnsi="Calibri" w:cs="Calibri"/>
                <w:sz w:val="20"/>
                <w:szCs w:val="20"/>
                <w:lang w:eastAsia="en-GB"/>
              </w:rPr>
              <w:t xml:space="preserve"> </w:t>
            </w:r>
            <w:r w:rsidRPr="007D116C">
              <w:rPr>
                <w:rFonts w:ascii="Calibri" w:eastAsia="Times New Roman" w:hAnsi="Calibri" w:cs="Calibri"/>
                <w:sz w:val="20"/>
                <w:szCs w:val="20"/>
                <w:lang w:eastAsia="en-GB"/>
              </w:rPr>
              <w:t>regularly</w:t>
            </w:r>
            <w:r w:rsidR="00FC6F42">
              <w:rPr>
                <w:rFonts w:ascii="Calibri" w:eastAsia="Times New Roman" w:hAnsi="Calibri" w:cs="Calibri"/>
                <w:sz w:val="20"/>
                <w:szCs w:val="20"/>
                <w:lang w:eastAsia="en-GB"/>
              </w:rPr>
              <w:t xml:space="preserve"> </w:t>
            </w:r>
            <w:r w:rsidRPr="007D116C">
              <w:rPr>
                <w:rFonts w:ascii="Calibri" w:eastAsia="Times New Roman" w:hAnsi="Calibri" w:cs="Calibri"/>
                <w:sz w:val="20"/>
                <w:szCs w:val="20"/>
                <w:lang w:eastAsia="en-GB"/>
              </w:rPr>
              <w:t>reported.</w:t>
            </w:r>
            <w:r w:rsidR="00A66542" w:rsidRPr="007D116C">
              <w:rPr>
                <w:rStyle w:val="FootnoteReference"/>
                <w:sz w:val="20"/>
                <w:szCs w:val="20"/>
              </w:rPr>
              <w:footnoteReference w:id="72"/>
            </w:r>
            <w:r w:rsidRPr="007D116C">
              <w:rPr>
                <w:rFonts w:ascii="Calibri" w:eastAsia="Times New Roman" w:hAnsi="Calibri" w:cs="Calibri"/>
                <w:sz w:val="20"/>
                <w:szCs w:val="20"/>
                <w:lang w:eastAsia="en-GB"/>
              </w:rPr>
              <w:t xml:space="preserve"> The NSW Government had previously released a discussion paper.</w:t>
            </w:r>
            <w:r w:rsidR="00EF586E" w:rsidRPr="007D116C">
              <w:rPr>
                <w:rStyle w:val="FootnoteReference"/>
                <w:sz w:val="20"/>
                <w:szCs w:val="20"/>
              </w:rPr>
              <w:footnoteReference w:id="73"/>
            </w:r>
            <w:r w:rsidRPr="007D116C">
              <w:rPr>
                <w:rFonts w:ascii="Calibri" w:eastAsia="Times New Roman" w:hAnsi="Calibri" w:cs="Calibri"/>
                <w:sz w:val="20"/>
                <w:szCs w:val="20"/>
                <w:lang w:eastAsia="en-GB"/>
              </w:rPr>
              <w:t> </w:t>
            </w:r>
          </w:p>
        </w:tc>
      </w:tr>
      <w:tr w:rsidR="007D116C" w:rsidRPr="007D116C" w14:paraId="3B880E6C" w14:textId="77777777" w:rsidTr="502F8547">
        <w:trPr>
          <w:trHeight w:val="585"/>
        </w:trPr>
        <w:tc>
          <w:tcPr>
            <w:tcW w:w="1078" w:type="dxa"/>
            <w:vMerge/>
            <w:vAlign w:val="center"/>
            <w:hideMark/>
          </w:tcPr>
          <w:p w14:paraId="076BFE03"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FFFFFF" w:themeFill="background1"/>
            <w:hideMark/>
          </w:tcPr>
          <w:p w14:paraId="54FC6958" w14:textId="22077B3D"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iCs/>
                <w:sz w:val="20"/>
                <w:szCs w:val="20"/>
                <w:lang w:eastAsia="en-GB"/>
              </w:rPr>
              <w:t>Towards a customer-centric government (May 2021)</w:t>
            </w:r>
            <w:r w:rsidR="3C7BDDE9" w:rsidRPr="007D116C">
              <w:rPr>
                <w:rStyle w:val="FootnoteReference"/>
                <w:sz w:val="20"/>
                <w:szCs w:val="20"/>
              </w:rPr>
              <w:t xml:space="preserve"> </w:t>
            </w:r>
            <w:r w:rsidR="00AE33BB" w:rsidRPr="007D116C">
              <w:rPr>
                <w:rStyle w:val="FootnoteReference"/>
                <w:sz w:val="20"/>
                <w:szCs w:val="20"/>
              </w:rPr>
              <w:footnoteReference w:id="74"/>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FFFFFF" w:themeFill="background1"/>
            <w:hideMark/>
          </w:tcPr>
          <w:p w14:paraId="72622DE8"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NSW Government’s overarching strategy for its service delivery reforms, including the Department of Customer Service.  </w:t>
            </w:r>
          </w:p>
        </w:tc>
      </w:tr>
      <w:tr w:rsidR="007D116C" w:rsidRPr="007D116C" w14:paraId="2998F087" w14:textId="77777777" w:rsidTr="502F8547">
        <w:trPr>
          <w:trHeight w:val="180"/>
        </w:trPr>
        <w:tc>
          <w:tcPr>
            <w:tcW w:w="1078" w:type="dxa"/>
            <w:vMerge w:val="restart"/>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14:paraId="6D9E29DC"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Victoria  </w:t>
            </w:r>
          </w:p>
          <w:p w14:paraId="67B8DAF3"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p w14:paraId="39B48A33"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tc>
        <w:tc>
          <w:tcPr>
            <w:tcW w:w="1466" w:type="dxa"/>
            <w:tcBorders>
              <w:top w:val="single" w:sz="4" w:space="0" w:color="auto"/>
              <w:left w:val="single" w:sz="4" w:space="0" w:color="auto"/>
              <w:bottom w:val="single" w:sz="6" w:space="0" w:color="auto"/>
              <w:right w:val="single" w:sz="6" w:space="0" w:color="auto"/>
            </w:tcBorders>
            <w:shd w:val="clear" w:color="auto" w:fill="D9D9D9" w:themeFill="background1" w:themeFillShade="D9"/>
            <w:hideMark/>
          </w:tcPr>
          <w:p w14:paraId="5E268BE9" w14:textId="70EBF430" w:rsidR="00AB0C7D" w:rsidRPr="007D116C" w:rsidRDefault="5965F5A9"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Minister</w:t>
            </w:r>
            <w:r w:rsidR="6D4215AE" w:rsidRPr="007D116C">
              <w:rPr>
                <w:rFonts w:ascii="Calibri" w:eastAsia="Times New Roman" w:hAnsi="Calibri" w:cs="Calibri"/>
                <w:sz w:val="20"/>
                <w:szCs w:val="20"/>
                <w:lang w:eastAsia="en-GB"/>
              </w:rPr>
              <w:t xml:space="preserve">’s Statement of Expectations (2021-2023) and </w:t>
            </w:r>
            <w:r w:rsidRPr="007D116C">
              <w:rPr>
                <w:rFonts w:ascii="Calibri" w:eastAsia="Times New Roman" w:hAnsi="Calibri" w:cs="Calibri"/>
                <w:sz w:val="20"/>
                <w:szCs w:val="20"/>
                <w:lang w:eastAsia="en-GB"/>
              </w:rPr>
              <w:t>Commission</w:t>
            </w:r>
            <w:r w:rsidR="6D4215AE" w:rsidRPr="007D116C">
              <w:rPr>
                <w:rFonts w:ascii="Calibri" w:eastAsia="Times New Roman" w:hAnsi="Calibri" w:cs="Calibri"/>
                <w:sz w:val="20"/>
                <w:szCs w:val="20"/>
                <w:lang w:eastAsia="en-GB"/>
              </w:rPr>
              <w:t>er’s response</w:t>
            </w:r>
            <w:r w:rsidR="002B1E9E" w:rsidRPr="007D116C">
              <w:rPr>
                <w:rStyle w:val="FootnoteReference"/>
                <w:sz w:val="20"/>
                <w:szCs w:val="20"/>
              </w:rPr>
              <w:footnoteReference w:id="75"/>
            </w:r>
            <w:r w:rsidR="6D4215AE"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07D24B21" w14:textId="170D2AA1"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502F8547">
              <w:rPr>
                <w:rFonts w:ascii="Calibri" w:eastAsia="Times New Roman" w:hAnsi="Calibri" w:cs="Calibri"/>
                <w:sz w:val="20"/>
                <w:szCs w:val="20"/>
                <w:lang w:eastAsia="en-GB"/>
              </w:rPr>
              <w:t xml:space="preserve">The </w:t>
            </w:r>
            <w:r w:rsidR="002D6C67" w:rsidRPr="502F8547">
              <w:rPr>
                <w:rFonts w:ascii="Calibri" w:eastAsia="Times New Roman" w:hAnsi="Calibri" w:cs="Calibri"/>
                <w:sz w:val="20"/>
                <w:szCs w:val="20"/>
                <w:lang w:eastAsia="en-GB"/>
              </w:rPr>
              <w:t>Minister</w:t>
            </w:r>
            <w:r w:rsidRPr="502F8547">
              <w:rPr>
                <w:rFonts w:ascii="Calibri" w:eastAsia="Times New Roman" w:hAnsi="Calibri" w:cs="Calibri"/>
                <w:sz w:val="20"/>
                <w:szCs w:val="20"/>
                <w:lang w:eastAsia="en-GB"/>
              </w:rPr>
              <w:t>’s letter specifies three key strategic expectations and seven governance and service delivery improvements the agency is expected to make in the period. The </w:t>
            </w:r>
            <w:r w:rsidR="3C0008D4" w:rsidRPr="502F8547">
              <w:rPr>
                <w:rFonts w:ascii="Calibri" w:eastAsia="Times New Roman" w:hAnsi="Calibri" w:cs="Calibri"/>
                <w:sz w:val="20"/>
                <w:szCs w:val="20"/>
                <w:lang w:eastAsia="en-GB"/>
              </w:rPr>
              <w:t>C</w:t>
            </w:r>
            <w:r w:rsidRPr="502F8547">
              <w:rPr>
                <w:rFonts w:ascii="Calibri" w:eastAsia="Times New Roman" w:hAnsi="Calibri" w:cs="Calibri"/>
                <w:sz w:val="20"/>
                <w:szCs w:val="20"/>
                <w:lang w:eastAsia="en-GB"/>
              </w:rPr>
              <w:t xml:space="preserve">ommissioner’s response includes an attachment noting specific steps the agency will take to meet the </w:t>
            </w:r>
            <w:r w:rsidR="002D6C67" w:rsidRPr="502F8547">
              <w:rPr>
                <w:rFonts w:ascii="Calibri" w:eastAsia="Times New Roman" w:hAnsi="Calibri" w:cs="Calibri"/>
                <w:sz w:val="20"/>
                <w:szCs w:val="20"/>
                <w:lang w:eastAsia="en-GB"/>
              </w:rPr>
              <w:t>Minister</w:t>
            </w:r>
            <w:r w:rsidRPr="502F8547">
              <w:rPr>
                <w:rFonts w:ascii="Calibri" w:eastAsia="Times New Roman" w:hAnsi="Calibri" w:cs="Calibri"/>
                <w:sz w:val="20"/>
                <w:szCs w:val="20"/>
                <w:lang w:eastAsia="en-GB"/>
              </w:rPr>
              <w:t>’s expectations (though this attachment does not seem to be publicly available).  </w:t>
            </w:r>
          </w:p>
        </w:tc>
      </w:tr>
      <w:tr w:rsidR="007D116C" w:rsidRPr="007D116C" w14:paraId="379FE700" w14:textId="77777777" w:rsidTr="502F8547">
        <w:trPr>
          <w:trHeight w:val="180"/>
        </w:trPr>
        <w:tc>
          <w:tcPr>
            <w:tcW w:w="1078" w:type="dxa"/>
            <w:vMerge/>
            <w:vAlign w:val="center"/>
            <w:hideMark/>
          </w:tcPr>
          <w:p w14:paraId="6B504614"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019D61B5" w14:textId="19932905"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Corporate Plan 2018-22</w:t>
            </w:r>
            <w:r w:rsidR="0027742F" w:rsidRPr="007D116C">
              <w:rPr>
                <w:rStyle w:val="FootnoteReference"/>
                <w:sz w:val="20"/>
                <w:szCs w:val="20"/>
              </w:rPr>
              <w:footnoteReference w:id="76"/>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0DBA1AB9"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The Corporate Plan outlines the agency’s vision, objectives, and the steps it is taking towards reform. It also includes sections on strategic risk and changes in the operating environment.  </w:t>
            </w:r>
          </w:p>
        </w:tc>
      </w:tr>
      <w:tr w:rsidR="007D116C" w:rsidRPr="007D116C" w14:paraId="42F432AC" w14:textId="77777777" w:rsidTr="502F8547">
        <w:trPr>
          <w:trHeight w:val="180"/>
        </w:trPr>
        <w:tc>
          <w:tcPr>
            <w:tcW w:w="1078" w:type="dxa"/>
            <w:vMerge/>
            <w:vAlign w:val="center"/>
            <w:hideMark/>
          </w:tcPr>
          <w:p w14:paraId="0C6DCE65"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6B93BD53" w14:textId="610BCF8B"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Annual Plan</w:t>
            </w:r>
            <w:r w:rsidR="00FB68F7" w:rsidRPr="007D116C">
              <w:rPr>
                <w:rStyle w:val="FootnoteReference"/>
                <w:sz w:val="20"/>
                <w:szCs w:val="20"/>
              </w:rPr>
              <w:footnoteReference w:id="77"/>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1DD301AE"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A plan-on-a-page outlining the year’s priorities, based on the overarching Corporate Plan.  </w:t>
            </w:r>
          </w:p>
        </w:tc>
      </w:tr>
      <w:tr w:rsidR="007D116C" w:rsidRPr="007D116C" w14:paraId="7FA9832E" w14:textId="77777777" w:rsidTr="502F8547">
        <w:trPr>
          <w:trHeight w:val="435"/>
        </w:trPr>
        <w:tc>
          <w:tcPr>
            <w:tcW w:w="1078" w:type="dxa"/>
            <w:vMerge/>
            <w:vAlign w:val="center"/>
            <w:hideMark/>
          </w:tcPr>
          <w:p w14:paraId="2D48CEBF"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5D303C31" w14:textId="40A582B1"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Regulatory Approach</w:t>
            </w:r>
            <w:r w:rsidR="00CA275B" w:rsidRPr="007D116C">
              <w:rPr>
                <w:rStyle w:val="FootnoteReference"/>
                <w:sz w:val="20"/>
                <w:szCs w:val="20"/>
              </w:rPr>
              <w:footnoteReference w:id="78"/>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1E821698"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Outlines the VBA’s mission, its approach to setting priorities, its principles, and its ‘joined-up’ approach to regulation.   </w:t>
            </w:r>
          </w:p>
        </w:tc>
      </w:tr>
      <w:tr w:rsidR="007D116C" w:rsidRPr="007D116C" w14:paraId="25021176" w14:textId="77777777" w:rsidTr="502F8547">
        <w:trPr>
          <w:trHeight w:val="435"/>
        </w:trPr>
        <w:tc>
          <w:tcPr>
            <w:tcW w:w="1078" w:type="dxa"/>
            <w:vMerge/>
            <w:vAlign w:val="center"/>
            <w:hideMark/>
          </w:tcPr>
          <w:p w14:paraId="251A843B"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054FA37A" w14:textId="1315D7B8"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Compliance and Enforcement Policy</w:t>
            </w:r>
            <w:r w:rsidR="001D2425" w:rsidRPr="007D116C">
              <w:rPr>
                <w:rStyle w:val="FootnoteReference"/>
                <w:sz w:val="20"/>
                <w:szCs w:val="20"/>
              </w:rPr>
              <w:footnoteReference w:id="79"/>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5B3F4334"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Outlines the approach that the VBA takes to its responsibilities as a regulator, including proactive monitoring and risk assessment and responding to complaints.  </w:t>
            </w:r>
          </w:p>
        </w:tc>
      </w:tr>
      <w:tr w:rsidR="007D116C" w:rsidRPr="007D116C" w14:paraId="024F0861" w14:textId="77777777" w:rsidTr="502F8547">
        <w:trPr>
          <w:trHeight w:val="435"/>
        </w:trPr>
        <w:tc>
          <w:tcPr>
            <w:tcW w:w="1078" w:type="dxa"/>
            <w:vMerge/>
            <w:vAlign w:val="center"/>
            <w:hideMark/>
          </w:tcPr>
          <w:p w14:paraId="5B64A119"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3E8535FE" w14:textId="1D088188"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VBA Service Charter</w:t>
            </w:r>
            <w:r w:rsidR="009D4CFB" w:rsidRPr="007D116C">
              <w:rPr>
                <w:rStyle w:val="FootnoteReference"/>
                <w:sz w:val="20"/>
                <w:szCs w:val="20"/>
              </w:rPr>
              <w:footnoteReference w:id="80"/>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1775190F"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States the vision and mission of VBA as a service provider and summarises the services it offers and those it does not.  </w:t>
            </w:r>
          </w:p>
        </w:tc>
      </w:tr>
      <w:tr w:rsidR="007D116C" w:rsidRPr="007D116C" w14:paraId="2661A6B3" w14:textId="77777777" w:rsidTr="502F8547">
        <w:tc>
          <w:tcPr>
            <w:tcW w:w="1078" w:type="dxa"/>
            <w:vMerge w:val="restart"/>
            <w:tcBorders>
              <w:top w:val="single" w:sz="4" w:space="0" w:color="auto"/>
              <w:left w:val="single" w:sz="6" w:space="0" w:color="auto"/>
              <w:bottom w:val="single" w:sz="6" w:space="0" w:color="auto"/>
              <w:right w:val="single" w:sz="4" w:space="0" w:color="auto"/>
            </w:tcBorders>
            <w:shd w:val="clear" w:color="auto" w:fill="FFFFFF" w:themeFill="background1"/>
            <w:hideMark/>
          </w:tcPr>
          <w:p w14:paraId="2D011FFF"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South Australia  </w:t>
            </w:r>
          </w:p>
        </w:tc>
        <w:tc>
          <w:tcPr>
            <w:tcW w:w="1466" w:type="dxa"/>
            <w:tcBorders>
              <w:top w:val="nil"/>
              <w:left w:val="single" w:sz="4" w:space="0" w:color="auto"/>
              <w:bottom w:val="single" w:sz="6" w:space="0" w:color="auto"/>
              <w:right w:val="single" w:sz="6" w:space="0" w:color="auto"/>
            </w:tcBorders>
            <w:shd w:val="clear" w:color="auto" w:fill="FFFFFF" w:themeFill="background1"/>
            <w:hideMark/>
          </w:tcPr>
          <w:p w14:paraId="1F353A4E" w14:textId="02CB9D6C"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State Planning </w:t>
            </w:r>
            <w:r w:rsidR="5965F5A9"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 xml:space="preserve"> Strategic Plan 2021-22</w:t>
            </w:r>
            <w:r w:rsidR="008E1B32" w:rsidRPr="007D116C">
              <w:rPr>
                <w:rStyle w:val="FootnoteReference"/>
                <w:sz w:val="20"/>
                <w:szCs w:val="20"/>
              </w:rPr>
              <w:footnoteReference w:id="81"/>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FFFFFF" w:themeFill="background1"/>
            <w:hideMark/>
          </w:tcPr>
          <w:p w14:paraId="580A8373" w14:textId="5862E4E4"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Short document stating the goals, guiding principles, and priorities of the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 xml:space="preserve"> in the period.   </w:t>
            </w:r>
          </w:p>
        </w:tc>
      </w:tr>
      <w:tr w:rsidR="007D116C" w:rsidRPr="007D116C" w14:paraId="69A3579D" w14:textId="77777777" w:rsidTr="502F8547">
        <w:tc>
          <w:tcPr>
            <w:tcW w:w="1078" w:type="dxa"/>
            <w:vMerge/>
            <w:vAlign w:val="center"/>
            <w:hideMark/>
          </w:tcPr>
          <w:p w14:paraId="0B44E54A"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single" w:sz="4" w:space="0" w:color="auto"/>
              <w:left w:val="single" w:sz="4" w:space="0" w:color="auto"/>
              <w:bottom w:val="single" w:sz="6" w:space="0" w:color="auto"/>
              <w:right w:val="single" w:sz="6" w:space="0" w:color="auto"/>
            </w:tcBorders>
            <w:shd w:val="clear" w:color="auto" w:fill="FFFFFF" w:themeFill="background1"/>
            <w:hideMark/>
          </w:tcPr>
          <w:p w14:paraId="6D1D0D90" w14:textId="288463C4"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Consumer and Business Services </w:t>
            </w:r>
            <w:r w:rsidRPr="007D116C">
              <w:rPr>
                <w:rFonts w:ascii="Calibri" w:eastAsia="Times New Roman" w:hAnsi="Calibri" w:cs="Calibri"/>
                <w:sz w:val="20"/>
                <w:szCs w:val="20"/>
                <w:lang w:eastAsia="en-GB"/>
              </w:rPr>
              <w:lastRenderedPageBreak/>
              <w:t>Strategic Plan 2019-22</w:t>
            </w:r>
            <w:r w:rsidR="008F4CD5" w:rsidRPr="007D116C">
              <w:rPr>
                <w:rStyle w:val="FootnoteReference"/>
                <w:sz w:val="20"/>
                <w:szCs w:val="20"/>
              </w:rPr>
              <w:footnoteReference w:id="82"/>
            </w:r>
            <w:r w:rsidRPr="007D116C">
              <w:rPr>
                <w:rFonts w:ascii="Calibri" w:eastAsia="Times New Roman" w:hAnsi="Calibri" w:cs="Calibri"/>
                <w:sz w:val="20"/>
                <w:szCs w:val="20"/>
                <w:lang w:eastAsia="en-GB"/>
              </w:rPr>
              <w:t>  </w:t>
            </w:r>
          </w:p>
        </w:tc>
        <w:tc>
          <w:tcPr>
            <w:tcW w:w="6441" w:type="dxa"/>
            <w:tcBorders>
              <w:top w:val="single" w:sz="4" w:space="0" w:color="auto"/>
              <w:left w:val="nil"/>
              <w:bottom w:val="single" w:sz="6" w:space="0" w:color="auto"/>
              <w:right w:val="single" w:sz="6" w:space="0" w:color="auto"/>
            </w:tcBorders>
            <w:shd w:val="clear" w:color="auto" w:fill="FFFFFF" w:themeFill="background1"/>
            <w:hideMark/>
          </w:tcPr>
          <w:p w14:paraId="0E9E4AAC"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lastRenderedPageBreak/>
              <w:t>Plan-on-a-page stating the unit’s goals, strategies, and deliverables for the period.   </w:t>
            </w:r>
          </w:p>
        </w:tc>
      </w:tr>
      <w:tr w:rsidR="007D116C" w:rsidRPr="007D116C" w14:paraId="22019122" w14:textId="77777777" w:rsidTr="502F8547">
        <w:trPr>
          <w:trHeight w:val="900"/>
        </w:trPr>
        <w:tc>
          <w:tcPr>
            <w:tcW w:w="1078" w:type="dxa"/>
            <w:vMerge/>
            <w:vAlign w:val="center"/>
            <w:hideMark/>
          </w:tcPr>
          <w:p w14:paraId="3A65058A"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FFFFFF" w:themeFill="background1"/>
            <w:hideMark/>
          </w:tcPr>
          <w:p w14:paraId="5092615D" w14:textId="1D9E01BD"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iCs/>
                <w:sz w:val="20"/>
                <w:szCs w:val="20"/>
                <w:lang w:eastAsia="en-GB"/>
              </w:rPr>
              <w:t>The 30-year plan for Greater Adelaide</w:t>
            </w:r>
            <w:r w:rsidR="004C5472" w:rsidRPr="007D116C">
              <w:rPr>
                <w:rStyle w:val="FootnoteReference"/>
                <w:sz w:val="20"/>
                <w:szCs w:val="20"/>
              </w:rPr>
              <w:footnoteReference w:id="83"/>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FFFFFF" w:themeFill="background1"/>
            <w:hideMark/>
          </w:tcPr>
          <w:p w14:paraId="1AAE0BA6" w14:textId="0E8D2005"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This is the state’s overarching planning strategy. Some of its goals involve changes to building standards and other building-related policy.</w:t>
            </w:r>
            <w:r w:rsidR="00DA433A" w:rsidRPr="007D116C">
              <w:rPr>
                <w:rStyle w:val="FootnoteReference"/>
                <w:sz w:val="20"/>
                <w:szCs w:val="20"/>
              </w:rPr>
              <w:footnoteReference w:id="84"/>
            </w:r>
            <w:r w:rsidRPr="007D116C">
              <w:rPr>
                <w:rFonts w:ascii="Calibri" w:eastAsia="Times New Roman" w:hAnsi="Calibri" w:cs="Calibri"/>
                <w:sz w:val="20"/>
                <w:szCs w:val="20"/>
                <w:lang w:eastAsia="en-GB"/>
              </w:rPr>
              <w:t>   </w:t>
            </w:r>
          </w:p>
        </w:tc>
      </w:tr>
      <w:tr w:rsidR="007D116C" w:rsidRPr="007D116C" w14:paraId="535C5A61" w14:textId="77777777" w:rsidTr="502F8547">
        <w:tc>
          <w:tcPr>
            <w:tcW w:w="1078" w:type="dxa"/>
            <w:vMerge w:val="restart"/>
            <w:tcBorders>
              <w:top w:val="single" w:sz="4" w:space="0" w:color="auto"/>
              <w:left w:val="single" w:sz="6" w:space="0" w:color="auto"/>
              <w:bottom w:val="single" w:sz="6" w:space="0" w:color="auto"/>
              <w:right w:val="single" w:sz="4" w:space="0" w:color="auto"/>
            </w:tcBorders>
            <w:shd w:val="clear" w:color="auto" w:fill="D9D9D9" w:themeFill="background1" w:themeFillShade="D9"/>
            <w:hideMark/>
          </w:tcPr>
          <w:p w14:paraId="3129972D"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Western Australia  </w:t>
            </w:r>
          </w:p>
          <w:p w14:paraId="23995A50"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p w14:paraId="4D2A750C"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70D919DC" w14:textId="3FD61C71"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DMIRS </w:t>
            </w:r>
            <w:r w:rsidRPr="007D116C">
              <w:rPr>
                <w:rFonts w:ascii="Calibri" w:eastAsia="Times New Roman" w:hAnsi="Calibri" w:cs="Calibri"/>
                <w:i/>
                <w:iCs/>
                <w:sz w:val="20"/>
                <w:szCs w:val="20"/>
                <w:lang w:eastAsia="en-GB"/>
              </w:rPr>
              <w:t>Towards 2024</w:t>
            </w:r>
            <w:r w:rsidRPr="007D116C">
              <w:rPr>
                <w:rFonts w:ascii="Calibri" w:eastAsia="Times New Roman" w:hAnsi="Calibri" w:cs="Calibri"/>
                <w:sz w:val="20"/>
                <w:szCs w:val="20"/>
                <w:lang w:eastAsia="en-GB"/>
              </w:rPr>
              <w:t xml:space="preserve"> Strategic Plan</w:t>
            </w:r>
            <w:r w:rsidR="006D44BD" w:rsidRPr="007D116C">
              <w:rPr>
                <w:rStyle w:val="FootnoteReference"/>
                <w:sz w:val="20"/>
                <w:szCs w:val="20"/>
              </w:rPr>
              <w:footnoteReference w:id="85"/>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53C1F838"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Two-page plan stating strategic themes and departmental priorities. Conceives of DMIRS as a “regulator, service provider and policy maker”.  </w:t>
            </w:r>
          </w:p>
        </w:tc>
      </w:tr>
      <w:tr w:rsidR="007D116C" w:rsidRPr="007D116C" w14:paraId="0DF2B0BC" w14:textId="77777777" w:rsidTr="502F8547">
        <w:tc>
          <w:tcPr>
            <w:tcW w:w="1078" w:type="dxa"/>
            <w:vMerge/>
            <w:vAlign w:val="center"/>
            <w:hideMark/>
          </w:tcPr>
          <w:p w14:paraId="19041382"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4C6D14A7" w14:textId="104F55C2"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Premier’s charter to the Council of Regulators (27 May 2021)</w:t>
            </w:r>
            <w:r w:rsidR="00CB3F9C" w:rsidRPr="007D116C">
              <w:rPr>
                <w:rStyle w:val="FootnoteReference"/>
                <w:sz w:val="20"/>
                <w:szCs w:val="20"/>
              </w:rPr>
              <w:footnoteReference w:id="86"/>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0FBE2DE0"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In 2021, the Premier established this Council, comprising the heads of different agencies, and issued this charter which sets out the Council’s responsibilities in delivering whole-of-government regulatory reform.   </w:t>
            </w:r>
          </w:p>
        </w:tc>
      </w:tr>
      <w:tr w:rsidR="007D116C" w:rsidRPr="007D116C" w14:paraId="3F7DE4A9" w14:textId="77777777" w:rsidTr="502F8547">
        <w:tc>
          <w:tcPr>
            <w:tcW w:w="1078" w:type="dxa"/>
            <w:vMerge/>
            <w:vAlign w:val="center"/>
            <w:hideMark/>
          </w:tcPr>
          <w:p w14:paraId="3272E547" w14:textId="77777777" w:rsidR="00AB0C7D" w:rsidRPr="007D116C" w:rsidRDefault="00AB0C7D" w:rsidP="00132EE8">
            <w:pPr>
              <w:spacing w:after="0" w:line="240" w:lineRule="auto"/>
              <w:jc w:val="left"/>
              <w:rPr>
                <w:rFonts w:ascii="Times New Roman" w:eastAsia="Times New Roman" w:hAnsi="Times New Roman" w:cs="Times New Roman"/>
                <w:sz w:val="20"/>
                <w:szCs w:val="20"/>
                <w:lang w:eastAsia="en-GB"/>
              </w:rPr>
            </w:pPr>
          </w:p>
        </w:tc>
        <w:tc>
          <w:tcPr>
            <w:tcW w:w="1466" w:type="dxa"/>
            <w:tcBorders>
              <w:top w:val="nil"/>
              <w:left w:val="single" w:sz="4" w:space="0" w:color="auto"/>
              <w:bottom w:val="single" w:sz="6" w:space="0" w:color="auto"/>
              <w:right w:val="single" w:sz="6" w:space="0" w:color="auto"/>
            </w:tcBorders>
            <w:shd w:val="clear" w:color="auto" w:fill="D9D9D9" w:themeFill="background1" w:themeFillShade="D9"/>
            <w:hideMark/>
          </w:tcPr>
          <w:p w14:paraId="7CD2AB7B" w14:textId="5D340201" w:rsidR="00AB0C7D" w:rsidRPr="007D116C" w:rsidRDefault="6D4215AE"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Streamline WA Steering Committee Terms of Reference</w:t>
            </w:r>
            <w:r w:rsidR="00132EE8" w:rsidRPr="007D116C">
              <w:rPr>
                <w:rStyle w:val="FootnoteReference"/>
                <w:sz w:val="20"/>
                <w:szCs w:val="20"/>
              </w:rPr>
              <w:footnoteReference w:id="87"/>
            </w:r>
            <w:r w:rsidRPr="007D116C">
              <w:rPr>
                <w:rFonts w:ascii="Calibri" w:eastAsia="Times New Roman" w:hAnsi="Calibri" w:cs="Calibri"/>
                <w:sz w:val="20"/>
                <w:szCs w:val="20"/>
                <w:lang w:eastAsia="en-GB"/>
              </w:rPr>
              <w:t>  </w:t>
            </w:r>
          </w:p>
        </w:tc>
        <w:tc>
          <w:tcPr>
            <w:tcW w:w="6441" w:type="dxa"/>
            <w:tcBorders>
              <w:top w:val="nil"/>
              <w:left w:val="nil"/>
              <w:bottom w:val="single" w:sz="6" w:space="0" w:color="auto"/>
              <w:right w:val="single" w:sz="6" w:space="0" w:color="auto"/>
            </w:tcBorders>
            <w:shd w:val="clear" w:color="auto" w:fill="D9D9D9" w:themeFill="background1" w:themeFillShade="D9"/>
            <w:hideMark/>
          </w:tcPr>
          <w:p w14:paraId="390993F5" w14:textId="77777777" w:rsidR="00AB0C7D" w:rsidRPr="007D116C" w:rsidRDefault="00AB0C7D" w:rsidP="00132EE8">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This document sets out the purpose and responsibilities of the Streamline WA Steering Committee, a better regulation body comprising representatives from state and local governments as well as the private and non-profit sectors.  </w:t>
            </w:r>
          </w:p>
        </w:tc>
      </w:tr>
    </w:tbl>
    <w:p w14:paraId="5BBA0C3F" w14:textId="77777777" w:rsidR="00AB0C7D" w:rsidRPr="007D116C" w:rsidRDefault="00AB0C7D" w:rsidP="00AB0C7D">
      <w:pPr>
        <w:spacing w:after="0" w:line="240" w:lineRule="auto"/>
        <w:textAlignment w:val="baseline"/>
        <w:rPr>
          <w:rFonts w:ascii="Segoe UI" w:eastAsia="Times New Roman" w:hAnsi="Segoe UI" w:cs="Segoe UI"/>
          <w:lang w:eastAsia="en-GB"/>
        </w:rPr>
      </w:pPr>
      <w:r w:rsidRPr="007D116C">
        <w:rPr>
          <w:rFonts w:ascii="Calibri" w:eastAsia="Times New Roman" w:hAnsi="Calibri" w:cs="Calibri"/>
          <w:lang w:eastAsia="en-GB"/>
        </w:rPr>
        <w:t> </w:t>
      </w:r>
    </w:p>
    <w:p w14:paraId="00612E60" w14:textId="10C93F06" w:rsidR="00516312" w:rsidRPr="007D116C" w:rsidRDefault="43A4801E" w:rsidP="3B034824">
      <w:pPr>
        <w:pStyle w:val="ListParagraph"/>
        <w:numPr>
          <w:ilvl w:val="0"/>
          <w:numId w:val="2"/>
        </w:numPr>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Based on Table </w:t>
      </w:r>
      <w:r w:rsidR="2E2B6DD9" w:rsidRPr="007D116C">
        <w:rPr>
          <w:rFonts w:ascii="Calibri" w:eastAsia="Times New Roman" w:hAnsi="Calibri" w:cs="Calibri"/>
          <w:lang w:eastAsia="en-GB"/>
        </w:rPr>
        <w:t>7</w:t>
      </w:r>
      <w:r w:rsidRPr="007D116C">
        <w:rPr>
          <w:rFonts w:ascii="Calibri" w:eastAsia="Times New Roman" w:hAnsi="Calibri" w:cs="Calibri"/>
          <w:lang w:eastAsia="en-GB"/>
        </w:rPr>
        <w:t>, Queensland’s construction industry regulatory system is strategy-led</w:t>
      </w:r>
      <w:r w:rsidR="233E17B5" w:rsidRPr="007D116C">
        <w:rPr>
          <w:rFonts w:ascii="Calibri" w:eastAsia="Times New Roman" w:hAnsi="Calibri" w:cs="Calibri"/>
          <w:lang w:eastAsia="en-GB"/>
        </w:rPr>
        <w:t xml:space="preserve">, </w:t>
      </w:r>
      <w:r w:rsidR="5AAA0551" w:rsidRPr="007D116C">
        <w:rPr>
          <w:rFonts w:ascii="Calibri" w:eastAsia="Times New Roman" w:hAnsi="Calibri" w:cs="Calibri"/>
          <w:lang w:eastAsia="en-GB"/>
        </w:rPr>
        <w:t>but</w:t>
      </w:r>
      <w:r w:rsidR="2409B6DA" w:rsidRPr="007D116C">
        <w:rPr>
          <w:rFonts w:ascii="Calibri" w:eastAsia="Times New Roman" w:hAnsi="Calibri" w:cs="Calibri"/>
          <w:lang w:eastAsia="en-GB"/>
        </w:rPr>
        <w:t xml:space="preserve"> </w:t>
      </w:r>
      <w:r w:rsidR="5C33C22A" w:rsidRPr="007D116C">
        <w:rPr>
          <w:rFonts w:ascii="Calibri" w:eastAsia="Times New Roman" w:hAnsi="Calibri" w:cs="Calibri"/>
          <w:lang w:eastAsia="en-GB"/>
        </w:rPr>
        <w:t xml:space="preserve">as an </w:t>
      </w:r>
      <w:r w:rsidR="5C33C22A" w:rsidRPr="007D116C">
        <w:rPr>
          <w:rFonts w:ascii="Calibri" w:eastAsia="Times New Roman" w:hAnsi="Calibri" w:cs="Calibri"/>
          <w:i/>
          <w:iCs/>
          <w:lang w:eastAsia="en-GB"/>
        </w:rPr>
        <w:t>industry</w:t>
      </w:r>
      <w:r w:rsidR="2409B6DA" w:rsidRPr="007D116C">
        <w:rPr>
          <w:rFonts w:ascii="Calibri" w:eastAsia="Times New Roman" w:hAnsi="Calibri" w:cs="Calibri"/>
          <w:lang w:eastAsia="en-GB"/>
        </w:rPr>
        <w:t xml:space="preserve"> strategy is articulated in </w:t>
      </w:r>
      <w:r w:rsidR="6E06EEF8" w:rsidRPr="007D116C">
        <w:rPr>
          <w:rFonts w:ascii="Calibri" w:eastAsia="Times New Roman" w:hAnsi="Calibri" w:cs="Calibri"/>
          <w:lang w:eastAsia="en-GB"/>
        </w:rPr>
        <w:t>fewer documents than in New South Wales and Victoria.</w:t>
      </w:r>
      <w:r w:rsidR="5AAA0551" w:rsidRPr="007D116C">
        <w:rPr>
          <w:rFonts w:ascii="Calibri" w:eastAsia="Times New Roman" w:hAnsi="Calibri" w:cs="Calibri"/>
          <w:lang w:eastAsia="en-GB"/>
        </w:rPr>
        <w:t xml:space="preserve"> </w:t>
      </w:r>
      <w:r w:rsidRPr="007D116C">
        <w:rPr>
          <w:rFonts w:ascii="Calibri" w:eastAsia="Times New Roman" w:hAnsi="Calibri" w:cs="Calibri"/>
          <w:lang w:eastAsia="en-GB"/>
        </w:rPr>
        <w:t>In this respect, Queensland is more like South Australia and Western Australia</w:t>
      </w:r>
      <w:r w:rsidR="64AE7A91" w:rsidRPr="007D116C">
        <w:rPr>
          <w:rFonts w:ascii="Calibri" w:eastAsia="Times New Roman" w:hAnsi="Calibri" w:cs="Calibri"/>
          <w:lang w:eastAsia="en-GB"/>
        </w:rPr>
        <w:t>.</w:t>
      </w:r>
      <w:r w:rsidR="173B0E85" w:rsidRPr="007D116C">
        <w:rPr>
          <w:rFonts w:ascii="Calibri" w:eastAsia="Times New Roman" w:hAnsi="Calibri" w:cs="Calibri"/>
          <w:lang w:eastAsia="en-GB"/>
        </w:rPr>
        <w:t xml:space="preserve"> </w:t>
      </w:r>
      <w:r w:rsidR="64AE7A91" w:rsidRPr="007D116C">
        <w:rPr>
          <w:rFonts w:ascii="Calibri" w:eastAsia="Times New Roman" w:hAnsi="Calibri" w:cs="Calibri"/>
          <w:lang w:eastAsia="en-GB"/>
        </w:rPr>
        <w:t>B</w:t>
      </w:r>
      <w:r w:rsidRPr="007D116C">
        <w:rPr>
          <w:rFonts w:ascii="Calibri" w:eastAsia="Times New Roman" w:hAnsi="Calibri" w:cs="Calibri"/>
          <w:lang w:eastAsia="en-GB"/>
        </w:rPr>
        <w:t>ut in those states, regulatory functions are largely run from within government departments and as part of multi-sector systems (planning, building and energy). Based on the above analysis of the OECD’s principles, a one-stop shop, single-sector regulator</w:t>
      </w:r>
      <w:r w:rsidR="3AA3E751" w:rsidRPr="007D116C">
        <w:rPr>
          <w:rFonts w:ascii="Calibri" w:eastAsia="Times New Roman" w:hAnsi="Calibri" w:cs="Calibri"/>
          <w:lang w:eastAsia="en-GB"/>
        </w:rPr>
        <w:t xml:space="preserve"> like </w:t>
      </w:r>
      <w:r w:rsidR="55059A91" w:rsidRPr="007D116C">
        <w:rPr>
          <w:rFonts w:ascii="Calibri" w:eastAsia="Times New Roman" w:hAnsi="Calibri" w:cs="Calibri"/>
          <w:lang w:eastAsia="en-GB"/>
        </w:rPr>
        <w:t xml:space="preserve">QBCC might be expected to have available more, rather than less, strategic </w:t>
      </w:r>
      <w:r w:rsidR="55059A91" w:rsidRPr="007D116C">
        <w:rPr>
          <w:rFonts w:ascii="Calibri" w:eastAsia="Times New Roman" w:hAnsi="Calibri" w:cs="Calibri"/>
          <w:lang w:eastAsia="en-GB"/>
        </w:rPr>
        <w:lastRenderedPageBreak/>
        <w:t>documentation</w:t>
      </w:r>
      <w:r w:rsidRPr="007D116C">
        <w:rPr>
          <w:rFonts w:ascii="Calibri" w:eastAsia="Times New Roman" w:hAnsi="Calibri" w:cs="Calibri"/>
          <w:lang w:eastAsia="en-GB"/>
        </w:rPr>
        <w:t xml:space="preserve"> – an impression that is strengthened by the numerous strategic documents governing the similarly-structured VBA.</w:t>
      </w:r>
      <w:r w:rsidR="00752A15" w:rsidRPr="007D116C">
        <w:rPr>
          <w:rStyle w:val="FootnoteReference"/>
          <w:rFonts w:ascii="Calibri" w:eastAsia="Times New Roman" w:hAnsi="Calibri" w:cs="Calibri"/>
          <w:lang w:eastAsia="en-GB"/>
        </w:rPr>
        <w:footnoteReference w:id="88"/>
      </w:r>
      <w:r w:rsidRPr="007D116C">
        <w:rPr>
          <w:rFonts w:ascii="Calibri" w:eastAsia="Times New Roman" w:hAnsi="Calibri" w:cs="Calibri"/>
          <w:lang w:eastAsia="en-GB"/>
        </w:rPr>
        <w:t> </w:t>
      </w:r>
    </w:p>
    <w:p w14:paraId="11C65964" w14:textId="13839011" w:rsidR="005E3AFE" w:rsidRPr="007D116C" w:rsidRDefault="3C1D34F9" w:rsidP="006C6ABE">
      <w:pPr>
        <w:pStyle w:val="ListParagraph"/>
        <w:numPr>
          <w:ilvl w:val="0"/>
          <w:numId w:val="2"/>
        </w:numPr>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A distinction should be made between operational strategy and sectoral strategic foresight, with a capability for the latter being of real public interest in the context of a highly complex sector. </w:t>
      </w:r>
      <w:r w:rsidR="619436AE" w:rsidRPr="007D116C">
        <w:rPr>
          <w:rFonts w:ascii="Calibri" w:eastAsia="Times New Roman" w:hAnsi="Calibri" w:cs="Calibri"/>
          <w:lang w:eastAsia="en-GB"/>
        </w:rPr>
        <w:t>A</w:t>
      </w:r>
      <w:r w:rsidR="183942F4" w:rsidRPr="007D116C">
        <w:rPr>
          <w:rFonts w:ascii="Calibri" w:eastAsia="Times New Roman" w:hAnsi="Calibri" w:cs="Calibri"/>
          <w:lang w:eastAsia="en-GB"/>
        </w:rPr>
        <w:t>s</w:t>
      </w:r>
      <w:r w:rsidR="619436AE" w:rsidRPr="007D116C">
        <w:rPr>
          <w:rFonts w:ascii="Calibri" w:eastAsia="Times New Roman" w:hAnsi="Calibri" w:cs="Calibri"/>
          <w:lang w:eastAsia="en-GB"/>
        </w:rPr>
        <w:t xml:space="preserve"> per s11 of the Act, the Board has responsibility for deciding strategy </w:t>
      </w:r>
      <w:r w:rsidR="183942F4" w:rsidRPr="007D116C">
        <w:rPr>
          <w:rFonts w:ascii="Calibri" w:eastAsia="Times New Roman" w:hAnsi="Calibri" w:cs="Calibri"/>
          <w:lang w:eastAsia="en-GB"/>
        </w:rPr>
        <w:t xml:space="preserve">for QBCC. Nevertheless, noting </w:t>
      </w:r>
      <w:r w:rsidR="71BA27B2" w:rsidRPr="007D116C">
        <w:rPr>
          <w:rFonts w:ascii="Calibri" w:eastAsia="Times New Roman" w:hAnsi="Calibri" w:cs="Calibri"/>
          <w:lang w:eastAsia="en-GB"/>
        </w:rPr>
        <w:t>the</w:t>
      </w:r>
      <w:r w:rsidR="183942F4" w:rsidRPr="007D116C">
        <w:rPr>
          <w:rFonts w:ascii="Calibri" w:eastAsia="Times New Roman" w:hAnsi="Calibri" w:cs="Calibri"/>
          <w:lang w:eastAsia="en-GB"/>
        </w:rPr>
        <w:t xml:space="preserve"> earlier </w:t>
      </w:r>
      <w:r w:rsidR="2A0F34B4" w:rsidRPr="007D116C">
        <w:rPr>
          <w:rFonts w:ascii="Calibri" w:eastAsia="Times New Roman" w:hAnsi="Calibri" w:cs="Calibri"/>
          <w:i/>
          <w:iCs/>
          <w:lang w:eastAsia="en-GB"/>
        </w:rPr>
        <w:t>Feature</w:t>
      </w:r>
      <w:r w:rsidR="183942F4" w:rsidRPr="007D116C">
        <w:rPr>
          <w:rFonts w:ascii="Calibri" w:eastAsia="Times New Roman" w:hAnsi="Calibri" w:cs="Calibri"/>
          <w:i/>
          <w:iCs/>
          <w:lang w:eastAsia="en-GB"/>
        </w:rPr>
        <w:t xml:space="preserve"> 3</w:t>
      </w:r>
      <w:r w:rsidR="183942F4" w:rsidRPr="007D116C">
        <w:rPr>
          <w:rFonts w:ascii="Calibri" w:eastAsia="Times New Roman" w:hAnsi="Calibri" w:cs="Calibri"/>
          <w:lang w:eastAsia="en-GB"/>
        </w:rPr>
        <w:t xml:space="preserve"> that no </w:t>
      </w:r>
      <w:r w:rsidR="183942F4" w:rsidRPr="007D116C" w:rsidDel="002D6C67">
        <w:rPr>
          <w:rFonts w:ascii="Calibri" w:eastAsia="Times New Roman" w:hAnsi="Calibri" w:cs="Calibri"/>
          <w:lang w:eastAsia="en-GB"/>
        </w:rPr>
        <w:t>Minister</w:t>
      </w:r>
      <w:r w:rsidR="183942F4" w:rsidRPr="007D116C">
        <w:rPr>
          <w:rFonts w:ascii="Calibri" w:eastAsia="Times New Roman" w:hAnsi="Calibri" w:cs="Calibri"/>
          <w:lang w:eastAsia="en-GB"/>
        </w:rPr>
        <w:t>ial directive has been issued</w:t>
      </w:r>
      <w:r w:rsidR="3908043A" w:rsidRPr="007D116C">
        <w:rPr>
          <w:rFonts w:ascii="Calibri" w:eastAsia="Times New Roman" w:hAnsi="Calibri" w:cs="Calibri"/>
          <w:lang w:eastAsia="en-GB"/>
        </w:rPr>
        <w:t xml:space="preserve"> to the Board</w:t>
      </w:r>
      <w:r w:rsidR="183942F4" w:rsidRPr="007D116C">
        <w:rPr>
          <w:rFonts w:ascii="Calibri" w:eastAsia="Times New Roman" w:hAnsi="Calibri" w:cs="Calibri"/>
          <w:lang w:eastAsia="en-GB"/>
        </w:rPr>
        <w:t xml:space="preserve">, </w:t>
      </w:r>
      <w:r w:rsidR="71BA27B2" w:rsidRPr="007D116C">
        <w:rPr>
          <w:rFonts w:ascii="Calibri" w:eastAsia="Times New Roman" w:hAnsi="Calibri" w:cs="Calibri"/>
          <w:lang w:eastAsia="en-GB"/>
        </w:rPr>
        <w:t xml:space="preserve">QBCC </w:t>
      </w:r>
      <w:r w:rsidR="3566B596" w:rsidRPr="007D116C">
        <w:rPr>
          <w:rFonts w:ascii="Calibri" w:eastAsia="Times New Roman" w:hAnsi="Calibri" w:cs="Calibri"/>
          <w:lang w:eastAsia="en-GB"/>
        </w:rPr>
        <w:t xml:space="preserve">strategy (foresight) </w:t>
      </w:r>
      <w:r w:rsidR="3566B596" w:rsidRPr="007D116C" w:rsidDel="00031FCA">
        <w:rPr>
          <w:rFonts w:ascii="Calibri" w:eastAsia="Times New Roman" w:hAnsi="Calibri" w:cs="Calibri"/>
          <w:lang w:eastAsia="en-GB"/>
        </w:rPr>
        <w:t xml:space="preserve">could be clarified by </w:t>
      </w:r>
      <w:r w:rsidR="3566B596" w:rsidRPr="007D116C">
        <w:rPr>
          <w:rFonts w:ascii="Calibri" w:eastAsia="Times New Roman" w:hAnsi="Calibri" w:cs="Calibri"/>
          <w:lang w:eastAsia="en-GB"/>
        </w:rPr>
        <w:t xml:space="preserve">ministerial </w:t>
      </w:r>
      <w:r w:rsidR="71BA27B2" w:rsidRPr="007D116C">
        <w:rPr>
          <w:rFonts w:ascii="Calibri" w:eastAsia="Times New Roman" w:hAnsi="Calibri" w:cs="Calibri"/>
          <w:lang w:eastAsia="en-GB"/>
        </w:rPr>
        <w:t xml:space="preserve">statement. </w:t>
      </w:r>
      <w:r w:rsidR="716CD2FA" w:rsidRPr="007D116C">
        <w:rPr>
          <w:rFonts w:ascii="Calibri" w:eastAsia="Times New Roman" w:hAnsi="Calibri" w:cs="Calibri"/>
          <w:lang w:eastAsia="en-GB"/>
        </w:rPr>
        <w:t xml:space="preserve">It may be the case that </w:t>
      </w:r>
      <w:r w:rsidR="7EF73426" w:rsidRPr="007D116C">
        <w:rPr>
          <w:rFonts w:ascii="Calibri" w:eastAsia="Times New Roman" w:hAnsi="Calibri" w:cs="Calibri"/>
          <w:lang w:eastAsia="en-GB"/>
        </w:rPr>
        <w:t>sub-directive communiques to this effect have been exchanged</w:t>
      </w:r>
      <w:r w:rsidR="716CD2FA" w:rsidRPr="007D116C">
        <w:rPr>
          <w:rFonts w:ascii="Calibri" w:eastAsia="Times New Roman" w:hAnsi="Calibri" w:cs="Calibri"/>
          <w:lang w:eastAsia="en-GB"/>
        </w:rPr>
        <w:t xml:space="preserve"> with the Board</w:t>
      </w:r>
      <w:r w:rsidR="1414A47C" w:rsidRPr="007D116C">
        <w:rPr>
          <w:rFonts w:ascii="Calibri" w:eastAsia="Times New Roman" w:hAnsi="Calibri" w:cs="Calibri"/>
          <w:lang w:eastAsia="en-GB"/>
        </w:rPr>
        <w:t xml:space="preserve"> and evident in minutes or other records</w:t>
      </w:r>
      <w:r w:rsidR="700C1CE7" w:rsidRPr="007D116C">
        <w:rPr>
          <w:rFonts w:ascii="Calibri" w:eastAsia="Times New Roman" w:hAnsi="Calibri" w:cs="Calibri"/>
          <w:lang w:eastAsia="en-GB"/>
        </w:rPr>
        <w:t>.</w:t>
      </w:r>
      <w:r w:rsidR="6D14A682" w:rsidRPr="007D116C">
        <w:rPr>
          <w:rFonts w:ascii="Calibri" w:eastAsia="Times New Roman" w:hAnsi="Calibri" w:cs="Calibri"/>
          <w:lang w:eastAsia="en-GB"/>
        </w:rPr>
        <w:t xml:space="preserve"> </w:t>
      </w:r>
      <w:r w:rsidR="29DFCB18" w:rsidRPr="007D116C">
        <w:rPr>
          <w:rFonts w:ascii="Calibri" w:eastAsia="Times New Roman" w:hAnsi="Calibri" w:cs="Calibri"/>
          <w:lang w:eastAsia="en-GB"/>
        </w:rPr>
        <w:t xml:space="preserve">A key question for QBCC, as for all regulators, is </w:t>
      </w:r>
      <w:r w:rsidR="16CC0EF9" w:rsidRPr="007D116C">
        <w:rPr>
          <w:rFonts w:ascii="Calibri" w:eastAsia="Times New Roman" w:hAnsi="Calibri" w:cs="Calibri"/>
          <w:lang w:eastAsia="en-GB"/>
        </w:rPr>
        <w:t xml:space="preserve">whether leaders in the agency </w:t>
      </w:r>
      <w:r w:rsidR="5CBFF0F0" w:rsidRPr="007D116C">
        <w:rPr>
          <w:rFonts w:ascii="Calibri" w:eastAsia="Times New Roman" w:hAnsi="Calibri" w:cs="Calibri"/>
          <w:lang w:eastAsia="en-GB"/>
        </w:rPr>
        <w:t xml:space="preserve">are clear about their roles in developing and implementing a strategic approach to their </w:t>
      </w:r>
      <w:r w:rsidR="75410510" w:rsidRPr="007D116C">
        <w:rPr>
          <w:rFonts w:ascii="Calibri" w:eastAsia="Times New Roman" w:hAnsi="Calibri" w:cs="Calibri"/>
          <w:lang w:eastAsia="en-GB"/>
        </w:rPr>
        <w:t xml:space="preserve">regulatory mission. </w:t>
      </w:r>
      <w:r w:rsidR="6D14A682" w:rsidRPr="007D116C">
        <w:rPr>
          <w:rFonts w:ascii="Calibri" w:eastAsia="Times New Roman" w:hAnsi="Calibri" w:cs="Calibri"/>
          <w:lang w:eastAsia="en-GB"/>
        </w:rPr>
        <w:t>As such</w:t>
      </w:r>
      <w:r w:rsidR="748BC500" w:rsidRPr="007D116C">
        <w:rPr>
          <w:rFonts w:ascii="Calibri" w:eastAsia="Times New Roman" w:hAnsi="Calibri" w:cs="Calibri"/>
          <w:lang w:eastAsia="en-GB"/>
        </w:rPr>
        <w:t xml:space="preserve">, the question raised here is not whether QBCC should have more planning documents, but whether its existing documents </w:t>
      </w:r>
      <w:r w:rsidR="0DA5964A" w:rsidRPr="007D116C">
        <w:rPr>
          <w:rFonts w:ascii="Calibri" w:eastAsia="Times New Roman" w:hAnsi="Calibri" w:cs="Calibri"/>
          <w:lang w:eastAsia="en-GB"/>
        </w:rPr>
        <w:t xml:space="preserve">capture its strategy and support the kinds of strategic </w:t>
      </w:r>
      <w:r w:rsidR="6D14A682" w:rsidRPr="007D116C">
        <w:rPr>
          <w:rFonts w:ascii="Calibri" w:eastAsia="Times New Roman" w:hAnsi="Calibri" w:cs="Calibri"/>
          <w:lang w:eastAsia="en-GB"/>
        </w:rPr>
        <w:t>foresight required for the fulfilment of its mandate.</w:t>
      </w:r>
      <w:r w:rsidR="4C2ED894" w:rsidRPr="007D116C">
        <w:rPr>
          <w:rFonts w:ascii="Calibri" w:eastAsia="Times New Roman" w:hAnsi="Calibri" w:cs="Calibri"/>
          <w:lang w:eastAsia="en-GB"/>
        </w:rPr>
        <w:t xml:space="preserve"> </w:t>
      </w:r>
      <w:r w:rsidR="74FF3823" w:rsidRPr="007D116C">
        <w:rPr>
          <w:rFonts w:ascii="Calibri" w:eastAsia="Times New Roman" w:hAnsi="Calibri" w:cs="Calibri"/>
          <w:lang w:eastAsia="en-GB"/>
        </w:rPr>
        <w:t>This question also goes to the kinds of capabilities required of the board and senior staff.</w:t>
      </w:r>
    </w:p>
    <w:p w14:paraId="0D8A1FEE" w14:textId="393A8935" w:rsidR="00AB0C7D" w:rsidRPr="007D116C" w:rsidRDefault="3C1D34F9" w:rsidP="00516312">
      <w:pPr>
        <w:pStyle w:val="ListParagraph"/>
        <w:numPr>
          <w:ilvl w:val="0"/>
          <w:numId w:val="2"/>
        </w:numPr>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The final </w:t>
      </w:r>
      <w:r w:rsidR="30739E66" w:rsidRPr="007D116C">
        <w:rPr>
          <w:rFonts w:ascii="Calibri" w:eastAsia="Times New Roman" w:hAnsi="Calibri" w:cs="Calibri"/>
          <w:lang w:eastAsia="en-GB"/>
        </w:rPr>
        <w:t>identified feature</w:t>
      </w:r>
      <w:r w:rsidRPr="007D116C">
        <w:rPr>
          <w:rFonts w:ascii="Calibri" w:eastAsia="Times New Roman" w:hAnsi="Calibri" w:cs="Calibri"/>
          <w:lang w:eastAsia="en-GB"/>
        </w:rPr>
        <w:t xml:space="preserve"> was that QBC Board’s role as a governing body </w:t>
      </w:r>
      <w:r w:rsidRPr="007D116C">
        <w:rPr>
          <w:rFonts w:ascii="Calibri" w:eastAsia="Times New Roman" w:hAnsi="Calibri" w:cs="Calibri"/>
          <w:b/>
          <w:bCs/>
          <w:lang w:eastAsia="en-GB"/>
        </w:rPr>
        <w:t>has both</w:t>
      </w:r>
      <w:r w:rsidR="769E0FC1" w:rsidRPr="007D116C">
        <w:rPr>
          <w:rFonts w:ascii="Calibri" w:eastAsia="Times New Roman" w:hAnsi="Calibri" w:cs="Calibri"/>
          <w:b/>
          <w:bCs/>
          <w:lang w:eastAsia="en-GB"/>
        </w:rPr>
        <w:t xml:space="preserve"> a</w:t>
      </w:r>
      <w:r w:rsidRPr="007D116C">
        <w:rPr>
          <w:rFonts w:ascii="Calibri" w:eastAsia="Times New Roman" w:hAnsi="Calibri" w:cs="Calibri"/>
          <w:b/>
          <w:bCs/>
          <w:lang w:eastAsia="en-GB"/>
        </w:rPr>
        <w:t xml:space="preserve"> governing and advisory role</w:t>
      </w:r>
      <w:r w:rsidRPr="007D116C">
        <w:rPr>
          <w:rFonts w:ascii="Calibri" w:eastAsia="Times New Roman" w:hAnsi="Calibri" w:cs="Calibri"/>
          <w:lang w:eastAsia="en-GB"/>
        </w:rPr>
        <w:t xml:space="preserve">. As a governing body, QBC Board should, according to the OECD, be capable of contributing to the regulatory mission of the regulator </w:t>
      </w:r>
      <w:r w:rsidR="35661900" w:rsidRPr="007D116C">
        <w:rPr>
          <w:rFonts w:ascii="Calibri" w:eastAsia="Times New Roman" w:hAnsi="Calibri" w:cs="Calibri"/>
          <w:lang w:eastAsia="en-GB"/>
        </w:rPr>
        <w:t>over and above</w:t>
      </w:r>
      <w:r w:rsidR="1364505D" w:rsidRPr="007D116C">
        <w:rPr>
          <w:rFonts w:ascii="Calibri" w:eastAsia="Times New Roman" w:hAnsi="Calibri" w:cs="Calibri"/>
          <w:lang w:eastAsia="en-GB"/>
        </w:rPr>
        <w:t xml:space="preserve"> represent</w:t>
      </w:r>
      <w:r w:rsidR="7E3B5600" w:rsidRPr="007D116C">
        <w:rPr>
          <w:rFonts w:ascii="Calibri" w:eastAsia="Times New Roman" w:hAnsi="Calibri" w:cs="Calibri"/>
          <w:lang w:eastAsia="en-GB"/>
        </w:rPr>
        <w:t>ative interest</w:t>
      </w:r>
      <w:r w:rsidR="753A9256" w:rsidRPr="007D116C">
        <w:rPr>
          <w:rFonts w:ascii="Calibri" w:eastAsia="Times New Roman" w:hAnsi="Calibri" w:cs="Calibri"/>
          <w:lang w:eastAsia="en-GB"/>
        </w:rPr>
        <w:t>s of</w:t>
      </w:r>
      <w:r w:rsidRPr="007D116C">
        <w:rPr>
          <w:rFonts w:ascii="Calibri" w:eastAsia="Times New Roman" w:hAnsi="Calibri" w:cs="Calibri"/>
          <w:lang w:eastAsia="en-GB"/>
        </w:rPr>
        <w:t xml:space="preserve"> different stakeholder</w:t>
      </w:r>
      <w:r w:rsidR="796AACC9" w:rsidRPr="007D116C">
        <w:rPr>
          <w:rFonts w:ascii="Calibri" w:eastAsia="Times New Roman" w:hAnsi="Calibri" w:cs="Calibri"/>
          <w:lang w:eastAsia="en-GB"/>
        </w:rPr>
        <w:t>s</w:t>
      </w:r>
      <w:r w:rsidRPr="007D116C">
        <w:rPr>
          <w:rFonts w:ascii="Calibri" w:eastAsia="Times New Roman" w:hAnsi="Calibri" w:cs="Calibri"/>
          <w:lang w:eastAsia="en-GB"/>
        </w:rPr>
        <w:t xml:space="preserve"> within the regulated sector (see Table 1, above).</w:t>
      </w:r>
      <w:r w:rsidR="5F8C1B75" w:rsidRPr="007D116C">
        <w:rPr>
          <w:rFonts w:ascii="Calibri" w:eastAsia="Times New Roman" w:hAnsi="Calibri" w:cs="Calibri"/>
          <w:lang w:eastAsia="en-GB"/>
        </w:rPr>
        <w:t xml:space="preserve"> In its advisory role, </w:t>
      </w:r>
      <w:r w:rsidR="530EF2E1" w:rsidRPr="007D116C">
        <w:rPr>
          <w:rFonts w:ascii="Calibri" w:eastAsia="Times New Roman" w:hAnsi="Calibri" w:cs="Calibri"/>
          <w:lang w:eastAsia="en-GB"/>
        </w:rPr>
        <w:t xml:space="preserve">the Board should </w:t>
      </w:r>
      <w:r w:rsidR="11602A99" w:rsidRPr="007D116C">
        <w:rPr>
          <w:rFonts w:ascii="Calibri" w:eastAsia="Times New Roman" w:hAnsi="Calibri" w:cs="Calibri"/>
          <w:lang w:eastAsia="en-GB"/>
        </w:rPr>
        <w:t>be well-informed about the regulatory environment.</w:t>
      </w:r>
      <w:r w:rsidR="5B808B2B" w:rsidRPr="007D116C">
        <w:rPr>
          <w:rFonts w:ascii="Calibri" w:eastAsia="Times New Roman" w:hAnsi="Calibri" w:cs="Calibri"/>
          <w:lang w:eastAsia="en-GB"/>
        </w:rPr>
        <w:t xml:space="preserve"> </w:t>
      </w:r>
      <w:r w:rsidR="11602A99" w:rsidRPr="007D116C">
        <w:rPr>
          <w:rFonts w:ascii="Calibri" w:eastAsia="Times New Roman" w:hAnsi="Calibri" w:cs="Calibri"/>
          <w:lang w:eastAsia="en-GB"/>
        </w:rPr>
        <w:t xml:space="preserve">Both roles </w:t>
      </w:r>
      <w:r w:rsidR="1F0F88FB" w:rsidRPr="007D116C">
        <w:rPr>
          <w:rFonts w:ascii="Calibri" w:eastAsia="Times New Roman" w:hAnsi="Calibri" w:cs="Calibri"/>
          <w:lang w:eastAsia="en-GB"/>
        </w:rPr>
        <w:t>suggest</w:t>
      </w:r>
      <w:r w:rsidR="1AF0E87D" w:rsidRPr="007D116C">
        <w:rPr>
          <w:rFonts w:ascii="Calibri" w:eastAsia="Times New Roman" w:hAnsi="Calibri" w:cs="Calibri"/>
          <w:lang w:eastAsia="en-GB"/>
        </w:rPr>
        <w:t xml:space="preserve"> a need for c</w:t>
      </w:r>
      <w:r w:rsidR="4B97E3D2" w:rsidRPr="007D116C">
        <w:rPr>
          <w:rFonts w:ascii="Calibri" w:eastAsia="Times New Roman" w:hAnsi="Calibri" w:cs="Calibri"/>
          <w:lang w:eastAsia="en-GB"/>
        </w:rPr>
        <w:t xml:space="preserve">apabilities </w:t>
      </w:r>
      <w:r w:rsidR="1D68A3A5" w:rsidRPr="007D116C">
        <w:rPr>
          <w:rFonts w:ascii="Calibri" w:eastAsia="Times New Roman" w:hAnsi="Calibri" w:cs="Calibri"/>
          <w:lang w:eastAsia="en-GB"/>
        </w:rPr>
        <w:t>and value</w:t>
      </w:r>
      <w:r w:rsidR="742595AB" w:rsidRPr="007D116C">
        <w:rPr>
          <w:rFonts w:ascii="Calibri" w:eastAsia="Times New Roman" w:hAnsi="Calibri" w:cs="Calibri"/>
          <w:lang w:eastAsia="en-GB"/>
        </w:rPr>
        <w:t>s</w:t>
      </w:r>
      <w:r w:rsidR="1AF0E87D" w:rsidRPr="007D116C">
        <w:rPr>
          <w:rFonts w:ascii="Calibri" w:eastAsia="Times New Roman" w:hAnsi="Calibri" w:cs="Calibri"/>
          <w:lang w:eastAsia="en-GB"/>
        </w:rPr>
        <w:t xml:space="preserve"> derived </w:t>
      </w:r>
      <w:r w:rsidR="3E08CCC0" w:rsidRPr="007D116C">
        <w:rPr>
          <w:rFonts w:ascii="Calibri" w:eastAsia="Times New Roman" w:hAnsi="Calibri" w:cs="Calibri"/>
          <w:lang w:eastAsia="en-GB"/>
        </w:rPr>
        <w:t xml:space="preserve">not only </w:t>
      </w:r>
      <w:r w:rsidR="1AF0E87D" w:rsidRPr="007D116C">
        <w:rPr>
          <w:rFonts w:ascii="Calibri" w:eastAsia="Times New Roman" w:hAnsi="Calibri" w:cs="Calibri"/>
          <w:lang w:eastAsia="en-GB"/>
        </w:rPr>
        <w:t xml:space="preserve">from </w:t>
      </w:r>
      <w:r w:rsidR="6BB52A92" w:rsidRPr="007D116C">
        <w:rPr>
          <w:rFonts w:ascii="Calibri" w:eastAsia="Times New Roman" w:hAnsi="Calibri" w:cs="Calibri"/>
          <w:lang w:eastAsia="en-GB"/>
        </w:rPr>
        <w:t>and of benefit</w:t>
      </w:r>
      <w:r w:rsidR="2F3D7FA0" w:rsidRPr="007D116C">
        <w:rPr>
          <w:rFonts w:ascii="Calibri" w:eastAsia="Times New Roman" w:hAnsi="Calibri" w:cs="Calibri"/>
          <w:lang w:eastAsia="en-GB"/>
        </w:rPr>
        <w:t xml:space="preserve"> only</w:t>
      </w:r>
      <w:r w:rsidR="6BB52A92" w:rsidRPr="007D116C">
        <w:rPr>
          <w:rFonts w:ascii="Calibri" w:eastAsia="Times New Roman" w:hAnsi="Calibri" w:cs="Calibri"/>
          <w:lang w:eastAsia="en-GB"/>
        </w:rPr>
        <w:t xml:space="preserve"> to</w:t>
      </w:r>
      <w:r w:rsidR="3357425B" w:rsidRPr="007D116C">
        <w:rPr>
          <w:rFonts w:ascii="Calibri" w:eastAsia="Times New Roman" w:hAnsi="Calibri" w:cs="Calibri"/>
          <w:lang w:eastAsia="en-GB"/>
        </w:rPr>
        <w:t xml:space="preserve"> respective constituent sectors</w:t>
      </w:r>
      <w:r w:rsidR="1AF0E87D" w:rsidRPr="007D116C">
        <w:rPr>
          <w:rFonts w:ascii="Calibri" w:eastAsia="Times New Roman" w:hAnsi="Calibri" w:cs="Calibri"/>
          <w:lang w:eastAsia="en-GB"/>
        </w:rPr>
        <w:t>.</w:t>
      </w:r>
      <w:r w:rsidR="742595AB" w:rsidRPr="007D116C">
        <w:rPr>
          <w:rFonts w:ascii="Calibri" w:eastAsia="Times New Roman" w:hAnsi="Calibri" w:cs="Calibri"/>
          <w:lang w:eastAsia="en-GB"/>
        </w:rPr>
        <w:t xml:space="preserve"> </w:t>
      </w:r>
      <w:r w:rsidRPr="007D116C">
        <w:rPr>
          <w:rFonts w:ascii="Calibri" w:eastAsia="Times New Roman" w:hAnsi="Calibri" w:cs="Calibri"/>
          <w:lang w:eastAsia="en-GB"/>
        </w:rPr>
        <w:t xml:space="preserve"> To this end, the QBCC Act imposes a requirement on the </w:t>
      </w:r>
      <w:r w:rsidR="216ECB54" w:rsidRPr="007D116C">
        <w:rPr>
          <w:rFonts w:ascii="Calibri" w:eastAsia="Times New Roman" w:hAnsi="Calibri" w:cs="Calibri"/>
          <w:lang w:eastAsia="en-GB"/>
        </w:rPr>
        <w:t>Minister</w:t>
      </w:r>
      <w:r w:rsidRPr="007D116C">
        <w:rPr>
          <w:rFonts w:ascii="Calibri" w:eastAsia="Times New Roman" w:hAnsi="Calibri" w:cs="Calibri"/>
          <w:lang w:eastAsia="en-GB"/>
        </w:rPr>
        <w:t xml:space="preserve"> that the Board should represent an even mix of stipulated experiences and competencies. The other mainland states with boards (whether primarily </w:t>
      </w:r>
      <w:r w:rsidRPr="007D116C">
        <w:rPr>
          <w:rFonts w:ascii="Calibri" w:eastAsia="Times New Roman" w:hAnsi="Calibri" w:cs="Calibri"/>
          <w:lang w:eastAsia="en-GB"/>
        </w:rPr>
        <w:lastRenderedPageBreak/>
        <w:t xml:space="preserve">for governance or advice to the </w:t>
      </w:r>
      <w:r w:rsidR="216ECB54" w:rsidRPr="007D116C">
        <w:rPr>
          <w:rFonts w:ascii="Calibri" w:eastAsia="Times New Roman" w:hAnsi="Calibri" w:cs="Calibri"/>
          <w:lang w:eastAsia="en-GB"/>
        </w:rPr>
        <w:t>Minister</w:t>
      </w:r>
      <w:r w:rsidRPr="007D116C">
        <w:rPr>
          <w:rFonts w:ascii="Calibri" w:eastAsia="Times New Roman" w:hAnsi="Calibri" w:cs="Calibri"/>
          <w:lang w:eastAsia="en-GB"/>
        </w:rPr>
        <w:t xml:space="preserve">) have similar legal requirements. This is shown in Table </w:t>
      </w:r>
      <w:r w:rsidR="00E412CA" w:rsidRPr="007D116C">
        <w:rPr>
          <w:rFonts w:ascii="Calibri" w:eastAsia="Times New Roman" w:hAnsi="Calibri" w:cs="Calibri"/>
          <w:lang w:eastAsia="en-GB"/>
        </w:rPr>
        <w:t>8</w:t>
      </w:r>
      <w:r w:rsidRPr="007D116C">
        <w:rPr>
          <w:rFonts w:ascii="Calibri" w:eastAsia="Times New Roman" w:hAnsi="Calibri" w:cs="Calibri"/>
          <w:lang w:eastAsia="en-GB"/>
        </w:rPr>
        <w:t>, below.  </w:t>
      </w:r>
    </w:p>
    <w:p w14:paraId="06F794CD" w14:textId="15AE9677" w:rsidR="00AB0C7D" w:rsidRPr="007D116C" w:rsidRDefault="00AB0C7D" w:rsidP="00F323AD">
      <w:pPr>
        <w:pStyle w:val="Heading3"/>
        <w:rPr>
          <w:rFonts w:ascii="Segoe UI" w:hAnsi="Segoe UI" w:cs="Segoe UI"/>
          <w:szCs w:val="22"/>
          <w:lang w:eastAsia="en-GB"/>
        </w:rPr>
      </w:pPr>
      <w:bookmarkStart w:id="23" w:name="_Toc98853497"/>
      <w:bookmarkStart w:id="24" w:name="_Toc100599134"/>
      <w:r w:rsidRPr="007D116C">
        <w:rPr>
          <w:szCs w:val="22"/>
          <w:lang w:eastAsia="en-GB"/>
        </w:rPr>
        <w:t xml:space="preserve">Table </w:t>
      </w:r>
      <w:r w:rsidR="00E412CA" w:rsidRPr="007D116C">
        <w:rPr>
          <w:szCs w:val="22"/>
          <w:lang w:eastAsia="en-GB"/>
        </w:rPr>
        <w:t>8</w:t>
      </w:r>
      <w:r w:rsidRPr="007D116C">
        <w:rPr>
          <w:szCs w:val="22"/>
          <w:lang w:eastAsia="en-GB"/>
        </w:rPr>
        <w:t>: Skill and experience requirements for construction industry board appointments  </w:t>
      </w:r>
      <w:bookmarkEnd w:id="23"/>
      <w:bookmarkEnd w:id="24"/>
      <w:r w:rsidRPr="007D116C">
        <w:rPr>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305"/>
      </w:tblGrid>
      <w:tr w:rsidR="007D116C" w:rsidRPr="007D116C" w14:paraId="3E441F71" w14:textId="77777777" w:rsidTr="00AB0C7D">
        <w:tc>
          <w:tcPr>
            <w:tcW w:w="1695" w:type="dxa"/>
            <w:tcBorders>
              <w:top w:val="single" w:sz="6" w:space="0" w:color="auto"/>
              <w:left w:val="single" w:sz="6" w:space="0" w:color="auto"/>
              <w:bottom w:val="single" w:sz="6" w:space="0" w:color="auto"/>
              <w:right w:val="single" w:sz="6" w:space="0" w:color="auto"/>
            </w:tcBorders>
            <w:shd w:val="clear" w:color="auto" w:fill="000000"/>
            <w:hideMark/>
          </w:tcPr>
          <w:p w14:paraId="63143DCF" w14:textId="77777777" w:rsidR="00AB0C7D" w:rsidRPr="007D116C" w:rsidRDefault="00AB0C7D" w:rsidP="00AB0C7D">
            <w:pPr>
              <w:spacing w:after="0" w:line="240" w:lineRule="auto"/>
              <w:jc w:val="center"/>
              <w:textAlignment w:val="baseline"/>
              <w:rPr>
                <w:rFonts w:ascii="Times New Roman" w:eastAsia="Times New Roman" w:hAnsi="Times New Roman" w:cs="Times New Roman"/>
                <w:b/>
                <w:lang w:eastAsia="en-GB"/>
              </w:rPr>
            </w:pPr>
            <w:r w:rsidRPr="007D116C">
              <w:rPr>
                <w:rFonts w:ascii="Calibri" w:eastAsia="Times New Roman" w:hAnsi="Calibri" w:cs="Calibri"/>
                <w:b/>
                <w:lang w:eastAsia="en-GB"/>
              </w:rPr>
              <w:t>Legislation  </w:t>
            </w:r>
          </w:p>
        </w:tc>
        <w:tc>
          <w:tcPr>
            <w:tcW w:w="7305" w:type="dxa"/>
            <w:tcBorders>
              <w:top w:val="single" w:sz="6" w:space="0" w:color="auto"/>
              <w:left w:val="nil"/>
              <w:bottom w:val="single" w:sz="6" w:space="0" w:color="auto"/>
              <w:right w:val="single" w:sz="6" w:space="0" w:color="auto"/>
            </w:tcBorders>
            <w:shd w:val="clear" w:color="auto" w:fill="000000"/>
            <w:hideMark/>
          </w:tcPr>
          <w:p w14:paraId="1A941707" w14:textId="77777777" w:rsidR="00AB0C7D" w:rsidRPr="007D116C" w:rsidRDefault="00AB0C7D" w:rsidP="00AB0C7D">
            <w:pPr>
              <w:spacing w:after="0" w:line="240" w:lineRule="auto"/>
              <w:jc w:val="center"/>
              <w:textAlignment w:val="baseline"/>
              <w:rPr>
                <w:rFonts w:ascii="Times New Roman" w:eastAsia="Times New Roman" w:hAnsi="Times New Roman" w:cs="Times New Roman"/>
                <w:b/>
                <w:lang w:eastAsia="en-GB"/>
              </w:rPr>
            </w:pPr>
            <w:r w:rsidRPr="007D116C">
              <w:rPr>
                <w:rFonts w:ascii="Calibri" w:eastAsia="Times New Roman" w:hAnsi="Calibri" w:cs="Calibri"/>
                <w:b/>
                <w:lang w:eastAsia="en-GB"/>
              </w:rPr>
              <w:t>Text of provision  </w:t>
            </w:r>
          </w:p>
        </w:tc>
      </w:tr>
      <w:tr w:rsidR="007D116C" w:rsidRPr="007D116C" w14:paraId="065326AA" w14:textId="77777777" w:rsidTr="00AB0C7D">
        <w:tc>
          <w:tcPr>
            <w:tcW w:w="1695" w:type="dxa"/>
            <w:tcBorders>
              <w:top w:val="nil"/>
              <w:left w:val="single" w:sz="6" w:space="0" w:color="auto"/>
              <w:bottom w:val="single" w:sz="6" w:space="0" w:color="auto"/>
              <w:right w:val="single" w:sz="6" w:space="0" w:color="auto"/>
            </w:tcBorders>
            <w:shd w:val="clear" w:color="auto" w:fill="D9D9D9"/>
            <w:hideMark/>
          </w:tcPr>
          <w:p w14:paraId="5676F8DB"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sz w:val="20"/>
                <w:szCs w:val="20"/>
                <w:lang w:eastAsia="en-GB"/>
              </w:rPr>
              <w:t>QBCC Act 1991</w:t>
            </w:r>
            <w:r w:rsidRPr="007D116C">
              <w:rPr>
                <w:rFonts w:ascii="Calibri" w:eastAsia="Times New Roman" w:hAnsi="Calibri" w:cs="Calibri"/>
                <w:sz w:val="20"/>
                <w:szCs w:val="20"/>
                <w:lang w:eastAsia="en-GB"/>
              </w:rPr>
              <w:t xml:space="preserve"> (Qld), s 12(2)  </w:t>
            </w:r>
          </w:p>
        </w:tc>
        <w:tc>
          <w:tcPr>
            <w:tcW w:w="7305" w:type="dxa"/>
            <w:tcBorders>
              <w:top w:val="nil"/>
              <w:left w:val="nil"/>
              <w:bottom w:val="single" w:sz="6" w:space="0" w:color="auto"/>
              <w:right w:val="single" w:sz="6" w:space="0" w:color="auto"/>
            </w:tcBorders>
            <w:shd w:val="clear" w:color="auto" w:fill="D9D9D9"/>
            <w:hideMark/>
          </w:tcPr>
          <w:p w14:paraId="2D35DC5A"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In appointing a person as a member, the Governor in Council is to… (b) have regard to the person’s experience and competence in the following areas— (i) building and construction; (ii) finance; (iii) corporate governance and risk; (iv) insurance, including knowledge and experience in the reinsurance market; (v) consumer advocacy and awareness; (vi) public sector governance, including administration and enforcement of laws; and (c) as far as possible, ensure the board has equal representation of the areas mentioned in paragraph (b).  </w:t>
            </w:r>
          </w:p>
        </w:tc>
      </w:tr>
      <w:tr w:rsidR="007D116C" w:rsidRPr="007D116C" w14:paraId="79CF04D8" w14:textId="77777777" w:rsidTr="00AB0C7D">
        <w:tc>
          <w:tcPr>
            <w:tcW w:w="1695" w:type="dxa"/>
            <w:tcBorders>
              <w:top w:val="nil"/>
              <w:left w:val="single" w:sz="6" w:space="0" w:color="auto"/>
              <w:bottom w:val="single" w:sz="6" w:space="0" w:color="auto"/>
              <w:right w:val="single" w:sz="6" w:space="0" w:color="auto"/>
            </w:tcBorders>
            <w:shd w:val="clear" w:color="auto" w:fill="F2F2F2"/>
            <w:hideMark/>
          </w:tcPr>
          <w:p w14:paraId="3EFF038D"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sz w:val="20"/>
                <w:szCs w:val="20"/>
                <w:lang w:eastAsia="en-GB"/>
              </w:rPr>
              <w:t>Building Act 1993</w:t>
            </w:r>
            <w:r w:rsidRPr="007D116C">
              <w:rPr>
                <w:rFonts w:ascii="Calibri" w:eastAsia="Times New Roman" w:hAnsi="Calibri" w:cs="Calibri"/>
                <w:sz w:val="20"/>
                <w:szCs w:val="20"/>
                <w:lang w:eastAsia="en-GB"/>
              </w:rPr>
              <w:t xml:space="preserve"> (Vic), s 201(2)  </w:t>
            </w:r>
          </w:p>
        </w:tc>
        <w:tc>
          <w:tcPr>
            <w:tcW w:w="7305" w:type="dxa"/>
            <w:tcBorders>
              <w:top w:val="nil"/>
              <w:left w:val="nil"/>
              <w:bottom w:val="single" w:sz="6" w:space="0" w:color="auto"/>
              <w:right w:val="single" w:sz="6" w:space="0" w:color="auto"/>
            </w:tcBorders>
            <w:shd w:val="clear" w:color="auto" w:fill="F2F2F2"/>
            <w:hideMark/>
          </w:tcPr>
          <w:p w14:paraId="5838101D" w14:textId="1C9C7722"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must, so far as is practicable, ensure that the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ers appointed have between them skills, experience and knowledge in relation to building, plumbing, architecture, the interests of consumers, dispute resolution, insurance, law, financial management, public administration and the administration of regulatory regimes.  </w:t>
            </w:r>
          </w:p>
        </w:tc>
      </w:tr>
      <w:tr w:rsidR="007D116C" w:rsidRPr="007D116C" w14:paraId="7D7A97FE" w14:textId="77777777" w:rsidTr="00AB0C7D">
        <w:trPr>
          <w:trHeight w:val="2610"/>
        </w:trPr>
        <w:tc>
          <w:tcPr>
            <w:tcW w:w="1695" w:type="dxa"/>
            <w:tcBorders>
              <w:top w:val="nil"/>
              <w:left w:val="single" w:sz="6" w:space="0" w:color="auto"/>
              <w:bottom w:val="single" w:sz="6" w:space="0" w:color="auto"/>
              <w:right w:val="single" w:sz="6" w:space="0" w:color="auto"/>
            </w:tcBorders>
            <w:shd w:val="clear" w:color="auto" w:fill="F2F2F2"/>
            <w:hideMark/>
          </w:tcPr>
          <w:p w14:paraId="15F9CA48"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sz w:val="20"/>
                <w:szCs w:val="20"/>
                <w:lang w:eastAsia="en-GB"/>
              </w:rPr>
              <w:t xml:space="preserve">Planning, development and infrastructure Act 2016 </w:t>
            </w:r>
            <w:r w:rsidRPr="007D116C">
              <w:rPr>
                <w:rFonts w:ascii="Calibri" w:eastAsia="Times New Roman" w:hAnsi="Calibri" w:cs="Calibri"/>
                <w:sz w:val="20"/>
                <w:szCs w:val="20"/>
                <w:lang w:eastAsia="en-GB"/>
              </w:rPr>
              <w:t>(SA), s 18(2)  </w:t>
            </w:r>
          </w:p>
        </w:tc>
        <w:tc>
          <w:tcPr>
            <w:tcW w:w="7305" w:type="dxa"/>
            <w:tcBorders>
              <w:top w:val="nil"/>
              <w:left w:val="nil"/>
              <w:bottom w:val="single" w:sz="6" w:space="0" w:color="auto"/>
              <w:right w:val="single" w:sz="6" w:space="0" w:color="auto"/>
            </w:tcBorders>
            <w:shd w:val="clear" w:color="auto" w:fill="F2F2F2"/>
            <w:hideMark/>
          </w:tcPr>
          <w:p w14:paraId="2AD1F0B8" w14:textId="7DA946E8"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must, when nominating persons for appointment as members of the [State Planning]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 xml:space="preserve">, seek to ensure that, as far as is practicable, the members of the </w:t>
            </w:r>
            <w:r w:rsidR="002D6C67" w:rsidRPr="007D116C">
              <w:rPr>
                <w:rFonts w:ascii="Calibri" w:eastAsia="Times New Roman" w:hAnsi="Calibri" w:cs="Calibri"/>
                <w:sz w:val="20"/>
                <w:szCs w:val="20"/>
                <w:lang w:eastAsia="en-GB"/>
              </w:rPr>
              <w:t>Commission</w:t>
            </w:r>
            <w:r w:rsidRPr="007D116C">
              <w:rPr>
                <w:rFonts w:ascii="Calibri" w:eastAsia="Times New Roman" w:hAnsi="Calibri" w:cs="Calibri"/>
                <w:sz w:val="20"/>
                <w:szCs w:val="20"/>
                <w:lang w:eastAsia="en-GB"/>
              </w:rPr>
              <w:t xml:space="preserve"> collectively have qualifications, knowledge, expertise and experience in the following areas: (a) economics, commerce or finance; (b) planning, urban design or architecture; (c) development or building construction; (d) the provision of or management of infrastructure or transport systems; (e) social or environmental policy or science; (f) local government, public administration or law.  </w:t>
            </w:r>
          </w:p>
          <w:p w14:paraId="530C7E09"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p w14:paraId="214C0C24" w14:textId="62121D5A"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sz w:val="20"/>
                <w:szCs w:val="20"/>
                <w:lang w:eastAsia="en-GB"/>
              </w:rPr>
              <w:t xml:space="preserve">The Building Technical Panel is a committee of the State Planning </w:t>
            </w:r>
            <w:r w:rsidR="002D6C67" w:rsidRPr="007D116C">
              <w:rPr>
                <w:rFonts w:ascii="Calibri" w:eastAsia="Times New Roman" w:hAnsi="Calibri" w:cs="Calibri"/>
                <w:i/>
                <w:sz w:val="20"/>
                <w:szCs w:val="20"/>
                <w:lang w:eastAsia="en-GB"/>
              </w:rPr>
              <w:t>Commission</w:t>
            </w:r>
            <w:r w:rsidRPr="007D116C">
              <w:rPr>
                <w:rFonts w:ascii="Calibri" w:eastAsia="Times New Roman" w:hAnsi="Calibri" w:cs="Calibri"/>
                <w:i/>
                <w:sz w:val="20"/>
                <w:szCs w:val="20"/>
                <w:lang w:eastAsia="en-GB"/>
              </w:rPr>
              <w:t>, constituted under s 29</w:t>
            </w:r>
            <w:r w:rsidRPr="007D116C">
              <w:rPr>
                <w:rFonts w:ascii="Calibri" w:eastAsia="Times New Roman" w:hAnsi="Calibri" w:cs="Calibri"/>
                <w:sz w:val="20"/>
                <w:szCs w:val="20"/>
                <w:lang w:eastAsia="en-GB"/>
              </w:rPr>
              <w:t xml:space="preserve"> </w:t>
            </w:r>
            <w:r w:rsidRPr="007D116C">
              <w:rPr>
                <w:rFonts w:ascii="Calibri" w:eastAsia="Times New Roman" w:hAnsi="Calibri" w:cs="Calibri"/>
                <w:i/>
                <w:sz w:val="20"/>
                <w:szCs w:val="20"/>
                <w:lang w:eastAsia="en-GB"/>
              </w:rPr>
              <w:t>of the Act.</w:t>
            </w:r>
            <w:r w:rsidRPr="007D116C">
              <w:rPr>
                <w:rFonts w:ascii="Calibri" w:eastAsia="Times New Roman" w:hAnsi="Calibri" w:cs="Calibri"/>
                <w:sz w:val="20"/>
                <w:szCs w:val="20"/>
                <w:lang w:eastAsia="en-GB"/>
              </w:rPr>
              <w:t>  </w:t>
            </w:r>
          </w:p>
        </w:tc>
      </w:tr>
      <w:tr w:rsidR="007D116C" w:rsidRPr="007D116C" w14:paraId="1139AA8B" w14:textId="77777777" w:rsidTr="00AB0C7D">
        <w:tc>
          <w:tcPr>
            <w:tcW w:w="1695" w:type="dxa"/>
            <w:tcBorders>
              <w:top w:val="nil"/>
              <w:left w:val="single" w:sz="6" w:space="0" w:color="auto"/>
              <w:bottom w:val="single" w:sz="6" w:space="0" w:color="auto"/>
              <w:right w:val="single" w:sz="6" w:space="0" w:color="auto"/>
            </w:tcBorders>
            <w:shd w:val="clear" w:color="auto" w:fill="F2F2F2"/>
            <w:hideMark/>
          </w:tcPr>
          <w:p w14:paraId="6325E016"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sz w:val="20"/>
                <w:szCs w:val="20"/>
                <w:lang w:eastAsia="en-GB"/>
              </w:rPr>
              <w:t xml:space="preserve">Building Services (Registration) Act 2011 </w:t>
            </w:r>
            <w:r w:rsidRPr="007D116C">
              <w:rPr>
                <w:rFonts w:ascii="Calibri" w:eastAsia="Times New Roman" w:hAnsi="Calibri" w:cs="Calibri"/>
                <w:sz w:val="20"/>
                <w:szCs w:val="20"/>
                <w:lang w:eastAsia="en-GB"/>
              </w:rPr>
              <w:t>(WA), s 67(2) and  </w:t>
            </w:r>
          </w:p>
          <w:p w14:paraId="3F128CBA"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sz w:val="20"/>
                <w:szCs w:val="20"/>
                <w:lang w:eastAsia="en-GB"/>
              </w:rPr>
              <w:t>Building Services (Registration) Regulations 2011 r 8</w:t>
            </w:r>
            <w:r w:rsidRPr="007D116C">
              <w:rPr>
                <w:rFonts w:ascii="Calibri" w:eastAsia="Times New Roman" w:hAnsi="Calibri" w:cs="Calibri"/>
                <w:sz w:val="20"/>
                <w:szCs w:val="20"/>
                <w:lang w:eastAsia="en-GB"/>
              </w:rPr>
              <w:t>  </w:t>
            </w:r>
          </w:p>
        </w:tc>
        <w:tc>
          <w:tcPr>
            <w:tcW w:w="7305" w:type="dxa"/>
            <w:tcBorders>
              <w:top w:val="nil"/>
              <w:left w:val="nil"/>
              <w:bottom w:val="single" w:sz="6" w:space="0" w:color="auto"/>
              <w:right w:val="single" w:sz="6" w:space="0" w:color="auto"/>
            </w:tcBorders>
            <w:shd w:val="clear" w:color="auto" w:fill="F2F2F2"/>
            <w:hideMark/>
          </w:tcPr>
          <w:p w14:paraId="45AD8227" w14:textId="6259F6EF"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xml:space="preserve">The Board consists of the following members appointed by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 (a) a member designated by the </w:t>
            </w:r>
            <w:r w:rsidR="002D6C67" w:rsidRPr="007D116C">
              <w:rPr>
                <w:rFonts w:ascii="Calibri" w:eastAsia="Times New Roman" w:hAnsi="Calibri" w:cs="Calibri"/>
                <w:sz w:val="20"/>
                <w:szCs w:val="20"/>
                <w:lang w:eastAsia="en-GB"/>
              </w:rPr>
              <w:t>Minister</w:t>
            </w:r>
            <w:r w:rsidRPr="007D116C">
              <w:rPr>
                <w:rFonts w:ascii="Calibri" w:eastAsia="Times New Roman" w:hAnsi="Calibri" w:cs="Calibri"/>
                <w:sz w:val="20"/>
                <w:szCs w:val="20"/>
                <w:lang w:eastAsia="en-GB"/>
              </w:rPr>
              <w:t xml:space="preserve"> as chairperson of the Board; (b) 2 members each of whom has knowledge of and experience in representing the interests of consumers; (c) for each occupation group — 2 members each of whom has experience as a registered building service provider in a class comprising that group.  </w:t>
            </w:r>
          </w:p>
          <w:p w14:paraId="2C66F00E"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sz w:val="20"/>
                <w:szCs w:val="20"/>
                <w:lang w:eastAsia="en-GB"/>
              </w:rPr>
              <w:t>  </w:t>
            </w:r>
          </w:p>
          <w:p w14:paraId="0414136B" w14:textId="77777777" w:rsidR="00AB0C7D" w:rsidRPr="007D116C" w:rsidRDefault="00AB0C7D" w:rsidP="00896925">
            <w:pPr>
              <w:spacing w:after="0" w:line="240" w:lineRule="auto"/>
              <w:jc w:val="left"/>
              <w:textAlignment w:val="baseline"/>
              <w:rPr>
                <w:rFonts w:ascii="Times New Roman" w:eastAsia="Times New Roman" w:hAnsi="Times New Roman" w:cs="Times New Roman"/>
                <w:sz w:val="20"/>
                <w:szCs w:val="20"/>
                <w:lang w:eastAsia="en-GB"/>
              </w:rPr>
            </w:pPr>
            <w:r w:rsidRPr="007D116C">
              <w:rPr>
                <w:rFonts w:ascii="Calibri" w:eastAsia="Times New Roman" w:hAnsi="Calibri" w:cs="Calibri"/>
                <w:i/>
                <w:sz w:val="20"/>
                <w:szCs w:val="20"/>
                <w:lang w:eastAsia="en-GB"/>
              </w:rPr>
              <w:t>The regulations list 3 occupation groups: builders, building surveyors, and painters.</w:t>
            </w:r>
            <w:r w:rsidRPr="007D116C">
              <w:rPr>
                <w:rFonts w:ascii="Calibri" w:eastAsia="Times New Roman" w:hAnsi="Calibri" w:cs="Calibri"/>
                <w:sz w:val="20"/>
                <w:szCs w:val="20"/>
                <w:lang w:eastAsia="en-GB"/>
              </w:rPr>
              <w:t>  </w:t>
            </w:r>
          </w:p>
        </w:tc>
      </w:tr>
    </w:tbl>
    <w:p w14:paraId="6C505296" w14:textId="77777777" w:rsidR="00AB0C7D" w:rsidRPr="007D116C" w:rsidRDefault="00AB0C7D" w:rsidP="00AB0C7D">
      <w:pPr>
        <w:spacing w:after="0" w:line="240" w:lineRule="auto"/>
        <w:textAlignment w:val="baseline"/>
        <w:rPr>
          <w:rFonts w:ascii="Segoe UI" w:eastAsia="Times New Roman" w:hAnsi="Segoe UI" w:cs="Segoe UI"/>
          <w:lang w:eastAsia="en-GB"/>
        </w:rPr>
      </w:pPr>
      <w:r w:rsidRPr="007D116C">
        <w:rPr>
          <w:rFonts w:ascii="Calibri" w:eastAsia="Times New Roman" w:hAnsi="Calibri" w:cs="Calibri"/>
          <w:lang w:eastAsia="en-GB"/>
        </w:rPr>
        <w:t> </w:t>
      </w:r>
    </w:p>
    <w:p w14:paraId="16429630" w14:textId="178AE58F" w:rsidR="00516312" w:rsidRPr="007D116C" w:rsidRDefault="3C1D34F9" w:rsidP="002C06C0">
      <w:pPr>
        <w:pStyle w:val="ListParagraph"/>
        <w:numPr>
          <w:ilvl w:val="0"/>
          <w:numId w:val="2"/>
        </w:numPr>
        <w:ind w:left="0" w:hanging="425"/>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t xml:space="preserve">The board appointments models of Queensland and Victoria are similar: the stipulated skills required for the QBC Board and VBA Board are practically the same, though the QBCC Act explicitly mentions the reinsurance market, reflecting its status as an insurance provider. The wider-ranging SA State Planning </w:t>
      </w:r>
      <w:r w:rsidR="216ECB54" w:rsidRPr="007D116C">
        <w:rPr>
          <w:rFonts w:ascii="Calibri" w:eastAsia="Times New Roman" w:hAnsi="Calibri" w:cs="Calibri"/>
          <w:lang w:eastAsia="en-GB"/>
        </w:rPr>
        <w:t>Commission</w:t>
      </w:r>
      <w:r w:rsidRPr="007D116C">
        <w:rPr>
          <w:rFonts w:ascii="Calibri" w:eastAsia="Times New Roman" w:hAnsi="Calibri" w:cs="Calibri"/>
          <w:lang w:eastAsia="en-GB"/>
        </w:rPr>
        <w:t xml:space="preserve"> is broadly similar to Queensland, though reflecting its multi-sector remit, it includes “building construction” as a distinct area of experience. Conversely, the narrower focus of Western Australia’s Building Services Board is reflected in its composition</w:t>
      </w:r>
      <w:r w:rsidR="73F925BE" w:rsidRPr="007D116C">
        <w:rPr>
          <w:rFonts w:ascii="Calibri" w:eastAsia="Times New Roman" w:hAnsi="Calibri" w:cs="Calibri"/>
          <w:lang w:eastAsia="en-GB"/>
        </w:rPr>
        <w:t>.</w:t>
      </w:r>
      <w:r w:rsidRPr="007D116C">
        <w:rPr>
          <w:rFonts w:ascii="Calibri" w:eastAsia="Times New Roman" w:hAnsi="Calibri" w:cs="Calibri"/>
          <w:lang w:eastAsia="en-GB"/>
        </w:rPr>
        <w:t xml:space="preserve"> </w:t>
      </w:r>
      <w:r w:rsidR="1A0EBB55" w:rsidRPr="007D116C">
        <w:rPr>
          <w:rFonts w:ascii="Calibri" w:eastAsia="Times New Roman" w:hAnsi="Calibri" w:cs="Calibri"/>
          <w:lang w:eastAsia="en-GB"/>
        </w:rPr>
        <w:t xml:space="preserve">It </w:t>
      </w:r>
      <w:r w:rsidRPr="007D116C">
        <w:rPr>
          <w:rFonts w:ascii="Calibri" w:eastAsia="Times New Roman" w:hAnsi="Calibri" w:cs="Calibri"/>
          <w:lang w:eastAsia="en-GB"/>
        </w:rPr>
        <w:t>is designed to represent stakeholder interest groups, presumably with a view to ensuring fairness in the handling of registration matters, including disciplinary measures against registered practitioners. </w:t>
      </w:r>
    </w:p>
    <w:p w14:paraId="57CB0B4F" w14:textId="543A3687" w:rsidR="00AB0C7D" w:rsidRPr="007D116C" w:rsidRDefault="3C1D34F9" w:rsidP="005044C4">
      <w:pPr>
        <w:pStyle w:val="ListParagraph"/>
        <w:numPr>
          <w:ilvl w:val="0"/>
          <w:numId w:val="2"/>
        </w:numPr>
        <w:ind w:left="0" w:hanging="425"/>
        <w:contextualSpacing w:val="0"/>
        <w:textAlignment w:val="baseline"/>
        <w:rPr>
          <w:rFonts w:ascii="Segoe UI" w:eastAsia="Times New Roman" w:hAnsi="Segoe UI" w:cs="Segoe UI"/>
          <w:lang w:eastAsia="en-GB"/>
        </w:rPr>
      </w:pPr>
      <w:r w:rsidRPr="007D116C">
        <w:rPr>
          <w:rFonts w:ascii="Calibri" w:eastAsia="Times New Roman" w:hAnsi="Calibri" w:cs="Calibri"/>
          <w:lang w:eastAsia="en-GB"/>
        </w:rPr>
        <w:lastRenderedPageBreak/>
        <w:t xml:space="preserve">While it is not possible to analyse these boards by their members’ skills, as this would require a considerable amount of familiarity with the individuals in question, it is possible to analyse appointee’s biographies (which are, without variance, publicly available) by work history, as a proxy for experience. Appointees </w:t>
      </w:r>
      <w:r w:rsidR="1A0EBB55" w:rsidRPr="007D116C">
        <w:rPr>
          <w:rFonts w:ascii="Calibri" w:eastAsia="Times New Roman" w:hAnsi="Calibri" w:cs="Calibri"/>
          <w:lang w:eastAsia="en-GB"/>
        </w:rPr>
        <w:t xml:space="preserve">tend to </w:t>
      </w:r>
      <w:r w:rsidRPr="007D116C">
        <w:rPr>
          <w:rFonts w:ascii="Calibri" w:eastAsia="Times New Roman" w:hAnsi="Calibri" w:cs="Calibri"/>
          <w:lang w:eastAsia="en-GB"/>
        </w:rPr>
        <w:t>have worked in different parts of the construction industry, so the analysis in Table</w:t>
      </w:r>
      <w:r w:rsidR="00E412CA" w:rsidRPr="007D116C">
        <w:rPr>
          <w:rFonts w:ascii="Calibri" w:eastAsia="Times New Roman" w:hAnsi="Calibri" w:cs="Calibri"/>
          <w:lang w:eastAsia="en-GB"/>
        </w:rPr>
        <w:t> 9</w:t>
      </w:r>
      <w:r w:rsidRPr="007D116C">
        <w:rPr>
          <w:rFonts w:ascii="Calibri" w:eastAsia="Times New Roman" w:hAnsi="Calibri" w:cs="Calibri"/>
          <w:lang w:eastAsia="en-GB"/>
        </w:rPr>
        <w:t xml:space="preserve"> tallies mentions of different kinds of experience across the sector. The principal interest here is in whether a board, taken as a whole, evidences a mix of experiences across the industry being regulated. None of this analysis is intended as a commentary on the skills or suitability of any individual appointees, and for this reason the figures below have been anonymised. The analysis is contained in Table </w:t>
      </w:r>
      <w:r w:rsidR="00E412CA" w:rsidRPr="007D116C">
        <w:rPr>
          <w:rFonts w:ascii="Calibri" w:eastAsia="Times New Roman" w:hAnsi="Calibri" w:cs="Calibri"/>
          <w:lang w:eastAsia="en-GB"/>
        </w:rPr>
        <w:t>9</w:t>
      </w:r>
      <w:r w:rsidRPr="007D116C">
        <w:rPr>
          <w:rFonts w:ascii="Calibri" w:eastAsia="Times New Roman" w:hAnsi="Calibri" w:cs="Calibri"/>
          <w:lang w:eastAsia="en-GB"/>
        </w:rPr>
        <w:t>, below.  </w:t>
      </w:r>
    </w:p>
    <w:p w14:paraId="5D2BEB05" w14:textId="77777777" w:rsidR="00FC6F42" w:rsidRDefault="00FC6F42">
      <w:pPr>
        <w:rPr>
          <w:rFonts w:eastAsiaTheme="majorEastAsia" w:cstheme="majorBidi"/>
          <w:b/>
          <w:lang w:eastAsia="en-GB"/>
        </w:rPr>
      </w:pPr>
      <w:bookmarkStart w:id="25" w:name="_Toc98853498"/>
      <w:r>
        <w:rPr>
          <w:lang w:eastAsia="en-GB"/>
        </w:rPr>
        <w:br w:type="page"/>
      </w:r>
    </w:p>
    <w:p w14:paraId="237DAAF8" w14:textId="50B2246B" w:rsidR="00AB0C7D" w:rsidRPr="007D116C" w:rsidRDefault="00AB0C7D" w:rsidP="000509C8">
      <w:pPr>
        <w:pStyle w:val="Heading3"/>
        <w:spacing w:line="276" w:lineRule="auto"/>
        <w:rPr>
          <w:rFonts w:ascii="Segoe UI" w:hAnsi="Segoe UI" w:cs="Segoe UI"/>
          <w:szCs w:val="22"/>
          <w:lang w:eastAsia="en-GB"/>
        </w:rPr>
      </w:pPr>
      <w:bookmarkStart w:id="26" w:name="_Toc100599135"/>
      <w:r w:rsidRPr="007D116C">
        <w:rPr>
          <w:szCs w:val="22"/>
          <w:lang w:eastAsia="en-GB"/>
        </w:rPr>
        <w:lastRenderedPageBreak/>
        <w:t xml:space="preserve">Table </w:t>
      </w:r>
      <w:r w:rsidR="00E412CA" w:rsidRPr="007D116C">
        <w:rPr>
          <w:szCs w:val="22"/>
          <w:lang w:eastAsia="en-GB"/>
        </w:rPr>
        <w:t>9</w:t>
      </w:r>
      <w:r w:rsidRPr="007D116C">
        <w:rPr>
          <w:szCs w:val="22"/>
          <w:lang w:eastAsia="en-GB"/>
        </w:rPr>
        <w:t>: Composition of construction industry boards, by career background, mentions in member biographies </w:t>
      </w:r>
      <w:bookmarkEnd w:id="25"/>
      <w:bookmarkEnd w:id="26"/>
      <w:r w:rsidRPr="007D116C">
        <w:rPr>
          <w:szCs w:val="22"/>
          <w:lang w:eastAsia="en-GB"/>
        </w:rPr>
        <w:t> </w:t>
      </w: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530"/>
        <w:gridCol w:w="1530"/>
        <w:gridCol w:w="1530"/>
        <w:gridCol w:w="1530"/>
        <w:gridCol w:w="1530"/>
      </w:tblGrid>
      <w:tr w:rsidR="007D116C" w:rsidRPr="007D116C" w14:paraId="5428164D" w14:textId="77777777" w:rsidTr="16FFD785">
        <w:tc>
          <w:tcPr>
            <w:tcW w:w="129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2714BAB2" w14:textId="5F2988B1" w:rsidR="00AB0C7D" w:rsidRPr="007D116C" w:rsidRDefault="00AB0C7D"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Primary career </w:t>
            </w:r>
          </w:p>
        </w:tc>
        <w:tc>
          <w:tcPr>
            <w:tcW w:w="1530" w:type="dxa"/>
            <w:tcBorders>
              <w:top w:val="single" w:sz="6" w:space="0" w:color="auto"/>
              <w:left w:val="nil"/>
              <w:bottom w:val="single" w:sz="6" w:space="0" w:color="auto"/>
              <w:right w:val="single" w:sz="6" w:space="0" w:color="auto"/>
            </w:tcBorders>
            <w:shd w:val="clear" w:color="auto" w:fill="000000" w:themeFill="text1"/>
            <w:hideMark/>
          </w:tcPr>
          <w:p w14:paraId="614B06E5" w14:textId="53C03D47" w:rsidR="00AB0C7D" w:rsidRPr="007D116C" w:rsidRDefault="6D4215AE"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QBC Board</w:t>
            </w:r>
            <w:r w:rsidR="00A53581" w:rsidRPr="007D116C">
              <w:rPr>
                <w:rStyle w:val="FootnoteReference"/>
                <w:rFonts w:ascii="Calibri" w:eastAsia="Times New Roman" w:hAnsi="Calibri" w:cs="Calibri"/>
                <w:lang w:eastAsia="en-GB"/>
              </w:rPr>
              <w:footnoteReference w:id="89"/>
            </w:r>
            <w:r w:rsidRPr="007D116C">
              <w:rPr>
                <w:rFonts w:ascii="Calibri" w:eastAsia="Times New Roman" w:hAnsi="Calibri" w:cs="Calibri"/>
                <w:b/>
                <w:bCs/>
                <w:lang w:eastAsia="en-GB"/>
              </w:rPr>
              <w:t> </w:t>
            </w:r>
          </w:p>
          <w:p w14:paraId="16545CEE" w14:textId="0A9C0D50" w:rsidR="00AB0C7D" w:rsidRPr="007D116C" w:rsidRDefault="00AB0C7D"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(10 members) </w:t>
            </w:r>
          </w:p>
        </w:tc>
        <w:tc>
          <w:tcPr>
            <w:tcW w:w="1530" w:type="dxa"/>
            <w:tcBorders>
              <w:top w:val="single" w:sz="6" w:space="0" w:color="auto"/>
              <w:left w:val="nil"/>
              <w:bottom w:val="single" w:sz="6" w:space="0" w:color="auto"/>
              <w:right w:val="single" w:sz="6" w:space="0" w:color="auto"/>
            </w:tcBorders>
            <w:shd w:val="clear" w:color="auto" w:fill="000000" w:themeFill="text1"/>
            <w:hideMark/>
          </w:tcPr>
          <w:p w14:paraId="3D7DD2DB" w14:textId="31CA17CE" w:rsidR="00AB0C7D" w:rsidRPr="007D116C" w:rsidRDefault="6D4215AE"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VBA Board</w:t>
            </w:r>
            <w:r w:rsidR="00F87F7D" w:rsidRPr="007D116C">
              <w:rPr>
                <w:rStyle w:val="FootnoteReference"/>
                <w:rFonts w:ascii="Calibri" w:eastAsia="Times New Roman" w:hAnsi="Calibri" w:cs="Calibri"/>
                <w:lang w:eastAsia="en-GB"/>
              </w:rPr>
              <w:footnoteReference w:id="90"/>
            </w:r>
            <w:r w:rsidRPr="007D116C">
              <w:rPr>
                <w:rFonts w:ascii="Calibri" w:eastAsia="Times New Roman" w:hAnsi="Calibri" w:cs="Calibri"/>
                <w:b/>
                <w:bCs/>
                <w:lang w:eastAsia="en-GB"/>
              </w:rPr>
              <w:t> </w:t>
            </w:r>
          </w:p>
          <w:p w14:paraId="1F0EDE79" w14:textId="078D4462" w:rsidR="00AB0C7D" w:rsidRPr="007D116C" w:rsidRDefault="00AB0C7D"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(11 members) </w:t>
            </w:r>
          </w:p>
        </w:tc>
        <w:tc>
          <w:tcPr>
            <w:tcW w:w="1530" w:type="dxa"/>
            <w:tcBorders>
              <w:top w:val="single" w:sz="6" w:space="0" w:color="auto"/>
              <w:left w:val="nil"/>
              <w:bottom w:val="single" w:sz="6" w:space="0" w:color="auto"/>
              <w:right w:val="single" w:sz="6" w:space="0" w:color="auto"/>
            </w:tcBorders>
            <w:shd w:val="clear" w:color="auto" w:fill="000000" w:themeFill="text1"/>
            <w:hideMark/>
          </w:tcPr>
          <w:p w14:paraId="1879834E" w14:textId="7AC7C5AA" w:rsidR="00AB0C7D" w:rsidRPr="007D116C" w:rsidRDefault="6D4215AE"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 xml:space="preserve">SA State Planning </w:t>
            </w:r>
            <w:r w:rsidR="5965F5A9" w:rsidRPr="007D116C">
              <w:rPr>
                <w:rFonts w:ascii="Calibri" w:eastAsia="Times New Roman" w:hAnsi="Calibri" w:cs="Calibri"/>
                <w:b/>
                <w:bCs/>
                <w:lang w:eastAsia="en-GB"/>
              </w:rPr>
              <w:t>Commission</w:t>
            </w:r>
            <w:r w:rsidR="00526946" w:rsidRPr="007D116C">
              <w:rPr>
                <w:rStyle w:val="FootnoteReference"/>
                <w:rFonts w:ascii="Calibri" w:eastAsia="Times New Roman" w:hAnsi="Calibri" w:cs="Calibri"/>
                <w:lang w:eastAsia="en-GB"/>
              </w:rPr>
              <w:footnoteReference w:id="91"/>
            </w:r>
            <w:r w:rsidRPr="007D116C">
              <w:rPr>
                <w:rFonts w:ascii="Calibri" w:eastAsia="Times New Roman" w:hAnsi="Calibri" w:cs="Calibri"/>
                <w:b/>
                <w:bCs/>
                <w:lang w:eastAsia="en-GB"/>
              </w:rPr>
              <w:t> </w:t>
            </w:r>
          </w:p>
          <w:p w14:paraId="08AEF56C" w14:textId="77AB44C4" w:rsidR="00AB0C7D" w:rsidRPr="007D116C" w:rsidRDefault="00AB0C7D"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(6 members) </w:t>
            </w:r>
          </w:p>
        </w:tc>
        <w:tc>
          <w:tcPr>
            <w:tcW w:w="1530" w:type="dxa"/>
            <w:tcBorders>
              <w:top w:val="single" w:sz="6" w:space="0" w:color="auto"/>
              <w:left w:val="nil"/>
              <w:bottom w:val="single" w:sz="6" w:space="0" w:color="auto"/>
              <w:right w:val="single" w:sz="6" w:space="0" w:color="auto"/>
            </w:tcBorders>
            <w:shd w:val="clear" w:color="auto" w:fill="000000" w:themeFill="text1"/>
            <w:hideMark/>
          </w:tcPr>
          <w:p w14:paraId="3B09D88C" w14:textId="528779AD" w:rsidR="00AB0C7D" w:rsidRPr="007D116C" w:rsidRDefault="6D4215AE"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Building Technical Panel (SA)</w:t>
            </w:r>
            <w:r w:rsidR="00AF0805" w:rsidRPr="007D116C">
              <w:rPr>
                <w:rStyle w:val="FootnoteReference"/>
                <w:rFonts w:ascii="Calibri" w:eastAsia="Times New Roman" w:hAnsi="Calibri" w:cs="Calibri"/>
                <w:lang w:eastAsia="en-GB"/>
              </w:rPr>
              <w:footnoteReference w:id="92"/>
            </w:r>
            <w:r w:rsidRPr="007D116C">
              <w:rPr>
                <w:rFonts w:ascii="Calibri" w:eastAsia="Times New Roman" w:hAnsi="Calibri" w:cs="Calibri"/>
                <w:b/>
                <w:bCs/>
                <w:lang w:eastAsia="en-GB"/>
              </w:rPr>
              <w:t> </w:t>
            </w:r>
          </w:p>
          <w:p w14:paraId="03C54210" w14:textId="640E2822" w:rsidR="00AB0C7D" w:rsidRPr="007D116C" w:rsidRDefault="00AB0C7D"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(10 members) </w:t>
            </w:r>
          </w:p>
        </w:tc>
        <w:tc>
          <w:tcPr>
            <w:tcW w:w="1530" w:type="dxa"/>
            <w:tcBorders>
              <w:top w:val="single" w:sz="6" w:space="0" w:color="auto"/>
              <w:left w:val="nil"/>
              <w:bottom w:val="single" w:sz="6" w:space="0" w:color="auto"/>
              <w:right w:val="single" w:sz="6" w:space="0" w:color="auto"/>
            </w:tcBorders>
            <w:shd w:val="clear" w:color="auto" w:fill="000000" w:themeFill="text1"/>
            <w:hideMark/>
          </w:tcPr>
          <w:p w14:paraId="41841310" w14:textId="7A94B1CA" w:rsidR="00AB0C7D" w:rsidRPr="007D116C" w:rsidRDefault="6D4215AE"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Building Services Board (WA)</w:t>
            </w:r>
            <w:r w:rsidR="00281363" w:rsidRPr="007D116C">
              <w:rPr>
                <w:rStyle w:val="FootnoteReference"/>
                <w:rFonts w:ascii="Calibri" w:eastAsia="Times New Roman" w:hAnsi="Calibri" w:cs="Calibri"/>
                <w:lang w:eastAsia="en-GB"/>
              </w:rPr>
              <w:footnoteReference w:id="93"/>
            </w:r>
            <w:r w:rsidRPr="007D116C">
              <w:rPr>
                <w:rFonts w:ascii="Calibri" w:eastAsia="Times New Roman" w:hAnsi="Calibri" w:cs="Calibri"/>
                <w:b/>
                <w:bCs/>
                <w:lang w:eastAsia="en-GB"/>
              </w:rPr>
              <w:t> </w:t>
            </w:r>
          </w:p>
          <w:p w14:paraId="02DC2FF2" w14:textId="77B149D6" w:rsidR="00AB0C7D" w:rsidRPr="007D116C" w:rsidRDefault="00AB0C7D" w:rsidP="005109A0">
            <w:pPr>
              <w:spacing w:after="0" w:line="240" w:lineRule="auto"/>
              <w:jc w:val="center"/>
              <w:textAlignment w:val="baseline"/>
              <w:rPr>
                <w:rFonts w:ascii="Times New Roman" w:eastAsia="Times New Roman" w:hAnsi="Times New Roman" w:cs="Times New Roman"/>
                <w:b/>
                <w:bCs/>
                <w:lang w:eastAsia="en-GB"/>
              </w:rPr>
            </w:pPr>
            <w:r w:rsidRPr="007D116C">
              <w:rPr>
                <w:rFonts w:ascii="Calibri" w:eastAsia="Times New Roman" w:hAnsi="Calibri" w:cs="Calibri"/>
                <w:b/>
                <w:bCs/>
                <w:lang w:eastAsia="en-GB"/>
              </w:rPr>
              <w:t>(9 members) </w:t>
            </w:r>
          </w:p>
        </w:tc>
      </w:tr>
      <w:tr w:rsidR="007D116C" w:rsidRPr="007D116C" w14:paraId="43CC86A9"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D9D9D9" w:themeFill="background1" w:themeFillShade="D9"/>
            <w:hideMark/>
          </w:tcPr>
          <w:p w14:paraId="20EC7B71"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Business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2B486502"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1357D818"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3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2C09C672"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0E0EBFF6"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3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66E6EAD9"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5  </w:t>
            </w:r>
          </w:p>
        </w:tc>
      </w:tr>
      <w:tr w:rsidR="007D116C" w:rsidRPr="007D116C" w14:paraId="0594A788"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FFFFFF" w:themeFill="background1"/>
            <w:hideMark/>
          </w:tcPr>
          <w:p w14:paraId="1856D697"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Law &amp; governance  </w:t>
            </w:r>
          </w:p>
        </w:tc>
        <w:tc>
          <w:tcPr>
            <w:tcW w:w="1530" w:type="dxa"/>
            <w:tcBorders>
              <w:top w:val="nil"/>
              <w:left w:val="nil"/>
              <w:bottom w:val="single" w:sz="6" w:space="0" w:color="auto"/>
              <w:right w:val="single" w:sz="6" w:space="0" w:color="auto"/>
            </w:tcBorders>
            <w:shd w:val="clear" w:color="auto" w:fill="auto"/>
            <w:hideMark/>
          </w:tcPr>
          <w:p w14:paraId="5673267C"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c>
          <w:tcPr>
            <w:tcW w:w="1530" w:type="dxa"/>
            <w:tcBorders>
              <w:top w:val="nil"/>
              <w:left w:val="nil"/>
              <w:bottom w:val="single" w:sz="6" w:space="0" w:color="auto"/>
              <w:right w:val="single" w:sz="6" w:space="0" w:color="auto"/>
            </w:tcBorders>
            <w:shd w:val="clear" w:color="auto" w:fill="auto"/>
            <w:hideMark/>
          </w:tcPr>
          <w:p w14:paraId="1A9855C4"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5  </w:t>
            </w:r>
          </w:p>
        </w:tc>
        <w:tc>
          <w:tcPr>
            <w:tcW w:w="1530" w:type="dxa"/>
            <w:tcBorders>
              <w:top w:val="nil"/>
              <w:left w:val="nil"/>
              <w:bottom w:val="single" w:sz="6" w:space="0" w:color="auto"/>
              <w:right w:val="single" w:sz="6" w:space="0" w:color="auto"/>
            </w:tcBorders>
            <w:shd w:val="clear" w:color="auto" w:fill="auto"/>
            <w:hideMark/>
          </w:tcPr>
          <w:p w14:paraId="611EF733"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c>
          <w:tcPr>
            <w:tcW w:w="1530" w:type="dxa"/>
            <w:tcBorders>
              <w:top w:val="nil"/>
              <w:left w:val="nil"/>
              <w:bottom w:val="single" w:sz="6" w:space="0" w:color="auto"/>
              <w:right w:val="single" w:sz="6" w:space="0" w:color="auto"/>
            </w:tcBorders>
            <w:shd w:val="clear" w:color="auto" w:fill="auto"/>
            <w:hideMark/>
          </w:tcPr>
          <w:p w14:paraId="7BFE45CD"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3  </w:t>
            </w:r>
          </w:p>
        </w:tc>
        <w:tc>
          <w:tcPr>
            <w:tcW w:w="1530" w:type="dxa"/>
            <w:tcBorders>
              <w:top w:val="nil"/>
              <w:left w:val="nil"/>
              <w:bottom w:val="single" w:sz="6" w:space="0" w:color="auto"/>
              <w:right w:val="single" w:sz="6" w:space="0" w:color="auto"/>
            </w:tcBorders>
            <w:shd w:val="clear" w:color="auto" w:fill="auto"/>
            <w:hideMark/>
          </w:tcPr>
          <w:p w14:paraId="64C8C75A"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r>
      <w:tr w:rsidR="007D116C" w:rsidRPr="007D116C" w14:paraId="5760BE7E"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BCC19"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Finance &amp; Economics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1B019DB2"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280B7B80"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5B8D9C10"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62A9055A"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093F2AFC"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r>
      <w:tr w:rsidR="007D116C" w:rsidRPr="007D116C" w14:paraId="41BCD47D"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auto"/>
            <w:hideMark/>
          </w:tcPr>
          <w:p w14:paraId="3578C369" w14:textId="660A188E" w:rsidR="00AB0C7D" w:rsidRPr="007D116C" w:rsidRDefault="00504367"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 xml:space="preserve">Industry </w:t>
            </w:r>
            <w:r w:rsidR="00AB0C7D" w:rsidRPr="007D116C">
              <w:rPr>
                <w:rFonts w:eastAsia="Times New Roman" w:cstheme="minorHAnsi"/>
                <w:sz w:val="20"/>
                <w:szCs w:val="20"/>
                <w:lang w:eastAsia="en-GB"/>
              </w:rPr>
              <w:t>Union  </w:t>
            </w:r>
          </w:p>
        </w:tc>
        <w:tc>
          <w:tcPr>
            <w:tcW w:w="1530" w:type="dxa"/>
            <w:tcBorders>
              <w:top w:val="nil"/>
              <w:left w:val="nil"/>
              <w:bottom w:val="single" w:sz="6" w:space="0" w:color="auto"/>
              <w:right w:val="single" w:sz="6" w:space="0" w:color="auto"/>
            </w:tcBorders>
            <w:shd w:val="clear" w:color="auto" w:fill="auto"/>
            <w:hideMark/>
          </w:tcPr>
          <w:p w14:paraId="74ED729A"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c>
          <w:tcPr>
            <w:tcW w:w="1530" w:type="dxa"/>
            <w:tcBorders>
              <w:top w:val="nil"/>
              <w:left w:val="nil"/>
              <w:bottom w:val="single" w:sz="6" w:space="0" w:color="auto"/>
              <w:right w:val="single" w:sz="6" w:space="0" w:color="auto"/>
            </w:tcBorders>
            <w:shd w:val="clear" w:color="auto" w:fill="auto"/>
            <w:hideMark/>
          </w:tcPr>
          <w:p w14:paraId="54526785"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auto"/>
            <w:hideMark/>
          </w:tcPr>
          <w:p w14:paraId="785A309B"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auto"/>
            <w:hideMark/>
          </w:tcPr>
          <w:p w14:paraId="37079B9A"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auto"/>
            <w:hideMark/>
          </w:tcPr>
          <w:p w14:paraId="39E92F00"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r>
      <w:tr w:rsidR="007D116C" w:rsidRPr="007D116C" w14:paraId="1B1F6C09"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D9D9D9" w:themeFill="background1" w:themeFillShade="D9"/>
            <w:hideMark/>
          </w:tcPr>
          <w:p w14:paraId="04308FD0"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Advocacy &amp; NFP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5609CE37"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7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513901E6"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5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130AC04E"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1E802B75"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360FE70B"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r>
      <w:tr w:rsidR="007D116C" w:rsidRPr="007D116C" w14:paraId="2776C9BB"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FFFFFF" w:themeFill="background1"/>
            <w:hideMark/>
          </w:tcPr>
          <w:p w14:paraId="1F806359"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Education &amp; skills  </w:t>
            </w:r>
          </w:p>
        </w:tc>
        <w:tc>
          <w:tcPr>
            <w:tcW w:w="1530" w:type="dxa"/>
            <w:tcBorders>
              <w:top w:val="nil"/>
              <w:left w:val="nil"/>
              <w:bottom w:val="single" w:sz="6" w:space="0" w:color="auto"/>
              <w:right w:val="single" w:sz="6" w:space="0" w:color="auto"/>
            </w:tcBorders>
            <w:shd w:val="clear" w:color="auto" w:fill="auto"/>
            <w:hideMark/>
          </w:tcPr>
          <w:p w14:paraId="1B700B27"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4  </w:t>
            </w:r>
          </w:p>
        </w:tc>
        <w:tc>
          <w:tcPr>
            <w:tcW w:w="1530" w:type="dxa"/>
            <w:tcBorders>
              <w:top w:val="nil"/>
              <w:left w:val="nil"/>
              <w:bottom w:val="single" w:sz="6" w:space="0" w:color="auto"/>
              <w:right w:val="single" w:sz="6" w:space="0" w:color="auto"/>
            </w:tcBorders>
            <w:shd w:val="clear" w:color="auto" w:fill="auto"/>
            <w:hideMark/>
          </w:tcPr>
          <w:p w14:paraId="34688506"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c>
          <w:tcPr>
            <w:tcW w:w="1530" w:type="dxa"/>
            <w:tcBorders>
              <w:top w:val="nil"/>
              <w:left w:val="nil"/>
              <w:bottom w:val="single" w:sz="6" w:space="0" w:color="auto"/>
              <w:right w:val="single" w:sz="6" w:space="0" w:color="auto"/>
            </w:tcBorders>
            <w:shd w:val="clear" w:color="auto" w:fill="auto"/>
            <w:hideMark/>
          </w:tcPr>
          <w:p w14:paraId="28C41750"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auto"/>
            <w:hideMark/>
          </w:tcPr>
          <w:p w14:paraId="05BF33A1"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3  </w:t>
            </w:r>
          </w:p>
        </w:tc>
        <w:tc>
          <w:tcPr>
            <w:tcW w:w="1530" w:type="dxa"/>
            <w:tcBorders>
              <w:top w:val="nil"/>
              <w:left w:val="nil"/>
              <w:bottom w:val="single" w:sz="6" w:space="0" w:color="auto"/>
              <w:right w:val="single" w:sz="6" w:space="0" w:color="auto"/>
            </w:tcBorders>
            <w:shd w:val="clear" w:color="auto" w:fill="auto"/>
            <w:hideMark/>
          </w:tcPr>
          <w:p w14:paraId="132C599E"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r>
      <w:tr w:rsidR="007D116C" w:rsidRPr="007D116C" w14:paraId="3C073967"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D9D9D9" w:themeFill="background1" w:themeFillShade="D9"/>
            <w:hideMark/>
          </w:tcPr>
          <w:p w14:paraId="1325E1C7"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Public sector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2F5356C7"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2B34CEB6"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3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23EADB5C"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5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03EE1797"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7  </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600BB40D"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r>
      <w:tr w:rsidR="007D116C" w:rsidRPr="007D116C" w14:paraId="52EDD92A" w14:textId="77777777" w:rsidTr="16FFD785">
        <w:trPr>
          <w:trHeight w:val="525"/>
        </w:trPr>
        <w:tc>
          <w:tcPr>
            <w:tcW w:w="1290" w:type="dxa"/>
            <w:tcBorders>
              <w:top w:val="nil"/>
              <w:left w:val="single" w:sz="6" w:space="0" w:color="auto"/>
              <w:bottom w:val="single" w:sz="6" w:space="0" w:color="auto"/>
              <w:right w:val="single" w:sz="6" w:space="0" w:color="auto"/>
            </w:tcBorders>
            <w:shd w:val="clear" w:color="auto" w:fill="FFFFFF" w:themeFill="background1"/>
            <w:hideMark/>
          </w:tcPr>
          <w:p w14:paraId="7C3206B8"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Regulation  </w:t>
            </w:r>
          </w:p>
        </w:tc>
        <w:tc>
          <w:tcPr>
            <w:tcW w:w="1530" w:type="dxa"/>
            <w:tcBorders>
              <w:top w:val="nil"/>
              <w:left w:val="nil"/>
              <w:bottom w:val="single" w:sz="6" w:space="0" w:color="auto"/>
              <w:right w:val="single" w:sz="6" w:space="0" w:color="auto"/>
            </w:tcBorders>
            <w:shd w:val="clear" w:color="auto" w:fill="auto"/>
            <w:hideMark/>
          </w:tcPr>
          <w:p w14:paraId="2638CD09"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c>
          <w:tcPr>
            <w:tcW w:w="1530" w:type="dxa"/>
            <w:tcBorders>
              <w:top w:val="nil"/>
              <w:left w:val="nil"/>
              <w:bottom w:val="single" w:sz="6" w:space="0" w:color="auto"/>
              <w:right w:val="single" w:sz="6" w:space="0" w:color="auto"/>
            </w:tcBorders>
            <w:shd w:val="clear" w:color="auto" w:fill="auto"/>
            <w:hideMark/>
          </w:tcPr>
          <w:p w14:paraId="6C1EA669"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c>
          <w:tcPr>
            <w:tcW w:w="1530" w:type="dxa"/>
            <w:tcBorders>
              <w:top w:val="nil"/>
              <w:left w:val="nil"/>
              <w:bottom w:val="single" w:sz="6" w:space="0" w:color="auto"/>
              <w:right w:val="single" w:sz="6" w:space="0" w:color="auto"/>
            </w:tcBorders>
            <w:shd w:val="clear" w:color="auto" w:fill="auto"/>
            <w:hideMark/>
          </w:tcPr>
          <w:p w14:paraId="6EE309AC"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nil"/>
              <w:left w:val="nil"/>
              <w:bottom w:val="single" w:sz="6" w:space="0" w:color="auto"/>
              <w:right w:val="single" w:sz="6" w:space="0" w:color="auto"/>
            </w:tcBorders>
            <w:shd w:val="clear" w:color="auto" w:fill="auto"/>
            <w:hideMark/>
          </w:tcPr>
          <w:p w14:paraId="16F6EB52"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c>
          <w:tcPr>
            <w:tcW w:w="1530" w:type="dxa"/>
            <w:tcBorders>
              <w:top w:val="nil"/>
              <w:left w:val="nil"/>
              <w:bottom w:val="single" w:sz="6" w:space="0" w:color="auto"/>
              <w:right w:val="single" w:sz="6" w:space="0" w:color="auto"/>
            </w:tcBorders>
            <w:shd w:val="clear" w:color="auto" w:fill="auto"/>
            <w:hideMark/>
          </w:tcPr>
          <w:p w14:paraId="19AE688E"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r>
      <w:tr w:rsidR="007D116C" w:rsidRPr="007D116C" w14:paraId="1DB36209" w14:textId="77777777" w:rsidTr="16FFD785">
        <w:trPr>
          <w:trHeight w:val="525"/>
        </w:trPr>
        <w:tc>
          <w:tcPr>
            <w:tcW w:w="1290" w:type="dxa"/>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09B10856" w14:textId="77777777" w:rsidR="00AB0C7D" w:rsidRPr="007D116C" w:rsidRDefault="00AB0C7D" w:rsidP="00192BF9">
            <w:pPr>
              <w:spacing w:after="0" w:line="240" w:lineRule="auto"/>
              <w:jc w:val="left"/>
              <w:textAlignment w:val="baseline"/>
              <w:rPr>
                <w:rFonts w:eastAsia="Times New Roman" w:cstheme="minorHAnsi"/>
                <w:sz w:val="20"/>
                <w:szCs w:val="20"/>
                <w:lang w:eastAsia="en-GB"/>
              </w:rPr>
            </w:pPr>
            <w:r w:rsidRPr="007D116C">
              <w:rPr>
                <w:rFonts w:eastAsia="Times New Roman" w:cstheme="minorHAnsi"/>
                <w:sz w:val="20"/>
                <w:szCs w:val="20"/>
                <w:lang w:eastAsia="en-GB"/>
              </w:rPr>
              <w:t>Politics  </w:t>
            </w:r>
          </w:p>
        </w:tc>
        <w:tc>
          <w:tcPr>
            <w:tcW w:w="1530" w:type="dxa"/>
            <w:tcBorders>
              <w:top w:val="single" w:sz="6" w:space="0" w:color="auto"/>
              <w:left w:val="nil"/>
              <w:bottom w:val="single" w:sz="4" w:space="0" w:color="auto"/>
              <w:right w:val="single" w:sz="6" w:space="0" w:color="auto"/>
            </w:tcBorders>
            <w:shd w:val="clear" w:color="auto" w:fill="D9D9D9" w:themeFill="background1" w:themeFillShade="D9"/>
            <w:hideMark/>
          </w:tcPr>
          <w:p w14:paraId="67998A2E"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2  </w:t>
            </w:r>
          </w:p>
        </w:tc>
        <w:tc>
          <w:tcPr>
            <w:tcW w:w="1530" w:type="dxa"/>
            <w:tcBorders>
              <w:top w:val="single" w:sz="6" w:space="0" w:color="auto"/>
              <w:left w:val="nil"/>
              <w:bottom w:val="single" w:sz="4" w:space="0" w:color="auto"/>
              <w:right w:val="single" w:sz="6" w:space="0" w:color="auto"/>
            </w:tcBorders>
            <w:shd w:val="clear" w:color="auto" w:fill="D9D9D9" w:themeFill="background1" w:themeFillShade="D9"/>
            <w:hideMark/>
          </w:tcPr>
          <w:p w14:paraId="0856F6BC"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c>
          <w:tcPr>
            <w:tcW w:w="1530" w:type="dxa"/>
            <w:tcBorders>
              <w:top w:val="single" w:sz="6" w:space="0" w:color="auto"/>
              <w:left w:val="nil"/>
              <w:bottom w:val="single" w:sz="4" w:space="0" w:color="auto"/>
              <w:right w:val="single" w:sz="6" w:space="0" w:color="auto"/>
            </w:tcBorders>
            <w:shd w:val="clear" w:color="auto" w:fill="D9D9D9" w:themeFill="background1" w:themeFillShade="D9"/>
            <w:hideMark/>
          </w:tcPr>
          <w:p w14:paraId="0B442C9E"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1  </w:t>
            </w:r>
          </w:p>
        </w:tc>
        <w:tc>
          <w:tcPr>
            <w:tcW w:w="1530" w:type="dxa"/>
            <w:tcBorders>
              <w:top w:val="single" w:sz="6" w:space="0" w:color="auto"/>
              <w:left w:val="nil"/>
              <w:bottom w:val="single" w:sz="4" w:space="0" w:color="auto"/>
              <w:right w:val="single" w:sz="6" w:space="0" w:color="auto"/>
            </w:tcBorders>
            <w:shd w:val="clear" w:color="auto" w:fill="D9D9D9" w:themeFill="background1" w:themeFillShade="D9"/>
            <w:hideMark/>
          </w:tcPr>
          <w:p w14:paraId="51706437"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c>
          <w:tcPr>
            <w:tcW w:w="1530" w:type="dxa"/>
            <w:tcBorders>
              <w:top w:val="single" w:sz="6" w:space="0" w:color="auto"/>
              <w:left w:val="nil"/>
              <w:bottom w:val="single" w:sz="4" w:space="0" w:color="auto"/>
              <w:right w:val="single" w:sz="6" w:space="0" w:color="auto"/>
            </w:tcBorders>
            <w:shd w:val="clear" w:color="auto" w:fill="D9D9D9" w:themeFill="background1" w:themeFillShade="D9"/>
            <w:hideMark/>
          </w:tcPr>
          <w:p w14:paraId="5FC1825F" w14:textId="77777777" w:rsidR="00AB0C7D" w:rsidRPr="007D116C" w:rsidRDefault="00AB0C7D" w:rsidP="00AB0C7D">
            <w:pPr>
              <w:spacing w:after="0" w:line="240" w:lineRule="auto"/>
              <w:jc w:val="center"/>
              <w:textAlignment w:val="baseline"/>
              <w:rPr>
                <w:rFonts w:eastAsia="Times New Roman" w:cstheme="minorHAnsi"/>
                <w:sz w:val="20"/>
                <w:szCs w:val="20"/>
                <w:lang w:eastAsia="en-GB"/>
              </w:rPr>
            </w:pPr>
            <w:r w:rsidRPr="007D116C">
              <w:rPr>
                <w:rFonts w:eastAsia="Times New Roman" w:cstheme="minorHAnsi"/>
                <w:sz w:val="20"/>
                <w:szCs w:val="20"/>
                <w:lang w:eastAsia="en-GB"/>
              </w:rPr>
              <w:t>0  </w:t>
            </w:r>
          </w:p>
        </w:tc>
      </w:tr>
      <w:tr w:rsidR="007D116C" w:rsidRPr="007D116C" w14:paraId="4146199E" w14:textId="77777777" w:rsidTr="16FFD785">
        <w:trPr>
          <w:trHeight w:val="525"/>
        </w:trPr>
        <w:tc>
          <w:tcPr>
            <w:tcW w:w="8940" w:type="dxa"/>
            <w:gridSpan w:val="6"/>
            <w:tcBorders>
              <w:top w:val="single" w:sz="4" w:space="0" w:color="auto"/>
              <w:left w:val="single" w:sz="6" w:space="0" w:color="auto"/>
              <w:bottom w:val="single" w:sz="6" w:space="0" w:color="auto"/>
              <w:right w:val="single" w:sz="6" w:space="0" w:color="auto"/>
            </w:tcBorders>
            <w:shd w:val="clear" w:color="auto" w:fill="FFFFFF" w:themeFill="background1"/>
          </w:tcPr>
          <w:p w14:paraId="418D1B2D" w14:textId="77777777" w:rsidR="004E2B9A" w:rsidRPr="007D116C" w:rsidRDefault="004E2B9A" w:rsidP="004E2B9A">
            <w:p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b/>
                <w:bCs/>
                <w:sz w:val="20"/>
                <w:szCs w:val="20"/>
                <w:lang w:eastAsia="en-GB"/>
              </w:rPr>
              <w:t>Legend:</w:t>
            </w:r>
          </w:p>
          <w:p w14:paraId="5D5855F4"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Business: member has owned or worked in management in a construction business.</w:t>
            </w:r>
          </w:p>
          <w:p w14:paraId="20E64BDB"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Law &amp; governance: member has worked as a lawyer or in corporate governance, including consultancy.</w:t>
            </w:r>
          </w:p>
          <w:p w14:paraId="3DF8DEB6"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Finance &amp; economics: member has worked in a role requiring finance skills or education in economics.</w:t>
            </w:r>
          </w:p>
          <w:p w14:paraId="0F84B0E8"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Union: member has worked in a trade union.</w:t>
            </w:r>
          </w:p>
          <w:p w14:paraId="70835E04"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Advocacy &amp; NFP: member’s biography includes a role in issue advocacy or work in a not-for-profit.</w:t>
            </w:r>
          </w:p>
          <w:p w14:paraId="7ABA9FF5"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Education &amp; skills: member has worked in tertiary education or industry skills provision.</w:t>
            </w:r>
          </w:p>
          <w:p w14:paraId="64977868"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Public sector: member has worked in government (at any level) in a role not explicitly regulatory.</w:t>
            </w:r>
          </w:p>
          <w:p w14:paraId="21F3181B" w14:textId="77777777" w:rsidR="00746094" w:rsidRPr="007D116C" w:rsidRDefault="004E2B9A" w:rsidP="00746094">
            <w:pPr>
              <w:pStyle w:val="ListParagraph"/>
              <w:numPr>
                <w:ilvl w:val="0"/>
                <w:numId w:val="20"/>
              </w:numPr>
              <w:spacing w:after="0" w:line="240" w:lineRule="auto"/>
              <w:textAlignment w:val="baseline"/>
              <w:rPr>
                <w:rFonts w:ascii="Calibri" w:eastAsia="Times New Roman" w:hAnsi="Calibri" w:cs="Calibri"/>
                <w:sz w:val="20"/>
                <w:szCs w:val="20"/>
                <w:lang w:eastAsia="en-GB"/>
              </w:rPr>
            </w:pPr>
            <w:r w:rsidRPr="007D116C">
              <w:rPr>
                <w:rFonts w:ascii="Calibri" w:eastAsia="Times New Roman" w:hAnsi="Calibri" w:cs="Calibri"/>
                <w:sz w:val="20"/>
                <w:szCs w:val="20"/>
                <w:lang w:eastAsia="en-GB"/>
              </w:rPr>
              <w:t>Regulation: member has worked in a regulator or in a policy role to do with regulation.</w:t>
            </w:r>
          </w:p>
          <w:p w14:paraId="6577D57D" w14:textId="4477DA58" w:rsidR="004E2B9A" w:rsidRPr="007D116C" w:rsidRDefault="004E2B9A" w:rsidP="00746094">
            <w:pPr>
              <w:pStyle w:val="ListParagraph"/>
              <w:numPr>
                <w:ilvl w:val="0"/>
                <w:numId w:val="20"/>
              </w:numPr>
              <w:spacing w:after="0" w:line="240" w:lineRule="auto"/>
              <w:textAlignment w:val="baseline"/>
              <w:rPr>
                <w:rFonts w:ascii="Calibri" w:eastAsia="Times New Roman" w:hAnsi="Calibri" w:cs="Calibri"/>
                <w:lang w:eastAsia="en-GB"/>
              </w:rPr>
            </w:pPr>
            <w:r w:rsidRPr="007D116C">
              <w:rPr>
                <w:rFonts w:ascii="Calibri" w:eastAsia="Times New Roman" w:hAnsi="Calibri" w:cs="Calibri"/>
                <w:sz w:val="20"/>
                <w:szCs w:val="20"/>
                <w:lang w:eastAsia="en-GB"/>
              </w:rPr>
              <w:t>Politics: member has held elected office (at any level).</w:t>
            </w:r>
          </w:p>
        </w:tc>
      </w:tr>
    </w:tbl>
    <w:p w14:paraId="518CEF7C" w14:textId="77777777" w:rsidR="002C06C0" w:rsidRPr="007D116C" w:rsidRDefault="00AB0C7D" w:rsidP="002C06C0">
      <w:pPr>
        <w:spacing w:after="0" w:line="240" w:lineRule="auto"/>
        <w:textAlignment w:val="baseline"/>
        <w:rPr>
          <w:rFonts w:ascii="Calibri" w:eastAsia="Times New Roman" w:hAnsi="Calibri" w:cs="Calibri"/>
          <w:lang w:eastAsia="en-GB"/>
        </w:rPr>
      </w:pPr>
      <w:r w:rsidRPr="007D116C">
        <w:rPr>
          <w:rFonts w:ascii="Calibri" w:eastAsia="Times New Roman" w:hAnsi="Calibri" w:cs="Calibri"/>
          <w:lang w:eastAsia="en-GB"/>
        </w:rPr>
        <w:t> </w:t>
      </w:r>
    </w:p>
    <w:p w14:paraId="1916A3A8" w14:textId="77777777" w:rsidR="008F4526" w:rsidRDefault="008F4526" w:rsidP="008F4526">
      <w:pPr>
        <w:pStyle w:val="ListParagraph"/>
        <w:ind w:left="0"/>
        <w:contextualSpacing w:val="0"/>
        <w:textAlignment w:val="baseline"/>
        <w:rPr>
          <w:rFonts w:ascii="Calibri" w:eastAsia="Times New Roman" w:hAnsi="Calibri" w:cs="Calibri"/>
          <w:lang w:eastAsia="en-GB"/>
        </w:rPr>
      </w:pPr>
    </w:p>
    <w:p w14:paraId="13B076DC" w14:textId="4D282B6C" w:rsidR="002C06C0" w:rsidRPr="007D116C" w:rsidRDefault="3C1D34F9" w:rsidP="002C06C0">
      <w:pPr>
        <w:pStyle w:val="ListParagraph"/>
        <w:numPr>
          <w:ilvl w:val="0"/>
          <w:numId w:val="2"/>
        </w:numPr>
        <w:ind w:left="0" w:hanging="426"/>
        <w:contextualSpacing w:val="0"/>
        <w:textAlignment w:val="baseline"/>
        <w:rPr>
          <w:rFonts w:ascii="Calibri" w:eastAsia="Times New Roman" w:hAnsi="Calibri" w:cs="Calibri"/>
          <w:lang w:eastAsia="en-GB"/>
        </w:rPr>
      </w:pPr>
      <w:r w:rsidRPr="007D116C">
        <w:rPr>
          <w:rFonts w:ascii="Calibri" w:eastAsia="Times New Roman" w:hAnsi="Calibri" w:cs="Calibri"/>
          <w:lang w:eastAsia="en-GB"/>
        </w:rPr>
        <w:lastRenderedPageBreak/>
        <w:t xml:space="preserve">Table </w:t>
      </w:r>
      <w:r w:rsidR="00E412CA" w:rsidRPr="007D116C">
        <w:rPr>
          <w:rFonts w:ascii="Calibri" w:eastAsia="Times New Roman" w:hAnsi="Calibri" w:cs="Calibri"/>
          <w:lang w:eastAsia="en-GB"/>
        </w:rPr>
        <w:t>9</w:t>
      </w:r>
      <w:r w:rsidRPr="007D116C">
        <w:rPr>
          <w:rFonts w:ascii="Calibri" w:eastAsia="Times New Roman" w:hAnsi="Calibri" w:cs="Calibri"/>
          <w:lang w:eastAsia="en-GB"/>
        </w:rPr>
        <w:t xml:space="preserve"> shows that structurally, the QBC Board is not unusual, having a similar number of members to boards in other states. As to the composition of that membership: </w:t>
      </w:r>
    </w:p>
    <w:p w14:paraId="4AC1B2FC" w14:textId="77777777" w:rsidR="002C06C0" w:rsidRPr="007D116C" w:rsidRDefault="3C1D34F9" w:rsidP="002C06C0">
      <w:pPr>
        <w:pStyle w:val="ListParagraph"/>
        <w:numPr>
          <w:ilvl w:val="1"/>
          <w:numId w:val="2"/>
        </w:numPr>
        <w:contextualSpacing w:val="0"/>
        <w:textAlignment w:val="baseline"/>
        <w:rPr>
          <w:rFonts w:ascii="Calibri" w:eastAsia="Times New Roman" w:hAnsi="Calibri" w:cs="Calibri"/>
          <w:lang w:eastAsia="en-GB"/>
        </w:rPr>
      </w:pPr>
      <w:r w:rsidRPr="007D116C">
        <w:rPr>
          <w:rFonts w:ascii="Calibri" w:eastAsia="Times New Roman" w:hAnsi="Calibri" w:cs="Calibri"/>
          <w:lang w:eastAsia="en-GB"/>
        </w:rPr>
        <w:t>In the two states with governing boards as part of one-stop shop regulators, Queensland and Victoria, the boards have a wide range of professional experience. In Queensland, a majority of board members have experience in issue advocacy and the not-for-profit sector, and this sector is also prominent in the membership of the VBA Board. In South Australia and Western Australia, this is not the case. </w:t>
      </w:r>
    </w:p>
    <w:p w14:paraId="368C991E" w14:textId="7BEBAE57" w:rsidR="002C06C0" w:rsidRPr="007D116C" w:rsidRDefault="3C1D34F9" w:rsidP="4A34D7B3">
      <w:pPr>
        <w:pStyle w:val="ListParagraph"/>
        <w:numPr>
          <w:ilvl w:val="1"/>
          <w:numId w:val="2"/>
        </w:numPr>
        <w:textAlignment w:val="baseline"/>
        <w:rPr>
          <w:rFonts w:ascii="Calibri" w:eastAsia="Times New Roman" w:hAnsi="Calibri" w:cs="Calibri"/>
          <w:lang w:eastAsia="en-GB"/>
        </w:rPr>
      </w:pPr>
      <w:r w:rsidRPr="007D116C">
        <w:rPr>
          <w:rFonts w:ascii="Calibri" w:eastAsia="Times New Roman" w:hAnsi="Calibri" w:cs="Calibri"/>
          <w:lang w:eastAsia="en-GB"/>
        </w:rPr>
        <w:t xml:space="preserve">The QBC Board is the only board </w:t>
      </w:r>
      <w:r w:rsidR="53C7A2F2" w:rsidRPr="007D116C">
        <w:rPr>
          <w:rFonts w:ascii="Calibri" w:eastAsia="Times New Roman" w:hAnsi="Calibri" w:cs="Calibri"/>
          <w:lang w:eastAsia="en-GB"/>
        </w:rPr>
        <w:t xml:space="preserve">currently </w:t>
      </w:r>
      <w:r w:rsidRPr="007D116C">
        <w:rPr>
          <w:rFonts w:ascii="Calibri" w:eastAsia="Times New Roman" w:hAnsi="Calibri" w:cs="Calibri"/>
          <w:lang w:eastAsia="en-GB"/>
        </w:rPr>
        <w:t xml:space="preserve">with members with stated work experience in relevant </w:t>
      </w:r>
      <w:r w:rsidR="3E8CFA36" w:rsidRPr="007D116C">
        <w:rPr>
          <w:rFonts w:ascii="Calibri" w:eastAsia="Times New Roman" w:hAnsi="Calibri" w:cs="Calibri"/>
          <w:lang w:eastAsia="en-GB"/>
        </w:rPr>
        <w:t xml:space="preserve">industry </w:t>
      </w:r>
      <w:r w:rsidRPr="007D116C">
        <w:rPr>
          <w:rFonts w:ascii="Calibri" w:eastAsia="Times New Roman" w:hAnsi="Calibri" w:cs="Calibri"/>
          <w:lang w:eastAsia="en-GB"/>
        </w:rPr>
        <w:t xml:space="preserve">trade unions, which reflects the OECD’s advice that board composition should be based on representation for different interests as well as the skills required to fulfil the regulator’s mandate. That said, </w:t>
      </w:r>
      <w:r w:rsidR="62D1FAD9" w:rsidRPr="007D116C">
        <w:rPr>
          <w:rFonts w:ascii="Calibri" w:eastAsia="Times New Roman" w:hAnsi="Calibri" w:cs="Calibri"/>
          <w:lang w:eastAsia="en-GB"/>
        </w:rPr>
        <w:t xml:space="preserve">across the sample, </w:t>
      </w:r>
      <w:r w:rsidRPr="007D116C">
        <w:rPr>
          <w:rFonts w:ascii="Calibri" w:eastAsia="Times New Roman" w:hAnsi="Calibri" w:cs="Calibri"/>
          <w:lang w:eastAsia="en-GB"/>
        </w:rPr>
        <w:t xml:space="preserve">there are many </w:t>
      </w:r>
      <w:r w:rsidR="24D6EE42" w:rsidRPr="007D116C">
        <w:rPr>
          <w:rFonts w:ascii="Calibri" w:eastAsia="Times New Roman" w:hAnsi="Calibri" w:cs="Calibri"/>
          <w:lang w:eastAsia="en-GB"/>
        </w:rPr>
        <w:t>business leaders and</w:t>
      </w:r>
      <w:r w:rsidRPr="007D116C">
        <w:rPr>
          <w:rFonts w:ascii="Calibri" w:eastAsia="Times New Roman" w:hAnsi="Calibri" w:cs="Calibri"/>
          <w:lang w:eastAsia="en-GB"/>
        </w:rPr>
        <w:t xml:space="preserve"> lawyers who have worked in corporate governance, including compliance</w:t>
      </w:r>
      <w:r w:rsidR="36D8979A" w:rsidRPr="007D116C">
        <w:rPr>
          <w:rFonts w:ascii="Calibri" w:eastAsia="Times New Roman" w:hAnsi="Calibri" w:cs="Calibri"/>
          <w:lang w:eastAsia="en-GB"/>
        </w:rPr>
        <w:t>,</w:t>
      </w:r>
      <w:r w:rsidR="21669111" w:rsidRPr="007D116C">
        <w:rPr>
          <w:rFonts w:ascii="Calibri" w:eastAsia="Times New Roman" w:hAnsi="Calibri" w:cs="Calibri"/>
          <w:lang w:eastAsia="en-GB"/>
        </w:rPr>
        <w:t xml:space="preserve"> suggesting that </w:t>
      </w:r>
      <w:r w:rsidR="2EE9161A" w:rsidRPr="007D116C">
        <w:rPr>
          <w:rFonts w:ascii="Calibri" w:eastAsia="Times New Roman" w:hAnsi="Calibri" w:cs="Calibri"/>
          <w:lang w:eastAsia="en-GB"/>
        </w:rPr>
        <w:t xml:space="preserve">most Boards favour certain legal-administrative </w:t>
      </w:r>
      <w:r w:rsidR="0F0B00E4" w:rsidRPr="007D116C">
        <w:rPr>
          <w:rFonts w:ascii="Calibri" w:eastAsia="Times New Roman" w:hAnsi="Calibri" w:cs="Calibri"/>
          <w:lang w:eastAsia="en-GB"/>
        </w:rPr>
        <w:t>skills</w:t>
      </w:r>
      <w:r w:rsidR="66007347" w:rsidRPr="007D116C">
        <w:rPr>
          <w:rFonts w:ascii="Calibri" w:eastAsia="Times New Roman" w:hAnsi="Calibri" w:cs="Calibri"/>
          <w:lang w:eastAsia="en-GB"/>
        </w:rPr>
        <w:t>.</w:t>
      </w:r>
    </w:p>
    <w:p w14:paraId="00B2C714" w14:textId="1B8C42F5" w:rsidR="002C06C0" w:rsidRPr="007D116C" w:rsidRDefault="3C1D34F9" w:rsidP="002C06C0">
      <w:pPr>
        <w:pStyle w:val="ListParagraph"/>
        <w:numPr>
          <w:ilvl w:val="1"/>
          <w:numId w:val="2"/>
        </w:numPr>
        <w:contextualSpacing w:val="0"/>
        <w:textAlignment w:val="baseline"/>
        <w:rPr>
          <w:rFonts w:ascii="Calibri" w:eastAsia="Times New Roman" w:hAnsi="Calibri" w:cs="Calibri"/>
          <w:lang w:eastAsia="en-GB"/>
        </w:rPr>
      </w:pPr>
      <w:r w:rsidRPr="007D116C">
        <w:rPr>
          <w:rFonts w:ascii="Calibri" w:eastAsia="Times New Roman" w:hAnsi="Calibri" w:cs="Calibri"/>
          <w:lang w:eastAsia="en-GB"/>
        </w:rPr>
        <w:t xml:space="preserve">In South Australia and Western Australia, the experiences of board members closely match the technical or narrow focus of the boards’ roles. In South Australia, both the State Planning </w:t>
      </w:r>
      <w:r w:rsidR="216ECB54" w:rsidRPr="007D116C">
        <w:rPr>
          <w:rFonts w:ascii="Calibri" w:eastAsia="Times New Roman" w:hAnsi="Calibri" w:cs="Calibri"/>
          <w:lang w:eastAsia="en-GB"/>
        </w:rPr>
        <w:t>Commission</w:t>
      </w:r>
      <w:r w:rsidRPr="007D116C">
        <w:rPr>
          <w:rFonts w:ascii="Calibri" w:eastAsia="Times New Roman" w:hAnsi="Calibri" w:cs="Calibri"/>
          <w:lang w:eastAsia="en-GB"/>
        </w:rPr>
        <w:t xml:space="preserve"> and its Building Technical Panel feature strong representation of current and former public servants, and this is chiefly because many of these individuals have worked as planners in government. In Western Australia, the Building Services Board is designed to represent the different parts of the construction industry and so many of the members have worked as owners of or practitioners in private business.</w:t>
      </w:r>
    </w:p>
    <w:p w14:paraId="3185055C" w14:textId="155A26B9" w:rsidR="00AB0C7D" w:rsidRPr="007D116C" w:rsidRDefault="1A318E0F" w:rsidP="008652E2">
      <w:pPr>
        <w:pStyle w:val="ListParagraph"/>
        <w:numPr>
          <w:ilvl w:val="0"/>
          <w:numId w:val="2"/>
        </w:numPr>
        <w:ind w:left="0" w:hanging="426"/>
        <w:textAlignment w:val="baseline"/>
        <w:rPr>
          <w:rFonts w:ascii="Calibri" w:eastAsia="Times New Roman" w:hAnsi="Calibri" w:cs="Calibri"/>
          <w:lang w:eastAsia="en-GB"/>
        </w:rPr>
      </w:pPr>
      <w:r w:rsidRPr="007D116C">
        <w:rPr>
          <w:rFonts w:ascii="Calibri" w:eastAsia="Times New Roman" w:hAnsi="Calibri" w:cs="Calibri"/>
          <w:lang w:eastAsia="en-GB"/>
        </w:rPr>
        <w:t xml:space="preserve">Addressing the issue of diversity as a feature of </w:t>
      </w:r>
      <w:r w:rsidR="7850B6B2" w:rsidRPr="007D116C">
        <w:rPr>
          <w:rFonts w:ascii="Calibri" w:eastAsia="Times New Roman" w:hAnsi="Calibri" w:cs="Calibri"/>
          <w:lang w:eastAsia="en-GB"/>
        </w:rPr>
        <w:t xml:space="preserve">lived </w:t>
      </w:r>
      <w:r w:rsidRPr="007D116C">
        <w:rPr>
          <w:rFonts w:ascii="Calibri" w:eastAsia="Times New Roman" w:hAnsi="Calibri" w:cs="Calibri"/>
          <w:lang w:eastAsia="en-GB"/>
        </w:rPr>
        <w:t>experience as much as</w:t>
      </w:r>
      <w:r w:rsidR="2DAA2F6A" w:rsidRPr="007D116C">
        <w:rPr>
          <w:rFonts w:ascii="Calibri" w:eastAsia="Times New Roman" w:hAnsi="Calibri" w:cs="Calibri"/>
          <w:lang w:eastAsia="en-GB"/>
        </w:rPr>
        <w:t xml:space="preserve"> community</w:t>
      </w:r>
      <w:r w:rsidRPr="007D116C">
        <w:rPr>
          <w:rFonts w:ascii="Calibri" w:eastAsia="Times New Roman" w:hAnsi="Calibri" w:cs="Calibri"/>
          <w:lang w:eastAsia="en-GB"/>
        </w:rPr>
        <w:t xml:space="preserve"> representation</w:t>
      </w:r>
      <w:r w:rsidR="2DAA2F6A" w:rsidRPr="007D116C">
        <w:rPr>
          <w:rFonts w:ascii="Calibri" w:eastAsia="Times New Roman" w:hAnsi="Calibri" w:cs="Calibri"/>
          <w:lang w:eastAsia="en-GB"/>
        </w:rPr>
        <w:t>,</w:t>
      </w:r>
      <w:r w:rsidRPr="007D116C">
        <w:rPr>
          <w:rFonts w:ascii="Calibri" w:eastAsia="Times New Roman" w:hAnsi="Calibri" w:cs="Calibri"/>
          <w:lang w:eastAsia="en-GB"/>
        </w:rPr>
        <w:t xml:space="preserve"> </w:t>
      </w:r>
      <w:r w:rsidR="2DAA2F6A" w:rsidRPr="007D116C">
        <w:rPr>
          <w:rFonts w:ascii="Calibri" w:eastAsia="Times New Roman" w:hAnsi="Calibri" w:cs="Calibri"/>
          <w:lang w:eastAsia="en-GB"/>
        </w:rPr>
        <w:t>t</w:t>
      </w:r>
      <w:r w:rsidRPr="007D116C">
        <w:rPr>
          <w:rFonts w:ascii="Calibri" w:eastAsia="Times New Roman" w:hAnsi="Calibri" w:cs="Calibri"/>
          <w:lang w:eastAsia="en-GB"/>
        </w:rPr>
        <w:t xml:space="preserve">he Victorian government guidelines </w:t>
      </w:r>
      <w:r w:rsidR="10BBB2D9" w:rsidRPr="007D116C">
        <w:rPr>
          <w:rFonts w:ascii="Calibri" w:eastAsia="Times New Roman" w:hAnsi="Calibri" w:cs="Calibri"/>
          <w:lang w:eastAsia="en-GB"/>
        </w:rPr>
        <w:t>are an instructive example of</w:t>
      </w:r>
      <w:r w:rsidR="5C40CCEA" w:rsidRPr="007D116C">
        <w:rPr>
          <w:rFonts w:ascii="Calibri" w:eastAsia="Times New Roman" w:hAnsi="Calibri" w:cs="Calibri"/>
          <w:lang w:eastAsia="en-GB"/>
        </w:rPr>
        <w:t xml:space="preserve"> </w:t>
      </w:r>
      <w:r w:rsidRPr="007D116C">
        <w:rPr>
          <w:rFonts w:ascii="Calibri" w:eastAsia="Times New Roman" w:hAnsi="Calibri" w:cs="Calibri"/>
          <w:lang w:eastAsia="en-GB"/>
        </w:rPr>
        <w:t xml:space="preserve">clarity </w:t>
      </w:r>
      <w:r w:rsidR="5C40CCEA" w:rsidRPr="007D116C">
        <w:rPr>
          <w:rFonts w:ascii="Calibri" w:eastAsia="Times New Roman" w:hAnsi="Calibri" w:cs="Calibri"/>
          <w:lang w:eastAsia="en-GB"/>
        </w:rPr>
        <w:t>about</w:t>
      </w:r>
      <w:r w:rsidRPr="007D116C">
        <w:rPr>
          <w:rFonts w:ascii="Calibri" w:eastAsia="Times New Roman" w:hAnsi="Calibri" w:cs="Calibri"/>
          <w:lang w:eastAsia="en-GB"/>
        </w:rPr>
        <w:t xml:space="preserve"> diversity and reporting on this. </w:t>
      </w:r>
      <w:r w:rsidR="4756C529" w:rsidRPr="007D116C">
        <w:rPr>
          <w:rFonts w:ascii="Calibri" w:eastAsia="Times New Roman" w:hAnsi="Calibri" w:cs="Calibri"/>
          <w:lang w:eastAsia="en-GB"/>
        </w:rPr>
        <w:t xml:space="preserve">Through Public </w:t>
      </w:r>
      <w:r w:rsidR="7850B6B2" w:rsidRPr="007D116C">
        <w:rPr>
          <w:rFonts w:ascii="Calibri" w:eastAsia="Times New Roman" w:hAnsi="Calibri" w:cs="Calibri"/>
          <w:lang w:eastAsia="en-GB"/>
        </w:rPr>
        <w:t>Boards</w:t>
      </w:r>
      <w:r w:rsidR="4756C529" w:rsidRPr="007D116C">
        <w:rPr>
          <w:rFonts w:ascii="Calibri" w:eastAsia="Times New Roman" w:hAnsi="Calibri" w:cs="Calibri"/>
          <w:lang w:eastAsia="en-GB"/>
        </w:rPr>
        <w:t xml:space="preserve"> </w:t>
      </w:r>
      <w:r w:rsidR="7850B6B2" w:rsidRPr="007D116C">
        <w:rPr>
          <w:rFonts w:ascii="Calibri" w:eastAsia="Times New Roman" w:hAnsi="Calibri" w:cs="Calibri"/>
          <w:lang w:eastAsia="en-GB"/>
        </w:rPr>
        <w:t xml:space="preserve">Appointments </w:t>
      </w:r>
      <w:r w:rsidR="04FFD569" w:rsidRPr="007D116C">
        <w:rPr>
          <w:rFonts w:ascii="Calibri" w:eastAsia="Times New Roman" w:hAnsi="Calibri" w:cs="Calibri"/>
          <w:lang w:eastAsia="en-GB"/>
        </w:rPr>
        <w:t>Victoria,</w:t>
      </w:r>
      <w:r w:rsidR="7850B6B2" w:rsidRPr="007D116C">
        <w:rPr>
          <w:rFonts w:ascii="Calibri" w:eastAsia="Times New Roman" w:hAnsi="Calibri" w:cs="Calibri"/>
          <w:lang w:eastAsia="en-GB"/>
        </w:rPr>
        <w:t xml:space="preserve"> a </w:t>
      </w:r>
      <w:r w:rsidRPr="007D116C">
        <w:rPr>
          <w:rFonts w:ascii="Calibri" w:eastAsia="Times New Roman" w:hAnsi="Calibri" w:cs="Calibri"/>
          <w:lang w:eastAsia="en-GB"/>
        </w:rPr>
        <w:t xml:space="preserve">clear set of resources </w:t>
      </w:r>
      <w:r w:rsidR="7A7BBE77" w:rsidRPr="007D116C">
        <w:rPr>
          <w:rFonts w:ascii="Calibri" w:eastAsia="Times New Roman" w:hAnsi="Calibri" w:cs="Calibri"/>
          <w:lang w:eastAsia="en-GB"/>
        </w:rPr>
        <w:t>including a skills matrix is offered</w:t>
      </w:r>
      <w:r w:rsidR="7850B6B2" w:rsidRPr="007D116C">
        <w:rPr>
          <w:rFonts w:ascii="Calibri" w:eastAsia="Times New Roman" w:hAnsi="Calibri" w:cs="Calibri"/>
          <w:lang w:eastAsia="en-GB"/>
        </w:rPr>
        <w:t>,</w:t>
      </w:r>
      <w:r w:rsidR="7A7BBE77" w:rsidRPr="007D116C">
        <w:rPr>
          <w:rFonts w:ascii="Calibri" w:eastAsia="Times New Roman" w:hAnsi="Calibri" w:cs="Calibri"/>
          <w:lang w:eastAsia="en-GB"/>
        </w:rPr>
        <w:t xml:space="preserve"> and while the guidelines are not strictly enforceable under the </w:t>
      </w:r>
      <w:r w:rsidR="79F7C268" w:rsidRPr="007D116C">
        <w:rPr>
          <w:rFonts w:ascii="Calibri" w:eastAsia="Times New Roman" w:hAnsi="Calibri" w:cs="Calibri"/>
          <w:lang w:eastAsia="en-GB"/>
        </w:rPr>
        <w:t>legislation</w:t>
      </w:r>
      <w:r w:rsidR="7A7BBE77" w:rsidRPr="007D116C">
        <w:rPr>
          <w:rFonts w:ascii="Calibri" w:eastAsia="Times New Roman" w:hAnsi="Calibri" w:cs="Calibri"/>
          <w:lang w:eastAsia="en-GB"/>
        </w:rPr>
        <w:t xml:space="preserve">, reporting to relevant </w:t>
      </w:r>
      <w:r w:rsidR="25034241" w:rsidRPr="007D116C">
        <w:rPr>
          <w:rFonts w:ascii="Calibri" w:eastAsia="Times New Roman" w:hAnsi="Calibri" w:cs="Calibri"/>
          <w:lang w:eastAsia="en-GB"/>
        </w:rPr>
        <w:t xml:space="preserve">authorities is </w:t>
      </w:r>
      <w:r w:rsidR="5C40CCEA" w:rsidRPr="007D116C">
        <w:rPr>
          <w:rFonts w:ascii="Calibri" w:eastAsia="Times New Roman" w:hAnsi="Calibri" w:cs="Calibri"/>
          <w:lang w:eastAsia="en-GB"/>
        </w:rPr>
        <w:t>mandatory</w:t>
      </w:r>
      <w:r w:rsidR="7E2C95F7" w:rsidRPr="007D116C">
        <w:rPr>
          <w:rFonts w:ascii="Calibri" w:eastAsia="Times New Roman" w:hAnsi="Calibri" w:cs="Calibri"/>
          <w:lang w:eastAsia="en-GB"/>
        </w:rPr>
        <w:t>, including reporting to, for example,</w:t>
      </w:r>
      <w:r w:rsidR="5C40CCEA" w:rsidRPr="007D116C">
        <w:rPr>
          <w:rFonts w:ascii="Calibri" w:eastAsia="Times New Roman" w:hAnsi="Calibri" w:cs="Calibri"/>
          <w:lang w:eastAsia="en-GB"/>
        </w:rPr>
        <w:t xml:space="preserve"> </w:t>
      </w:r>
      <w:r w:rsidR="25034241" w:rsidRPr="007D116C">
        <w:rPr>
          <w:rFonts w:ascii="Calibri" w:eastAsia="Times New Roman" w:hAnsi="Calibri" w:cs="Calibri"/>
          <w:lang w:eastAsia="en-GB"/>
        </w:rPr>
        <w:lastRenderedPageBreak/>
        <w:t xml:space="preserve">Aboriginal Affairs, </w:t>
      </w:r>
      <w:r w:rsidR="2DAA2F6A" w:rsidRPr="007D116C">
        <w:rPr>
          <w:rFonts w:ascii="Calibri" w:eastAsia="Times New Roman" w:hAnsi="Calibri" w:cs="Calibri"/>
          <w:lang w:eastAsia="en-GB"/>
        </w:rPr>
        <w:t>D</w:t>
      </w:r>
      <w:r w:rsidR="29610424" w:rsidRPr="007D116C">
        <w:rPr>
          <w:rFonts w:ascii="Calibri" w:eastAsia="Times New Roman" w:hAnsi="Calibri" w:cs="Calibri"/>
          <w:lang w:eastAsia="en-GB"/>
        </w:rPr>
        <w:t>epartment of Families, Fairness and Housing</w:t>
      </w:r>
      <w:r w:rsidR="2DAA2F6A" w:rsidRPr="007D116C">
        <w:rPr>
          <w:rFonts w:ascii="Calibri" w:eastAsia="Times New Roman" w:hAnsi="Calibri" w:cs="Calibri"/>
          <w:lang w:eastAsia="en-GB"/>
        </w:rPr>
        <w:t xml:space="preserve">, </w:t>
      </w:r>
      <w:r w:rsidR="29610424" w:rsidRPr="007D116C">
        <w:rPr>
          <w:rFonts w:ascii="Calibri" w:eastAsia="Times New Roman" w:hAnsi="Calibri" w:cs="Calibri"/>
          <w:lang w:eastAsia="en-GB"/>
        </w:rPr>
        <w:t xml:space="preserve">and </w:t>
      </w:r>
      <w:r w:rsidR="2DAA2F6A" w:rsidRPr="007D116C">
        <w:rPr>
          <w:rFonts w:ascii="Calibri" w:eastAsia="Times New Roman" w:hAnsi="Calibri" w:cs="Calibri"/>
          <w:lang w:eastAsia="en-GB"/>
        </w:rPr>
        <w:t>Regional Development</w:t>
      </w:r>
      <w:r w:rsidR="17ADD299" w:rsidRPr="007D116C">
        <w:rPr>
          <w:rFonts w:ascii="Calibri" w:eastAsia="Times New Roman" w:hAnsi="Calibri" w:cs="Calibri"/>
          <w:lang w:eastAsia="en-GB"/>
        </w:rPr>
        <w:t xml:space="preserve"> Victoria</w:t>
      </w:r>
      <w:r w:rsidR="2DAA2F6A" w:rsidRPr="007D116C">
        <w:rPr>
          <w:rFonts w:ascii="Calibri" w:eastAsia="Times New Roman" w:hAnsi="Calibri" w:cs="Calibri"/>
          <w:lang w:eastAsia="en-GB"/>
        </w:rPr>
        <w:t>.</w:t>
      </w:r>
      <w:r w:rsidR="0089121C" w:rsidRPr="007D116C">
        <w:rPr>
          <w:rStyle w:val="FootnoteReference"/>
          <w:rFonts w:ascii="Calibri" w:eastAsia="Times New Roman" w:hAnsi="Calibri" w:cs="Calibri"/>
          <w:lang w:eastAsia="en-GB"/>
        </w:rPr>
        <w:footnoteReference w:id="94"/>
      </w:r>
    </w:p>
    <w:p w14:paraId="572B5E88" w14:textId="55515F4E" w:rsidR="00AB0C7D" w:rsidRPr="007D116C" w:rsidRDefault="00AB0C7D" w:rsidP="004507EB">
      <w:pPr>
        <w:pStyle w:val="Heading2"/>
        <w:rPr>
          <w:rFonts w:ascii="Segoe UI" w:hAnsi="Segoe UI" w:cs="Segoe UI"/>
          <w:lang w:eastAsia="en-GB"/>
        </w:rPr>
      </w:pPr>
      <w:bookmarkStart w:id="27" w:name="_Toc100599136"/>
      <w:r w:rsidRPr="007D116C">
        <w:rPr>
          <w:lang w:eastAsia="en-GB"/>
        </w:rPr>
        <w:t>Conclusion to Part</w:t>
      </w:r>
      <w:r w:rsidR="00BA7B05" w:rsidRPr="007D116C">
        <w:rPr>
          <w:lang w:eastAsia="en-GB"/>
        </w:rPr>
        <w:t>s</w:t>
      </w:r>
      <w:r w:rsidRPr="007D116C">
        <w:rPr>
          <w:lang w:eastAsia="en-GB"/>
        </w:rPr>
        <w:t xml:space="preserve"> A</w:t>
      </w:r>
      <w:r w:rsidR="009E235C" w:rsidRPr="007D116C">
        <w:rPr>
          <w:lang w:eastAsia="en-GB"/>
        </w:rPr>
        <w:t xml:space="preserve"> - C</w:t>
      </w:r>
      <w:bookmarkEnd w:id="27"/>
    </w:p>
    <w:p w14:paraId="6F0076BB" w14:textId="4AB450F7" w:rsidR="00F323AD" w:rsidRPr="007D116C" w:rsidRDefault="62546A0E" w:rsidP="004507EB">
      <w:pPr>
        <w:pStyle w:val="ListParagraph"/>
        <w:numPr>
          <w:ilvl w:val="0"/>
          <w:numId w:val="2"/>
        </w:numPr>
        <w:spacing w:after="0"/>
        <w:ind w:left="0" w:hanging="426"/>
        <w:textAlignment w:val="baseline"/>
        <w:rPr>
          <w:rFonts w:ascii="Segoe UI" w:eastAsia="Times New Roman" w:hAnsi="Segoe UI" w:cs="Segoe UI"/>
          <w:lang w:eastAsia="en-GB"/>
        </w:rPr>
      </w:pPr>
      <w:r w:rsidRPr="007D116C">
        <w:rPr>
          <w:rFonts w:ascii="Calibri" w:eastAsia="Times New Roman" w:hAnsi="Calibri" w:cs="Calibri"/>
          <w:lang w:eastAsia="en-GB"/>
        </w:rPr>
        <w:t>The</w:t>
      </w:r>
      <w:r w:rsidR="3C1D34F9" w:rsidRPr="007D116C">
        <w:rPr>
          <w:rFonts w:ascii="Calibri" w:eastAsia="Times New Roman" w:hAnsi="Calibri" w:cs="Calibri"/>
          <w:lang w:eastAsia="en-GB"/>
        </w:rPr>
        <w:t xml:space="preserve"> analysis of the QBCC’s governance model </w:t>
      </w:r>
      <w:r w:rsidRPr="007D116C">
        <w:rPr>
          <w:rFonts w:ascii="Calibri" w:eastAsia="Times New Roman" w:hAnsi="Calibri" w:cs="Calibri"/>
          <w:lang w:eastAsia="en-GB"/>
        </w:rPr>
        <w:t>undertaken so far identifies</w:t>
      </w:r>
      <w:r w:rsidR="3C1D34F9" w:rsidRPr="007D116C">
        <w:rPr>
          <w:rFonts w:ascii="Calibri" w:eastAsia="Times New Roman" w:hAnsi="Calibri" w:cs="Calibri"/>
          <w:lang w:eastAsia="en-GB"/>
        </w:rPr>
        <w:t xml:space="preserve"> </w:t>
      </w:r>
      <w:r w:rsidR="0A8B94D8" w:rsidRPr="007D116C">
        <w:rPr>
          <w:rFonts w:ascii="Calibri" w:eastAsia="Times New Roman" w:hAnsi="Calibri" w:cs="Calibri"/>
          <w:lang w:eastAsia="en-GB"/>
        </w:rPr>
        <w:t>4</w:t>
      </w:r>
      <w:r w:rsidR="3C1D34F9" w:rsidRPr="007D116C">
        <w:rPr>
          <w:rFonts w:ascii="Calibri" w:eastAsia="Times New Roman" w:hAnsi="Calibri" w:cs="Calibri"/>
          <w:lang w:eastAsia="en-GB"/>
        </w:rPr>
        <w:t xml:space="preserve"> </w:t>
      </w:r>
      <w:r w:rsidRPr="007D116C">
        <w:rPr>
          <w:rFonts w:ascii="Calibri" w:eastAsia="Times New Roman" w:hAnsi="Calibri" w:cs="Calibri"/>
          <w:lang w:eastAsia="en-GB"/>
        </w:rPr>
        <w:t>features</w:t>
      </w:r>
      <w:r w:rsidR="007F2D1D" w:rsidRPr="007D116C">
        <w:rPr>
          <w:rFonts w:ascii="Calibri" w:eastAsia="Times New Roman" w:hAnsi="Calibri" w:cs="Calibri"/>
          <w:lang w:eastAsia="en-GB"/>
        </w:rPr>
        <w:t>.</w:t>
      </w:r>
      <w:r w:rsidR="3C1D34F9" w:rsidRPr="007D116C">
        <w:rPr>
          <w:rFonts w:ascii="Calibri" w:eastAsia="Times New Roman" w:hAnsi="Calibri" w:cs="Calibri"/>
          <w:lang w:eastAsia="en-GB"/>
        </w:rPr>
        <w:t xml:space="preserve"> </w:t>
      </w:r>
      <w:r w:rsidR="007F2D1D" w:rsidRPr="007D116C">
        <w:rPr>
          <w:rFonts w:ascii="Calibri" w:eastAsia="Times New Roman" w:hAnsi="Calibri" w:cs="Calibri"/>
          <w:lang w:eastAsia="en-GB"/>
        </w:rPr>
        <w:t>F</w:t>
      </w:r>
      <w:r w:rsidR="3C1D34F9" w:rsidRPr="007D116C">
        <w:rPr>
          <w:rFonts w:ascii="Calibri" w:eastAsia="Times New Roman" w:hAnsi="Calibri" w:cs="Calibri"/>
          <w:lang w:eastAsia="en-GB"/>
        </w:rPr>
        <w:t xml:space="preserve">irst, that it is structurally a one-stop shop with </w:t>
      </w:r>
      <w:r w:rsidR="00F46862" w:rsidRPr="007D116C">
        <w:rPr>
          <w:rFonts w:ascii="Calibri" w:eastAsia="Times New Roman" w:hAnsi="Calibri" w:cs="Calibri"/>
          <w:lang w:eastAsia="en-GB"/>
        </w:rPr>
        <w:t xml:space="preserve">a range </w:t>
      </w:r>
      <w:r w:rsidR="00681B96" w:rsidRPr="007D116C">
        <w:rPr>
          <w:rFonts w:ascii="Calibri" w:eastAsia="Times New Roman" w:hAnsi="Calibri" w:cs="Calibri"/>
          <w:lang w:eastAsia="en-GB"/>
        </w:rPr>
        <w:t>of</w:t>
      </w:r>
      <w:r w:rsidR="3C1D34F9" w:rsidRPr="007D116C">
        <w:rPr>
          <w:rFonts w:ascii="Calibri" w:eastAsia="Times New Roman" w:hAnsi="Calibri" w:cs="Calibri"/>
          <w:lang w:eastAsia="en-GB"/>
        </w:rPr>
        <w:t xml:space="preserve"> </w:t>
      </w:r>
      <w:r w:rsidR="00681B96" w:rsidRPr="007D116C">
        <w:rPr>
          <w:rFonts w:ascii="Calibri" w:eastAsia="Times New Roman" w:hAnsi="Calibri" w:cs="Calibri"/>
          <w:lang w:eastAsia="en-GB"/>
        </w:rPr>
        <w:t xml:space="preserve">related </w:t>
      </w:r>
      <w:r w:rsidR="3C1D34F9" w:rsidRPr="007D116C">
        <w:rPr>
          <w:rFonts w:ascii="Calibri" w:eastAsia="Times New Roman" w:hAnsi="Calibri" w:cs="Calibri"/>
          <w:lang w:eastAsia="en-GB"/>
        </w:rPr>
        <w:t>functions</w:t>
      </w:r>
      <w:r w:rsidR="00D822BF" w:rsidRPr="007D116C">
        <w:rPr>
          <w:rFonts w:ascii="Calibri" w:eastAsia="Times New Roman" w:hAnsi="Calibri" w:cs="Calibri"/>
          <w:lang w:eastAsia="en-GB"/>
        </w:rPr>
        <w:t xml:space="preserve"> </w:t>
      </w:r>
      <w:r w:rsidR="00DE7FB0" w:rsidRPr="007D116C">
        <w:rPr>
          <w:rFonts w:ascii="Calibri" w:eastAsia="Times New Roman" w:hAnsi="Calibri" w:cs="Calibri"/>
          <w:lang w:eastAsia="en-GB"/>
        </w:rPr>
        <w:t>although</w:t>
      </w:r>
      <w:r w:rsidR="00D822BF" w:rsidRPr="007D116C">
        <w:rPr>
          <w:rFonts w:ascii="Calibri" w:eastAsia="Times New Roman" w:hAnsi="Calibri" w:cs="Calibri"/>
          <w:lang w:eastAsia="en-GB"/>
        </w:rPr>
        <w:t xml:space="preserve"> </w:t>
      </w:r>
      <w:r w:rsidR="009B2927" w:rsidRPr="007D116C">
        <w:rPr>
          <w:rFonts w:ascii="Calibri" w:eastAsia="Times New Roman" w:hAnsi="Calibri" w:cs="Calibri"/>
          <w:lang w:eastAsia="en-GB"/>
        </w:rPr>
        <w:t xml:space="preserve">with </w:t>
      </w:r>
      <w:r w:rsidR="00B315FD" w:rsidRPr="007D116C">
        <w:rPr>
          <w:rFonts w:ascii="Calibri" w:eastAsia="Times New Roman" w:hAnsi="Calibri" w:cs="Calibri"/>
          <w:lang w:eastAsia="en-GB"/>
        </w:rPr>
        <w:t>internal separat</w:t>
      </w:r>
      <w:r w:rsidR="00893624" w:rsidRPr="007D116C">
        <w:rPr>
          <w:rFonts w:ascii="Calibri" w:eastAsia="Times New Roman" w:hAnsi="Calibri" w:cs="Calibri"/>
          <w:lang w:eastAsia="en-GB"/>
        </w:rPr>
        <w:t>ion</w:t>
      </w:r>
      <w:r w:rsidR="00B315FD" w:rsidRPr="007D116C">
        <w:rPr>
          <w:rFonts w:ascii="Calibri" w:eastAsia="Times New Roman" w:hAnsi="Calibri" w:cs="Calibri"/>
          <w:lang w:eastAsia="en-GB"/>
        </w:rPr>
        <w:t xml:space="preserve"> </w:t>
      </w:r>
      <w:r w:rsidR="008E3F71" w:rsidRPr="007D116C">
        <w:rPr>
          <w:rFonts w:ascii="Calibri" w:eastAsia="Times New Roman" w:hAnsi="Calibri" w:cs="Calibri"/>
          <w:lang w:eastAsia="en-GB"/>
        </w:rPr>
        <w:t xml:space="preserve">of its </w:t>
      </w:r>
      <w:r w:rsidR="00B315FD" w:rsidRPr="007D116C">
        <w:rPr>
          <w:rFonts w:ascii="Calibri" w:eastAsia="Times New Roman" w:hAnsi="Calibri" w:cs="Calibri"/>
          <w:lang w:eastAsia="en-GB"/>
        </w:rPr>
        <w:t>insurance</w:t>
      </w:r>
      <w:r w:rsidR="007A0B05" w:rsidRPr="007D116C">
        <w:rPr>
          <w:rFonts w:ascii="Calibri" w:eastAsia="Times New Roman" w:hAnsi="Calibri" w:cs="Calibri"/>
          <w:lang w:eastAsia="en-GB"/>
        </w:rPr>
        <w:t xml:space="preserve"> fund</w:t>
      </w:r>
      <w:r w:rsidR="00DE7FB0" w:rsidRPr="007D116C">
        <w:rPr>
          <w:rFonts w:ascii="Calibri" w:eastAsia="Times New Roman" w:hAnsi="Calibri" w:cs="Calibri"/>
          <w:lang w:eastAsia="en-GB"/>
        </w:rPr>
        <w:t xml:space="preserve"> management as </w:t>
      </w:r>
      <w:r w:rsidR="00117C47" w:rsidRPr="007D116C">
        <w:rPr>
          <w:rFonts w:ascii="Calibri" w:eastAsia="Times New Roman" w:hAnsi="Calibri" w:cs="Calibri"/>
          <w:lang w:eastAsia="en-GB"/>
        </w:rPr>
        <w:t>part of</w:t>
      </w:r>
      <w:r w:rsidR="00DE7FB0" w:rsidRPr="007D116C">
        <w:rPr>
          <w:rFonts w:ascii="Calibri" w:eastAsia="Times New Roman" w:hAnsi="Calibri" w:cs="Calibri"/>
          <w:lang w:eastAsia="en-GB"/>
        </w:rPr>
        <w:t xml:space="preserve"> stat</w:t>
      </w:r>
      <w:r w:rsidR="009B2927" w:rsidRPr="007D116C">
        <w:rPr>
          <w:rFonts w:ascii="Calibri" w:eastAsia="Times New Roman" w:hAnsi="Calibri" w:cs="Calibri"/>
          <w:lang w:eastAsia="en-GB"/>
        </w:rPr>
        <w:t>utory requirement</w:t>
      </w:r>
      <w:r w:rsidR="00117C47" w:rsidRPr="007D116C">
        <w:rPr>
          <w:rFonts w:ascii="Calibri" w:eastAsia="Times New Roman" w:hAnsi="Calibri" w:cs="Calibri"/>
          <w:lang w:eastAsia="en-GB"/>
        </w:rPr>
        <w:t>s</w:t>
      </w:r>
      <w:r w:rsidR="008E3F71" w:rsidRPr="007D116C">
        <w:rPr>
          <w:rFonts w:ascii="Calibri" w:eastAsia="Times New Roman" w:hAnsi="Calibri" w:cs="Calibri"/>
          <w:lang w:eastAsia="en-GB"/>
        </w:rPr>
        <w:t>.</w:t>
      </w:r>
      <w:r w:rsidR="3C1D34F9" w:rsidRPr="007D116C">
        <w:rPr>
          <w:rFonts w:ascii="Calibri" w:eastAsia="Times New Roman" w:hAnsi="Calibri" w:cs="Calibri"/>
          <w:lang w:eastAsia="en-GB"/>
        </w:rPr>
        <w:t xml:space="preserve"> </w:t>
      </w:r>
      <w:r w:rsidR="008E3F71" w:rsidRPr="007D116C">
        <w:rPr>
          <w:rFonts w:ascii="Calibri" w:eastAsia="Times New Roman" w:hAnsi="Calibri" w:cs="Calibri"/>
          <w:lang w:eastAsia="en-GB"/>
        </w:rPr>
        <w:t>S</w:t>
      </w:r>
      <w:r w:rsidR="3C1D34F9" w:rsidRPr="007D116C">
        <w:rPr>
          <w:rFonts w:ascii="Calibri" w:eastAsia="Times New Roman" w:hAnsi="Calibri" w:cs="Calibri"/>
          <w:lang w:eastAsia="en-GB"/>
        </w:rPr>
        <w:t xml:space="preserve">econdly, that </w:t>
      </w:r>
      <w:r w:rsidR="0036691C" w:rsidRPr="007D116C">
        <w:rPr>
          <w:rFonts w:ascii="Calibri" w:eastAsia="Times New Roman" w:hAnsi="Calibri" w:cs="Calibri"/>
          <w:lang w:eastAsia="en-GB"/>
        </w:rPr>
        <w:t>QBCC</w:t>
      </w:r>
      <w:r w:rsidR="00BA0904" w:rsidRPr="007D116C">
        <w:rPr>
          <w:rFonts w:ascii="Calibri" w:eastAsia="Times New Roman" w:hAnsi="Calibri" w:cs="Calibri"/>
          <w:lang w:eastAsia="en-GB"/>
        </w:rPr>
        <w:t>’s</w:t>
      </w:r>
      <w:r w:rsidR="0036691C" w:rsidRPr="007D116C">
        <w:rPr>
          <w:rFonts w:ascii="Calibri" w:eastAsia="Times New Roman" w:hAnsi="Calibri" w:cs="Calibri"/>
          <w:lang w:eastAsia="en-GB"/>
        </w:rPr>
        <w:t xml:space="preserve"> </w:t>
      </w:r>
      <w:r w:rsidR="006729DB" w:rsidRPr="007D116C">
        <w:rPr>
          <w:rFonts w:ascii="Calibri" w:eastAsia="Times New Roman" w:hAnsi="Calibri" w:cs="Calibri"/>
          <w:lang w:eastAsia="en-GB"/>
        </w:rPr>
        <w:t xml:space="preserve">overall </w:t>
      </w:r>
      <w:r w:rsidR="000909CB" w:rsidRPr="007D116C">
        <w:rPr>
          <w:rFonts w:ascii="Calibri" w:eastAsia="Times New Roman" w:hAnsi="Calibri" w:cs="Calibri"/>
          <w:lang w:eastAsia="en-GB"/>
        </w:rPr>
        <w:t xml:space="preserve">financial position </w:t>
      </w:r>
      <w:r w:rsidR="3C1D34F9" w:rsidRPr="007D116C">
        <w:rPr>
          <w:rFonts w:ascii="Calibri" w:eastAsia="Times New Roman" w:hAnsi="Calibri" w:cs="Calibri"/>
          <w:lang w:eastAsia="en-GB"/>
        </w:rPr>
        <w:t>seems adequate to its functions</w:t>
      </w:r>
      <w:r w:rsidR="00333DF1" w:rsidRPr="007D116C">
        <w:rPr>
          <w:rFonts w:ascii="Calibri" w:eastAsia="Times New Roman" w:hAnsi="Calibri" w:cs="Calibri"/>
          <w:lang w:eastAsia="en-GB"/>
        </w:rPr>
        <w:t xml:space="preserve"> but</w:t>
      </w:r>
      <w:r w:rsidR="000909CB" w:rsidRPr="007D116C">
        <w:rPr>
          <w:rFonts w:ascii="Calibri" w:eastAsia="Times New Roman" w:hAnsi="Calibri" w:cs="Calibri"/>
          <w:lang w:eastAsia="en-GB"/>
        </w:rPr>
        <w:t xml:space="preserve"> only because </w:t>
      </w:r>
      <w:r w:rsidR="00333DF1" w:rsidRPr="007D116C">
        <w:rPr>
          <w:rFonts w:ascii="Calibri" w:eastAsia="Times New Roman" w:hAnsi="Calibri" w:cs="Calibri"/>
          <w:lang w:eastAsia="en-GB"/>
        </w:rPr>
        <w:t>the statutory insurance fund performs well</w:t>
      </w:r>
      <w:r w:rsidR="3C1D34F9" w:rsidRPr="007D116C">
        <w:rPr>
          <w:rFonts w:ascii="Calibri" w:eastAsia="Times New Roman" w:hAnsi="Calibri" w:cs="Calibri"/>
          <w:lang w:eastAsia="en-GB"/>
        </w:rPr>
        <w:t xml:space="preserve">; </w:t>
      </w:r>
      <w:r w:rsidR="00B51C11" w:rsidRPr="007D116C">
        <w:rPr>
          <w:rFonts w:ascii="Calibri" w:eastAsia="Times New Roman" w:hAnsi="Calibri" w:cs="Calibri"/>
          <w:lang w:eastAsia="en-GB"/>
        </w:rPr>
        <w:t xml:space="preserve">in fact, and </w:t>
      </w:r>
      <w:r w:rsidR="00D45ED5" w:rsidRPr="007D116C">
        <w:rPr>
          <w:rFonts w:ascii="Calibri" w:eastAsia="Times New Roman" w:hAnsi="Calibri" w:cs="Calibri"/>
          <w:lang w:eastAsia="en-GB"/>
        </w:rPr>
        <w:t xml:space="preserve">to meet </w:t>
      </w:r>
      <w:r w:rsidR="004330CD" w:rsidRPr="007D116C">
        <w:rPr>
          <w:rFonts w:ascii="Calibri" w:eastAsia="Times New Roman" w:hAnsi="Calibri" w:cs="Calibri"/>
          <w:lang w:eastAsia="en-GB"/>
        </w:rPr>
        <w:t>requirements</w:t>
      </w:r>
      <w:r w:rsidR="00D45ED5" w:rsidRPr="007D116C">
        <w:rPr>
          <w:rFonts w:ascii="Calibri" w:eastAsia="Times New Roman" w:hAnsi="Calibri" w:cs="Calibri"/>
          <w:lang w:eastAsia="en-GB"/>
        </w:rPr>
        <w:t xml:space="preserve"> of recent </w:t>
      </w:r>
      <w:r w:rsidR="004330CD" w:rsidRPr="007D116C">
        <w:rPr>
          <w:rFonts w:ascii="Calibri" w:eastAsia="Times New Roman" w:hAnsi="Calibri" w:cs="Calibri"/>
          <w:lang w:eastAsia="en-GB"/>
        </w:rPr>
        <w:t>reform</w:t>
      </w:r>
      <w:r w:rsidR="00D45ED5" w:rsidRPr="007D116C">
        <w:rPr>
          <w:rFonts w:ascii="Calibri" w:eastAsia="Times New Roman" w:hAnsi="Calibri" w:cs="Calibri"/>
          <w:lang w:eastAsia="en-GB"/>
        </w:rPr>
        <w:t xml:space="preserve"> of the sector, </w:t>
      </w:r>
      <w:r w:rsidR="004330CD" w:rsidRPr="007D116C">
        <w:rPr>
          <w:rFonts w:ascii="Calibri" w:eastAsia="Times New Roman" w:hAnsi="Calibri" w:cs="Calibri"/>
          <w:lang w:eastAsia="en-GB"/>
        </w:rPr>
        <w:t>operational</w:t>
      </w:r>
      <w:r w:rsidR="00D45ED5" w:rsidRPr="007D116C">
        <w:rPr>
          <w:rFonts w:ascii="Calibri" w:eastAsia="Times New Roman" w:hAnsi="Calibri" w:cs="Calibri"/>
          <w:lang w:eastAsia="en-GB"/>
        </w:rPr>
        <w:t xml:space="preserve"> funding </w:t>
      </w:r>
      <w:r w:rsidR="009A7323" w:rsidRPr="007D116C">
        <w:rPr>
          <w:rFonts w:ascii="Calibri" w:eastAsia="Times New Roman" w:hAnsi="Calibri" w:cs="Calibri"/>
          <w:lang w:eastAsia="en-GB"/>
        </w:rPr>
        <w:t xml:space="preserve">for non-insurance activities and derived from fees and levies </w:t>
      </w:r>
      <w:r w:rsidR="00E62BAA" w:rsidRPr="007D116C">
        <w:rPr>
          <w:rFonts w:ascii="Calibri" w:eastAsia="Times New Roman" w:hAnsi="Calibri" w:cs="Calibri"/>
          <w:lang w:eastAsia="en-GB"/>
        </w:rPr>
        <w:t>is insufficient</w:t>
      </w:r>
      <w:r w:rsidR="009A7323" w:rsidRPr="007D116C">
        <w:rPr>
          <w:rFonts w:ascii="Calibri" w:eastAsia="Times New Roman" w:hAnsi="Calibri" w:cs="Calibri"/>
          <w:lang w:eastAsia="en-GB"/>
        </w:rPr>
        <w:t>.</w:t>
      </w:r>
      <w:r w:rsidR="008E3352" w:rsidRPr="007D116C">
        <w:rPr>
          <w:rFonts w:ascii="Calibri" w:eastAsia="Times New Roman" w:hAnsi="Calibri" w:cs="Calibri"/>
          <w:lang w:eastAsia="en-GB"/>
        </w:rPr>
        <w:t xml:space="preserve"> Other government grants </w:t>
      </w:r>
      <w:r w:rsidR="007906DE" w:rsidRPr="007D116C">
        <w:rPr>
          <w:rFonts w:ascii="Calibri" w:eastAsia="Times New Roman" w:hAnsi="Calibri" w:cs="Calibri"/>
          <w:lang w:eastAsia="en-GB"/>
        </w:rPr>
        <w:t xml:space="preserve">have </w:t>
      </w:r>
      <w:r w:rsidR="00235A4F" w:rsidRPr="007D116C">
        <w:rPr>
          <w:rFonts w:ascii="Calibri" w:eastAsia="Times New Roman" w:hAnsi="Calibri" w:cs="Calibri"/>
          <w:lang w:eastAsia="en-GB"/>
        </w:rPr>
        <w:t>supported operations.</w:t>
      </w:r>
      <w:r w:rsidR="004330CD" w:rsidRPr="007D116C">
        <w:rPr>
          <w:rFonts w:ascii="Calibri" w:eastAsia="Times New Roman" w:hAnsi="Calibri" w:cs="Calibri"/>
          <w:lang w:eastAsia="en-GB"/>
        </w:rPr>
        <w:t xml:space="preserve"> </w:t>
      </w:r>
      <w:r w:rsidR="009A7323" w:rsidRPr="007D116C">
        <w:rPr>
          <w:rFonts w:ascii="Calibri" w:eastAsia="Times New Roman" w:hAnsi="Calibri" w:cs="Calibri"/>
          <w:lang w:eastAsia="en-GB"/>
        </w:rPr>
        <w:t>T</w:t>
      </w:r>
      <w:r w:rsidR="3C1D34F9" w:rsidRPr="007D116C">
        <w:rPr>
          <w:rFonts w:ascii="Calibri" w:eastAsia="Times New Roman" w:hAnsi="Calibri" w:cs="Calibri"/>
          <w:lang w:eastAsia="en-GB"/>
        </w:rPr>
        <w:t xml:space="preserve">hirdly and fourthly, </w:t>
      </w:r>
      <w:r w:rsidR="79421413" w:rsidRPr="007D116C">
        <w:rPr>
          <w:rFonts w:ascii="Calibri" w:eastAsia="Times New Roman" w:hAnsi="Calibri" w:cs="Calibri"/>
          <w:lang w:eastAsia="en-GB"/>
        </w:rPr>
        <w:t xml:space="preserve">further consideration could be given to the </w:t>
      </w:r>
      <w:r w:rsidR="1B9E208E" w:rsidRPr="007D116C">
        <w:rPr>
          <w:rFonts w:ascii="Calibri" w:eastAsia="Times New Roman" w:hAnsi="Calibri" w:cs="Calibri"/>
          <w:lang w:eastAsia="en-GB"/>
        </w:rPr>
        <w:t>specificity</w:t>
      </w:r>
      <w:r w:rsidR="56367D49" w:rsidRPr="007D116C">
        <w:rPr>
          <w:rFonts w:ascii="Calibri" w:eastAsia="Times New Roman" w:hAnsi="Calibri" w:cs="Calibri"/>
          <w:lang w:eastAsia="en-GB"/>
        </w:rPr>
        <w:t xml:space="preserve"> </w:t>
      </w:r>
      <w:r w:rsidR="0591953A" w:rsidRPr="007D116C">
        <w:rPr>
          <w:rFonts w:ascii="Calibri" w:eastAsia="Times New Roman" w:hAnsi="Calibri" w:cs="Calibri"/>
          <w:lang w:eastAsia="en-GB"/>
        </w:rPr>
        <w:t>of the mandate</w:t>
      </w:r>
      <w:r w:rsidR="30074F68" w:rsidRPr="007D116C">
        <w:rPr>
          <w:rFonts w:ascii="Calibri" w:eastAsia="Times New Roman" w:hAnsi="Calibri" w:cs="Calibri"/>
          <w:lang w:eastAsia="en-GB"/>
        </w:rPr>
        <w:t>s</w:t>
      </w:r>
      <w:r w:rsidR="0591953A" w:rsidRPr="007D116C">
        <w:rPr>
          <w:rFonts w:ascii="Calibri" w:eastAsia="Times New Roman" w:hAnsi="Calibri" w:cs="Calibri"/>
          <w:lang w:eastAsia="en-GB"/>
        </w:rPr>
        <w:t xml:space="preserve"> </w:t>
      </w:r>
      <w:r w:rsidR="30074F68" w:rsidRPr="007D116C">
        <w:rPr>
          <w:rFonts w:ascii="Calibri" w:eastAsia="Times New Roman" w:hAnsi="Calibri" w:cs="Calibri"/>
          <w:lang w:eastAsia="en-GB"/>
        </w:rPr>
        <w:t xml:space="preserve">for </w:t>
      </w:r>
      <w:r w:rsidR="3C1D34F9" w:rsidRPr="007D116C">
        <w:rPr>
          <w:rFonts w:ascii="Calibri" w:eastAsia="Times New Roman" w:hAnsi="Calibri" w:cs="Calibri"/>
          <w:lang w:eastAsia="en-GB"/>
        </w:rPr>
        <w:t>regulatory strategy</w:t>
      </w:r>
      <w:r w:rsidR="30074F68" w:rsidRPr="007D116C">
        <w:rPr>
          <w:rFonts w:ascii="Calibri" w:eastAsia="Times New Roman" w:hAnsi="Calibri" w:cs="Calibri"/>
          <w:lang w:eastAsia="en-GB"/>
        </w:rPr>
        <w:t xml:space="preserve"> given</w:t>
      </w:r>
      <w:r w:rsidR="1575A6C7" w:rsidRPr="007D116C">
        <w:rPr>
          <w:rFonts w:ascii="Calibri" w:eastAsia="Times New Roman" w:hAnsi="Calibri" w:cs="Calibri"/>
          <w:lang w:eastAsia="en-GB"/>
        </w:rPr>
        <w:t xml:space="preserve"> to the Board and the agency</w:t>
      </w:r>
      <w:r w:rsidR="22197450" w:rsidRPr="007D116C">
        <w:rPr>
          <w:rFonts w:ascii="Calibri" w:eastAsia="Times New Roman" w:hAnsi="Calibri" w:cs="Calibri"/>
          <w:lang w:eastAsia="en-GB"/>
        </w:rPr>
        <w:t xml:space="preserve">. </w:t>
      </w:r>
      <w:r w:rsidR="3C1D34F9" w:rsidRPr="007D116C">
        <w:rPr>
          <w:rFonts w:ascii="Calibri" w:eastAsia="Times New Roman" w:hAnsi="Calibri" w:cs="Calibri"/>
          <w:lang w:eastAsia="en-GB"/>
        </w:rPr>
        <w:t xml:space="preserve">These </w:t>
      </w:r>
      <w:r w:rsidR="0EEEE29B" w:rsidRPr="007D116C">
        <w:rPr>
          <w:rFonts w:ascii="Calibri" w:eastAsia="Times New Roman" w:hAnsi="Calibri" w:cs="Calibri"/>
          <w:lang w:eastAsia="en-GB"/>
        </w:rPr>
        <w:t>features</w:t>
      </w:r>
      <w:r w:rsidR="3C1D34F9" w:rsidRPr="007D116C">
        <w:rPr>
          <w:rFonts w:ascii="Calibri" w:eastAsia="Times New Roman" w:hAnsi="Calibri" w:cs="Calibri"/>
          <w:lang w:eastAsia="en-GB"/>
        </w:rPr>
        <w:t xml:space="preserve"> were compared to the OECD’s literature and guidance on regulatory governance to indicate where the QBCC </w:t>
      </w:r>
      <w:r w:rsidR="6E960D4E" w:rsidRPr="007D116C">
        <w:rPr>
          <w:rFonts w:ascii="Calibri" w:eastAsia="Times New Roman" w:hAnsi="Calibri" w:cs="Calibri"/>
          <w:lang w:eastAsia="en-GB"/>
        </w:rPr>
        <w:t xml:space="preserve">builds </w:t>
      </w:r>
      <w:r w:rsidR="54CED108" w:rsidRPr="007D116C">
        <w:rPr>
          <w:rFonts w:ascii="Calibri" w:eastAsia="Times New Roman" w:hAnsi="Calibri" w:cs="Calibri"/>
          <w:lang w:eastAsia="en-GB"/>
        </w:rPr>
        <w:t>upon,</w:t>
      </w:r>
      <w:r w:rsidR="6E960D4E" w:rsidRPr="007D116C">
        <w:rPr>
          <w:rFonts w:ascii="Calibri" w:eastAsia="Times New Roman" w:hAnsi="Calibri" w:cs="Calibri"/>
          <w:lang w:eastAsia="en-GB"/>
        </w:rPr>
        <w:t xml:space="preserve"> </w:t>
      </w:r>
      <w:r w:rsidR="4FAC02DD" w:rsidRPr="007D116C">
        <w:rPr>
          <w:rFonts w:ascii="Calibri" w:eastAsia="Times New Roman" w:hAnsi="Calibri" w:cs="Calibri"/>
          <w:lang w:eastAsia="en-GB"/>
        </w:rPr>
        <w:t>or</w:t>
      </w:r>
      <w:r w:rsidR="22A6794D" w:rsidRPr="007D116C">
        <w:rPr>
          <w:rFonts w:ascii="Calibri" w:eastAsia="Times New Roman" w:hAnsi="Calibri" w:cs="Calibri"/>
          <w:lang w:eastAsia="en-GB"/>
        </w:rPr>
        <w:t xml:space="preserve"> exhibits </w:t>
      </w:r>
      <w:r w:rsidR="1EB72430" w:rsidRPr="007D116C">
        <w:rPr>
          <w:rFonts w:ascii="Calibri" w:eastAsia="Times New Roman" w:hAnsi="Calibri" w:cs="Calibri"/>
          <w:lang w:eastAsia="en-GB"/>
        </w:rPr>
        <w:t>features</w:t>
      </w:r>
      <w:r w:rsidR="098BDA7E" w:rsidRPr="007D116C">
        <w:rPr>
          <w:rFonts w:ascii="Calibri" w:eastAsia="Times New Roman" w:hAnsi="Calibri" w:cs="Calibri"/>
          <w:lang w:eastAsia="en-GB"/>
        </w:rPr>
        <w:t xml:space="preserve"> </w:t>
      </w:r>
      <w:r w:rsidR="454E4560" w:rsidRPr="007D116C">
        <w:rPr>
          <w:rFonts w:ascii="Calibri" w:eastAsia="Times New Roman" w:hAnsi="Calibri" w:cs="Calibri"/>
          <w:lang w:eastAsia="en-GB"/>
        </w:rPr>
        <w:t xml:space="preserve">that </w:t>
      </w:r>
      <w:r w:rsidR="18D79639" w:rsidRPr="007D116C">
        <w:rPr>
          <w:rFonts w:ascii="Calibri" w:eastAsia="Times New Roman" w:hAnsi="Calibri" w:cs="Calibri"/>
          <w:lang w:eastAsia="en-GB"/>
        </w:rPr>
        <w:t xml:space="preserve">are variations </w:t>
      </w:r>
      <w:r w:rsidR="01061265" w:rsidRPr="007D116C">
        <w:rPr>
          <w:rFonts w:ascii="Calibri" w:eastAsia="Times New Roman" w:hAnsi="Calibri" w:cs="Calibri"/>
          <w:lang w:eastAsia="en-GB"/>
        </w:rPr>
        <w:t>of</w:t>
      </w:r>
      <w:r w:rsidR="1664E311" w:rsidRPr="007D116C">
        <w:rPr>
          <w:rFonts w:ascii="Calibri" w:eastAsia="Times New Roman" w:hAnsi="Calibri" w:cs="Calibri"/>
          <w:lang w:eastAsia="en-GB"/>
        </w:rPr>
        <w:t>,</w:t>
      </w:r>
      <w:r w:rsidR="18D79639" w:rsidRPr="007D116C">
        <w:rPr>
          <w:rFonts w:ascii="Calibri" w:eastAsia="Times New Roman" w:hAnsi="Calibri" w:cs="Calibri"/>
          <w:lang w:eastAsia="en-GB"/>
        </w:rPr>
        <w:t xml:space="preserve"> </w:t>
      </w:r>
      <w:r w:rsidR="3C1D34F9" w:rsidRPr="007D116C">
        <w:rPr>
          <w:rFonts w:ascii="Calibri" w:eastAsia="Times New Roman" w:hAnsi="Calibri" w:cs="Calibri"/>
          <w:lang w:eastAsia="en-GB"/>
        </w:rPr>
        <w:t xml:space="preserve">best practice. The analysis then compared the QBCC to other Australian construction industry regulators. </w:t>
      </w:r>
      <w:r w:rsidR="659793C0" w:rsidRPr="007D116C">
        <w:rPr>
          <w:rFonts w:ascii="Calibri" w:eastAsia="Times New Roman" w:hAnsi="Calibri" w:cs="Calibri"/>
          <w:lang w:eastAsia="en-GB"/>
        </w:rPr>
        <w:t>The</w:t>
      </w:r>
      <w:r w:rsidR="3C1D34F9" w:rsidRPr="007D116C">
        <w:rPr>
          <w:rFonts w:ascii="Calibri" w:eastAsia="Times New Roman" w:hAnsi="Calibri" w:cs="Calibri"/>
          <w:lang w:eastAsia="en-GB"/>
        </w:rPr>
        <w:t xml:space="preserve"> other </w:t>
      </w:r>
      <w:r w:rsidR="659793C0" w:rsidRPr="007D116C">
        <w:rPr>
          <w:rFonts w:ascii="Calibri" w:eastAsia="Times New Roman" w:hAnsi="Calibri" w:cs="Calibri"/>
          <w:lang w:eastAsia="en-GB"/>
        </w:rPr>
        <w:t>states tend</w:t>
      </w:r>
      <w:r w:rsidR="3C1D34F9" w:rsidRPr="007D116C">
        <w:rPr>
          <w:rFonts w:ascii="Calibri" w:eastAsia="Times New Roman" w:hAnsi="Calibri" w:cs="Calibri"/>
          <w:lang w:eastAsia="en-GB"/>
        </w:rPr>
        <w:t xml:space="preserve"> </w:t>
      </w:r>
      <w:r w:rsidR="1DDC5EAE" w:rsidRPr="007D116C">
        <w:rPr>
          <w:rFonts w:ascii="Calibri" w:eastAsia="Times New Roman" w:hAnsi="Calibri" w:cs="Calibri"/>
          <w:lang w:eastAsia="en-GB"/>
        </w:rPr>
        <w:t xml:space="preserve">to </w:t>
      </w:r>
      <w:r w:rsidR="6F17322B" w:rsidRPr="007D116C">
        <w:rPr>
          <w:rFonts w:ascii="Calibri" w:eastAsia="Times New Roman" w:hAnsi="Calibri" w:cs="Calibri"/>
          <w:lang w:eastAsia="en-GB"/>
        </w:rPr>
        <w:t xml:space="preserve">have </w:t>
      </w:r>
      <w:r w:rsidR="659793C0" w:rsidRPr="007D116C">
        <w:rPr>
          <w:rFonts w:ascii="Calibri" w:eastAsia="Times New Roman" w:hAnsi="Calibri" w:cs="Calibri"/>
          <w:lang w:eastAsia="en-GB"/>
        </w:rPr>
        <w:t xml:space="preserve">models other than </w:t>
      </w:r>
      <w:r w:rsidR="48F77C36" w:rsidRPr="007D116C">
        <w:rPr>
          <w:rFonts w:ascii="Calibri" w:eastAsia="Times New Roman" w:hAnsi="Calibri" w:cs="Calibri"/>
          <w:lang w:eastAsia="en-GB"/>
        </w:rPr>
        <w:t>the one-stop shop</w:t>
      </w:r>
      <w:r w:rsidR="3C1D34F9" w:rsidRPr="007D116C">
        <w:rPr>
          <w:rFonts w:ascii="Calibri" w:eastAsia="Times New Roman" w:hAnsi="Calibri" w:cs="Calibri"/>
          <w:lang w:eastAsia="en-GB"/>
        </w:rPr>
        <w:t xml:space="preserve">, and the one that </w:t>
      </w:r>
      <w:r w:rsidR="392C0283" w:rsidRPr="007D116C">
        <w:rPr>
          <w:rFonts w:ascii="Calibri" w:eastAsia="Times New Roman" w:hAnsi="Calibri" w:cs="Calibri"/>
          <w:lang w:eastAsia="en-GB"/>
        </w:rPr>
        <w:t xml:space="preserve">currently </w:t>
      </w:r>
      <w:r w:rsidR="3C1D34F9" w:rsidRPr="007D116C">
        <w:rPr>
          <w:rFonts w:ascii="Calibri" w:eastAsia="Times New Roman" w:hAnsi="Calibri" w:cs="Calibri"/>
          <w:lang w:eastAsia="en-GB"/>
        </w:rPr>
        <w:t xml:space="preserve">is most </w:t>
      </w:r>
      <w:r w:rsidR="004A6083" w:rsidRPr="007D116C">
        <w:rPr>
          <w:rFonts w:ascii="Calibri" w:eastAsia="Times New Roman" w:hAnsi="Calibri" w:cs="Calibri"/>
          <w:lang w:eastAsia="en-GB"/>
        </w:rPr>
        <w:t>like</w:t>
      </w:r>
      <w:r w:rsidR="3C1D34F9" w:rsidRPr="007D116C">
        <w:rPr>
          <w:rFonts w:ascii="Calibri" w:eastAsia="Times New Roman" w:hAnsi="Calibri" w:cs="Calibri"/>
          <w:lang w:eastAsia="en-GB"/>
        </w:rPr>
        <w:t xml:space="preserve"> the QBCC, the VBA, </w:t>
      </w:r>
      <w:r w:rsidR="7F0946C2" w:rsidRPr="007D116C">
        <w:rPr>
          <w:rFonts w:ascii="Calibri" w:eastAsia="Times New Roman" w:hAnsi="Calibri" w:cs="Calibri"/>
          <w:lang w:eastAsia="en-GB"/>
        </w:rPr>
        <w:t xml:space="preserve">has a clearer path for identifying </w:t>
      </w:r>
      <w:r w:rsidR="1DDC5EAE" w:rsidRPr="007D116C">
        <w:rPr>
          <w:rFonts w:ascii="Calibri" w:eastAsia="Times New Roman" w:hAnsi="Calibri" w:cs="Calibri"/>
          <w:lang w:eastAsia="en-GB"/>
        </w:rPr>
        <w:t xml:space="preserve">the </w:t>
      </w:r>
      <w:r w:rsidR="7F0946C2" w:rsidRPr="007D116C">
        <w:rPr>
          <w:rFonts w:ascii="Calibri" w:eastAsia="Times New Roman" w:hAnsi="Calibri" w:cs="Calibri"/>
          <w:lang w:eastAsia="en-GB"/>
        </w:rPr>
        <w:t xml:space="preserve">mandate for regulatory strategy and </w:t>
      </w:r>
      <w:r w:rsidR="3C1D34F9" w:rsidRPr="007D116C">
        <w:rPr>
          <w:rFonts w:ascii="Calibri" w:eastAsia="Times New Roman" w:hAnsi="Calibri" w:cs="Calibri"/>
          <w:lang w:eastAsia="en-GB"/>
        </w:rPr>
        <w:t xml:space="preserve">the roles of its different parts. The QBCC was also found to be unique in that it is a regulator that </w:t>
      </w:r>
      <w:r w:rsidR="53C7A2F2" w:rsidRPr="007D116C">
        <w:rPr>
          <w:rFonts w:ascii="Calibri" w:eastAsia="Times New Roman" w:hAnsi="Calibri" w:cs="Calibri"/>
          <w:lang w:eastAsia="en-GB"/>
        </w:rPr>
        <w:t>directly ad</w:t>
      </w:r>
      <w:r w:rsidR="378A80AF" w:rsidRPr="007D116C">
        <w:rPr>
          <w:rFonts w:ascii="Calibri" w:eastAsia="Times New Roman" w:hAnsi="Calibri" w:cs="Calibri"/>
          <w:lang w:eastAsia="en-GB"/>
        </w:rPr>
        <w:t>m</w:t>
      </w:r>
      <w:r w:rsidR="216ECB54" w:rsidRPr="007D116C">
        <w:rPr>
          <w:rFonts w:ascii="Calibri" w:eastAsia="Times New Roman" w:hAnsi="Calibri" w:cs="Calibri"/>
          <w:lang w:eastAsia="en-GB"/>
        </w:rPr>
        <w:t>inister</w:t>
      </w:r>
      <w:r w:rsidR="53C7A2F2" w:rsidRPr="007D116C">
        <w:rPr>
          <w:rFonts w:ascii="Calibri" w:eastAsia="Times New Roman" w:hAnsi="Calibri" w:cs="Calibri"/>
          <w:lang w:eastAsia="en-GB"/>
        </w:rPr>
        <w:t>s</w:t>
      </w:r>
      <w:r w:rsidR="3C1D34F9" w:rsidRPr="007D116C">
        <w:rPr>
          <w:rFonts w:ascii="Calibri" w:eastAsia="Times New Roman" w:hAnsi="Calibri" w:cs="Calibri"/>
          <w:lang w:eastAsia="en-GB"/>
        </w:rPr>
        <w:t xml:space="preserve"> an insurance scheme.</w:t>
      </w:r>
      <w:r w:rsidR="4F29AE20" w:rsidRPr="007D116C">
        <w:rPr>
          <w:rFonts w:ascii="Calibri" w:eastAsia="Times New Roman" w:hAnsi="Calibri" w:cs="Calibri"/>
          <w:lang w:eastAsia="en-GB"/>
        </w:rPr>
        <w:t xml:space="preserve"> </w:t>
      </w:r>
      <w:r w:rsidR="006F5E9D" w:rsidRPr="007D116C">
        <w:rPr>
          <w:rFonts w:ascii="Calibri" w:eastAsia="Times New Roman" w:hAnsi="Calibri" w:cs="Calibri"/>
          <w:lang w:eastAsia="en-GB"/>
        </w:rPr>
        <w:t xml:space="preserve">In </w:t>
      </w:r>
      <w:r w:rsidR="007F0B45" w:rsidRPr="007D116C">
        <w:rPr>
          <w:rFonts w:ascii="Calibri" w:eastAsia="Times New Roman" w:hAnsi="Calibri" w:cs="Calibri"/>
          <w:lang w:eastAsia="en-GB"/>
        </w:rPr>
        <w:t>relation to the likely costs of addressing the continuing challenges to the sector</w:t>
      </w:r>
      <w:r w:rsidR="005032CF" w:rsidRPr="007D116C">
        <w:rPr>
          <w:rFonts w:ascii="Calibri" w:eastAsia="Times New Roman" w:hAnsi="Calibri" w:cs="Calibri"/>
          <w:lang w:eastAsia="en-GB"/>
        </w:rPr>
        <w:t>,</w:t>
      </w:r>
      <w:r w:rsidR="00521435" w:rsidRPr="007D116C">
        <w:rPr>
          <w:rFonts w:ascii="Calibri" w:eastAsia="Times New Roman" w:hAnsi="Calibri" w:cs="Calibri"/>
          <w:lang w:eastAsia="en-GB"/>
        </w:rPr>
        <w:t xml:space="preserve"> </w:t>
      </w:r>
      <w:r w:rsidR="00EF2AD0" w:rsidRPr="007D116C">
        <w:rPr>
          <w:rFonts w:ascii="Calibri" w:eastAsia="Times New Roman" w:hAnsi="Calibri" w:cs="Calibri"/>
          <w:lang w:eastAsia="en-GB"/>
        </w:rPr>
        <w:t xml:space="preserve">the analysis of levies and </w:t>
      </w:r>
      <w:r w:rsidR="0030426A" w:rsidRPr="007D116C">
        <w:rPr>
          <w:rFonts w:ascii="Calibri" w:eastAsia="Times New Roman" w:hAnsi="Calibri" w:cs="Calibri"/>
          <w:lang w:eastAsia="en-GB"/>
        </w:rPr>
        <w:t>funds</w:t>
      </w:r>
      <w:r w:rsidR="00521435" w:rsidRPr="007D116C">
        <w:rPr>
          <w:rFonts w:ascii="Calibri" w:eastAsia="Times New Roman" w:hAnsi="Calibri" w:cs="Calibri"/>
          <w:lang w:eastAsia="en-GB"/>
        </w:rPr>
        <w:t xml:space="preserve"> </w:t>
      </w:r>
      <w:r w:rsidR="0030426A" w:rsidRPr="007D116C">
        <w:rPr>
          <w:rFonts w:ascii="Calibri" w:eastAsia="Times New Roman" w:hAnsi="Calibri" w:cs="Calibri"/>
          <w:lang w:eastAsia="en-GB"/>
        </w:rPr>
        <w:t xml:space="preserve">indicates that </w:t>
      </w:r>
      <w:r w:rsidR="001C2BDD" w:rsidRPr="007D116C">
        <w:rPr>
          <w:rFonts w:ascii="Calibri" w:eastAsia="Times New Roman" w:hAnsi="Calibri" w:cs="Calibri"/>
          <w:lang w:eastAsia="en-GB"/>
        </w:rPr>
        <w:t xml:space="preserve">proven </w:t>
      </w:r>
      <w:r w:rsidR="000C3F4B" w:rsidRPr="007D116C">
        <w:rPr>
          <w:rFonts w:ascii="Calibri" w:eastAsia="Times New Roman" w:hAnsi="Calibri" w:cs="Calibri"/>
          <w:lang w:eastAsia="en-GB"/>
        </w:rPr>
        <w:t xml:space="preserve">mechanisms exist to raise </w:t>
      </w:r>
      <w:r w:rsidR="00E809B5" w:rsidRPr="007D116C">
        <w:rPr>
          <w:rFonts w:ascii="Calibri" w:eastAsia="Times New Roman" w:hAnsi="Calibri" w:cs="Calibri"/>
          <w:lang w:eastAsia="en-GB"/>
        </w:rPr>
        <w:t xml:space="preserve">revenue </w:t>
      </w:r>
      <w:r w:rsidR="00085409" w:rsidRPr="007D116C">
        <w:rPr>
          <w:rFonts w:ascii="Calibri" w:eastAsia="Times New Roman" w:hAnsi="Calibri" w:cs="Calibri"/>
          <w:lang w:eastAsia="en-GB"/>
        </w:rPr>
        <w:t xml:space="preserve">proportionally </w:t>
      </w:r>
      <w:r w:rsidR="007F7A7C" w:rsidRPr="007D116C">
        <w:rPr>
          <w:rFonts w:ascii="Calibri" w:eastAsia="Times New Roman" w:hAnsi="Calibri" w:cs="Calibri"/>
          <w:lang w:eastAsia="en-GB"/>
        </w:rPr>
        <w:t xml:space="preserve">from </w:t>
      </w:r>
      <w:r w:rsidR="000C3F4B" w:rsidRPr="007D116C">
        <w:rPr>
          <w:rFonts w:ascii="Calibri" w:eastAsia="Times New Roman" w:hAnsi="Calibri" w:cs="Calibri"/>
          <w:lang w:eastAsia="en-GB"/>
        </w:rPr>
        <w:t>developers</w:t>
      </w:r>
      <w:r w:rsidR="002D5308" w:rsidRPr="007D116C">
        <w:rPr>
          <w:rFonts w:ascii="Calibri" w:eastAsia="Times New Roman" w:hAnsi="Calibri" w:cs="Calibri"/>
          <w:lang w:eastAsia="en-GB"/>
        </w:rPr>
        <w:t xml:space="preserve"> </w:t>
      </w:r>
      <w:r w:rsidR="00B036A7" w:rsidRPr="007D116C">
        <w:rPr>
          <w:rFonts w:ascii="Calibri" w:eastAsia="Times New Roman" w:hAnsi="Calibri" w:cs="Calibri"/>
          <w:lang w:eastAsia="en-GB"/>
        </w:rPr>
        <w:t>where</w:t>
      </w:r>
      <w:r w:rsidR="002D5308" w:rsidRPr="007D116C">
        <w:rPr>
          <w:rFonts w:ascii="Calibri" w:eastAsia="Times New Roman" w:hAnsi="Calibri" w:cs="Calibri"/>
          <w:lang w:eastAsia="en-GB"/>
        </w:rPr>
        <w:t xml:space="preserve"> required.</w:t>
      </w:r>
      <w:r w:rsidR="00B81C4C" w:rsidRPr="007D116C">
        <w:rPr>
          <w:rFonts w:ascii="Calibri" w:eastAsia="Times New Roman" w:hAnsi="Calibri" w:cs="Calibri"/>
          <w:lang w:eastAsia="en-GB"/>
        </w:rPr>
        <w:t xml:space="preserve"> The comparison </w:t>
      </w:r>
      <w:r w:rsidR="005369E7" w:rsidRPr="007D116C">
        <w:rPr>
          <w:rFonts w:ascii="Calibri" w:eastAsia="Times New Roman" w:hAnsi="Calibri" w:cs="Calibri"/>
          <w:lang w:eastAsia="en-GB"/>
        </w:rPr>
        <w:t>highlights</w:t>
      </w:r>
      <w:r w:rsidR="00B81C4C" w:rsidRPr="007D116C">
        <w:rPr>
          <w:rFonts w:ascii="Calibri" w:eastAsia="Times New Roman" w:hAnsi="Calibri" w:cs="Calibri"/>
          <w:lang w:eastAsia="en-GB"/>
        </w:rPr>
        <w:t xml:space="preserve"> that </w:t>
      </w:r>
      <w:r w:rsidR="00E569D5" w:rsidRPr="007D116C">
        <w:rPr>
          <w:rFonts w:ascii="Calibri" w:eastAsia="Times New Roman" w:hAnsi="Calibri" w:cs="Calibri"/>
          <w:lang w:eastAsia="en-GB"/>
        </w:rPr>
        <w:t xml:space="preserve">calibration of any levies is sensitive to </w:t>
      </w:r>
      <w:r w:rsidR="005369E7" w:rsidRPr="007D116C">
        <w:rPr>
          <w:rFonts w:ascii="Calibri" w:eastAsia="Times New Roman" w:hAnsi="Calibri" w:cs="Calibri"/>
          <w:lang w:eastAsia="en-GB"/>
        </w:rPr>
        <w:t>jurisdictional</w:t>
      </w:r>
      <w:r w:rsidR="00E569D5" w:rsidRPr="007D116C">
        <w:rPr>
          <w:rFonts w:ascii="Calibri" w:eastAsia="Times New Roman" w:hAnsi="Calibri" w:cs="Calibri"/>
          <w:lang w:eastAsia="en-GB"/>
        </w:rPr>
        <w:t xml:space="preserve"> context and need</w:t>
      </w:r>
      <w:r w:rsidR="005369E7" w:rsidRPr="007D116C">
        <w:rPr>
          <w:rFonts w:ascii="Calibri" w:eastAsia="Times New Roman" w:hAnsi="Calibri" w:cs="Calibri"/>
          <w:lang w:eastAsia="en-GB"/>
        </w:rPr>
        <w:t>s and that Queens</w:t>
      </w:r>
      <w:r w:rsidR="001D738F" w:rsidRPr="007D116C">
        <w:rPr>
          <w:rFonts w:ascii="Calibri" w:eastAsia="Times New Roman" w:hAnsi="Calibri" w:cs="Calibri"/>
          <w:lang w:eastAsia="en-GB"/>
        </w:rPr>
        <w:t xml:space="preserve">land levies are </w:t>
      </w:r>
      <w:r w:rsidR="00675015" w:rsidRPr="007D116C">
        <w:rPr>
          <w:rFonts w:ascii="Calibri" w:eastAsia="Times New Roman" w:hAnsi="Calibri" w:cs="Calibri"/>
          <w:lang w:eastAsia="en-GB"/>
        </w:rPr>
        <w:t>less</w:t>
      </w:r>
      <w:r w:rsidR="001D738F" w:rsidRPr="007D116C">
        <w:rPr>
          <w:rFonts w:ascii="Calibri" w:eastAsia="Times New Roman" w:hAnsi="Calibri" w:cs="Calibri"/>
          <w:lang w:eastAsia="en-GB"/>
        </w:rPr>
        <w:t xml:space="preserve"> burdensome on </w:t>
      </w:r>
      <w:r w:rsidR="00675015" w:rsidRPr="007D116C">
        <w:rPr>
          <w:rFonts w:ascii="Calibri" w:eastAsia="Times New Roman" w:hAnsi="Calibri" w:cs="Calibri"/>
          <w:lang w:eastAsia="en-GB"/>
        </w:rPr>
        <w:t>low</w:t>
      </w:r>
      <w:r w:rsidR="00FD2CBE" w:rsidRPr="007D116C">
        <w:rPr>
          <w:rFonts w:ascii="Calibri" w:eastAsia="Times New Roman" w:hAnsi="Calibri" w:cs="Calibri"/>
          <w:lang w:eastAsia="en-GB"/>
        </w:rPr>
        <w:t>er</w:t>
      </w:r>
      <w:r w:rsidR="00675015" w:rsidRPr="007D116C">
        <w:rPr>
          <w:rFonts w:ascii="Calibri" w:eastAsia="Times New Roman" w:hAnsi="Calibri" w:cs="Calibri"/>
          <w:lang w:eastAsia="en-GB"/>
        </w:rPr>
        <w:t>-value works</w:t>
      </w:r>
      <w:r w:rsidR="00FD2CBE" w:rsidRPr="007D116C">
        <w:rPr>
          <w:rFonts w:ascii="Calibri" w:eastAsia="Times New Roman" w:hAnsi="Calibri" w:cs="Calibri"/>
          <w:lang w:eastAsia="en-GB"/>
        </w:rPr>
        <w:t xml:space="preserve"> than those of other states</w:t>
      </w:r>
      <w:r w:rsidR="005369E7" w:rsidRPr="007D116C">
        <w:rPr>
          <w:rFonts w:ascii="Calibri" w:eastAsia="Times New Roman" w:hAnsi="Calibri" w:cs="Calibri"/>
          <w:lang w:eastAsia="en-GB"/>
        </w:rPr>
        <w:t>.</w:t>
      </w:r>
      <w:r w:rsidR="004507EB" w:rsidRPr="007D116C">
        <w:br w:type="page"/>
      </w:r>
    </w:p>
    <w:p w14:paraId="6D773975" w14:textId="1ADC5554" w:rsidR="000C7D44" w:rsidRPr="007D116C" w:rsidRDefault="000C7D44" w:rsidP="007B6670">
      <w:pPr>
        <w:pStyle w:val="Heading1"/>
      </w:pPr>
      <w:bookmarkStart w:id="28" w:name="_Toc100599137"/>
      <w:r w:rsidRPr="007D116C">
        <w:lastRenderedPageBreak/>
        <w:t xml:space="preserve">Part </w:t>
      </w:r>
      <w:r w:rsidR="00050C85" w:rsidRPr="007D116C">
        <w:t>D</w:t>
      </w:r>
      <w:r w:rsidRPr="007D116C">
        <w:t>: Risk-based regulation in theory and practice</w:t>
      </w:r>
      <w:bookmarkEnd w:id="28"/>
    </w:p>
    <w:p w14:paraId="11E43492" w14:textId="59A25302" w:rsidR="000C7D44" w:rsidRPr="007D116C" w:rsidRDefault="65B07A3E" w:rsidP="16FFD785">
      <w:pPr>
        <w:pStyle w:val="ListParagraph"/>
        <w:numPr>
          <w:ilvl w:val="0"/>
          <w:numId w:val="2"/>
        </w:numPr>
        <w:ind w:left="0" w:hanging="425"/>
      </w:pPr>
      <w:r w:rsidRPr="007D116C">
        <w:t>The purpose of this part of the report is to place the QBCC within the context of Queensland’s risk-based regulatory strategy, to discuss what risk-based regulation means in theory and practice, and to examine how this has been interpreted by the QBCC in its publicly available governing documents. The question is whether and how this regulatory strategy illuminates the features of the QBCC’s governance observed in the previous part of the report.</w:t>
      </w:r>
    </w:p>
    <w:p w14:paraId="7AC18134" w14:textId="77777777" w:rsidR="000C7D44" w:rsidRPr="007D116C" w:rsidRDefault="000C7D44" w:rsidP="007B6670">
      <w:pPr>
        <w:pStyle w:val="Heading2"/>
      </w:pPr>
      <w:bookmarkStart w:id="29" w:name="_Toc100599138"/>
      <w:r w:rsidRPr="007D116C">
        <w:t>Queensland Government regulatory strategy</w:t>
      </w:r>
      <w:bookmarkEnd w:id="29"/>
    </w:p>
    <w:p w14:paraId="6C86A29F" w14:textId="763C46F1" w:rsidR="000C7D44" w:rsidRPr="007D116C" w:rsidRDefault="65B07A3E" w:rsidP="007417A8">
      <w:pPr>
        <w:pStyle w:val="ListParagraph"/>
        <w:numPr>
          <w:ilvl w:val="0"/>
          <w:numId w:val="2"/>
        </w:numPr>
        <w:ind w:left="0" w:hanging="426"/>
      </w:pPr>
      <w:r w:rsidRPr="007D116C">
        <w:t xml:space="preserve">The Queensland Government’s regulatory strategy is provided in </w:t>
      </w:r>
      <w:r w:rsidRPr="007D116C">
        <w:rPr>
          <w:i/>
          <w:iCs/>
        </w:rPr>
        <w:t xml:space="preserve">The Queensland guide to better regulation </w:t>
      </w:r>
      <w:r w:rsidRPr="007D116C">
        <w:t>(“the guide”), which is overseen by the Office of Best Practice Regulation (OPBR) within the Treasury Department.</w:t>
      </w:r>
      <w:r w:rsidR="00904BA5" w:rsidRPr="007D116C">
        <w:rPr>
          <w:rStyle w:val="FootnoteReference"/>
        </w:rPr>
        <w:footnoteReference w:id="95"/>
      </w:r>
      <w:r w:rsidRPr="007D116C">
        <w:t xml:space="preserve"> The purpose of the guide is to establish a process for regulatory impact analysis and to establish the Regulator Performance Framework, which outlines model practices for government regulators and requires them to report annually on their performance against those practices. In both respects, the guide was written to be consistent with the principles agreed by the former Council of Australian Governments (COAG) in its </w:t>
      </w:r>
      <w:r w:rsidRPr="007D116C">
        <w:rPr>
          <w:i/>
          <w:iCs/>
        </w:rPr>
        <w:t>Best practice principles for regulation making (2007)</w:t>
      </w:r>
      <w:r w:rsidRPr="007D116C">
        <w:t xml:space="preserve">. This document has subsequently been replaced </w:t>
      </w:r>
      <w:r w:rsidR="2AA7DCB5" w:rsidRPr="007D116C">
        <w:t xml:space="preserve">by </w:t>
      </w:r>
      <w:r w:rsidRPr="007D116C">
        <w:t xml:space="preserve">National Cabinet’s </w:t>
      </w:r>
      <w:r w:rsidRPr="007D116C">
        <w:rPr>
          <w:i/>
          <w:iCs/>
        </w:rPr>
        <w:t xml:space="preserve">Regulatory impact analysis guide for </w:t>
      </w:r>
      <w:r w:rsidR="77EEAE78" w:rsidRPr="007D116C">
        <w:rPr>
          <w:i/>
          <w:iCs/>
        </w:rPr>
        <w:t>Minister</w:t>
      </w:r>
      <w:r w:rsidRPr="007D116C">
        <w:rPr>
          <w:i/>
          <w:iCs/>
        </w:rPr>
        <w:t>s’ meetings and national standard setting bodies</w:t>
      </w:r>
      <w:r w:rsidRPr="007D116C">
        <w:t>.</w:t>
      </w:r>
      <w:r w:rsidR="00B67CA9" w:rsidRPr="007D116C">
        <w:rPr>
          <w:rStyle w:val="FootnoteReference"/>
        </w:rPr>
        <w:footnoteReference w:id="96"/>
      </w:r>
      <w:r w:rsidRPr="007D116C">
        <w:t xml:space="preserve"> These principles can be found in Table </w:t>
      </w:r>
      <w:r w:rsidR="48D6007C" w:rsidRPr="007D116C">
        <w:t>10</w:t>
      </w:r>
      <w:r w:rsidRPr="007D116C">
        <w:t>, below.</w:t>
      </w:r>
    </w:p>
    <w:p w14:paraId="5F5F18D4" w14:textId="77777777" w:rsidR="00FC6F42" w:rsidRDefault="00FC6F42">
      <w:pPr>
        <w:rPr>
          <w:rFonts w:eastAsiaTheme="majorEastAsia" w:cstheme="majorBidi"/>
          <w:b/>
        </w:rPr>
      </w:pPr>
      <w:bookmarkStart w:id="30" w:name="_Toc98853502"/>
      <w:r>
        <w:br w:type="page"/>
      </w:r>
    </w:p>
    <w:p w14:paraId="04199BFC" w14:textId="78E409F6" w:rsidR="000C7D44" w:rsidRPr="007D116C" w:rsidRDefault="000C7D44" w:rsidP="000022C9">
      <w:pPr>
        <w:pStyle w:val="Heading3"/>
        <w:rPr>
          <w:szCs w:val="22"/>
        </w:rPr>
      </w:pPr>
      <w:bookmarkStart w:id="31" w:name="_Toc100599139"/>
      <w:r w:rsidRPr="007D116C">
        <w:rPr>
          <w:szCs w:val="22"/>
        </w:rPr>
        <w:lastRenderedPageBreak/>
        <w:t xml:space="preserve">Table </w:t>
      </w:r>
      <w:r w:rsidR="00E412CA" w:rsidRPr="007D116C">
        <w:rPr>
          <w:szCs w:val="22"/>
        </w:rPr>
        <w:t>10</w:t>
      </w:r>
      <w:r w:rsidRPr="007D116C">
        <w:rPr>
          <w:szCs w:val="22"/>
        </w:rPr>
        <w:t>: Best practice principles for regulation making, Queensland and Commonwealth</w:t>
      </w:r>
      <w:bookmarkEnd w:id="30"/>
      <w:bookmarkEnd w:id="31"/>
    </w:p>
    <w:tbl>
      <w:tblPr>
        <w:tblStyle w:val="TableGrid"/>
        <w:tblW w:w="0" w:type="auto"/>
        <w:tblInd w:w="-5" w:type="dxa"/>
        <w:tblLook w:val="04A0" w:firstRow="1" w:lastRow="0" w:firstColumn="1" w:lastColumn="0" w:noHBand="0" w:noVBand="1"/>
      </w:tblPr>
      <w:tblGrid>
        <w:gridCol w:w="4702"/>
        <w:gridCol w:w="4319"/>
      </w:tblGrid>
      <w:tr w:rsidR="007D116C" w:rsidRPr="007D116C" w14:paraId="47E6D2A7" w14:textId="77777777" w:rsidTr="002B1694">
        <w:tc>
          <w:tcPr>
            <w:tcW w:w="4702" w:type="dxa"/>
            <w:shd w:val="clear" w:color="auto" w:fill="000000" w:themeFill="text1"/>
          </w:tcPr>
          <w:p w14:paraId="6581CD83" w14:textId="77777777" w:rsidR="000C7D44" w:rsidRPr="007D116C" w:rsidRDefault="000C7D44" w:rsidP="002B1694">
            <w:pPr>
              <w:pStyle w:val="ListParagraph"/>
              <w:ind w:left="0"/>
              <w:contextualSpacing w:val="0"/>
              <w:jc w:val="center"/>
              <w:rPr>
                <w:b/>
                <w:bCs/>
              </w:rPr>
            </w:pPr>
            <w:r w:rsidRPr="007D116C">
              <w:rPr>
                <w:b/>
                <w:bCs/>
                <w:i/>
                <w:iCs/>
              </w:rPr>
              <w:t xml:space="preserve">Queensland Government guide to better regulation 2019 </w:t>
            </w:r>
            <w:r w:rsidRPr="007D116C">
              <w:rPr>
                <w:b/>
                <w:bCs/>
              </w:rPr>
              <w:t>(from COAG, 2007)</w:t>
            </w:r>
          </w:p>
        </w:tc>
        <w:tc>
          <w:tcPr>
            <w:tcW w:w="4319" w:type="dxa"/>
            <w:shd w:val="clear" w:color="auto" w:fill="000000" w:themeFill="text1"/>
          </w:tcPr>
          <w:p w14:paraId="3FB618EB" w14:textId="693086EB" w:rsidR="000C7D44" w:rsidRPr="007D116C" w:rsidRDefault="000C7D44" w:rsidP="002B1694">
            <w:pPr>
              <w:pStyle w:val="ListParagraph"/>
              <w:ind w:left="0"/>
              <w:contextualSpacing w:val="0"/>
              <w:jc w:val="center"/>
              <w:rPr>
                <w:b/>
                <w:bCs/>
              </w:rPr>
            </w:pPr>
            <w:r w:rsidRPr="007D116C">
              <w:rPr>
                <w:b/>
                <w:bCs/>
                <w:i/>
                <w:iCs/>
              </w:rPr>
              <w:t xml:space="preserve">Regulatory impact analysis guide for </w:t>
            </w:r>
            <w:r w:rsidR="00684CFD" w:rsidRPr="007D116C">
              <w:rPr>
                <w:b/>
                <w:bCs/>
                <w:i/>
                <w:iCs/>
              </w:rPr>
              <w:t>m</w:t>
            </w:r>
            <w:r w:rsidR="002D6C67" w:rsidRPr="007D116C">
              <w:rPr>
                <w:b/>
                <w:bCs/>
                <w:i/>
                <w:iCs/>
              </w:rPr>
              <w:t>inister</w:t>
            </w:r>
            <w:r w:rsidRPr="007D116C">
              <w:rPr>
                <w:b/>
                <w:bCs/>
                <w:i/>
                <w:iCs/>
              </w:rPr>
              <w:t>s’ meetings and national standard setting bodies</w:t>
            </w:r>
            <w:r w:rsidRPr="007D116C">
              <w:rPr>
                <w:b/>
                <w:bCs/>
              </w:rPr>
              <w:t>, National Cabinet 2021</w:t>
            </w:r>
          </w:p>
        </w:tc>
      </w:tr>
      <w:tr w:rsidR="007D116C" w:rsidRPr="007D116C" w14:paraId="252EA69E" w14:textId="77777777" w:rsidTr="002B1694">
        <w:tc>
          <w:tcPr>
            <w:tcW w:w="4702" w:type="dxa"/>
            <w:shd w:val="clear" w:color="auto" w:fill="BFBFBF" w:themeFill="background1" w:themeFillShade="BF"/>
          </w:tcPr>
          <w:p w14:paraId="7D2C1DFE"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Establishing a case for action before addressing a problem.</w:t>
            </w:r>
          </w:p>
          <w:p w14:paraId="20878480"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Considering a range of feasible policy options including self-regulatory, co-regulatory and nonregulatory approaches, and an assessment of their benefits and costs.</w:t>
            </w:r>
          </w:p>
          <w:p w14:paraId="09F2D348"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Adopting the option that generates the greatest net benefit for the community.</w:t>
            </w:r>
          </w:p>
          <w:p w14:paraId="43A02E26"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Ensuring, in accordance with the Competition Principles Agreement, legislation should not restrict competition unless it can be demonstrated that:</w:t>
            </w:r>
          </w:p>
          <w:p w14:paraId="73173C19" w14:textId="77777777" w:rsidR="000C7D44" w:rsidRPr="007D116C" w:rsidRDefault="000C7D44" w:rsidP="002B1694">
            <w:pPr>
              <w:pStyle w:val="ListParagraph"/>
              <w:numPr>
                <w:ilvl w:val="1"/>
                <w:numId w:val="5"/>
              </w:numPr>
              <w:ind w:left="803" w:hanging="283"/>
              <w:jc w:val="left"/>
              <w:rPr>
                <w:sz w:val="20"/>
                <w:szCs w:val="20"/>
              </w:rPr>
            </w:pPr>
            <w:r w:rsidRPr="007D116C">
              <w:rPr>
                <w:sz w:val="20"/>
                <w:szCs w:val="20"/>
              </w:rPr>
              <w:t xml:space="preserve">the benefits of the restrictions to the community as a whole outweigh the costs; </w:t>
            </w:r>
          </w:p>
          <w:p w14:paraId="5D69722F" w14:textId="77777777" w:rsidR="000C7D44" w:rsidRPr="007D116C" w:rsidRDefault="000C7D44" w:rsidP="002B1694">
            <w:pPr>
              <w:pStyle w:val="ListParagraph"/>
              <w:numPr>
                <w:ilvl w:val="1"/>
                <w:numId w:val="5"/>
              </w:numPr>
              <w:ind w:left="803" w:hanging="283"/>
              <w:jc w:val="left"/>
              <w:rPr>
                <w:sz w:val="20"/>
                <w:szCs w:val="20"/>
              </w:rPr>
            </w:pPr>
            <w:r w:rsidRPr="007D116C">
              <w:rPr>
                <w:sz w:val="20"/>
                <w:szCs w:val="20"/>
              </w:rPr>
              <w:t>and the objectives of the regulation can only be achieved by restricting competition.</w:t>
            </w:r>
          </w:p>
          <w:p w14:paraId="314E4C84"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Providing effective guidance to relevant regulators and regulated parties in order to ensure that the policy intent and expected compliance requirements of the regulation are clear.</w:t>
            </w:r>
          </w:p>
          <w:p w14:paraId="23DA3CD2"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Ensuring that regulation remains relevant and effective over time.</w:t>
            </w:r>
          </w:p>
          <w:p w14:paraId="065C081A"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Consulting effectively with affected stakeholders at all stages of the regulatory cycle.</w:t>
            </w:r>
          </w:p>
          <w:p w14:paraId="13AF8FAF"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Ensuring that government action is effective and proportional to the issue being addressed.</w:t>
            </w:r>
          </w:p>
        </w:tc>
        <w:tc>
          <w:tcPr>
            <w:tcW w:w="4319" w:type="dxa"/>
          </w:tcPr>
          <w:p w14:paraId="5127F5EE"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Policy makers should clearly demonstrate a public policy problem necessitating government intervention, and should examine a range of genuine and viable options, including non-regulatory options, to address the problem.</w:t>
            </w:r>
          </w:p>
          <w:p w14:paraId="05127EA3"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Regulation should not be the default option: the policy option offering the greatest net benefit — regulatory or non-regulatory — should be the recommended option.</w:t>
            </w:r>
          </w:p>
          <w:p w14:paraId="3190D828"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Every major decision to regulate must be the subject of a Regulation Impact Statement.</w:t>
            </w:r>
          </w:p>
          <w:p w14:paraId="1CC13F10"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Policy makers should consult in a genuine and timely way with affected businesses, community organisations and individuals, as well as other policy makers to avoid creating cumulative or overlapping regulatory burdens.</w:t>
            </w:r>
          </w:p>
          <w:p w14:paraId="3C9D1C0F"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The information upon which policy makers base their decisions must be published at the earliest opportunity.</w:t>
            </w:r>
          </w:p>
          <w:p w14:paraId="724A3DB8" w14:textId="77777777" w:rsidR="000C7D44" w:rsidRPr="007D116C" w:rsidRDefault="000C7D44" w:rsidP="002B1694">
            <w:pPr>
              <w:pStyle w:val="ListParagraph"/>
              <w:numPr>
                <w:ilvl w:val="0"/>
                <w:numId w:val="5"/>
              </w:numPr>
              <w:ind w:left="378" w:hanging="284"/>
              <w:jc w:val="left"/>
              <w:rPr>
                <w:sz w:val="20"/>
                <w:szCs w:val="20"/>
              </w:rPr>
            </w:pPr>
            <w:r w:rsidRPr="007D116C">
              <w:rPr>
                <w:sz w:val="20"/>
                <w:szCs w:val="20"/>
              </w:rPr>
              <w:t>All regulation should be periodically reviewed to test its continuing relevance.</w:t>
            </w:r>
          </w:p>
        </w:tc>
      </w:tr>
    </w:tbl>
    <w:p w14:paraId="4A39057B" w14:textId="23A95B08" w:rsidR="00E06320" w:rsidRPr="007D116C" w:rsidRDefault="65B07A3E" w:rsidP="005044C4">
      <w:pPr>
        <w:pStyle w:val="ListParagraph"/>
        <w:numPr>
          <w:ilvl w:val="0"/>
          <w:numId w:val="2"/>
        </w:numPr>
        <w:spacing w:before="240"/>
        <w:ind w:left="0" w:hanging="426"/>
        <w:contextualSpacing w:val="0"/>
      </w:pPr>
      <w:r w:rsidRPr="007D116C">
        <w:t>Importantly, risk assessment is not</w:t>
      </w:r>
      <w:r w:rsidR="1E67242C" w:rsidRPr="007D116C">
        <w:t xml:space="preserve"> specifically</w:t>
      </w:r>
      <w:r w:rsidRPr="007D116C">
        <w:t xml:space="preserve"> listed as a </w:t>
      </w:r>
      <w:r w:rsidR="1E67242C" w:rsidRPr="007D116C">
        <w:t xml:space="preserve">core </w:t>
      </w:r>
      <w:r w:rsidRPr="007D116C">
        <w:t xml:space="preserve">principle of regulation. Instead, risk frames and informs the principles severally and taken as a whole. For this reason, the guide goes on to advise that “The Government’s response to a potential policy issue should be proportionate to the risk that the issue presents,” where </w:t>
      </w:r>
      <w:r w:rsidRPr="007D116C">
        <w:rPr>
          <w:i/>
          <w:iCs/>
        </w:rPr>
        <w:t>risk</w:t>
      </w:r>
      <w:r w:rsidRPr="007D116C">
        <w:t xml:space="preserve"> means “the risk of non-compliance or regulatory failure”. The assessment of risk is based on the consequences of non-compliance – so where an activity might be extremely harmful without regulation, then a risk-based strategy suggests a more prescriptive approach, but where an activity occasions only the risk of minor harms, then the regulatory approach should be proportionately less prescriptive. As the principles suggest, this balancing of risk and prescription is relevant to the decision to regulate, the development of regulation, regulatory enforcement, and in reviewing regulation’s effects. Summarising, the guide identifies two “key elements” for a risk-based approach: “ensuring that regulations are designed and drafted with </w:t>
      </w:r>
      <w:r w:rsidRPr="007D116C">
        <w:lastRenderedPageBreak/>
        <w:t>consideration of risk… [and] that regulators’ compliance and enforcement activities are appropriate based on the risk that particular businesses and activities pose”.</w:t>
      </w:r>
      <w:r w:rsidR="000C7D44" w:rsidRPr="007D116C">
        <w:rPr>
          <w:rStyle w:val="FootnoteReference"/>
        </w:rPr>
        <w:footnoteReference w:id="97"/>
      </w:r>
      <w:r w:rsidRPr="007D116C">
        <w:t xml:space="preserve">  </w:t>
      </w:r>
    </w:p>
    <w:p w14:paraId="4736D371" w14:textId="4935E2C6" w:rsidR="00E06320" w:rsidRPr="007D116C" w:rsidRDefault="65B07A3E" w:rsidP="16FFD785">
      <w:pPr>
        <w:pStyle w:val="ListParagraph"/>
        <w:numPr>
          <w:ilvl w:val="0"/>
          <w:numId w:val="2"/>
        </w:numPr>
        <w:ind w:left="0" w:hanging="426"/>
      </w:pPr>
      <w:r w:rsidRPr="007D116C">
        <w:t xml:space="preserve">The details of Queensland’s regulatory impact assessment process are beyond the scope of this report. But more broadly, it is important to note that as a Queensland regulator, the QBCC is expected to be capable of making evidence-based risk assessments and to engage in that kind of analysis right throughout the regulatory policy cycle. This requires, per the guide, assessing regulatory impact, and hence the risk of non-compliance, along multiple dimensions, including breadth, intensity, proportionality, frequency, probability, reversibility, uncertainty, and community concern. The complexity of these tasks is relevant to the kinds of capabilities the QBCC’s leadership should possess – a topic taken up in more detail in Part </w:t>
      </w:r>
      <w:r w:rsidR="42C62A12" w:rsidRPr="007D116C">
        <w:t>E</w:t>
      </w:r>
      <w:r w:rsidRPr="007D116C">
        <w:t>, below.</w:t>
      </w:r>
    </w:p>
    <w:p w14:paraId="0C405D2B" w14:textId="05B4E654" w:rsidR="000C7D44" w:rsidRPr="007D116C" w:rsidRDefault="65B07A3E" w:rsidP="00E06320">
      <w:pPr>
        <w:pStyle w:val="ListParagraph"/>
        <w:numPr>
          <w:ilvl w:val="0"/>
          <w:numId w:val="2"/>
        </w:numPr>
        <w:ind w:left="0" w:hanging="426"/>
        <w:contextualSpacing w:val="0"/>
      </w:pPr>
      <w:r w:rsidRPr="007D116C">
        <w:t>To ensure regulator</w:t>
      </w:r>
      <w:r w:rsidR="1E67242C" w:rsidRPr="007D116C">
        <w:t>y agencies</w:t>
      </w:r>
      <w:r w:rsidRPr="007D116C">
        <w:t xml:space="preserve"> are fit for this purpose, the guide also includes the Regulator Performance Framework (RPF). The purpose of the RPF is to outline model practices for Queensland regulators to follow.</w:t>
      </w:r>
      <w:r w:rsidR="000C7D44" w:rsidRPr="007D116C">
        <w:rPr>
          <w:rStyle w:val="FootnoteReference"/>
        </w:rPr>
        <w:footnoteReference w:id="98"/>
      </w:r>
      <w:r w:rsidRPr="007D116C">
        <w:t xml:space="preserve"> As their name suggests, the practices define how regulatory policy is to be implemented; in this way, they complement the principles noted above, which go to the policy cycle in full. The model practices are in Table 1</w:t>
      </w:r>
      <w:r w:rsidR="48D6007C" w:rsidRPr="007D116C">
        <w:t>1</w:t>
      </w:r>
      <w:r w:rsidRPr="007D116C">
        <w:t>, below.</w:t>
      </w:r>
    </w:p>
    <w:p w14:paraId="193B9598" w14:textId="77777777" w:rsidR="00FC6F42" w:rsidRDefault="00FC6F42">
      <w:pPr>
        <w:rPr>
          <w:rFonts w:eastAsiaTheme="majorEastAsia" w:cstheme="majorBidi"/>
          <w:b/>
        </w:rPr>
      </w:pPr>
      <w:bookmarkStart w:id="32" w:name="_Toc98853503"/>
      <w:r>
        <w:br w:type="page"/>
      </w:r>
    </w:p>
    <w:p w14:paraId="25B19616" w14:textId="5E485D99" w:rsidR="000C7D44" w:rsidRPr="007D116C" w:rsidRDefault="000C7D44" w:rsidP="00DB3747">
      <w:pPr>
        <w:pStyle w:val="Heading3"/>
        <w:spacing w:line="276" w:lineRule="auto"/>
        <w:rPr>
          <w:szCs w:val="22"/>
        </w:rPr>
      </w:pPr>
      <w:bookmarkStart w:id="33" w:name="_Toc100599140"/>
      <w:r w:rsidRPr="007D116C">
        <w:rPr>
          <w:szCs w:val="22"/>
        </w:rPr>
        <w:lastRenderedPageBreak/>
        <w:t>Table 1</w:t>
      </w:r>
      <w:r w:rsidR="00E412CA" w:rsidRPr="007D116C">
        <w:rPr>
          <w:szCs w:val="22"/>
        </w:rPr>
        <w:t>1</w:t>
      </w:r>
      <w:r w:rsidRPr="007D116C">
        <w:rPr>
          <w:szCs w:val="22"/>
        </w:rPr>
        <w:t>: Queensland Regulator Performance Framework, model practices and supporting principles</w:t>
      </w:r>
      <w:bookmarkEnd w:id="32"/>
      <w:bookmarkEnd w:id="33"/>
    </w:p>
    <w:tbl>
      <w:tblPr>
        <w:tblStyle w:val="TableGrid"/>
        <w:tblW w:w="0" w:type="auto"/>
        <w:tblLook w:val="04A0" w:firstRow="1" w:lastRow="0" w:firstColumn="1" w:lastColumn="0" w:noHBand="0" w:noVBand="1"/>
      </w:tblPr>
      <w:tblGrid>
        <w:gridCol w:w="1787"/>
        <w:gridCol w:w="1791"/>
        <w:gridCol w:w="1869"/>
        <w:gridCol w:w="1786"/>
        <w:gridCol w:w="1783"/>
      </w:tblGrid>
      <w:tr w:rsidR="007D116C" w:rsidRPr="007D116C" w14:paraId="1365EDF2" w14:textId="77777777" w:rsidTr="00A95E1A">
        <w:trPr>
          <w:trHeight w:val="2408"/>
        </w:trPr>
        <w:tc>
          <w:tcPr>
            <w:tcW w:w="1803" w:type="dxa"/>
            <w:shd w:val="clear" w:color="auto" w:fill="000000" w:themeFill="text1"/>
          </w:tcPr>
          <w:p w14:paraId="4FA0BC26" w14:textId="77777777" w:rsidR="000C7D44" w:rsidRPr="007D116C" w:rsidRDefault="000C7D44" w:rsidP="00B0288D">
            <w:pPr>
              <w:jc w:val="center"/>
              <w:rPr>
                <w:sz w:val="20"/>
                <w:szCs w:val="20"/>
              </w:rPr>
            </w:pPr>
            <w:r w:rsidRPr="007D116C">
              <w:rPr>
                <w:b/>
                <w:sz w:val="20"/>
                <w:szCs w:val="20"/>
              </w:rPr>
              <w:t>Model practice 1: Ensure regulatory activity is proportionate to risk and minimises unnecessary burden</w:t>
            </w:r>
          </w:p>
        </w:tc>
        <w:tc>
          <w:tcPr>
            <w:tcW w:w="1803" w:type="dxa"/>
            <w:shd w:val="clear" w:color="auto" w:fill="000000" w:themeFill="text1"/>
          </w:tcPr>
          <w:p w14:paraId="268C1AB8" w14:textId="2B2CA8AE" w:rsidR="000C7D44" w:rsidRPr="007D116C" w:rsidRDefault="000C7D44" w:rsidP="00B0288D">
            <w:pPr>
              <w:jc w:val="center"/>
              <w:rPr>
                <w:b/>
                <w:sz w:val="20"/>
                <w:szCs w:val="20"/>
              </w:rPr>
            </w:pPr>
            <w:r w:rsidRPr="007D116C">
              <w:rPr>
                <w:b/>
                <w:sz w:val="20"/>
                <w:szCs w:val="20"/>
              </w:rPr>
              <w:t>Model practice 2: Consult and engage meaningfully with stakeholders</w:t>
            </w:r>
          </w:p>
        </w:tc>
        <w:tc>
          <w:tcPr>
            <w:tcW w:w="1803" w:type="dxa"/>
            <w:shd w:val="clear" w:color="auto" w:fill="000000" w:themeFill="text1"/>
          </w:tcPr>
          <w:p w14:paraId="0CEC2C7B" w14:textId="5E7CF310" w:rsidR="000C7D44" w:rsidRPr="007D116C" w:rsidRDefault="000C7D44" w:rsidP="00B0288D">
            <w:pPr>
              <w:jc w:val="center"/>
              <w:rPr>
                <w:b/>
                <w:sz w:val="20"/>
                <w:szCs w:val="20"/>
              </w:rPr>
            </w:pPr>
            <w:r w:rsidRPr="007D116C">
              <w:rPr>
                <w:b/>
                <w:sz w:val="20"/>
                <w:szCs w:val="20"/>
              </w:rPr>
              <w:t>Model practice 3: Provide appropriate information and support to assist compliance</w:t>
            </w:r>
          </w:p>
        </w:tc>
        <w:tc>
          <w:tcPr>
            <w:tcW w:w="1803" w:type="dxa"/>
            <w:shd w:val="clear" w:color="auto" w:fill="000000" w:themeFill="text1"/>
          </w:tcPr>
          <w:p w14:paraId="6B6CD026" w14:textId="07AF3407" w:rsidR="000C7D44" w:rsidRPr="007D116C" w:rsidRDefault="000C7D44" w:rsidP="00B0288D">
            <w:pPr>
              <w:jc w:val="center"/>
              <w:rPr>
                <w:b/>
                <w:sz w:val="20"/>
                <w:szCs w:val="20"/>
              </w:rPr>
            </w:pPr>
            <w:r w:rsidRPr="007D116C">
              <w:rPr>
                <w:b/>
                <w:sz w:val="20"/>
                <w:szCs w:val="20"/>
              </w:rPr>
              <w:t>Model practice 4: Commit to continuous improvement</w:t>
            </w:r>
          </w:p>
        </w:tc>
        <w:tc>
          <w:tcPr>
            <w:tcW w:w="1804" w:type="dxa"/>
            <w:shd w:val="clear" w:color="auto" w:fill="000000" w:themeFill="text1"/>
          </w:tcPr>
          <w:p w14:paraId="487A3592" w14:textId="77777777" w:rsidR="000C7D44" w:rsidRPr="007D116C" w:rsidRDefault="000C7D44" w:rsidP="00B0288D">
            <w:pPr>
              <w:jc w:val="center"/>
              <w:rPr>
                <w:b/>
                <w:sz w:val="20"/>
                <w:szCs w:val="20"/>
              </w:rPr>
            </w:pPr>
            <w:r w:rsidRPr="007D116C">
              <w:rPr>
                <w:b/>
                <w:sz w:val="20"/>
                <w:szCs w:val="20"/>
              </w:rPr>
              <w:t>Model practice 5: Be transparent and accountable in actions</w:t>
            </w:r>
          </w:p>
        </w:tc>
      </w:tr>
      <w:tr w:rsidR="007D116C" w:rsidRPr="007D116C" w14:paraId="01C301FB" w14:textId="77777777" w:rsidTr="00A95E1A">
        <w:trPr>
          <w:trHeight w:val="2419"/>
        </w:trPr>
        <w:tc>
          <w:tcPr>
            <w:tcW w:w="1803" w:type="dxa"/>
            <w:shd w:val="clear" w:color="auto" w:fill="D9D9D9" w:themeFill="background1" w:themeFillShade="D9"/>
          </w:tcPr>
          <w:p w14:paraId="48661077" w14:textId="77777777" w:rsidR="000C7D44" w:rsidRPr="007D116C" w:rsidRDefault="000C7D44" w:rsidP="00C73BD8">
            <w:pPr>
              <w:pStyle w:val="ListParagraph"/>
              <w:numPr>
                <w:ilvl w:val="0"/>
                <w:numId w:val="19"/>
              </w:numPr>
              <w:spacing w:after="40"/>
              <w:ind w:left="169" w:hanging="169"/>
              <w:contextualSpacing w:val="0"/>
              <w:jc w:val="left"/>
              <w:rPr>
                <w:sz w:val="20"/>
                <w:szCs w:val="20"/>
              </w:rPr>
            </w:pPr>
            <w:r w:rsidRPr="007D116C">
              <w:rPr>
                <w:sz w:val="20"/>
                <w:szCs w:val="20"/>
              </w:rPr>
              <w:t>a proportionate approach is applied to compliance activities, engagement and regulatory enforcement actions</w:t>
            </w:r>
          </w:p>
          <w:p w14:paraId="0E927DE0" w14:textId="77777777" w:rsidR="000C7D44" w:rsidRPr="007D116C" w:rsidRDefault="000C7D44" w:rsidP="00C73BD8">
            <w:pPr>
              <w:pStyle w:val="ListParagraph"/>
              <w:numPr>
                <w:ilvl w:val="0"/>
                <w:numId w:val="19"/>
              </w:numPr>
              <w:spacing w:after="40"/>
              <w:ind w:left="169" w:hanging="169"/>
              <w:contextualSpacing w:val="0"/>
              <w:jc w:val="left"/>
              <w:rPr>
                <w:sz w:val="20"/>
                <w:szCs w:val="20"/>
              </w:rPr>
            </w:pPr>
            <w:r w:rsidRPr="007D116C">
              <w:rPr>
                <w:sz w:val="20"/>
                <w:szCs w:val="20"/>
              </w:rPr>
              <w:t>regulators do not unnecessarily impose on regulated entities</w:t>
            </w:r>
          </w:p>
          <w:p w14:paraId="24F3A948" w14:textId="77777777" w:rsidR="000C7D44" w:rsidRPr="007D116C" w:rsidRDefault="000C7D44" w:rsidP="00C73BD8">
            <w:pPr>
              <w:pStyle w:val="ListParagraph"/>
              <w:numPr>
                <w:ilvl w:val="0"/>
                <w:numId w:val="19"/>
              </w:numPr>
              <w:spacing w:after="40"/>
              <w:ind w:left="169" w:hanging="169"/>
              <w:contextualSpacing w:val="0"/>
              <w:jc w:val="left"/>
              <w:rPr>
                <w:sz w:val="20"/>
                <w:szCs w:val="20"/>
              </w:rPr>
            </w:pPr>
            <w:r w:rsidRPr="007D116C">
              <w:rPr>
                <w:sz w:val="20"/>
                <w:szCs w:val="20"/>
              </w:rPr>
              <w:t>regulatory approaches are updated and informed by intelligence gathering so that effort is focused towards risk</w:t>
            </w:r>
          </w:p>
        </w:tc>
        <w:tc>
          <w:tcPr>
            <w:tcW w:w="1803" w:type="dxa"/>
            <w:shd w:val="clear" w:color="auto" w:fill="D9D9D9" w:themeFill="background1" w:themeFillShade="D9"/>
          </w:tcPr>
          <w:p w14:paraId="32B1FDC2" w14:textId="77777777" w:rsidR="000C7D44" w:rsidRPr="007D116C" w:rsidRDefault="000C7D44" w:rsidP="00C73BD8">
            <w:pPr>
              <w:pStyle w:val="ListParagraph"/>
              <w:numPr>
                <w:ilvl w:val="0"/>
                <w:numId w:val="19"/>
              </w:numPr>
              <w:spacing w:after="40"/>
              <w:ind w:left="214" w:hanging="214"/>
              <w:contextualSpacing w:val="0"/>
              <w:jc w:val="left"/>
              <w:rPr>
                <w:sz w:val="20"/>
                <w:szCs w:val="20"/>
              </w:rPr>
            </w:pPr>
            <w:r w:rsidRPr="007D116C">
              <w:rPr>
                <w:sz w:val="20"/>
                <w:szCs w:val="20"/>
              </w:rPr>
              <w:t>formal and informal consultation and engagement mechanisms are in place to allow for the full range of stakeholder input and Government decision making circumstances</w:t>
            </w:r>
          </w:p>
          <w:p w14:paraId="7160C3B4" w14:textId="77777777" w:rsidR="000C7D44" w:rsidRPr="007D116C" w:rsidRDefault="000C7D44" w:rsidP="00C73BD8">
            <w:pPr>
              <w:pStyle w:val="ListParagraph"/>
              <w:numPr>
                <w:ilvl w:val="0"/>
                <w:numId w:val="19"/>
              </w:numPr>
              <w:spacing w:after="40"/>
              <w:ind w:left="214" w:hanging="214"/>
              <w:contextualSpacing w:val="0"/>
              <w:jc w:val="left"/>
              <w:rPr>
                <w:sz w:val="20"/>
                <w:szCs w:val="20"/>
              </w:rPr>
            </w:pPr>
            <w:r w:rsidRPr="007D116C">
              <w:rPr>
                <w:sz w:val="20"/>
                <w:szCs w:val="20"/>
              </w:rPr>
              <w:t>engagement is undertaken in ways that helps regulators develop a genuine understanding of the operating environment of regulated entities</w:t>
            </w:r>
          </w:p>
          <w:p w14:paraId="2840D47E" w14:textId="77777777" w:rsidR="000C7D44" w:rsidRPr="007D116C" w:rsidRDefault="000C7D44" w:rsidP="00C73BD8">
            <w:pPr>
              <w:pStyle w:val="ListParagraph"/>
              <w:numPr>
                <w:ilvl w:val="0"/>
                <w:numId w:val="19"/>
              </w:numPr>
              <w:spacing w:after="40"/>
              <w:ind w:left="214" w:hanging="214"/>
              <w:contextualSpacing w:val="0"/>
              <w:jc w:val="left"/>
              <w:rPr>
                <w:sz w:val="20"/>
                <w:szCs w:val="20"/>
              </w:rPr>
            </w:pPr>
            <w:r w:rsidRPr="007D116C">
              <w:rPr>
                <w:sz w:val="20"/>
                <w:szCs w:val="20"/>
              </w:rPr>
              <w:t>cooperative and collaborative relationships are established with stakeholders, including other regulators, to promote trust and improve the efficiency and effectiveness of the regulatory framework</w:t>
            </w:r>
          </w:p>
        </w:tc>
        <w:tc>
          <w:tcPr>
            <w:tcW w:w="1803" w:type="dxa"/>
            <w:shd w:val="clear" w:color="auto" w:fill="D9D9D9" w:themeFill="background1" w:themeFillShade="D9"/>
          </w:tcPr>
          <w:p w14:paraId="5A24A23D" w14:textId="77777777" w:rsidR="000C7D44" w:rsidRPr="007D116C" w:rsidRDefault="000C7D44" w:rsidP="00C73BD8">
            <w:pPr>
              <w:pStyle w:val="ListParagraph"/>
              <w:numPr>
                <w:ilvl w:val="0"/>
                <w:numId w:val="19"/>
              </w:numPr>
              <w:spacing w:after="40"/>
              <w:ind w:left="141" w:hanging="142"/>
              <w:contextualSpacing w:val="0"/>
              <w:jc w:val="left"/>
              <w:rPr>
                <w:sz w:val="20"/>
                <w:szCs w:val="20"/>
              </w:rPr>
            </w:pPr>
            <w:r w:rsidRPr="007D116C">
              <w:rPr>
                <w:sz w:val="20"/>
                <w:szCs w:val="20"/>
              </w:rPr>
              <w:t>clear and timely guidance and support is accessible to stakeholders and tailored to meet the needs of the target audience</w:t>
            </w:r>
          </w:p>
          <w:p w14:paraId="4A70EE67" w14:textId="77777777" w:rsidR="000C7D44" w:rsidRPr="007D116C" w:rsidRDefault="000C7D44" w:rsidP="00C73BD8">
            <w:pPr>
              <w:pStyle w:val="ListParagraph"/>
              <w:numPr>
                <w:ilvl w:val="0"/>
                <w:numId w:val="19"/>
              </w:numPr>
              <w:spacing w:after="40"/>
              <w:ind w:left="141" w:hanging="142"/>
              <w:contextualSpacing w:val="0"/>
              <w:jc w:val="left"/>
              <w:rPr>
                <w:sz w:val="20"/>
                <w:szCs w:val="20"/>
              </w:rPr>
            </w:pPr>
            <w:r w:rsidRPr="007D116C">
              <w:rPr>
                <w:sz w:val="20"/>
                <w:szCs w:val="20"/>
              </w:rPr>
              <w:t>advice is consistent and, where appropriate, decisions are communicated in a manner that clearly articulates what is required to achieve compliance</w:t>
            </w:r>
          </w:p>
          <w:p w14:paraId="6976C300" w14:textId="77777777" w:rsidR="000C7D44" w:rsidRPr="007D116C" w:rsidRDefault="000C7D44" w:rsidP="00C73BD8">
            <w:pPr>
              <w:pStyle w:val="ListParagraph"/>
              <w:numPr>
                <w:ilvl w:val="0"/>
                <w:numId w:val="19"/>
              </w:numPr>
              <w:spacing w:after="40"/>
              <w:ind w:left="141" w:hanging="142"/>
              <w:contextualSpacing w:val="0"/>
              <w:jc w:val="left"/>
              <w:rPr>
                <w:sz w:val="20"/>
                <w:szCs w:val="20"/>
              </w:rPr>
            </w:pPr>
            <w:r w:rsidRPr="007D116C">
              <w:rPr>
                <w:sz w:val="20"/>
                <w:szCs w:val="20"/>
              </w:rPr>
              <w:t>where appropriate, regulatory approaches are tailored to ensure compliance activities do not disproportionately burden particular stakeholders (e.g. small business) or require specialist advice</w:t>
            </w:r>
          </w:p>
        </w:tc>
        <w:tc>
          <w:tcPr>
            <w:tcW w:w="1803" w:type="dxa"/>
            <w:shd w:val="clear" w:color="auto" w:fill="D9D9D9" w:themeFill="background1" w:themeFillShade="D9"/>
          </w:tcPr>
          <w:p w14:paraId="0C23D230" w14:textId="77777777" w:rsidR="000C7D44" w:rsidRPr="007D116C" w:rsidRDefault="000C7D44" w:rsidP="00C73BD8">
            <w:pPr>
              <w:pStyle w:val="ListParagraph"/>
              <w:numPr>
                <w:ilvl w:val="0"/>
                <w:numId w:val="19"/>
              </w:numPr>
              <w:spacing w:after="40"/>
              <w:ind w:left="209" w:hanging="209"/>
              <w:contextualSpacing w:val="0"/>
              <w:jc w:val="left"/>
              <w:rPr>
                <w:sz w:val="20"/>
                <w:szCs w:val="20"/>
              </w:rPr>
            </w:pPr>
            <w:r w:rsidRPr="007D116C">
              <w:rPr>
                <w:sz w:val="20"/>
                <w:szCs w:val="20"/>
              </w:rPr>
              <w:t>regular review of the approach to regulatory activities, collaboration with stakeholders and other regulators to ensure it is appropriately risk based, leverages technological innovation and remains the best approach to achieving policy outcomes</w:t>
            </w:r>
          </w:p>
          <w:p w14:paraId="5543203A" w14:textId="77777777" w:rsidR="000C7D44" w:rsidRPr="007D116C" w:rsidRDefault="000C7D44" w:rsidP="00C73BD8">
            <w:pPr>
              <w:pStyle w:val="ListParagraph"/>
              <w:numPr>
                <w:ilvl w:val="0"/>
                <w:numId w:val="19"/>
              </w:numPr>
              <w:spacing w:after="40"/>
              <w:ind w:left="209" w:hanging="209"/>
              <w:contextualSpacing w:val="0"/>
              <w:jc w:val="left"/>
              <w:rPr>
                <w:sz w:val="20"/>
                <w:szCs w:val="20"/>
              </w:rPr>
            </w:pPr>
            <w:r w:rsidRPr="007D116C">
              <w:rPr>
                <w:sz w:val="20"/>
                <w:szCs w:val="20"/>
              </w:rPr>
              <w:t>to the extent possible, reform of regulatory activities is prioritised on the basis of impact on stakeholders and the community</w:t>
            </w:r>
          </w:p>
          <w:p w14:paraId="0B383208" w14:textId="77777777" w:rsidR="000C7D44" w:rsidRPr="007D116C" w:rsidRDefault="000C7D44" w:rsidP="00C73BD8">
            <w:pPr>
              <w:pStyle w:val="ListParagraph"/>
              <w:numPr>
                <w:ilvl w:val="0"/>
                <w:numId w:val="19"/>
              </w:numPr>
              <w:spacing w:after="40"/>
              <w:ind w:left="209" w:hanging="209"/>
              <w:contextualSpacing w:val="0"/>
              <w:jc w:val="left"/>
              <w:rPr>
                <w:sz w:val="20"/>
                <w:szCs w:val="20"/>
              </w:rPr>
            </w:pPr>
            <w:r w:rsidRPr="007D116C">
              <w:rPr>
                <w:sz w:val="20"/>
                <w:szCs w:val="20"/>
              </w:rPr>
              <w:t>staff have the necessary training and support to effectively, efficiently and consistently perform their duties</w:t>
            </w:r>
          </w:p>
        </w:tc>
        <w:tc>
          <w:tcPr>
            <w:tcW w:w="1804" w:type="dxa"/>
            <w:shd w:val="clear" w:color="auto" w:fill="D9D9D9" w:themeFill="background1" w:themeFillShade="D9"/>
          </w:tcPr>
          <w:p w14:paraId="05E41209" w14:textId="77777777" w:rsidR="000C7D44" w:rsidRPr="007D116C" w:rsidRDefault="000C7D44" w:rsidP="00C73BD8">
            <w:pPr>
              <w:pStyle w:val="ListParagraph"/>
              <w:numPr>
                <w:ilvl w:val="0"/>
                <w:numId w:val="19"/>
              </w:numPr>
              <w:spacing w:after="40"/>
              <w:ind w:left="186" w:hanging="214"/>
              <w:contextualSpacing w:val="0"/>
              <w:jc w:val="left"/>
              <w:rPr>
                <w:sz w:val="20"/>
                <w:szCs w:val="20"/>
              </w:rPr>
            </w:pPr>
            <w:r w:rsidRPr="007D116C">
              <w:rPr>
                <w:sz w:val="20"/>
                <w:szCs w:val="20"/>
              </w:rPr>
              <w:t>where appropriate, regulatory frameworks and timeframes for making regulatory decisions are published to provide certainty to stakeholders</w:t>
            </w:r>
          </w:p>
          <w:p w14:paraId="19948E6E" w14:textId="77777777" w:rsidR="000C7D44" w:rsidRPr="007D116C" w:rsidRDefault="000C7D44" w:rsidP="00C73BD8">
            <w:pPr>
              <w:pStyle w:val="ListParagraph"/>
              <w:numPr>
                <w:ilvl w:val="0"/>
                <w:numId w:val="19"/>
              </w:numPr>
              <w:spacing w:after="40"/>
              <w:ind w:left="186" w:hanging="214"/>
              <w:contextualSpacing w:val="0"/>
              <w:jc w:val="left"/>
              <w:rPr>
                <w:sz w:val="20"/>
                <w:szCs w:val="20"/>
              </w:rPr>
            </w:pPr>
            <w:r w:rsidRPr="007D116C">
              <w:rPr>
                <w:sz w:val="20"/>
                <w:szCs w:val="20"/>
              </w:rPr>
              <w:t>decisions are provided in a timely manner, clearly articulating expectations and the underlying reasons for decisions</w:t>
            </w:r>
          </w:p>
          <w:p w14:paraId="7328DD69" w14:textId="77777777" w:rsidR="000C7D44" w:rsidRPr="007D116C" w:rsidRDefault="000C7D44" w:rsidP="00C73BD8">
            <w:pPr>
              <w:pStyle w:val="ListParagraph"/>
              <w:numPr>
                <w:ilvl w:val="0"/>
                <w:numId w:val="19"/>
              </w:numPr>
              <w:spacing w:after="40"/>
              <w:ind w:left="186" w:hanging="214"/>
              <w:contextualSpacing w:val="0"/>
              <w:jc w:val="left"/>
              <w:rPr>
                <w:sz w:val="20"/>
                <w:szCs w:val="20"/>
              </w:rPr>
            </w:pPr>
            <w:r w:rsidRPr="007D116C">
              <w:rPr>
                <w:sz w:val="20"/>
                <w:szCs w:val="20"/>
              </w:rPr>
              <w:t>indicators of regulator performance are publicly available</w:t>
            </w:r>
          </w:p>
        </w:tc>
      </w:tr>
    </w:tbl>
    <w:p w14:paraId="1DA7233F" w14:textId="77777777" w:rsidR="008F4526" w:rsidRDefault="008F4526" w:rsidP="008F4526">
      <w:pPr>
        <w:pStyle w:val="ListParagraph"/>
        <w:spacing w:before="240"/>
        <w:ind w:left="0"/>
      </w:pPr>
    </w:p>
    <w:p w14:paraId="0AF2976C" w14:textId="14911A35" w:rsidR="000C7D44" w:rsidRPr="007D116C" w:rsidRDefault="2CCCEB98" w:rsidP="00EA49EB">
      <w:pPr>
        <w:pStyle w:val="ListParagraph"/>
        <w:numPr>
          <w:ilvl w:val="0"/>
          <w:numId w:val="2"/>
        </w:numPr>
        <w:spacing w:before="240"/>
        <w:ind w:left="0" w:hanging="426"/>
      </w:pPr>
      <w:r w:rsidRPr="007D116C">
        <w:lastRenderedPageBreak/>
        <w:t xml:space="preserve">Within the context of risk-based regulation, the model practices can be seen, in part, as means by which information relevant to risk assessment is gathered: through stakeholder engagement, a continuous cycle of making and evaluating regulations, and appropriate transparency in that process. This information is then used in the development of proportionate regulation based on a full understanding of the regulatory environment. </w:t>
      </w:r>
    </w:p>
    <w:p w14:paraId="17A7B000" w14:textId="77777777" w:rsidR="000C7D44" w:rsidRPr="007D116C" w:rsidRDefault="000C7D44" w:rsidP="00333D74">
      <w:pPr>
        <w:pStyle w:val="Heading2"/>
      </w:pPr>
      <w:bookmarkStart w:id="34" w:name="_Toc100599141"/>
      <w:r w:rsidRPr="007D116C">
        <w:t>QBCC’s interpretation of the risk-based regulatory strategy</w:t>
      </w:r>
      <w:bookmarkEnd w:id="34"/>
    </w:p>
    <w:p w14:paraId="2DBE4F26" w14:textId="0B12ADDF" w:rsidR="00333D74" w:rsidRPr="007D116C" w:rsidRDefault="65B07A3E" w:rsidP="16FFD785">
      <w:pPr>
        <w:pStyle w:val="ListParagraph"/>
        <w:numPr>
          <w:ilvl w:val="0"/>
          <w:numId w:val="2"/>
        </w:numPr>
        <w:ind w:left="0" w:hanging="425"/>
      </w:pPr>
      <w:r w:rsidRPr="007D116C">
        <w:t xml:space="preserve">QBCC’s main publicly available strategy document is its </w:t>
      </w:r>
      <w:r w:rsidRPr="007D116C">
        <w:rPr>
          <w:i/>
          <w:iCs/>
        </w:rPr>
        <w:t xml:space="preserve">Strategic Plan 2020-2024 </w:t>
      </w:r>
      <w:r w:rsidRPr="007D116C">
        <w:t>(“the plan”).</w:t>
      </w:r>
      <w:r w:rsidR="000C7D44" w:rsidRPr="007D116C">
        <w:rPr>
          <w:rStyle w:val="FootnoteReference"/>
        </w:rPr>
        <w:footnoteReference w:id="99"/>
      </w:r>
      <w:r w:rsidRPr="007D116C">
        <w:t xml:space="preserve"> This document is a plan-on-a-page that outlines QBCC’s objectives, strategies, performance measures, and risks and opportunities. Here ‘risk’ means something other than the risk of non-compliance, which is listed as the first, but still just one, of the risks faced by QBCC. The specific risk of non-compliance is described as “Failure to instil a respect for regulation and compliance, caused by ineffective and/or misguided regulatory actions resulting in adverse impacts to the sustainability of licensees, the sector and compromising the safety of [the] community”. Also relevant </w:t>
      </w:r>
      <w:r w:rsidR="227B32A1" w:rsidRPr="007D116C">
        <w:t>here</w:t>
      </w:r>
      <w:r w:rsidRPr="007D116C">
        <w:t xml:space="preserve"> is the tenth identified risk, regarding data management: “Failure to yield accurate data caused by poor data governance and quality resulting in an inability to make informed decisions impacting the effectiveness of the QBCC and its reputation”. This explicit awareness of the importance of data to QBCC’s regulatory and other functions is consistent with a risk-based regulatory strategy, which, as discussed below, requires continual engagement with and assessment of the regulatory environment. </w:t>
      </w:r>
    </w:p>
    <w:p w14:paraId="3EEAA0B9" w14:textId="2BDA77FF" w:rsidR="00333D74" w:rsidRPr="007D116C" w:rsidRDefault="65B07A3E" w:rsidP="16FFD785">
      <w:pPr>
        <w:pStyle w:val="ListParagraph"/>
        <w:numPr>
          <w:ilvl w:val="0"/>
          <w:numId w:val="2"/>
        </w:numPr>
        <w:ind w:left="0" w:hanging="425"/>
      </w:pPr>
      <w:r w:rsidRPr="007D116C">
        <w:t xml:space="preserve">In the same vein, the QBCC has in recent years committed to becoming an “Insights-Driven Regulator” (IDR). The 2020-21 Annual Report indicates that this means the development of “data architecture and visualisation tools that enable early warning and detection capability” in respect to risks like insolvency, licensee risk, defective work claims, and compliance. This capability is part of a “strategic risk approach” that comprises “regulatory risk (industry non-compliance and insurance fund management issues) and corporate risk (human resources, systems and data, governance, reputation </w:t>
      </w:r>
      <w:r w:rsidRPr="007D116C">
        <w:lastRenderedPageBreak/>
        <w:t xml:space="preserve">and financial management, and sustainability issues)”. </w:t>
      </w:r>
      <w:r w:rsidR="79BAFFD5" w:rsidRPr="007D116C">
        <w:t>Development of t</w:t>
      </w:r>
      <w:r w:rsidRPr="007D116C">
        <w:t>he IDR program was the subject of a nearly $3 million grant from Queensland Treasury in 2019-20, indicating its consistency with Queensland Government priorities in respect of better regulation practices. It is mentioned as part of QBCC’s work against two of its four strategic objectives, one in relation to quality and the other in relation to efficiency and financial stability.</w:t>
      </w:r>
      <w:r w:rsidR="000C7D44" w:rsidRPr="007D116C">
        <w:rPr>
          <w:rStyle w:val="FootnoteReference"/>
        </w:rPr>
        <w:footnoteReference w:id="100"/>
      </w:r>
      <w:r w:rsidRPr="007D116C">
        <w:t xml:space="preserve"> </w:t>
      </w:r>
    </w:p>
    <w:p w14:paraId="3401CFDF" w14:textId="54B1AA99" w:rsidR="00EC4AF9" w:rsidRPr="007D116C" w:rsidRDefault="65B07A3E" w:rsidP="00937E90">
      <w:pPr>
        <w:pStyle w:val="ListParagraph"/>
        <w:numPr>
          <w:ilvl w:val="0"/>
          <w:numId w:val="2"/>
        </w:numPr>
        <w:ind w:left="0" w:hanging="425"/>
        <w:contextualSpacing w:val="0"/>
      </w:pPr>
      <w:r w:rsidRPr="007D116C">
        <w:t>Every Queensland regulator is required to report on its performance against the RPF’s model practices. Since the implementation of the RPF, there have been three reporting years. The QBCC’s self-assessment against the five model practices over the three years evinces a range of actions to engage with the industry, learn about the regulatory environment, and apply the information thereby obtained: proactive investigation of compliance rates, regularly convening the Service Trades Council, face-to-face events and seminars, self-assessments, and the development of a new strategic plan.</w:t>
      </w:r>
      <w:r w:rsidR="000C7D44" w:rsidRPr="007D116C">
        <w:rPr>
          <w:rStyle w:val="FootnoteReference"/>
        </w:rPr>
        <w:footnoteReference w:id="101"/>
      </w:r>
    </w:p>
    <w:p w14:paraId="526075C2" w14:textId="66D27C92" w:rsidR="000C7D44" w:rsidRPr="007D116C" w:rsidRDefault="000C7D44" w:rsidP="00937E90">
      <w:pPr>
        <w:pStyle w:val="Heading2"/>
      </w:pPr>
      <w:bookmarkStart w:id="35" w:name="_Toc100599142"/>
      <w:r w:rsidRPr="007D116C">
        <w:t>The challenges of risk-based regulation</w:t>
      </w:r>
      <w:bookmarkEnd w:id="35"/>
    </w:p>
    <w:p w14:paraId="1CCFF88F" w14:textId="13915C9C" w:rsidR="00AD0892" w:rsidRPr="007D116C" w:rsidRDefault="65B07A3E" w:rsidP="16FFD785">
      <w:pPr>
        <w:pStyle w:val="ListParagraph"/>
        <w:numPr>
          <w:ilvl w:val="0"/>
          <w:numId w:val="2"/>
        </w:numPr>
        <w:ind w:left="0" w:hanging="426"/>
      </w:pPr>
      <w:r>
        <w:t xml:space="preserve">Based on the above, it can be observed that the QBCC has worked, and is working, to implement government’s intent that regulation should follow a risk-based strategy. In its implementation, the QBCC has placed an emphasis on gathering and analysing data from the regulatory environment. The purpose of this section is to provide a brief overview of risk-based regulation more generally, with a view to identifying other relevant aspects of this strategy that bear upon the practices of the QBCC, especially considering the </w:t>
      </w:r>
      <w:r w:rsidR="1EEC6E06">
        <w:t>features identified in</w:t>
      </w:r>
      <w:r>
        <w:t xml:space="preserve"> its governance model.</w:t>
      </w:r>
    </w:p>
    <w:p w14:paraId="582010BE" w14:textId="5BA546D2" w:rsidR="00AD0892" w:rsidRPr="007D116C" w:rsidRDefault="65B07A3E" w:rsidP="00AD0892">
      <w:pPr>
        <w:pStyle w:val="ListParagraph"/>
        <w:numPr>
          <w:ilvl w:val="0"/>
          <w:numId w:val="2"/>
        </w:numPr>
        <w:ind w:left="0" w:hanging="426"/>
        <w:contextualSpacing w:val="0"/>
      </w:pPr>
      <w:r w:rsidRPr="007D116C">
        <w:t xml:space="preserve">Risk-based regulation (RBR) approaches have proven popular and have been adopted across Australia, Canada, the UK and New Zealand throughout the early 2000s. </w:t>
      </w:r>
      <w:r w:rsidR="79BAFFD5" w:rsidRPr="007D116C">
        <w:t xml:space="preserve">RBR </w:t>
      </w:r>
      <w:r w:rsidRPr="007D116C">
        <w:t xml:space="preserve">is used widely both by specific regulatory agencies </w:t>
      </w:r>
      <w:r w:rsidR="4E74EEF0" w:rsidRPr="007D116C">
        <w:t xml:space="preserve">and </w:t>
      </w:r>
      <w:r w:rsidRPr="007D116C">
        <w:t xml:space="preserve">also as an approach aimed at any regulated activity, and </w:t>
      </w:r>
      <w:r w:rsidR="4E74EEF0" w:rsidRPr="007D116C">
        <w:t xml:space="preserve">has been </w:t>
      </w:r>
      <w:r w:rsidRPr="007D116C">
        <w:t xml:space="preserve">broadly </w:t>
      </w:r>
      <w:r w:rsidRPr="007D116C">
        <w:lastRenderedPageBreak/>
        <w:t>promoted by governments across Australia. As the RPF notes, “These practices are consistent with similar principles adopted in other jurisdictions nationally and internationally”.</w:t>
      </w:r>
      <w:r w:rsidR="000C7D44" w:rsidRPr="007D116C">
        <w:rPr>
          <w:rStyle w:val="FootnoteReference"/>
        </w:rPr>
        <w:footnoteReference w:id="102"/>
      </w:r>
      <w:r w:rsidRPr="007D116C">
        <w:t xml:space="preserve"> </w:t>
      </w:r>
    </w:p>
    <w:p w14:paraId="34EAD7BE" w14:textId="21A78B9B" w:rsidR="00AD0892" w:rsidRPr="007D116C" w:rsidRDefault="65B07A3E" w:rsidP="00AD0892">
      <w:pPr>
        <w:pStyle w:val="ListParagraph"/>
        <w:numPr>
          <w:ilvl w:val="0"/>
          <w:numId w:val="2"/>
        </w:numPr>
        <w:ind w:left="0" w:hanging="426"/>
        <w:contextualSpacing w:val="0"/>
      </w:pPr>
      <w:r w:rsidRPr="007D116C">
        <w:t>According to the OECD, RBR begins with acknowledging that government “cannot regulate to remove all risk and that regulatory action, when taken, should be proportionate, targeted and based on an assessment of the nature and magnitude of the risks and the likelihood that regulation will be successful in achieving its aims”. As such, RBR has been called “a pragmatic approach to regulation because it recognises that risks can be managed or reduced, but not eliminated”.</w:t>
      </w:r>
      <w:r w:rsidR="000C7D44" w:rsidRPr="007D116C">
        <w:rPr>
          <w:rStyle w:val="FootnoteReference"/>
        </w:rPr>
        <w:footnoteReference w:id="103"/>
      </w:r>
      <w:r w:rsidRPr="007D116C">
        <w:t xml:space="preserve"> While there is no singular definition of RBR, it can be stated broadly that RBR approaches tend to share a common starting point and some key elements. The common starting point is in the understanding that risks are the focus, not rules. This approach is not</w:t>
      </w:r>
      <w:r w:rsidR="428E92D6" w:rsidRPr="007D116C">
        <w:t xml:space="preserve"> primarily</w:t>
      </w:r>
      <w:r w:rsidRPr="007D116C">
        <w:t xml:space="preserve"> about the enforcement of rules, it is about understanding that not every rule can be enforced and that choices must be made. Choices are made according to the level of risk identified. Accordingly, RBR frameworks generally have four common features: setting a clear understanding of risk tolerance, identifying risks, assigning a score/value to the risks identified, and then allocating resources based on the scores assigned.</w:t>
      </w:r>
      <w:r w:rsidR="000C7D44" w:rsidRPr="007D116C">
        <w:rPr>
          <w:rStyle w:val="FootnoteReference"/>
        </w:rPr>
        <w:footnoteReference w:id="104"/>
      </w:r>
      <w:r w:rsidRPr="007D116C">
        <w:t xml:space="preserve"> </w:t>
      </w:r>
    </w:p>
    <w:p w14:paraId="7169DFCF" w14:textId="59B6C4CC" w:rsidR="00AD0892" w:rsidRPr="007D116C" w:rsidRDefault="65B07A3E" w:rsidP="003B56B6">
      <w:pPr>
        <w:pStyle w:val="ListParagraph"/>
        <w:numPr>
          <w:ilvl w:val="0"/>
          <w:numId w:val="2"/>
        </w:numPr>
        <w:ind w:left="0" w:hanging="426"/>
        <w:contextualSpacing w:val="0"/>
      </w:pPr>
      <w:r w:rsidRPr="007D116C">
        <w:t xml:space="preserve">Since its rise to prominence, RBR has generated a considerable literature discussing its benefits and challenges. </w:t>
      </w:r>
      <w:r w:rsidR="428E92D6" w:rsidRPr="007D116C">
        <w:t>In relation to</w:t>
      </w:r>
      <w:r w:rsidRPr="007D116C">
        <w:t xml:space="preserve"> the benefits of RBR, the Productivity </w:t>
      </w:r>
      <w:r w:rsidR="77EEAE78" w:rsidRPr="007D116C">
        <w:t>Commission</w:t>
      </w:r>
      <w:r w:rsidRPr="007D116C">
        <w:t xml:space="preserve"> notes that RBR offers a process for prioritisation, which focuses on risks identified </w:t>
      </w:r>
      <w:r w:rsidR="428E92D6" w:rsidRPr="007D116C">
        <w:t>as having</w:t>
      </w:r>
      <w:r w:rsidRPr="007D116C">
        <w:t xml:space="preserve"> both a higher impact and likelihood of occurring and aims to reduce</w:t>
      </w:r>
      <w:r w:rsidR="3BE585A8" w:rsidRPr="007D116C">
        <w:t xml:space="preserve"> unnecessary</w:t>
      </w:r>
      <w:r w:rsidRPr="007D116C">
        <w:t xml:space="preserve"> regulatory burdens. There is a broad sense that a risk-based approach is cost effective as it enables the reduction of </w:t>
      </w:r>
      <w:r w:rsidR="781DF21E" w:rsidRPr="007D116C">
        <w:t>‘</w:t>
      </w:r>
      <w:r w:rsidRPr="007D116C">
        <w:t>red tape</w:t>
      </w:r>
      <w:r w:rsidR="781DF21E" w:rsidRPr="007D116C">
        <w:t>’</w:t>
      </w:r>
      <w:r w:rsidRPr="007D116C">
        <w:t xml:space="preserve"> and that the </w:t>
      </w:r>
      <w:r w:rsidRPr="007D116C">
        <w:lastRenderedPageBreak/>
        <w:t>decisions made can be supported, explained, and quantified.</w:t>
      </w:r>
      <w:r w:rsidR="000C7D44" w:rsidRPr="007D116C">
        <w:rPr>
          <w:rStyle w:val="FootnoteReference"/>
        </w:rPr>
        <w:footnoteReference w:id="105"/>
      </w:r>
      <w:r w:rsidRPr="007D116C">
        <w:t xml:space="preserve"> On this last, the OECD suggests that the main benefits of RBR are in costs avoided. By targeting regulation to </w:t>
      </w:r>
      <w:r w:rsidR="7AB0BABC" w:rsidRPr="007D116C">
        <w:t xml:space="preserve">higher </w:t>
      </w:r>
      <w:r w:rsidRPr="007D116C">
        <w:t>risk</w:t>
      </w:r>
      <w:r w:rsidR="7AB0BABC" w:rsidRPr="007D116C">
        <w:t xml:space="preserve"> activities</w:t>
      </w:r>
      <w:r w:rsidRPr="007D116C">
        <w:t>, regulators can avoid expending their limited resources on lower probability and lower impact risks and can avoid intervening in the market in disproportionate and inappropriate ways that drive up costs for citizens</w:t>
      </w:r>
      <w:r w:rsidR="7328DA3B" w:rsidRPr="007D116C">
        <w:t xml:space="preserve"> and stakeholders</w:t>
      </w:r>
      <w:r w:rsidRPr="007D116C">
        <w:t>. Expressed more positively, RBR permits the more efficient use of regulator resources, as well as devolving responsibility for risk management to the level most appropriate and efficient. In addition, risk assessment provides a sound basis for engagement with regulated entities, and in explaining regulatory decisions and building confidence within the regulated environment. In sum, “For regulators, a risk-based regulatory approach can have at least three benefits: it contributes to regulatory efficiency by targeting the approaches of the regulator to allocate resources where risk is greatest; it can systematically improve decision making processes by providing new evidence and insights into potential risk, and; it can assist in providing defensible rationale for decision making, that can withstand external challenge from the courts, or potentially the media”.</w:t>
      </w:r>
      <w:r w:rsidR="000C7D44" w:rsidRPr="007D116C">
        <w:rPr>
          <w:rStyle w:val="FootnoteReference"/>
        </w:rPr>
        <w:footnoteReference w:id="106"/>
      </w:r>
      <w:r w:rsidRPr="007D116C">
        <w:t xml:space="preserve">  </w:t>
      </w:r>
    </w:p>
    <w:p w14:paraId="0B1A2E77" w14:textId="66A4FEC1" w:rsidR="00AD0892" w:rsidRPr="007D116C" w:rsidRDefault="65B07A3E" w:rsidP="16FFD785">
      <w:pPr>
        <w:pStyle w:val="ListParagraph"/>
        <w:numPr>
          <w:ilvl w:val="0"/>
          <w:numId w:val="2"/>
        </w:numPr>
        <w:ind w:left="0" w:hanging="426"/>
      </w:pPr>
      <w:r w:rsidRPr="007D116C">
        <w:t>However, RBR also poses several challenges for regulators, chiefly to do with the complexity of the task it sets for them: the identification of certain adverse outcomes as harms, the weighing of those harms by likelihood and potential impact, and the careful design of limited</w:t>
      </w:r>
      <w:r w:rsidRPr="007D116C">
        <w:rPr>
          <w:i/>
          <w:iCs/>
        </w:rPr>
        <w:t xml:space="preserve"> </w:t>
      </w:r>
      <w:r w:rsidRPr="007D116C">
        <w:t xml:space="preserve">interventions tailored to that risk assessment. Rothstein </w:t>
      </w:r>
      <w:r w:rsidRPr="007D116C">
        <w:rPr>
          <w:i/>
          <w:iCs/>
        </w:rPr>
        <w:t>et al</w:t>
      </w:r>
      <w:r w:rsidRPr="007D116C">
        <w:t xml:space="preserve"> identify three </w:t>
      </w:r>
      <w:r w:rsidR="2AFA7EA9" w:rsidRPr="007D116C">
        <w:t xml:space="preserve">general </w:t>
      </w:r>
      <w:r w:rsidRPr="007D116C">
        <w:t xml:space="preserve">kinds of challenges faced by RBR, which they characterise as </w:t>
      </w:r>
      <w:r w:rsidRPr="007D116C">
        <w:rPr>
          <w:i/>
          <w:iCs/>
        </w:rPr>
        <w:t>epistemic</w:t>
      </w:r>
      <w:r w:rsidRPr="007D116C">
        <w:t xml:space="preserve">, </w:t>
      </w:r>
      <w:r w:rsidRPr="007D116C">
        <w:rPr>
          <w:i/>
          <w:iCs/>
        </w:rPr>
        <w:t>institutional</w:t>
      </w:r>
      <w:r w:rsidRPr="007D116C">
        <w:t xml:space="preserve">, and </w:t>
      </w:r>
      <w:r w:rsidRPr="007D116C">
        <w:rPr>
          <w:i/>
          <w:iCs/>
        </w:rPr>
        <w:t>normative</w:t>
      </w:r>
      <w:r w:rsidRPr="007D116C">
        <w:t xml:space="preserve"> – that is, learning enough about the regulatory environment, being sufficiently resourced and capable to properly analyse that information, and producing rules that satisfactorily balance the interests of different stakeholders.</w:t>
      </w:r>
      <w:r w:rsidR="000C7D44" w:rsidRPr="007D116C">
        <w:rPr>
          <w:rStyle w:val="FootnoteReference"/>
        </w:rPr>
        <w:footnoteReference w:id="107"/>
      </w:r>
      <w:r w:rsidRPr="007D116C">
        <w:t xml:space="preserve"> Along similar lines, for present purposes, there are two specific challenges inherent in RBR that are relevant to the structure and operations of QBCC: </w:t>
      </w:r>
    </w:p>
    <w:p w14:paraId="4DE80481" w14:textId="0757BB97" w:rsidR="00AD0892" w:rsidRPr="007D116C" w:rsidRDefault="65B07A3E" w:rsidP="003B56B6">
      <w:pPr>
        <w:pStyle w:val="ListParagraph"/>
        <w:numPr>
          <w:ilvl w:val="1"/>
          <w:numId w:val="2"/>
        </w:numPr>
        <w:contextualSpacing w:val="0"/>
      </w:pPr>
      <w:r w:rsidRPr="007D116C">
        <w:rPr>
          <w:i/>
          <w:iCs/>
        </w:rPr>
        <w:lastRenderedPageBreak/>
        <w:t>Informational challenge</w:t>
      </w:r>
      <w:r w:rsidRPr="007D116C">
        <w:t>: The first</w:t>
      </w:r>
      <w:r w:rsidR="082E5320" w:rsidRPr="007D116C">
        <w:t xml:space="preserve"> major</w:t>
      </w:r>
      <w:r w:rsidRPr="007D116C">
        <w:t xml:space="preserve"> challenge in RBR is that it requires accurate data gathering and assessment to identify risks in the regulatory environment. It is </w:t>
      </w:r>
      <w:r w:rsidR="6A579A15" w:rsidRPr="007D116C">
        <w:t>frequently claimed</w:t>
      </w:r>
      <w:r w:rsidRPr="007D116C">
        <w:t xml:space="preserve"> in the literature that, as the OECD puts it, “A significant constraint on undertaking risk assessment and analysis is the availability of reliable and comprehensive data”. This is because risk assessment is inherently complex – for example, it includes the interrelation of risks, the political factor in risk identification and assessment, the need for intervention to anticipate risk, the subjective perception of risk, and challenges in communicating risk.</w:t>
      </w:r>
      <w:r w:rsidR="000C7D44" w:rsidRPr="007D116C">
        <w:rPr>
          <w:rStyle w:val="FootnoteReference"/>
        </w:rPr>
        <w:footnoteReference w:id="108"/>
      </w:r>
      <w:r w:rsidRPr="007D116C">
        <w:t xml:space="preserve"> For this reason, RBR is understood to place high capability demands upon regulators, </w:t>
      </w:r>
      <w:r w:rsidR="7628D44F" w:rsidRPr="007D116C">
        <w:t xml:space="preserve">not only in terms of </w:t>
      </w:r>
      <w:r w:rsidRPr="007D116C">
        <w:t xml:space="preserve">technical work, </w:t>
      </w:r>
      <w:r w:rsidR="7628D44F" w:rsidRPr="007D116C">
        <w:t>but also because of</w:t>
      </w:r>
      <w:r w:rsidRPr="007D116C">
        <w:t xml:space="preserve"> the role played </w:t>
      </w:r>
      <w:r w:rsidR="7628D44F" w:rsidRPr="007D116C">
        <w:t xml:space="preserve">in RBR </w:t>
      </w:r>
      <w:r w:rsidRPr="007D116C">
        <w:t>by human judgement and the consideration of non-technical and subjective matters.</w:t>
      </w:r>
      <w:r w:rsidR="000C7D44" w:rsidRPr="007D116C">
        <w:rPr>
          <w:rStyle w:val="FootnoteReference"/>
        </w:rPr>
        <w:footnoteReference w:id="109"/>
      </w:r>
      <w:r w:rsidRPr="007D116C">
        <w:t xml:space="preserve">  </w:t>
      </w:r>
    </w:p>
    <w:p w14:paraId="247FDD0A" w14:textId="1803466A" w:rsidR="00AD0892" w:rsidRPr="007D116C" w:rsidRDefault="65B07A3E" w:rsidP="16FFD785">
      <w:pPr>
        <w:pStyle w:val="ListParagraph"/>
        <w:numPr>
          <w:ilvl w:val="1"/>
          <w:numId w:val="2"/>
        </w:numPr>
      </w:pPr>
      <w:r w:rsidRPr="007D116C">
        <w:rPr>
          <w:i/>
          <w:iCs/>
        </w:rPr>
        <w:t>Institutional challenge</w:t>
      </w:r>
      <w:r w:rsidRPr="007D116C">
        <w:t>: Relatedly, then, the second major challenge of RBR is the demands it places upon the regulator</w:t>
      </w:r>
      <w:r w:rsidR="65847D1A" w:rsidRPr="007D116C">
        <w:t>y agency</w:t>
      </w:r>
      <w:r w:rsidRPr="007D116C">
        <w:t xml:space="preserve"> as </w:t>
      </w:r>
      <w:r w:rsidR="186E6A69" w:rsidRPr="007D116C">
        <w:t>an actor within</w:t>
      </w:r>
      <w:r w:rsidRPr="007D116C">
        <w:t xml:space="preserve"> the regulatory environment. Here, it is important to be careful about the relationship between RBR and approaches that are outcome-, problem-, or performance-based (all meaning approximately the same thing).</w:t>
      </w:r>
      <w:r w:rsidR="000C7D44" w:rsidRPr="007D116C">
        <w:rPr>
          <w:rStyle w:val="FootnoteReference"/>
        </w:rPr>
        <w:footnoteReference w:id="110"/>
      </w:r>
      <w:r w:rsidRPr="007D116C">
        <w:t xml:space="preserve"> RBR is outcome-based in that it requires the identification and characterisation of certain outcomes as harms (or similar). But the assessed risk in RBR is the risk of non-compliance, on the premise that non-compliance </w:t>
      </w:r>
      <w:r w:rsidRPr="007D116C">
        <w:rPr>
          <w:i/>
          <w:iCs/>
        </w:rPr>
        <w:t xml:space="preserve">may </w:t>
      </w:r>
      <w:r w:rsidR="79A74AFB" w:rsidRPr="007D116C">
        <w:t>lead to foreseeable harms.</w:t>
      </w:r>
      <w:r w:rsidR="17DFC68A" w:rsidRPr="007D116C">
        <w:t xml:space="preserve"> </w:t>
      </w:r>
      <w:r w:rsidR="79A74AFB" w:rsidRPr="007D116C">
        <w:t>T</w:t>
      </w:r>
      <w:r w:rsidRPr="007D116C">
        <w:t>hus, there are two distinct probabilistic determinations involved</w:t>
      </w:r>
      <w:r w:rsidR="17E90340" w:rsidRPr="007D116C">
        <w:t xml:space="preserve">: </w:t>
      </w:r>
      <w:r w:rsidR="2BD99759" w:rsidRPr="007D116C">
        <w:t>First,</w:t>
      </w:r>
      <w:r w:rsidR="66D4A8AF" w:rsidRPr="007D116C">
        <w:t xml:space="preserve"> </w:t>
      </w:r>
      <w:r w:rsidRPr="007D116C">
        <w:t>the probability of non-compliance includes factors other than the probability of the harm materialising within the regulatory environment, including the relative costliness of compliance for regulated entities</w:t>
      </w:r>
      <w:r w:rsidR="66D4A8AF" w:rsidRPr="007D116C">
        <w:t xml:space="preserve">; </w:t>
      </w:r>
      <w:r w:rsidR="1E3E424C" w:rsidRPr="007D116C">
        <w:t>and secondly,</w:t>
      </w:r>
      <w:r w:rsidRPr="007D116C">
        <w:t xml:space="preserve"> the credibility and reputation of the regulator. In the literature, this point is usually made by noting that RBR in practice includes two different kinds of risk: the risk of social harms materialising, and the business or operational risks occasioned by the regulator.</w:t>
      </w:r>
      <w:r w:rsidR="000C7D44" w:rsidRPr="007D116C">
        <w:rPr>
          <w:rStyle w:val="FootnoteReference"/>
        </w:rPr>
        <w:footnoteReference w:id="111"/>
      </w:r>
      <w:r w:rsidRPr="007D116C">
        <w:t xml:space="preserve"> </w:t>
      </w:r>
      <w:r w:rsidR="602E46D9" w:rsidRPr="007D116C">
        <w:lastRenderedPageBreak/>
        <w:t>Importantly,</w:t>
      </w:r>
      <w:r w:rsidRPr="007D116C">
        <w:t xml:space="preserve"> to the extent that harm to the regulator’s operations or reputation </w:t>
      </w:r>
      <w:r w:rsidR="2A11F471" w:rsidRPr="007D116C">
        <w:t xml:space="preserve">may </w:t>
      </w:r>
      <w:r w:rsidRPr="007D116C">
        <w:t>diminish its effectiveness as a regulator, then to that same extent, the risk of social harm increases.</w:t>
      </w:r>
    </w:p>
    <w:p w14:paraId="4297D3DE" w14:textId="651F98AA" w:rsidR="00AD0892" w:rsidRPr="007D116C" w:rsidRDefault="65B07A3E" w:rsidP="003B56B6">
      <w:pPr>
        <w:pStyle w:val="ListParagraph"/>
        <w:numPr>
          <w:ilvl w:val="0"/>
          <w:numId w:val="2"/>
        </w:numPr>
        <w:ind w:left="0" w:hanging="426"/>
        <w:contextualSpacing w:val="0"/>
      </w:pPr>
      <w:r w:rsidRPr="007D116C">
        <w:t>To put the institutional challenge slightly differently, Baldwin and Black argue that risk-based regulators in effect “construct”</w:t>
      </w:r>
      <w:r w:rsidR="37307FE9" w:rsidRPr="007D116C">
        <w:t xml:space="preserve"> or define</w:t>
      </w:r>
      <w:r w:rsidRPr="007D116C">
        <w:t xml:space="preserve"> the risks that they aim to mitigate, and this process is influenced by institutional factors like resources and frameworks, and “political, communicative, and reputational factors” like protecting the reputation and social license of the regulator, </w:t>
      </w:r>
      <w:r w:rsidR="6FDA5900" w:rsidRPr="007D116C">
        <w:t xml:space="preserve">all of </w:t>
      </w:r>
      <w:r w:rsidRPr="007D116C">
        <w:t>which affect decisions about regulatory priorities. For this reason, operational decisions like enforcement may change the regulatory environment and so themselves increase or decrease the risk of non-compliance. And in turn, this dynamism itself poses an institutional challenge for regulator</w:t>
      </w:r>
      <w:r w:rsidR="3B4D766D" w:rsidRPr="007D116C">
        <w:t>y agencies</w:t>
      </w:r>
      <w:r w:rsidRPr="007D116C">
        <w:t>, which must keep up with the effects of their own rules and enforcement actions.</w:t>
      </w:r>
      <w:r w:rsidR="000C7D44" w:rsidRPr="007D116C">
        <w:rPr>
          <w:rStyle w:val="FootnoteReference"/>
        </w:rPr>
        <w:footnoteReference w:id="112"/>
      </w:r>
      <w:r w:rsidRPr="007D116C">
        <w:t xml:space="preserve"> So the effectiveness of a regulator in part turns on how reliably it makes these complex and subtle judgements </w:t>
      </w:r>
      <w:r w:rsidR="7F8D3BEB" w:rsidRPr="007D116C">
        <w:t xml:space="preserve">concerning </w:t>
      </w:r>
      <w:r w:rsidRPr="007D116C">
        <w:t>its regulatory environment, and how those judgemen</w:t>
      </w:r>
      <w:r w:rsidR="7FF28437" w:rsidRPr="007D116C">
        <w:t>ts</w:t>
      </w:r>
      <w:r w:rsidRPr="007D116C">
        <w:t xml:space="preserve"> reflexively make that environment still more complex.</w:t>
      </w:r>
    </w:p>
    <w:p w14:paraId="3276A2B9" w14:textId="50B11CB6" w:rsidR="000C7D44" w:rsidRPr="007D116C" w:rsidRDefault="65B07A3E" w:rsidP="16FFD785">
      <w:pPr>
        <w:pStyle w:val="ListParagraph"/>
        <w:numPr>
          <w:ilvl w:val="0"/>
          <w:numId w:val="2"/>
        </w:numPr>
        <w:ind w:left="0" w:hanging="426"/>
      </w:pPr>
      <w:r w:rsidRPr="007D116C">
        <w:t xml:space="preserve">Moreover, because RBR relies on gathering and analysing data and regulators </w:t>
      </w:r>
      <w:r w:rsidR="6F552052" w:rsidRPr="007D116C">
        <w:t xml:space="preserve">then </w:t>
      </w:r>
      <w:r w:rsidRPr="007D116C">
        <w:t xml:space="preserve">acting prudently upon that data to produce regulation that balances the various interests at play, </w:t>
      </w:r>
      <w:r w:rsidR="57578BA9" w:rsidRPr="007D116C">
        <w:t>RBR</w:t>
      </w:r>
      <w:r w:rsidRPr="007D116C">
        <w:t xml:space="preserve"> </w:t>
      </w:r>
      <w:r w:rsidR="687BA1B8" w:rsidRPr="007D116C">
        <w:t>must be</w:t>
      </w:r>
      <w:r w:rsidRPr="007D116C">
        <w:t xml:space="preserve"> sensitive to material changes in the regulatory environment. A </w:t>
      </w:r>
      <w:r w:rsidR="246093BF" w:rsidRPr="007D116C">
        <w:t>risk-based</w:t>
      </w:r>
      <w:r w:rsidRPr="007D116C">
        <w:t xml:space="preserve"> framework can become “unresponsive to changing circumstances… and fail to detect and deal with new risks and changes in risk profiles”</w:t>
      </w:r>
      <w:r w:rsidR="000C7D44" w:rsidRPr="007D116C">
        <w:rPr>
          <w:rStyle w:val="FootnoteReference"/>
        </w:rPr>
        <w:footnoteReference w:id="113"/>
      </w:r>
      <w:r w:rsidRPr="007D116C">
        <w:t xml:space="preserve"> – which is why frameworks like Queensland’s seek to commit regulators to continuing cycles of evaluation and improvement. This is particularly relevant to the building and construction industry, which has seen long-term growth, including through</w:t>
      </w:r>
      <w:r w:rsidR="3C9BE27B" w:rsidRPr="007D116C">
        <w:t>out</w:t>
      </w:r>
      <w:r w:rsidRPr="007D116C">
        <w:t xml:space="preserve"> the pandemic, and innovation in building materials and construction methods</w:t>
      </w:r>
      <w:r w:rsidR="0CA46B6C" w:rsidRPr="007D116C">
        <w:t xml:space="preserve"> and certification practices</w:t>
      </w:r>
      <w:r w:rsidRPr="007D116C">
        <w:t xml:space="preserve"> that place new informational </w:t>
      </w:r>
      <w:r w:rsidRPr="007D116C">
        <w:lastRenderedPageBreak/>
        <w:t>demands upon regulators.</w:t>
      </w:r>
      <w:r w:rsidR="000C7D44" w:rsidRPr="007D116C">
        <w:rPr>
          <w:rStyle w:val="FootnoteReference"/>
        </w:rPr>
        <w:footnoteReference w:id="114"/>
      </w:r>
      <w:r w:rsidRPr="007D116C">
        <w:t xml:space="preserve"> Changes like this not only affect regulatory decisions, but </w:t>
      </w:r>
      <w:r w:rsidR="1B43897E" w:rsidRPr="007D116C">
        <w:t xml:space="preserve">also </w:t>
      </w:r>
      <w:r w:rsidRPr="007D116C">
        <w:t xml:space="preserve">require regulators to evaluate their objectives and performance measures </w:t>
      </w:r>
      <w:r w:rsidR="77B65B6D" w:rsidRPr="007D116C">
        <w:t>at regular intervals.</w:t>
      </w:r>
      <w:r w:rsidRPr="007D116C">
        <w:t xml:space="preserve"> </w:t>
      </w:r>
    </w:p>
    <w:p w14:paraId="6AF77533" w14:textId="18B96DFB" w:rsidR="000C7D44" w:rsidRPr="007D116C" w:rsidRDefault="4A92E991" w:rsidP="007640D7">
      <w:pPr>
        <w:pStyle w:val="Heading2"/>
      </w:pPr>
      <w:bookmarkStart w:id="36" w:name="_Toc100599143"/>
      <w:r w:rsidRPr="007D116C">
        <w:t>Observations about the Q</w:t>
      </w:r>
      <w:r w:rsidR="1E683BE4" w:rsidRPr="007D116C">
        <w:t>B</w:t>
      </w:r>
      <w:r w:rsidRPr="007D116C">
        <w:t>CC as a risk-based regulator</w:t>
      </w:r>
      <w:bookmarkEnd w:id="36"/>
    </w:p>
    <w:p w14:paraId="277C0B31" w14:textId="708713BC" w:rsidR="007640D7" w:rsidRPr="007D116C" w:rsidRDefault="5E8AE272" w:rsidP="007640D7">
      <w:pPr>
        <w:pStyle w:val="ListParagraph"/>
        <w:numPr>
          <w:ilvl w:val="0"/>
          <w:numId w:val="2"/>
        </w:numPr>
        <w:ind w:left="0" w:hanging="426"/>
      </w:pPr>
      <w:r w:rsidRPr="007D116C">
        <w:t>The RBR approach adopted by the Queensland Government raises the question of whether the QBCC’s governance model fits that approach. That is, the nature of the RBR approach bears upon the structural features of the QBCC’s governance model observed earlier, in two specific ways:</w:t>
      </w:r>
    </w:p>
    <w:p w14:paraId="1082C02B" w14:textId="69DA2DEA" w:rsidR="007640D7" w:rsidRPr="007D116C" w:rsidRDefault="5E8AE272" w:rsidP="007640D7">
      <w:pPr>
        <w:pStyle w:val="ListParagraph"/>
        <w:numPr>
          <w:ilvl w:val="1"/>
          <w:numId w:val="2"/>
        </w:numPr>
      </w:pPr>
      <w:r w:rsidRPr="007D116C">
        <w:rPr>
          <w:i/>
          <w:iCs/>
        </w:rPr>
        <w:t>Complexity</w:t>
      </w:r>
      <w:r w:rsidRPr="007D116C">
        <w:t xml:space="preserve">: As noted, the RBR approach entails a highly complex regulatory task. In turn, this means that a regulator undertaking this task will require a high level of capability. This bears upon the </w:t>
      </w:r>
      <w:r w:rsidR="1EEC6E06" w:rsidRPr="007D116C">
        <w:t>features identified</w:t>
      </w:r>
      <w:r w:rsidRPr="007D116C">
        <w:t xml:space="preserve"> above </w:t>
      </w:r>
      <w:r w:rsidR="1EEC6E06" w:rsidRPr="007D116C">
        <w:t>describing the</w:t>
      </w:r>
      <w:r w:rsidRPr="007D116C">
        <w:t xml:space="preserve"> QBCC’s mix of functions, funding sources, and staffing levels (</w:t>
      </w:r>
      <w:r w:rsidR="1EEC6E06" w:rsidRPr="007D116C">
        <w:t>Features</w:t>
      </w:r>
      <w:r w:rsidRPr="007D116C">
        <w:t xml:space="preserve"> 1 and 2, above). As a one</w:t>
      </w:r>
      <w:r w:rsidR="6629ED16" w:rsidRPr="007D116C">
        <w:t>-</w:t>
      </w:r>
      <w:r w:rsidRPr="007D116C">
        <w:t>stop shop regulator, QBCC has a broad range of functions, meaning the regulatory environment that it governs is also broad and therefore especially complex – particularly considering the institutional challenge described in the previous section. This complexity also bears upon the sustainability of the QBCC’s revenue streams and decisions about how those resources are deployed.</w:t>
      </w:r>
    </w:p>
    <w:p w14:paraId="33AB6BD9" w14:textId="4CAC19C6" w:rsidR="00497E54" w:rsidRPr="007D116C" w:rsidRDefault="5E8AE272" w:rsidP="007640D7">
      <w:pPr>
        <w:pStyle w:val="ListParagraph"/>
        <w:numPr>
          <w:ilvl w:val="1"/>
          <w:numId w:val="2"/>
        </w:numPr>
      </w:pPr>
      <w:r w:rsidRPr="007D116C">
        <w:rPr>
          <w:i/>
          <w:iCs/>
        </w:rPr>
        <w:t>Discretion</w:t>
      </w:r>
      <w:r w:rsidRPr="007D116C">
        <w:t xml:space="preserve">: The RBR approach gives regulators scope for identifying harmful outcomes and prioritising regulatory actions accordingly. Prioritisation involves consideration of a wide range of factors, including not only empirical matters but also normative and political matters – the </w:t>
      </w:r>
      <w:r w:rsidR="0480FD86" w:rsidRPr="007D116C">
        <w:t>total</w:t>
      </w:r>
      <w:r w:rsidR="0522BB47" w:rsidRPr="007D116C">
        <w:t xml:space="preserve"> </w:t>
      </w:r>
      <w:r w:rsidRPr="007D116C">
        <w:t>regulatory environment. RBR therefore places a strong emphasis on leadership and on</w:t>
      </w:r>
      <w:r w:rsidR="34ECDBAC" w:rsidRPr="007D116C">
        <w:t xml:space="preserve"> the quality of</w:t>
      </w:r>
      <w:r w:rsidRPr="007D116C">
        <w:t xml:space="preserve"> policymaking processes. This bears upon the </w:t>
      </w:r>
      <w:r w:rsidR="0E13F19C" w:rsidRPr="007D116C">
        <w:t>features identified</w:t>
      </w:r>
      <w:r w:rsidRPr="007D116C">
        <w:t xml:space="preserve"> </w:t>
      </w:r>
      <w:r w:rsidR="0E13F19C" w:rsidRPr="007D116C">
        <w:t>above which relate to the</w:t>
      </w:r>
      <w:r w:rsidRPr="007D116C">
        <w:t xml:space="preserve"> strategic direction of the QBCC and the functions of its </w:t>
      </w:r>
      <w:r w:rsidR="5EE5BEC5" w:rsidRPr="007D116C">
        <w:t>Board and management</w:t>
      </w:r>
      <w:r w:rsidRPr="007D116C">
        <w:t xml:space="preserve"> (</w:t>
      </w:r>
      <w:r w:rsidR="0E13F19C" w:rsidRPr="007D116C">
        <w:t>Features</w:t>
      </w:r>
      <w:r w:rsidRPr="007D116C">
        <w:t xml:space="preserve"> 3 and 4 above). Effective prioritisation requires clear direction as to regulatory goals, performance measures, and the values that are to guide policymakers and leaders within the regulator. In turn, this suggests the importance of clearly identifying the roles of different parts of the organisation in respect of policymaking and the development and implementation </w:t>
      </w:r>
      <w:r w:rsidRPr="007D116C">
        <w:lastRenderedPageBreak/>
        <w:t>of the regulator’s strategy, including, for example, clarifying the role that the governing board plays in advising on the policymaking process</w:t>
      </w:r>
      <w:r w:rsidR="71A7A99D" w:rsidRPr="007D116C">
        <w:t xml:space="preserve"> and priorities</w:t>
      </w:r>
      <w:r w:rsidRPr="007D116C">
        <w:t xml:space="preserve">. Finally, </w:t>
      </w:r>
      <w:r w:rsidR="75983A0B" w:rsidRPr="007D116C">
        <w:t xml:space="preserve">the </w:t>
      </w:r>
      <w:r w:rsidR="6A16201A" w:rsidRPr="007D116C">
        <w:t xml:space="preserve">importance of </w:t>
      </w:r>
      <w:r w:rsidRPr="007D116C">
        <w:t>discretion</w:t>
      </w:r>
      <w:r w:rsidR="64DD4974" w:rsidRPr="007D116C">
        <w:t>ary judgement in RBR</w:t>
      </w:r>
      <w:r w:rsidRPr="007D116C">
        <w:t xml:space="preserve"> also bears upon the capabilities of the regulator, in particular the kinds of leadership capabilities it will expect of its </w:t>
      </w:r>
      <w:r w:rsidR="77EEAE78" w:rsidRPr="007D116C">
        <w:t>Commission</w:t>
      </w:r>
      <w:r w:rsidRPr="007D116C">
        <w:t xml:space="preserve">er, as the chief executive, and the board as the regulator’s governors. </w:t>
      </w:r>
      <w:r w:rsidR="794F1BC1" w:rsidRPr="007D116C">
        <w:t>Th</w:t>
      </w:r>
      <w:r w:rsidR="35507352" w:rsidRPr="007D116C">
        <w:t xml:space="preserve">e issue of capabilities is addressed in the next </w:t>
      </w:r>
      <w:r w:rsidR="21AA8869" w:rsidRPr="007D116C">
        <w:t>p</w:t>
      </w:r>
      <w:r w:rsidR="35507352" w:rsidRPr="007D116C">
        <w:t>art</w:t>
      </w:r>
      <w:r w:rsidR="21AA8869" w:rsidRPr="007D116C">
        <w:t xml:space="preserve"> of this report</w:t>
      </w:r>
      <w:r w:rsidR="35507352" w:rsidRPr="007D116C">
        <w:t>.</w:t>
      </w:r>
    </w:p>
    <w:p w14:paraId="525542C4" w14:textId="78A1763E" w:rsidR="00497E54" w:rsidRPr="007D116C" w:rsidRDefault="00497E54" w:rsidP="007640D7">
      <w:pPr>
        <w:pStyle w:val="Heading2"/>
      </w:pPr>
      <w:bookmarkStart w:id="37" w:name="_Toc100599144"/>
      <w:r w:rsidRPr="007D116C">
        <w:t xml:space="preserve">Conclusion to Part </w:t>
      </w:r>
      <w:r w:rsidR="00DB3747" w:rsidRPr="007D116C">
        <w:t>D</w:t>
      </w:r>
      <w:bookmarkEnd w:id="37"/>
    </w:p>
    <w:p w14:paraId="2BEF385D" w14:textId="2082C1F9" w:rsidR="00497E54" w:rsidRPr="007D116C" w:rsidRDefault="44780B60" w:rsidP="007640D7">
      <w:pPr>
        <w:pStyle w:val="ListParagraph"/>
        <w:numPr>
          <w:ilvl w:val="0"/>
          <w:numId w:val="2"/>
        </w:numPr>
        <w:ind w:left="0" w:hanging="426"/>
      </w:pPr>
      <w:r w:rsidRPr="007D116C">
        <w:t xml:space="preserve">The Queensland Government and the QBCC have adopted a risk-based regulatory strategy. According to the literature, this approach places high demands upon the capabilities of regulators, because it relies on a data-driven analysis of the regulatory environment, which is sensitive to not only </w:t>
      </w:r>
      <w:r w:rsidR="1B7462AC" w:rsidRPr="007D116C">
        <w:t xml:space="preserve">to </w:t>
      </w:r>
      <w:r w:rsidRPr="007D116C">
        <w:t xml:space="preserve">the actions but also perceptions of the regulator. Moreover, the risk-based regulatory approach tends to give regulators a high level of discretion about the identification and prioritisation of negative outcomes and the development of policy settings tailored to those judgements. This combination of complexity and discretion further illuminates </w:t>
      </w:r>
      <w:r w:rsidR="304A97DD" w:rsidRPr="007D116C">
        <w:t>features identified earlier</w:t>
      </w:r>
      <w:r w:rsidRPr="007D116C">
        <w:t xml:space="preserve"> </w:t>
      </w:r>
      <w:r w:rsidR="304A97DD" w:rsidRPr="007D116C">
        <w:t>in</w:t>
      </w:r>
      <w:r w:rsidRPr="007D116C">
        <w:t xml:space="preserve"> QBCC’s governance model in respect of its one</w:t>
      </w:r>
      <w:r w:rsidR="62721E0A" w:rsidRPr="007D116C">
        <w:t>-</w:t>
      </w:r>
      <w:r w:rsidRPr="007D116C">
        <w:t>stop shop model and attendant wide range of functions, its funding and use of funds, and the clarity of its strategic direction and leadership roles.</w:t>
      </w:r>
    </w:p>
    <w:p w14:paraId="02F78A09" w14:textId="77777777" w:rsidR="000C7D44" w:rsidRPr="007D116C" w:rsidRDefault="000C7D44" w:rsidP="4E420294">
      <w:pPr>
        <w:rPr>
          <w:rFonts w:ascii="Calibri" w:eastAsia="Calibri" w:hAnsi="Calibri" w:cs="Calibri"/>
        </w:rPr>
      </w:pPr>
    </w:p>
    <w:p w14:paraId="124642DF" w14:textId="0F7D67CD" w:rsidR="262FCC0D" w:rsidRPr="007D116C" w:rsidRDefault="262FCC0D" w:rsidP="262FCC0D"/>
    <w:p w14:paraId="1E71428F" w14:textId="2A7FE8FF" w:rsidR="4E420294" w:rsidRPr="007D116C" w:rsidRDefault="4E420294">
      <w:r w:rsidRPr="007D116C">
        <w:br w:type="page"/>
      </w:r>
    </w:p>
    <w:p w14:paraId="50EC3A7A" w14:textId="352598AB" w:rsidR="4E420294" w:rsidRPr="007D116C" w:rsidRDefault="2C808855" w:rsidP="007640D7">
      <w:pPr>
        <w:pStyle w:val="Heading1"/>
      </w:pPr>
      <w:bookmarkStart w:id="38" w:name="_Toc100599145"/>
      <w:r w:rsidRPr="007D116C">
        <w:lastRenderedPageBreak/>
        <w:t xml:space="preserve">Part </w:t>
      </w:r>
      <w:r w:rsidR="009E235C" w:rsidRPr="007D116C">
        <w:t>E</w:t>
      </w:r>
      <w:r w:rsidRPr="007D116C">
        <w:t>: Regulatory leadership capabilities</w:t>
      </w:r>
      <w:r w:rsidR="0013607E" w:rsidRPr="007D116C">
        <w:t xml:space="preserve"> and values</w:t>
      </w:r>
      <w:bookmarkEnd w:id="38"/>
    </w:p>
    <w:p w14:paraId="0C48D2F7" w14:textId="4DA0C615" w:rsidR="007640D7" w:rsidRPr="007D116C" w:rsidRDefault="572D3686" w:rsidP="00B709BC">
      <w:pPr>
        <w:pStyle w:val="ListParagraph"/>
        <w:numPr>
          <w:ilvl w:val="0"/>
          <w:numId w:val="2"/>
        </w:numPr>
        <w:ind w:left="0" w:hanging="425"/>
        <w:contextualSpacing w:val="0"/>
      </w:pPr>
      <w:r w:rsidRPr="007D116C">
        <w:t>Noting that QBCC’s governance model and risk-based regulatory strategy both emphasise the need for highly capable decision-makers who can understand the regulatory environment in full and appreciate the complexity and subtlety of regulatory action, the purpose of this section is to consider the kinds of capabilities that regulators like QBCC need their leadership to have, and how this relates to existing guidance in respect of capabilities in</w:t>
      </w:r>
      <w:r w:rsidR="31C9F247" w:rsidRPr="007D116C">
        <w:t xml:space="preserve"> the</w:t>
      </w:r>
      <w:r w:rsidRPr="007D116C">
        <w:t xml:space="preserve"> Queensland</w:t>
      </w:r>
      <w:r w:rsidR="31C9F247" w:rsidRPr="007D116C">
        <w:t xml:space="preserve"> public sector</w:t>
      </w:r>
      <w:r w:rsidRPr="007D116C">
        <w:t xml:space="preserve"> and the QBCC</w:t>
      </w:r>
      <w:r w:rsidR="787CCEB8" w:rsidRPr="007D116C">
        <w:t>.</w:t>
      </w:r>
    </w:p>
    <w:p w14:paraId="38B32455" w14:textId="1476401F" w:rsidR="007640D7" w:rsidRPr="007D116C" w:rsidRDefault="7E95B6DC" w:rsidP="16FFD785">
      <w:pPr>
        <w:pStyle w:val="ListParagraph"/>
        <w:numPr>
          <w:ilvl w:val="0"/>
          <w:numId w:val="2"/>
        </w:numPr>
        <w:ind w:left="0" w:hanging="425"/>
      </w:pPr>
      <w:r w:rsidRPr="007D116C">
        <w:t xml:space="preserve">Good </w:t>
      </w:r>
      <w:r w:rsidR="5F354079" w:rsidRPr="007D116C">
        <w:t xml:space="preserve">governance </w:t>
      </w:r>
      <w:r w:rsidRPr="007D116C">
        <w:t xml:space="preserve">of a </w:t>
      </w:r>
      <w:r w:rsidR="5F354079" w:rsidRPr="007D116C">
        <w:t xml:space="preserve">regulatory body depends upon its </w:t>
      </w:r>
      <w:r w:rsidR="00161D6D" w:rsidRPr="007D116C">
        <w:t>board, advisory</w:t>
      </w:r>
      <w:r w:rsidR="5F354079" w:rsidRPr="007D116C">
        <w:t xml:space="preserve"> bodies, senior executives, and </w:t>
      </w:r>
      <w:r w:rsidR="4E2D2002" w:rsidRPr="007D116C">
        <w:t>c</w:t>
      </w:r>
      <w:r w:rsidR="77EEAE78" w:rsidRPr="007D116C">
        <w:t>ommission</w:t>
      </w:r>
      <w:r w:rsidR="5F354079" w:rsidRPr="007D116C">
        <w:t>ers. Regulatory bodies are supported in the selection and function of their senior executive by codified public service capabilities and expectations. Research undertaken by ANZSOG for the Australia Public Service Academy to inform a model of skills and capabilities for regulators highlighted that alongside</w:t>
      </w:r>
      <w:r w:rsidR="5F354079" w:rsidRPr="007D116C">
        <w:rPr>
          <w:rFonts w:ascii="Calibri" w:eastAsia="Calibri" w:hAnsi="Calibri" w:cs="Calibri"/>
          <w:lang w:val="en-AU"/>
        </w:rPr>
        <w:t xml:space="preserve"> general </w:t>
      </w:r>
      <w:r w:rsidR="205B4742" w:rsidRPr="007D116C">
        <w:rPr>
          <w:rFonts w:ascii="Calibri" w:eastAsia="Calibri" w:hAnsi="Calibri" w:cs="Calibri"/>
          <w:lang w:val="en-AU"/>
        </w:rPr>
        <w:t xml:space="preserve">public service </w:t>
      </w:r>
      <w:r w:rsidR="5F354079" w:rsidRPr="007D116C">
        <w:rPr>
          <w:rFonts w:ascii="Calibri" w:eastAsia="Calibri" w:hAnsi="Calibri" w:cs="Calibri"/>
          <w:lang w:val="en-AU"/>
        </w:rPr>
        <w:t>leadership capabilities, a senior regulatory executive “is more likely than other public servants</w:t>
      </w:r>
      <w:r w:rsidR="4F38D30A" w:rsidRPr="007D116C">
        <w:rPr>
          <w:rFonts w:ascii="Calibri" w:eastAsia="Calibri" w:hAnsi="Calibri" w:cs="Calibri"/>
          <w:lang w:val="en-AU"/>
        </w:rPr>
        <w:t xml:space="preserve"> to</w:t>
      </w:r>
      <w:r w:rsidR="5F354079" w:rsidRPr="007D116C">
        <w:rPr>
          <w:rFonts w:ascii="Calibri" w:eastAsia="Calibri" w:hAnsi="Calibri" w:cs="Calibri"/>
          <w:lang w:val="en-AU"/>
        </w:rPr>
        <w:t xml:space="preserve"> be the final decision maker on an issue, as distinct from providing advice to a </w:t>
      </w:r>
      <w:r w:rsidR="77EEAE78" w:rsidRPr="007D116C">
        <w:rPr>
          <w:rFonts w:ascii="Calibri" w:eastAsia="Calibri" w:hAnsi="Calibri" w:cs="Calibri"/>
          <w:lang w:val="en-AU"/>
        </w:rPr>
        <w:t>Minister</w:t>
      </w:r>
      <w:r w:rsidR="5F354079" w:rsidRPr="007D116C">
        <w:rPr>
          <w:rFonts w:ascii="Calibri" w:eastAsia="Calibri" w:hAnsi="Calibri" w:cs="Calibri"/>
          <w:lang w:val="en-AU"/>
        </w:rPr>
        <w:t>. Their role as ultimate decision-maker can lead to a public profile and associated scrutiny, and result in conflict and confrontation with some people that are being regulated”.</w:t>
      </w:r>
      <w:r w:rsidR="4E420294" w:rsidRPr="007D116C">
        <w:rPr>
          <w:rStyle w:val="FootnoteReference"/>
          <w:rFonts w:ascii="Calibri" w:eastAsia="Calibri" w:hAnsi="Calibri" w:cs="Calibri"/>
          <w:lang w:val="en-AU"/>
        </w:rPr>
        <w:footnoteReference w:id="115"/>
      </w:r>
      <w:r w:rsidR="5F354079" w:rsidRPr="007D116C">
        <w:rPr>
          <w:rFonts w:ascii="Calibri" w:eastAsia="Calibri" w:hAnsi="Calibri" w:cs="Calibri"/>
          <w:lang w:val="en-AU"/>
        </w:rPr>
        <w:t xml:space="preserve"> </w:t>
      </w:r>
      <w:r w:rsidR="0752E43C" w:rsidRPr="007D116C">
        <w:rPr>
          <w:rFonts w:ascii="Calibri" w:eastAsia="Calibri" w:hAnsi="Calibri" w:cs="Calibri"/>
          <w:lang w:val="en-AU"/>
        </w:rPr>
        <w:t>T</w:t>
      </w:r>
      <w:r w:rsidR="5F354079" w:rsidRPr="007D116C">
        <w:rPr>
          <w:rFonts w:ascii="Calibri" w:eastAsia="Calibri" w:hAnsi="Calibri" w:cs="Calibri"/>
          <w:lang w:val="en-AU"/>
        </w:rPr>
        <w:t xml:space="preserve">he regulatory domain also affects the capabilities required and exercised by senior regulatory executives. </w:t>
      </w:r>
      <w:r w:rsidR="4EFD43BF" w:rsidRPr="007D116C">
        <w:rPr>
          <w:rFonts w:ascii="Calibri" w:eastAsia="Calibri" w:hAnsi="Calibri" w:cs="Calibri"/>
          <w:lang w:val="en-AU"/>
        </w:rPr>
        <w:t>T</w:t>
      </w:r>
      <w:r w:rsidR="1CD4EF21" w:rsidRPr="007D116C">
        <w:rPr>
          <w:rFonts w:ascii="Calibri" w:eastAsia="Calibri" w:hAnsi="Calibri" w:cs="Calibri"/>
          <w:lang w:val="en-AU"/>
        </w:rPr>
        <w:t>o this end, a specific capability requirement within a regulator</w:t>
      </w:r>
      <w:r w:rsidR="13D4FBE2" w:rsidRPr="007D116C">
        <w:rPr>
          <w:rFonts w:ascii="Calibri" w:eastAsia="Calibri" w:hAnsi="Calibri" w:cs="Calibri"/>
          <w:lang w:val="en-AU"/>
        </w:rPr>
        <w:t>y agency’s</w:t>
      </w:r>
      <w:r w:rsidR="1CD4EF21" w:rsidRPr="007D116C">
        <w:rPr>
          <w:rFonts w:ascii="Calibri" w:eastAsia="Calibri" w:hAnsi="Calibri" w:cs="Calibri"/>
          <w:lang w:val="en-AU"/>
        </w:rPr>
        <w:t xml:space="preserve"> skill set is being able to “[e]nsure their Regulatory Posture reflects the scale, scope and sensitivities of their Regulatory Domain”.</w:t>
      </w:r>
      <w:r w:rsidR="00542B8A" w:rsidRPr="007D116C">
        <w:rPr>
          <w:rStyle w:val="FootnoteReference"/>
          <w:rFonts w:ascii="Calibri" w:eastAsia="Calibri" w:hAnsi="Calibri" w:cs="Calibri"/>
          <w:lang w:val="en-AU"/>
        </w:rPr>
        <w:footnoteReference w:id="116"/>
      </w:r>
    </w:p>
    <w:p w14:paraId="5DE9B192" w14:textId="02514C3D" w:rsidR="007640D7" w:rsidRPr="007D116C" w:rsidRDefault="5F354079" w:rsidP="16FFD785">
      <w:pPr>
        <w:pStyle w:val="ListParagraph"/>
        <w:numPr>
          <w:ilvl w:val="0"/>
          <w:numId w:val="2"/>
        </w:numPr>
        <w:ind w:left="0" w:hanging="425"/>
      </w:pPr>
      <w:r w:rsidRPr="007D116C">
        <w:rPr>
          <w:rFonts w:ascii="Calibri" w:eastAsia="Calibri" w:hAnsi="Calibri" w:cs="Calibri"/>
          <w:lang w:val="en-AU"/>
        </w:rPr>
        <w:t>Fundamentally, leaders of regulatory bodies have a responsibility to uphold the public interest insofar as they are subject to the</w:t>
      </w:r>
      <w:r w:rsidR="3229557E" w:rsidRPr="007D116C">
        <w:rPr>
          <w:rFonts w:ascii="Calibri" w:eastAsia="Calibri" w:hAnsi="Calibri" w:cs="Calibri"/>
          <w:lang w:val="en-AU"/>
        </w:rPr>
        <w:t xml:space="preserve"> broader</w:t>
      </w:r>
      <w:r w:rsidRPr="007D116C">
        <w:rPr>
          <w:rFonts w:ascii="Calibri" w:eastAsia="Calibri" w:hAnsi="Calibri" w:cs="Calibri"/>
          <w:lang w:val="en-AU"/>
        </w:rPr>
        <w:t xml:space="preserve"> framework of </w:t>
      </w:r>
      <w:r w:rsidR="77EEAE78" w:rsidRPr="007D116C">
        <w:rPr>
          <w:rFonts w:ascii="Calibri" w:eastAsia="Calibri" w:hAnsi="Calibri" w:cs="Calibri"/>
          <w:lang w:val="en-AU"/>
        </w:rPr>
        <w:t>Minister</w:t>
      </w:r>
      <w:r w:rsidRPr="007D116C">
        <w:rPr>
          <w:rFonts w:ascii="Calibri" w:eastAsia="Calibri" w:hAnsi="Calibri" w:cs="Calibri"/>
          <w:lang w:val="en-AU"/>
        </w:rPr>
        <w:t xml:space="preserve">ial responsibility to Parliament and the public. Given their role includes public engagement and executive functions, </w:t>
      </w:r>
      <w:r w:rsidR="2242F8B0" w:rsidRPr="007D116C">
        <w:rPr>
          <w:rFonts w:ascii="Calibri" w:eastAsia="Calibri" w:hAnsi="Calibri" w:cs="Calibri"/>
          <w:lang w:val="en-AU"/>
        </w:rPr>
        <w:t>their</w:t>
      </w:r>
      <w:r w:rsidRPr="007D116C">
        <w:rPr>
          <w:rFonts w:ascii="Calibri" w:eastAsia="Calibri" w:hAnsi="Calibri" w:cs="Calibri"/>
          <w:lang w:val="en-AU"/>
        </w:rPr>
        <w:t xml:space="preserve"> public responsibilit</w:t>
      </w:r>
      <w:r w:rsidR="6C092F42" w:rsidRPr="007D116C">
        <w:rPr>
          <w:rFonts w:ascii="Calibri" w:eastAsia="Calibri" w:hAnsi="Calibri" w:cs="Calibri"/>
          <w:lang w:val="en-AU"/>
        </w:rPr>
        <w:t>ies</w:t>
      </w:r>
      <w:r w:rsidRPr="007D116C">
        <w:rPr>
          <w:rFonts w:ascii="Calibri" w:eastAsia="Calibri" w:hAnsi="Calibri" w:cs="Calibri"/>
          <w:lang w:val="en-AU"/>
        </w:rPr>
        <w:t xml:space="preserve"> </w:t>
      </w:r>
      <w:r w:rsidR="6C092F42" w:rsidRPr="007D116C">
        <w:rPr>
          <w:rFonts w:ascii="Calibri" w:eastAsia="Calibri" w:hAnsi="Calibri" w:cs="Calibri"/>
          <w:lang w:val="en-AU"/>
        </w:rPr>
        <w:t xml:space="preserve">include </w:t>
      </w:r>
      <w:r w:rsidRPr="007D116C">
        <w:rPr>
          <w:rFonts w:ascii="Calibri" w:eastAsia="Calibri" w:hAnsi="Calibri" w:cs="Calibri"/>
          <w:lang w:val="en-AU"/>
        </w:rPr>
        <w:t xml:space="preserve">a set of values. Beyond the service defined values implicit and explicit in the leadership </w:t>
      </w:r>
      <w:r w:rsidRPr="007D116C">
        <w:rPr>
          <w:rFonts w:ascii="Calibri" w:eastAsia="Calibri" w:hAnsi="Calibri" w:cs="Calibri"/>
          <w:lang w:val="en-AU"/>
        </w:rPr>
        <w:lastRenderedPageBreak/>
        <w:t xml:space="preserve">Capabilities Matrix (Table </w:t>
      </w:r>
      <w:r w:rsidR="547F316C" w:rsidRPr="007D116C">
        <w:rPr>
          <w:rFonts w:ascii="Calibri" w:eastAsia="Calibri" w:hAnsi="Calibri" w:cs="Calibri"/>
          <w:lang w:val="en-AU"/>
        </w:rPr>
        <w:t>11</w:t>
      </w:r>
      <w:r w:rsidRPr="007D116C">
        <w:rPr>
          <w:rFonts w:ascii="Calibri" w:eastAsia="Calibri" w:hAnsi="Calibri" w:cs="Calibri"/>
          <w:lang w:val="en-AU"/>
        </w:rPr>
        <w:t xml:space="preserve">), social outcomes like justice, equity and fairness </w:t>
      </w:r>
      <w:r w:rsidR="12BED975" w:rsidRPr="007D116C">
        <w:rPr>
          <w:rFonts w:ascii="Calibri" w:eastAsia="Calibri" w:hAnsi="Calibri" w:cs="Calibri"/>
          <w:lang w:val="en-AU"/>
        </w:rPr>
        <w:t>are also relevant to</w:t>
      </w:r>
      <w:r w:rsidRPr="007D116C">
        <w:rPr>
          <w:rFonts w:ascii="Calibri" w:eastAsia="Calibri" w:hAnsi="Calibri" w:cs="Calibri"/>
          <w:lang w:val="en-AU"/>
        </w:rPr>
        <w:t xml:space="preserve"> </w:t>
      </w:r>
      <w:r w:rsidR="7BE34EB5" w:rsidRPr="007D116C">
        <w:rPr>
          <w:rFonts w:ascii="Calibri" w:eastAsia="Calibri" w:hAnsi="Calibri" w:cs="Calibri"/>
          <w:lang w:val="en-AU"/>
        </w:rPr>
        <w:t xml:space="preserve">how </w:t>
      </w:r>
      <w:r w:rsidRPr="007D116C">
        <w:rPr>
          <w:rFonts w:ascii="Calibri" w:eastAsia="Calibri" w:hAnsi="Calibri" w:cs="Calibri"/>
          <w:lang w:val="en-AU"/>
        </w:rPr>
        <w:t xml:space="preserve">regulators </w:t>
      </w:r>
      <w:r w:rsidR="7BE34EB5" w:rsidRPr="007D116C">
        <w:rPr>
          <w:rFonts w:ascii="Calibri" w:eastAsia="Calibri" w:hAnsi="Calibri" w:cs="Calibri"/>
          <w:lang w:val="en-AU"/>
        </w:rPr>
        <w:t>define</w:t>
      </w:r>
      <w:r w:rsidRPr="007D116C">
        <w:rPr>
          <w:rFonts w:ascii="Calibri" w:eastAsia="Calibri" w:hAnsi="Calibri" w:cs="Calibri"/>
          <w:lang w:val="en-AU"/>
        </w:rPr>
        <w:t xml:space="preserve"> ‘the public’ and ‘value’.</w:t>
      </w:r>
      <w:r w:rsidR="009A523F" w:rsidRPr="007D116C">
        <w:rPr>
          <w:rStyle w:val="FootnoteReference"/>
          <w:rFonts w:ascii="Calibri" w:eastAsia="Calibri" w:hAnsi="Calibri" w:cs="Calibri"/>
          <w:lang w:val="en-AU"/>
        </w:rPr>
        <w:footnoteReference w:id="117"/>
      </w:r>
    </w:p>
    <w:p w14:paraId="02F4CC76" w14:textId="58118711" w:rsidR="00C63B0E" w:rsidRPr="007D116C" w:rsidRDefault="0028E1E0" w:rsidP="3B034824">
      <w:pPr>
        <w:pStyle w:val="ListParagraph"/>
        <w:numPr>
          <w:ilvl w:val="0"/>
          <w:numId w:val="2"/>
        </w:numPr>
        <w:ind w:left="0" w:hanging="425"/>
      </w:pPr>
      <w:r w:rsidRPr="007D116C">
        <w:rPr>
          <w:rFonts w:ascii="Calibri" w:eastAsia="Calibri" w:hAnsi="Calibri" w:cs="Calibri"/>
          <w:lang w:val="en-AU"/>
        </w:rPr>
        <w:t>I</w:t>
      </w:r>
      <w:r w:rsidR="6A64A2B7" w:rsidRPr="007D116C">
        <w:rPr>
          <w:rFonts w:ascii="Calibri" w:eastAsia="Calibri" w:hAnsi="Calibri" w:cs="Calibri"/>
          <w:lang w:val="en-AU"/>
        </w:rPr>
        <w:t>n</w:t>
      </w:r>
      <w:r w:rsidRPr="007D116C">
        <w:rPr>
          <w:rFonts w:ascii="Calibri" w:eastAsia="Calibri" w:hAnsi="Calibri" w:cs="Calibri"/>
          <w:lang w:val="en-AU"/>
        </w:rPr>
        <w:t xml:space="preserve"> broad terms, </w:t>
      </w:r>
      <w:r w:rsidR="78693E2F" w:rsidRPr="007D116C">
        <w:rPr>
          <w:rFonts w:ascii="Calibri" w:eastAsia="Calibri" w:hAnsi="Calibri" w:cs="Calibri"/>
          <w:lang w:val="en-AU"/>
        </w:rPr>
        <w:t>other OECD countries</w:t>
      </w:r>
      <w:r w:rsidR="428A7FEC" w:rsidRPr="007D116C">
        <w:rPr>
          <w:rFonts w:ascii="Calibri" w:eastAsia="Calibri" w:hAnsi="Calibri" w:cs="Calibri"/>
          <w:lang w:val="en-AU"/>
        </w:rPr>
        <w:t xml:space="preserve"> can be said to include </w:t>
      </w:r>
      <w:r w:rsidR="5E9A95EF" w:rsidRPr="007D116C">
        <w:rPr>
          <w:rFonts w:ascii="Calibri" w:eastAsia="Calibri" w:hAnsi="Calibri" w:cs="Calibri"/>
          <w:lang w:val="en-AU"/>
        </w:rPr>
        <w:t>a consideration of values</w:t>
      </w:r>
      <w:r w:rsidRPr="007D116C">
        <w:rPr>
          <w:rFonts w:ascii="Calibri" w:eastAsia="Calibri" w:hAnsi="Calibri" w:cs="Calibri"/>
          <w:lang w:val="en-AU"/>
        </w:rPr>
        <w:t xml:space="preserve"> </w:t>
      </w:r>
      <w:r w:rsidR="428A7FEC" w:rsidRPr="007D116C">
        <w:rPr>
          <w:rFonts w:ascii="Calibri" w:eastAsia="Calibri" w:hAnsi="Calibri" w:cs="Calibri"/>
          <w:lang w:val="en-AU"/>
        </w:rPr>
        <w:t>as part of regulatory capability</w:t>
      </w:r>
      <w:r w:rsidR="07411C69" w:rsidRPr="007D116C">
        <w:rPr>
          <w:rFonts w:ascii="Calibri" w:eastAsia="Calibri" w:hAnsi="Calibri" w:cs="Calibri"/>
          <w:lang w:val="en-AU"/>
        </w:rPr>
        <w:t>.</w:t>
      </w:r>
      <w:r w:rsidR="428A7FEC" w:rsidRPr="007D116C">
        <w:rPr>
          <w:rFonts w:ascii="Calibri" w:eastAsia="Calibri" w:hAnsi="Calibri" w:cs="Calibri"/>
          <w:lang w:val="en-AU"/>
        </w:rPr>
        <w:t xml:space="preserve"> For example,</w:t>
      </w:r>
      <w:r w:rsidR="07411C69" w:rsidRPr="007D116C">
        <w:rPr>
          <w:rFonts w:ascii="Calibri" w:eastAsia="Calibri" w:hAnsi="Calibri" w:cs="Calibri"/>
          <w:lang w:val="en-AU"/>
        </w:rPr>
        <w:t xml:space="preserve"> </w:t>
      </w:r>
      <w:r w:rsidR="428A7FEC" w:rsidRPr="007D116C">
        <w:rPr>
          <w:rFonts w:ascii="Calibri" w:eastAsia="Calibri" w:hAnsi="Calibri" w:cs="Calibri"/>
          <w:lang w:val="en-AU"/>
        </w:rPr>
        <w:t>a</w:t>
      </w:r>
      <w:r w:rsidR="6A64A2B7" w:rsidRPr="007D116C">
        <w:rPr>
          <w:rFonts w:ascii="Calibri" w:eastAsia="Calibri" w:hAnsi="Calibri" w:cs="Calibri"/>
          <w:lang w:val="en-AU"/>
        </w:rPr>
        <w:t>mong</w:t>
      </w:r>
      <w:r w:rsidR="07411C69" w:rsidRPr="007D116C">
        <w:rPr>
          <w:rFonts w:ascii="Calibri" w:eastAsia="Calibri" w:hAnsi="Calibri" w:cs="Calibri"/>
          <w:lang w:val="en-AU"/>
        </w:rPr>
        <w:t xml:space="preserve"> the </w:t>
      </w:r>
      <w:r w:rsidR="3C5849BC" w:rsidRPr="007D116C">
        <w:rPr>
          <w:rFonts w:ascii="Calibri" w:eastAsia="Calibri" w:hAnsi="Calibri" w:cs="Calibri"/>
          <w:lang w:val="en-AU"/>
        </w:rPr>
        <w:t xml:space="preserve">six high level </w:t>
      </w:r>
      <w:r w:rsidR="782B6DE6" w:rsidRPr="007D116C">
        <w:rPr>
          <w:rFonts w:ascii="Calibri" w:eastAsia="Calibri" w:hAnsi="Calibri" w:cs="Calibri"/>
          <w:lang w:val="en-AU"/>
        </w:rPr>
        <w:t>competencies</w:t>
      </w:r>
      <w:r w:rsidR="0B5B9A6A" w:rsidRPr="007D116C">
        <w:rPr>
          <w:rFonts w:ascii="Calibri" w:eastAsia="Calibri" w:hAnsi="Calibri" w:cs="Calibri"/>
          <w:lang w:val="en-AU"/>
        </w:rPr>
        <w:t xml:space="preserve"> for </w:t>
      </w:r>
      <w:r w:rsidR="1BD14E92" w:rsidRPr="007D116C">
        <w:rPr>
          <w:rFonts w:ascii="Calibri" w:eastAsia="Calibri" w:hAnsi="Calibri" w:cs="Calibri"/>
          <w:lang w:val="en-AU"/>
        </w:rPr>
        <w:t xml:space="preserve">Canadian </w:t>
      </w:r>
      <w:r w:rsidR="0B5B9A6A" w:rsidRPr="007D116C">
        <w:rPr>
          <w:rFonts w:ascii="Calibri" w:eastAsia="Calibri" w:hAnsi="Calibri" w:cs="Calibri"/>
          <w:lang w:val="en-AU"/>
        </w:rPr>
        <w:t>agency leaders</w:t>
      </w:r>
      <w:r w:rsidR="6A64A2B7" w:rsidRPr="007D116C">
        <w:rPr>
          <w:rFonts w:ascii="Calibri" w:eastAsia="Calibri" w:hAnsi="Calibri" w:cs="Calibri"/>
          <w:lang w:val="en-AU"/>
        </w:rPr>
        <w:t xml:space="preserve"> is an expectation to</w:t>
      </w:r>
      <w:r w:rsidR="0B5B9A6A" w:rsidRPr="007D116C">
        <w:rPr>
          <w:rFonts w:ascii="Calibri" w:eastAsia="Calibri" w:hAnsi="Calibri" w:cs="Calibri"/>
          <w:lang w:val="en-AU"/>
        </w:rPr>
        <w:t xml:space="preserve"> </w:t>
      </w:r>
      <w:r w:rsidR="6A64A2B7" w:rsidRPr="007D116C">
        <w:rPr>
          <w:rFonts w:ascii="Calibri" w:eastAsia="Calibri" w:hAnsi="Calibri" w:cs="Calibri"/>
          <w:lang w:val="en-AU"/>
        </w:rPr>
        <w:t>“</w:t>
      </w:r>
      <w:r w:rsidR="6A64A2B7" w:rsidRPr="007D116C">
        <w:t>uphold integrity and respect</w:t>
      </w:r>
      <w:r w:rsidR="6A64A2B7" w:rsidRPr="007D116C">
        <w:rPr>
          <w:rFonts w:ascii="Calibri" w:eastAsia="Calibri" w:hAnsi="Calibri" w:cs="Calibri"/>
          <w:lang w:val="en-AU"/>
        </w:rPr>
        <w:t>”</w:t>
      </w:r>
      <w:r w:rsidR="006D0CDE" w:rsidRPr="007D116C">
        <w:rPr>
          <w:rStyle w:val="FootnoteReference"/>
          <w:rFonts w:ascii="Calibri" w:eastAsia="Calibri" w:hAnsi="Calibri" w:cs="Calibri"/>
          <w:lang w:val="en-AU"/>
        </w:rPr>
        <w:footnoteReference w:id="118"/>
      </w:r>
      <w:r w:rsidR="6A64A2B7" w:rsidRPr="007D116C">
        <w:t xml:space="preserve"> of their relevant office.</w:t>
      </w:r>
      <w:r w:rsidR="63CDBF60" w:rsidRPr="007D116C">
        <w:t xml:space="preserve"> </w:t>
      </w:r>
      <w:r w:rsidR="2DBBB79A" w:rsidRPr="007D116C">
        <w:t xml:space="preserve">Deciding the values </w:t>
      </w:r>
      <w:r w:rsidR="698468E3" w:rsidRPr="007D116C">
        <w:t xml:space="preserve">is an important precursor and </w:t>
      </w:r>
      <w:r w:rsidR="4A40F39C" w:rsidRPr="007D116C">
        <w:t>this</w:t>
      </w:r>
      <w:r w:rsidR="698468E3" w:rsidRPr="007D116C">
        <w:t xml:space="preserve"> process</w:t>
      </w:r>
      <w:r w:rsidR="4A40F39C" w:rsidRPr="007D116C">
        <w:t xml:space="preserve"> itself should also </w:t>
      </w:r>
      <w:r w:rsidR="20B80EFB" w:rsidRPr="007D116C">
        <w:t>reflect the values that it aims to establish.</w:t>
      </w:r>
      <w:r w:rsidR="698468E3" w:rsidRPr="007D116C">
        <w:t xml:space="preserve"> </w:t>
      </w:r>
      <w:r w:rsidR="7B11941E" w:rsidRPr="007D116C">
        <w:t>As</w:t>
      </w:r>
      <w:r w:rsidR="38AA8610" w:rsidRPr="007D116C">
        <w:t xml:space="preserve"> the</w:t>
      </w:r>
      <w:r w:rsidR="7B11941E" w:rsidRPr="007D116C">
        <w:t xml:space="preserve"> literature cautions, however, it is the </w:t>
      </w:r>
      <w:r w:rsidR="49BBE33D" w:rsidRPr="007D116C">
        <w:t>operational</w:t>
      </w:r>
      <w:r w:rsidR="7B11941E" w:rsidRPr="007D116C">
        <w:t xml:space="preserve"> as</w:t>
      </w:r>
      <w:r w:rsidR="49BBE33D" w:rsidRPr="007D116C">
        <w:t>p</w:t>
      </w:r>
      <w:r w:rsidR="7B11941E" w:rsidRPr="007D116C">
        <w:t xml:space="preserve">ect of </w:t>
      </w:r>
      <w:r w:rsidR="49BBE33D" w:rsidRPr="007D116C">
        <w:t>capabilities</w:t>
      </w:r>
      <w:r w:rsidR="7B11941E" w:rsidRPr="007D116C">
        <w:t xml:space="preserve"> that </w:t>
      </w:r>
      <w:r w:rsidR="49BBE33D" w:rsidRPr="007D116C">
        <w:t>often is wanting</w:t>
      </w:r>
      <w:r w:rsidR="0B7E5017" w:rsidRPr="007D116C">
        <w:t>. I</w:t>
      </w:r>
      <w:r w:rsidR="179BD5A5" w:rsidRPr="007D116C">
        <w:t xml:space="preserve">n the case of values </w:t>
      </w:r>
      <w:r w:rsidR="13EF27A0" w:rsidRPr="007D116C">
        <w:t>(expected</w:t>
      </w:r>
      <w:r w:rsidR="58DB629D" w:rsidRPr="007D116C">
        <w:t xml:space="preserve"> </w:t>
      </w:r>
      <w:r w:rsidR="13EF27A0" w:rsidRPr="007D116C">
        <w:t xml:space="preserve">of </w:t>
      </w:r>
      <w:r w:rsidR="58DB629D" w:rsidRPr="007D116C">
        <w:t>regulatory leaders</w:t>
      </w:r>
      <w:r w:rsidR="13EF27A0" w:rsidRPr="007D116C">
        <w:t>)</w:t>
      </w:r>
      <w:r w:rsidR="58DB629D" w:rsidRPr="007D116C">
        <w:t xml:space="preserve">, </w:t>
      </w:r>
      <w:r w:rsidR="13EF27A0" w:rsidRPr="007D116C">
        <w:t xml:space="preserve">the </w:t>
      </w:r>
      <w:r w:rsidR="179BD5A5" w:rsidRPr="007D116C">
        <w:t xml:space="preserve">cognitive and behavioural and experiential </w:t>
      </w:r>
      <w:r w:rsidR="5B14B0B1" w:rsidRPr="007D116C">
        <w:t>judgement</w:t>
      </w:r>
      <w:r w:rsidR="1A5B90C8" w:rsidRPr="007D116C">
        <w:t>s</w:t>
      </w:r>
      <w:r w:rsidR="5B14B0B1" w:rsidRPr="007D116C">
        <w:t xml:space="preserve"> </w:t>
      </w:r>
      <w:r w:rsidR="0B7E5017" w:rsidRPr="007D116C">
        <w:t>required</w:t>
      </w:r>
      <w:r w:rsidR="13EF27A0" w:rsidRPr="007D116C">
        <w:t xml:space="preserve"> </w:t>
      </w:r>
      <w:r w:rsidR="5C055D1E" w:rsidRPr="007D116C">
        <w:t>can be more challenging to operationalise</w:t>
      </w:r>
      <w:r w:rsidR="08154699" w:rsidRPr="007D116C">
        <w:t>.</w:t>
      </w:r>
      <w:r w:rsidR="6A64A2B7" w:rsidRPr="007D116C">
        <w:t xml:space="preserve"> An implication for the QBCC Board and the </w:t>
      </w:r>
      <w:r w:rsidR="77EEAE78" w:rsidRPr="007D116C">
        <w:t>Minister</w:t>
      </w:r>
      <w:r w:rsidR="6A64A2B7" w:rsidRPr="007D116C">
        <w:t xml:space="preserve"> in recruiting and approving </w:t>
      </w:r>
      <w:r w:rsidR="4D63E66D" w:rsidRPr="007D116C">
        <w:t>c</w:t>
      </w:r>
      <w:r w:rsidR="77EEAE78" w:rsidRPr="007D116C">
        <w:t>ommission</w:t>
      </w:r>
      <w:r w:rsidR="6A64A2B7" w:rsidRPr="007D116C">
        <w:t xml:space="preserve">er appointments is understanding their own </w:t>
      </w:r>
      <w:r w:rsidR="5DAF8B87" w:rsidRPr="007D116C">
        <w:t xml:space="preserve">skills and values </w:t>
      </w:r>
      <w:r w:rsidR="6A64A2B7" w:rsidRPr="007D116C">
        <w:t xml:space="preserve">in effecting a </w:t>
      </w:r>
      <w:r w:rsidR="034BF110" w:rsidRPr="007D116C">
        <w:t xml:space="preserve">merit-based </w:t>
      </w:r>
      <w:r w:rsidR="6A64A2B7" w:rsidRPr="007D116C">
        <w:t>selection process.</w:t>
      </w:r>
    </w:p>
    <w:p w14:paraId="34C53EBD" w14:textId="03E662B5" w:rsidR="00B343E9" w:rsidRPr="007D116C" w:rsidRDefault="56B4C3CB" w:rsidP="007640D7">
      <w:pPr>
        <w:pStyle w:val="Heading2"/>
      </w:pPr>
      <w:bookmarkStart w:id="39" w:name="_Toc100599146"/>
      <w:r w:rsidRPr="007D116C">
        <w:t>Leadership capabilities: general and specific</w:t>
      </w:r>
      <w:bookmarkEnd w:id="39"/>
      <w:r w:rsidRPr="007D116C">
        <w:t xml:space="preserve"> </w:t>
      </w:r>
    </w:p>
    <w:p w14:paraId="3F476502" w14:textId="391F739F" w:rsidR="00B709BC" w:rsidRPr="007D116C" w:rsidRDefault="533B6E65" w:rsidP="502F8547">
      <w:pPr>
        <w:pStyle w:val="ListParagraph"/>
        <w:numPr>
          <w:ilvl w:val="0"/>
          <w:numId w:val="2"/>
        </w:numPr>
        <w:ind w:left="0" w:hanging="426"/>
      </w:pPr>
      <w:r>
        <w:t xml:space="preserve">The Capabilities Framework identifies six broad leadership capabilities and outlines various leadership behaviours and leadership qualities for senior APS staff. These capabilities are: Visionary, Influential, Collaborative, Entrepreneurial, </w:t>
      </w:r>
      <w:r w:rsidR="1C0BF2B4">
        <w:t xml:space="preserve">Enabling, </w:t>
      </w:r>
      <w:r>
        <w:t>and Delivers.</w:t>
      </w:r>
    </w:p>
    <w:p w14:paraId="3047C432" w14:textId="7FA4BCFB" w:rsidR="00B709BC" w:rsidRPr="007D116C" w:rsidRDefault="02D85A3D" w:rsidP="00B709BC">
      <w:pPr>
        <w:pStyle w:val="ListParagraph"/>
        <w:numPr>
          <w:ilvl w:val="0"/>
          <w:numId w:val="2"/>
        </w:numPr>
        <w:ind w:left="0" w:hanging="426"/>
        <w:contextualSpacing w:val="0"/>
      </w:pPr>
      <w:r w:rsidRPr="007D116C">
        <w:t>T</w:t>
      </w:r>
      <w:r w:rsidR="55BCC843" w:rsidRPr="007D116C">
        <w:t>here is growing recognition of regulation as a distinct profession (including government regulators, compliance officers, and regulatory affairs professionals), reflecting the specific capabilities that regulation requires, especially in complex domains.</w:t>
      </w:r>
      <w:r w:rsidR="00AA3D72" w:rsidRPr="007D116C">
        <w:rPr>
          <w:rStyle w:val="FootnoteReference"/>
        </w:rPr>
        <w:footnoteReference w:id="119"/>
      </w:r>
      <w:r w:rsidR="55BCC843" w:rsidRPr="007D116C">
        <w:t xml:space="preserve">  It is important to note that unlike some other leadership positions in both the public and private sectors, regulatory leaders in government agencies may need a high level of technical knowledge</w:t>
      </w:r>
      <w:r w:rsidRPr="007D116C">
        <w:t>.</w:t>
      </w:r>
      <w:r w:rsidR="5A9A8AAE" w:rsidRPr="007D116C">
        <w:t xml:space="preserve"> As Dr Lorraine Cherney notes, regulators require a mix of horizontal capabilities or “transferable regulatory skills… applicable across multiple regulatory and </w:t>
      </w:r>
      <w:r w:rsidR="5A9A8AAE" w:rsidRPr="007D116C">
        <w:lastRenderedPageBreak/>
        <w:t>policy domains, roles, and positions” and vertical capabilities or “sector-specific expertise”.</w:t>
      </w:r>
      <w:r w:rsidR="00893DF8" w:rsidRPr="007D116C">
        <w:rPr>
          <w:rStyle w:val="FootnoteReference"/>
        </w:rPr>
        <w:footnoteReference w:id="120"/>
      </w:r>
      <w:r w:rsidR="5A9A8AAE" w:rsidRPr="007D116C">
        <w:t xml:space="preserve"> In particular, it is these latter capabilities that set regulatory leaders apart from the broader class of public sector leaders; it is often important for regulatory leaders to have a good understanding of technical matters within the regulatory environment.</w:t>
      </w:r>
    </w:p>
    <w:p w14:paraId="436CF045" w14:textId="4F84A231" w:rsidR="00835298" w:rsidRPr="007D116C" w:rsidRDefault="30DEE6C6" w:rsidP="00B709BC">
      <w:pPr>
        <w:pStyle w:val="ListParagraph"/>
        <w:numPr>
          <w:ilvl w:val="0"/>
          <w:numId w:val="2"/>
        </w:numPr>
        <w:ind w:left="0" w:hanging="426"/>
        <w:contextualSpacing w:val="0"/>
      </w:pPr>
      <w:r w:rsidRPr="007D116C">
        <w:t xml:space="preserve">ANZSOG research on leadership capabilities for regulators </w:t>
      </w:r>
      <w:r w:rsidR="7F4D1D3D" w:rsidRPr="007D116C">
        <w:t xml:space="preserve">as </w:t>
      </w:r>
      <w:r w:rsidRPr="007D116C">
        <w:t>summarised in Table 1</w:t>
      </w:r>
      <w:r w:rsidR="3C0B36F0" w:rsidRPr="007D116C">
        <w:t>2</w:t>
      </w:r>
      <w:r w:rsidRPr="007D116C">
        <w:t xml:space="preserve"> matches APS Leadership capabilities with specific </w:t>
      </w:r>
      <w:r w:rsidR="009AAA8A" w:rsidRPr="007D116C">
        <w:t xml:space="preserve">additional </w:t>
      </w:r>
      <w:r w:rsidRPr="007D116C">
        <w:t xml:space="preserve">requirements </w:t>
      </w:r>
      <w:r w:rsidR="46EC0399" w:rsidRPr="007D116C">
        <w:t>for</w:t>
      </w:r>
      <w:r w:rsidRPr="007D116C">
        <w:t xml:space="preserve"> leaders of regulatory bodies. Extensive research and development underpin this framework</w:t>
      </w:r>
      <w:r w:rsidR="46EC0399" w:rsidRPr="007D116C">
        <w:t>, which is</w:t>
      </w:r>
      <w:r w:rsidRPr="007D116C">
        <w:t xml:space="preserve"> intended to meet public interest accountability and transparency demands and </w:t>
      </w:r>
      <w:r w:rsidR="6402FD85" w:rsidRPr="007D116C">
        <w:t xml:space="preserve">to reflect </w:t>
      </w:r>
      <w:r w:rsidRPr="007D116C">
        <w:t>the substantial responsibility given over to regulatory leaders as employees under the Crown.</w:t>
      </w:r>
      <w:r w:rsidR="570D6523" w:rsidRPr="007D116C">
        <w:rPr>
          <w:rStyle w:val="FootnoteReference"/>
        </w:rPr>
        <w:t xml:space="preserve"> </w:t>
      </w:r>
      <w:r w:rsidR="002B7EAC" w:rsidRPr="007D116C">
        <w:rPr>
          <w:rStyle w:val="FootnoteReference"/>
        </w:rPr>
        <w:footnoteReference w:id="121"/>
      </w:r>
      <w:r w:rsidRPr="007D116C">
        <w:t xml:space="preserve">  The APS framework and the dimensions specific to regulators </w:t>
      </w:r>
      <w:r w:rsidR="6402FD85" w:rsidRPr="007D116C">
        <w:t>are closely aligned with</w:t>
      </w:r>
      <w:r w:rsidRPr="007D116C">
        <w:t xml:space="preserve"> the OECD</w:t>
      </w:r>
      <w:r w:rsidR="6B8195A9" w:rsidRPr="007D116C">
        <w:t>’</w:t>
      </w:r>
      <w:r w:rsidRPr="007D116C">
        <w:t>s recommended capability set.</w:t>
      </w:r>
      <w:r w:rsidR="001A370A" w:rsidRPr="007D116C">
        <w:rPr>
          <w:rStyle w:val="FootnoteReference"/>
        </w:rPr>
        <w:footnoteReference w:id="122"/>
      </w:r>
      <w:r w:rsidR="39072FC0" w:rsidRPr="007D116C">
        <w:t xml:space="preserve"> </w:t>
      </w:r>
    </w:p>
    <w:p w14:paraId="064211F6" w14:textId="77777777" w:rsidR="00A94608" w:rsidRPr="007D116C" w:rsidRDefault="00A94608">
      <w:pPr>
        <w:pStyle w:val="Heading3"/>
        <w:sectPr w:rsidR="00A94608" w:rsidRPr="007D116C" w:rsidSect="00581423">
          <w:headerReference w:type="default" r:id="rId16"/>
          <w:footerReference w:type="default" r:id="rId17"/>
          <w:pgSz w:w="11906" w:h="16838"/>
          <w:pgMar w:top="1440" w:right="1440" w:bottom="1440" w:left="1440" w:header="567" w:footer="708" w:gutter="0"/>
          <w:pgNumType w:start="1"/>
          <w:cols w:space="708"/>
          <w:docGrid w:linePitch="360"/>
        </w:sectPr>
      </w:pPr>
      <w:bookmarkStart w:id="40" w:name="_Toc98853510"/>
    </w:p>
    <w:p w14:paraId="731CA01A" w14:textId="2E4F1FCC" w:rsidR="00835298" w:rsidRPr="007D116C" w:rsidRDefault="00835298">
      <w:pPr>
        <w:pStyle w:val="Heading3"/>
      </w:pPr>
      <w:bookmarkStart w:id="41" w:name="_Toc100599147"/>
      <w:r w:rsidRPr="007D116C">
        <w:lastRenderedPageBreak/>
        <w:t>Table 1</w:t>
      </w:r>
      <w:r w:rsidR="001326B3" w:rsidRPr="007D116C">
        <w:t>2</w:t>
      </w:r>
      <w:r w:rsidRPr="007D116C">
        <w:t>: Leadership capabilities matrix</w:t>
      </w:r>
      <w:bookmarkEnd w:id="40"/>
      <w:bookmarkEnd w:id="41"/>
    </w:p>
    <w:tbl>
      <w:tblPr>
        <w:tblStyle w:val="GridTable5Dark-Accent31"/>
        <w:tblW w:w="14454" w:type="dxa"/>
        <w:tblLook w:val="04A0" w:firstRow="1" w:lastRow="0" w:firstColumn="1" w:lastColumn="0" w:noHBand="0" w:noVBand="1"/>
      </w:tblPr>
      <w:tblGrid>
        <w:gridCol w:w="1138"/>
        <w:gridCol w:w="1976"/>
        <w:gridCol w:w="1984"/>
        <w:gridCol w:w="2256"/>
        <w:gridCol w:w="2564"/>
        <w:gridCol w:w="2268"/>
        <w:gridCol w:w="2268"/>
      </w:tblGrid>
      <w:tr w:rsidR="007D116C" w:rsidRPr="007D116C" w14:paraId="5D78BB22" w14:textId="77777777" w:rsidTr="00D71B2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auto"/>
          </w:tcPr>
          <w:p w14:paraId="3CCC2122" w14:textId="77777777" w:rsidR="00051F51" w:rsidRPr="007D116C" w:rsidRDefault="00051F51" w:rsidP="00051F51">
            <w:pPr>
              <w:spacing w:before="80" w:after="80" w:line="259" w:lineRule="auto"/>
              <w:jc w:val="center"/>
              <w:rPr>
                <w:rFonts w:cstheme="minorHAnsi"/>
                <w:b w:val="0"/>
                <w:bCs w:val="0"/>
                <w:i/>
                <w:iCs/>
                <w:color w:val="auto"/>
                <w:sz w:val="16"/>
                <w:szCs w:val="16"/>
              </w:rPr>
            </w:pPr>
          </w:p>
        </w:tc>
        <w:tc>
          <w:tcPr>
            <w:tcW w:w="1976" w:type="dxa"/>
          </w:tcPr>
          <w:p w14:paraId="7E1FF2A2" w14:textId="77777777" w:rsidR="00051F51" w:rsidRPr="007D116C" w:rsidRDefault="00051F51" w:rsidP="00051F51">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7D116C">
              <w:rPr>
                <w:rFonts w:cstheme="minorHAnsi"/>
                <w:b w:val="0"/>
                <w:bCs w:val="0"/>
                <w:color w:val="auto"/>
                <w:sz w:val="16"/>
                <w:szCs w:val="16"/>
              </w:rPr>
              <w:t>Visionary</w:t>
            </w:r>
          </w:p>
        </w:tc>
        <w:tc>
          <w:tcPr>
            <w:tcW w:w="1984" w:type="dxa"/>
          </w:tcPr>
          <w:p w14:paraId="2AAC3686" w14:textId="77777777" w:rsidR="00051F51" w:rsidRPr="007D116C" w:rsidRDefault="00051F51" w:rsidP="00051F51">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7D116C">
              <w:rPr>
                <w:rFonts w:cstheme="minorHAnsi"/>
                <w:b w:val="0"/>
                <w:bCs w:val="0"/>
                <w:color w:val="auto"/>
                <w:sz w:val="16"/>
                <w:szCs w:val="16"/>
              </w:rPr>
              <w:t>Influential</w:t>
            </w:r>
          </w:p>
        </w:tc>
        <w:tc>
          <w:tcPr>
            <w:tcW w:w="2256" w:type="dxa"/>
          </w:tcPr>
          <w:p w14:paraId="2BB48E52" w14:textId="77777777" w:rsidR="00051F51" w:rsidRPr="007D116C" w:rsidRDefault="00051F51" w:rsidP="00051F51">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7D116C">
              <w:rPr>
                <w:rFonts w:cstheme="minorHAnsi"/>
                <w:b w:val="0"/>
                <w:bCs w:val="0"/>
                <w:color w:val="auto"/>
                <w:sz w:val="16"/>
                <w:szCs w:val="16"/>
              </w:rPr>
              <w:t xml:space="preserve">Collaborative </w:t>
            </w:r>
          </w:p>
        </w:tc>
        <w:tc>
          <w:tcPr>
            <w:tcW w:w="2564" w:type="dxa"/>
          </w:tcPr>
          <w:p w14:paraId="48C498E2" w14:textId="77777777" w:rsidR="00051F51" w:rsidRPr="007D116C" w:rsidRDefault="00051F51" w:rsidP="00051F51">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7D116C">
              <w:rPr>
                <w:rFonts w:cstheme="minorHAnsi"/>
                <w:b w:val="0"/>
                <w:bCs w:val="0"/>
                <w:color w:val="auto"/>
                <w:sz w:val="16"/>
                <w:szCs w:val="16"/>
              </w:rPr>
              <w:t>Entrepreneurial</w:t>
            </w:r>
          </w:p>
        </w:tc>
        <w:tc>
          <w:tcPr>
            <w:tcW w:w="2268" w:type="dxa"/>
          </w:tcPr>
          <w:p w14:paraId="3929FFAD" w14:textId="77777777" w:rsidR="00051F51" w:rsidRPr="007D116C" w:rsidRDefault="00051F51" w:rsidP="00051F51">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7D116C">
              <w:rPr>
                <w:rFonts w:cstheme="minorHAnsi"/>
                <w:b w:val="0"/>
                <w:bCs w:val="0"/>
                <w:color w:val="auto"/>
                <w:sz w:val="16"/>
                <w:szCs w:val="16"/>
              </w:rPr>
              <w:t>Enabling</w:t>
            </w:r>
          </w:p>
        </w:tc>
        <w:tc>
          <w:tcPr>
            <w:tcW w:w="2268" w:type="dxa"/>
          </w:tcPr>
          <w:p w14:paraId="1B426711" w14:textId="77777777" w:rsidR="00051F51" w:rsidRPr="007D116C" w:rsidRDefault="00051F51" w:rsidP="00051F51">
            <w:pPr>
              <w:spacing w:before="80" w:after="80" w:line="259"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7D116C">
              <w:rPr>
                <w:rFonts w:cstheme="minorHAnsi"/>
                <w:b w:val="0"/>
                <w:bCs w:val="0"/>
                <w:color w:val="auto"/>
                <w:sz w:val="16"/>
                <w:szCs w:val="16"/>
              </w:rPr>
              <w:t>Delivers</w:t>
            </w:r>
          </w:p>
        </w:tc>
      </w:tr>
      <w:tr w:rsidR="007D116C" w:rsidRPr="007D116C" w14:paraId="3A7C27C6" w14:textId="77777777" w:rsidTr="00D71B27">
        <w:trPr>
          <w:cnfStyle w:val="000000100000" w:firstRow="0" w:lastRow="0" w:firstColumn="0" w:lastColumn="0" w:oddVBand="0" w:evenVBand="0" w:oddHBand="1"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0" w:type="auto"/>
          </w:tcPr>
          <w:p w14:paraId="7BAFFDE3" w14:textId="77777777" w:rsidR="00051F51" w:rsidRPr="007D116C" w:rsidRDefault="00051F51" w:rsidP="00051F51">
            <w:pPr>
              <w:spacing w:beforeLines="80" w:before="192" w:afterLines="80" w:after="192" w:line="259" w:lineRule="auto"/>
              <w:rPr>
                <w:rFonts w:cstheme="minorHAnsi"/>
                <w:b w:val="0"/>
                <w:bCs w:val="0"/>
                <w:i/>
                <w:iCs/>
                <w:color w:val="auto"/>
                <w:sz w:val="16"/>
                <w:szCs w:val="16"/>
              </w:rPr>
            </w:pPr>
            <w:r w:rsidRPr="007D116C">
              <w:rPr>
                <w:rFonts w:cstheme="minorHAnsi"/>
                <w:b w:val="0"/>
                <w:bCs w:val="0"/>
                <w:i/>
                <w:iCs/>
                <w:color w:val="auto"/>
                <w:sz w:val="16"/>
                <w:szCs w:val="16"/>
              </w:rPr>
              <w:t>SES Capability Description</w:t>
            </w:r>
          </w:p>
        </w:tc>
        <w:tc>
          <w:tcPr>
            <w:tcW w:w="1976" w:type="dxa"/>
          </w:tcPr>
          <w:p w14:paraId="29ABD4F1" w14:textId="77777777" w:rsidR="00051F51" w:rsidRPr="007D116C" w:rsidRDefault="00051F51" w:rsidP="00051F51">
            <w:pPr>
              <w:spacing w:beforeLines="40" w:before="96" w:afterLines="40" w:after="96"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 xml:space="preserve">To provide the best policy advice to government, senior leaders need to be able to </w:t>
            </w:r>
            <w:r w:rsidRPr="007D116C">
              <w:rPr>
                <w:rFonts w:cstheme="minorHAnsi"/>
                <w:b/>
                <w:bCs/>
                <w:sz w:val="16"/>
                <w:szCs w:val="16"/>
              </w:rPr>
              <w:t>scan the horizo</w:t>
            </w:r>
            <w:r w:rsidRPr="007D116C">
              <w:rPr>
                <w:rFonts w:cstheme="minorHAnsi"/>
                <w:sz w:val="16"/>
                <w:szCs w:val="16"/>
              </w:rPr>
              <w:t xml:space="preserve">n for emerging </w:t>
            </w:r>
            <w:r w:rsidRPr="007D116C">
              <w:rPr>
                <w:rFonts w:cstheme="minorHAnsi"/>
                <w:b/>
                <w:bCs/>
                <w:sz w:val="16"/>
                <w:szCs w:val="16"/>
              </w:rPr>
              <w:t>trends</w:t>
            </w:r>
            <w:r w:rsidRPr="007D116C">
              <w:rPr>
                <w:rFonts w:cstheme="minorHAnsi"/>
                <w:sz w:val="16"/>
                <w:szCs w:val="16"/>
              </w:rPr>
              <w:t xml:space="preserve">, identifying </w:t>
            </w:r>
            <w:r w:rsidRPr="007D116C">
              <w:rPr>
                <w:rFonts w:cstheme="minorHAnsi"/>
                <w:b/>
                <w:bCs/>
                <w:sz w:val="16"/>
                <w:szCs w:val="16"/>
              </w:rPr>
              <w:t>opportunities</w:t>
            </w:r>
            <w:r w:rsidRPr="007D116C">
              <w:rPr>
                <w:rFonts w:cstheme="minorHAnsi"/>
                <w:sz w:val="16"/>
                <w:szCs w:val="16"/>
              </w:rPr>
              <w:t xml:space="preserve"> and </w:t>
            </w:r>
            <w:r w:rsidRPr="007D116C">
              <w:rPr>
                <w:rFonts w:cstheme="minorHAnsi"/>
                <w:b/>
                <w:bCs/>
                <w:sz w:val="16"/>
                <w:szCs w:val="16"/>
              </w:rPr>
              <w:t>challenges</w:t>
            </w:r>
            <w:r w:rsidRPr="007D116C">
              <w:rPr>
                <w:rFonts w:cstheme="minorHAnsi"/>
                <w:sz w:val="16"/>
                <w:szCs w:val="16"/>
              </w:rPr>
              <w:t xml:space="preserve"> for the nation.</w:t>
            </w:r>
          </w:p>
        </w:tc>
        <w:tc>
          <w:tcPr>
            <w:tcW w:w="1984" w:type="dxa"/>
          </w:tcPr>
          <w:p w14:paraId="4014F58C" w14:textId="77777777" w:rsidR="00051F51" w:rsidRPr="007D116C" w:rsidRDefault="00051F51" w:rsidP="00051F51">
            <w:pPr>
              <w:spacing w:beforeLines="40" w:before="96" w:afterLines="40" w:after="96"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 xml:space="preserve">To take the government’s policy agenda forward, senior leaders need the </w:t>
            </w:r>
            <w:r w:rsidRPr="007D116C">
              <w:rPr>
                <w:rFonts w:cstheme="minorHAnsi"/>
                <w:b/>
                <w:bCs/>
                <w:sz w:val="16"/>
                <w:szCs w:val="16"/>
              </w:rPr>
              <w:t>capacity to persuade</w:t>
            </w:r>
            <w:r w:rsidRPr="007D116C">
              <w:rPr>
                <w:rFonts w:cstheme="minorHAnsi"/>
                <w:sz w:val="16"/>
                <w:szCs w:val="16"/>
              </w:rPr>
              <w:t xml:space="preserve"> others towards an outcome, winning and </w:t>
            </w:r>
            <w:r w:rsidRPr="007D116C">
              <w:rPr>
                <w:rFonts w:cstheme="minorHAnsi"/>
                <w:b/>
                <w:bCs/>
                <w:sz w:val="16"/>
                <w:szCs w:val="16"/>
              </w:rPr>
              <w:t>maintaining the confidence</w:t>
            </w:r>
            <w:r w:rsidRPr="007D116C">
              <w:rPr>
                <w:rFonts w:cstheme="minorHAnsi"/>
                <w:sz w:val="16"/>
                <w:szCs w:val="16"/>
              </w:rPr>
              <w:t xml:space="preserve"> of government and key stakeholders.</w:t>
            </w:r>
          </w:p>
        </w:tc>
        <w:tc>
          <w:tcPr>
            <w:tcW w:w="2256" w:type="dxa"/>
          </w:tcPr>
          <w:p w14:paraId="7F1CC715" w14:textId="77777777" w:rsidR="00051F51" w:rsidRPr="007D116C" w:rsidRDefault="00051F51" w:rsidP="00051F51">
            <w:pPr>
              <w:spacing w:beforeLines="40" w:before="96" w:afterLines="40" w:after="96"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 xml:space="preserve">In making progress on issues that </w:t>
            </w:r>
            <w:r w:rsidRPr="007D116C">
              <w:rPr>
                <w:rFonts w:cstheme="minorHAnsi"/>
                <w:b/>
                <w:bCs/>
                <w:sz w:val="16"/>
                <w:szCs w:val="16"/>
              </w:rPr>
              <w:t>cut across agencies, sectors</w:t>
            </w:r>
            <w:r w:rsidRPr="007D116C">
              <w:rPr>
                <w:rFonts w:cstheme="minorHAnsi"/>
                <w:sz w:val="16"/>
                <w:szCs w:val="16"/>
              </w:rPr>
              <w:t xml:space="preserve"> and nations, senior leaders need to be able to </w:t>
            </w:r>
            <w:r w:rsidRPr="007D116C">
              <w:rPr>
                <w:rFonts w:cstheme="minorHAnsi"/>
                <w:b/>
                <w:bCs/>
                <w:sz w:val="16"/>
                <w:szCs w:val="16"/>
              </w:rPr>
              <w:t>develop relationships</w:t>
            </w:r>
            <w:r w:rsidRPr="007D116C">
              <w:rPr>
                <w:rFonts w:cstheme="minorHAnsi"/>
                <w:sz w:val="16"/>
                <w:szCs w:val="16"/>
              </w:rPr>
              <w:t xml:space="preserve">, </w:t>
            </w:r>
            <w:r w:rsidRPr="007D116C">
              <w:rPr>
                <w:rFonts w:cstheme="minorHAnsi"/>
                <w:b/>
                <w:bCs/>
                <w:sz w:val="16"/>
                <w:szCs w:val="16"/>
              </w:rPr>
              <w:t>build trust</w:t>
            </w:r>
            <w:r w:rsidRPr="007D116C">
              <w:rPr>
                <w:rFonts w:cstheme="minorHAnsi"/>
                <w:sz w:val="16"/>
                <w:szCs w:val="16"/>
              </w:rPr>
              <w:t xml:space="preserve"> and find common ground with others. An </w:t>
            </w:r>
            <w:r w:rsidRPr="007D116C">
              <w:rPr>
                <w:rFonts w:cstheme="minorHAnsi"/>
                <w:b/>
                <w:bCs/>
                <w:sz w:val="16"/>
                <w:szCs w:val="16"/>
              </w:rPr>
              <w:t>openness to diverse perspectives</w:t>
            </w:r>
            <w:r w:rsidRPr="007D116C">
              <w:rPr>
                <w:rFonts w:cstheme="minorHAnsi"/>
                <w:sz w:val="16"/>
                <w:szCs w:val="16"/>
              </w:rPr>
              <w:t xml:space="preserve"> is critical.</w:t>
            </w:r>
          </w:p>
        </w:tc>
        <w:tc>
          <w:tcPr>
            <w:tcW w:w="2564" w:type="dxa"/>
          </w:tcPr>
          <w:p w14:paraId="0E0E7EEC" w14:textId="77777777" w:rsidR="00051F51" w:rsidRPr="007D116C" w:rsidRDefault="00051F51" w:rsidP="00051F51">
            <w:pPr>
              <w:spacing w:beforeLines="40" w:before="96" w:afterLines="40" w:after="96"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 xml:space="preserve">In finding </w:t>
            </w:r>
            <w:r w:rsidRPr="007D116C">
              <w:rPr>
                <w:rFonts w:cstheme="minorHAnsi"/>
                <w:b/>
                <w:bCs/>
                <w:sz w:val="16"/>
                <w:szCs w:val="16"/>
              </w:rPr>
              <w:t>new and better ways of achieving outcomes</w:t>
            </w:r>
            <w:r w:rsidRPr="007D116C">
              <w:rPr>
                <w:rFonts w:cstheme="minorHAnsi"/>
                <w:sz w:val="16"/>
                <w:szCs w:val="16"/>
              </w:rPr>
              <w:t xml:space="preserve"> on behalf of government and citizens, senior leaders need to be able to </w:t>
            </w:r>
            <w:r w:rsidRPr="007D116C">
              <w:rPr>
                <w:rFonts w:cstheme="minorHAnsi"/>
                <w:b/>
                <w:bCs/>
                <w:sz w:val="16"/>
                <w:szCs w:val="16"/>
              </w:rPr>
              <w:t>challenge current perspectives</w:t>
            </w:r>
            <w:r w:rsidRPr="007D116C">
              <w:rPr>
                <w:rFonts w:cstheme="minorHAnsi"/>
                <w:sz w:val="16"/>
                <w:szCs w:val="16"/>
              </w:rPr>
              <w:t xml:space="preserve">, generate new ideas and </w:t>
            </w:r>
            <w:r w:rsidRPr="007D116C">
              <w:rPr>
                <w:rFonts w:cstheme="minorHAnsi"/>
                <w:b/>
                <w:bCs/>
                <w:sz w:val="16"/>
                <w:szCs w:val="16"/>
              </w:rPr>
              <w:t>experiment with different approaches</w:t>
            </w:r>
            <w:r w:rsidRPr="007D116C">
              <w:rPr>
                <w:rFonts w:cstheme="minorHAnsi"/>
                <w:sz w:val="16"/>
                <w:szCs w:val="16"/>
              </w:rPr>
              <w:t xml:space="preserve">. They also need to be adept at </w:t>
            </w:r>
            <w:r w:rsidRPr="007D116C">
              <w:rPr>
                <w:rFonts w:cstheme="minorHAnsi"/>
                <w:b/>
                <w:bCs/>
                <w:sz w:val="16"/>
                <w:szCs w:val="16"/>
              </w:rPr>
              <w:t>managing risk</w:t>
            </w:r>
            <w:r w:rsidRPr="007D116C">
              <w:rPr>
                <w:rFonts w:cstheme="minorHAnsi"/>
                <w:sz w:val="16"/>
                <w:szCs w:val="16"/>
              </w:rPr>
              <w:t>.</w:t>
            </w:r>
          </w:p>
        </w:tc>
        <w:tc>
          <w:tcPr>
            <w:tcW w:w="2268" w:type="dxa"/>
          </w:tcPr>
          <w:p w14:paraId="5D27D4D0" w14:textId="77777777" w:rsidR="00051F51" w:rsidRPr="007D116C" w:rsidRDefault="00051F51" w:rsidP="00051F51">
            <w:pPr>
              <w:spacing w:beforeLines="40" w:before="96" w:afterLines="40" w:after="96"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 xml:space="preserve">Creating an environment that </w:t>
            </w:r>
            <w:r w:rsidRPr="007D116C">
              <w:rPr>
                <w:rFonts w:cstheme="minorHAnsi"/>
                <w:b/>
                <w:bCs/>
                <w:sz w:val="16"/>
                <w:szCs w:val="16"/>
              </w:rPr>
              <w:t>empowers individuals and teams</w:t>
            </w:r>
            <w:r w:rsidRPr="007D116C">
              <w:rPr>
                <w:rFonts w:cstheme="minorHAnsi"/>
                <w:sz w:val="16"/>
                <w:szCs w:val="16"/>
              </w:rPr>
              <w:t xml:space="preserve"> to deliver their best for government and citizens is a core requirement for senior leaders. This includes </w:t>
            </w:r>
            <w:r w:rsidRPr="007D116C">
              <w:rPr>
                <w:rFonts w:cstheme="minorHAnsi"/>
                <w:b/>
                <w:bCs/>
                <w:sz w:val="16"/>
                <w:szCs w:val="16"/>
              </w:rPr>
              <w:t>setting expectation</w:t>
            </w:r>
            <w:r w:rsidRPr="007D116C">
              <w:rPr>
                <w:rFonts w:cstheme="minorHAnsi"/>
                <w:sz w:val="16"/>
                <w:szCs w:val="16"/>
              </w:rPr>
              <w:t xml:space="preserve">s, nurturing </w:t>
            </w:r>
            <w:r w:rsidRPr="007D116C">
              <w:rPr>
                <w:rFonts w:cstheme="minorHAnsi"/>
                <w:b/>
                <w:bCs/>
                <w:sz w:val="16"/>
                <w:szCs w:val="16"/>
              </w:rPr>
              <w:t>talent</w:t>
            </w:r>
            <w:r w:rsidRPr="007D116C">
              <w:rPr>
                <w:rFonts w:cstheme="minorHAnsi"/>
                <w:sz w:val="16"/>
                <w:szCs w:val="16"/>
              </w:rPr>
              <w:t xml:space="preserve"> and </w:t>
            </w:r>
            <w:r w:rsidRPr="007D116C">
              <w:rPr>
                <w:rFonts w:cstheme="minorHAnsi"/>
                <w:b/>
                <w:bCs/>
                <w:sz w:val="16"/>
                <w:szCs w:val="16"/>
              </w:rPr>
              <w:t>building capability</w:t>
            </w:r>
          </w:p>
        </w:tc>
        <w:tc>
          <w:tcPr>
            <w:tcW w:w="2268" w:type="dxa"/>
          </w:tcPr>
          <w:p w14:paraId="5C1C086D" w14:textId="77777777" w:rsidR="00051F51" w:rsidRPr="007D116C" w:rsidRDefault="00051F51" w:rsidP="00051F51">
            <w:pPr>
              <w:spacing w:beforeLines="40" w:before="96" w:afterLines="40" w:after="96" w:line="259"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 xml:space="preserve">Senior leaders need to be highly skilled at managing the delivery of </w:t>
            </w:r>
            <w:r w:rsidRPr="007D116C">
              <w:rPr>
                <w:rFonts w:cstheme="minorHAnsi"/>
                <w:b/>
                <w:bCs/>
                <w:sz w:val="16"/>
                <w:szCs w:val="16"/>
              </w:rPr>
              <w:t>complex projects, programs and services.</w:t>
            </w:r>
            <w:r w:rsidRPr="007D116C">
              <w:rPr>
                <w:rFonts w:cstheme="minorHAnsi"/>
                <w:sz w:val="16"/>
                <w:szCs w:val="16"/>
              </w:rPr>
              <w:t xml:space="preserve"> This includes harnessing the opportunity provided by </w:t>
            </w:r>
            <w:r w:rsidRPr="007D116C">
              <w:rPr>
                <w:rFonts w:cstheme="minorHAnsi"/>
                <w:b/>
                <w:bCs/>
                <w:sz w:val="16"/>
                <w:szCs w:val="16"/>
              </w:rPr>
              <w:t>digital technology</w:t>
            </w:r>
            <w:r w:rsidRPr="007D116C">
              <w:rPr>
                <w:rFonts w:cstheme="minorHAnsi"/>
                <w:sz w:val="16"/>
                <w:szCs w:val="16"/>
              </w:rPr>
              <w:t xml:space="preserve"> to improve delivery </w:t>
            </w:r>
            <w:r w:rsidRPr="007D116C">
              <w:rPr>
                <w:rFonts w:cstheme="minorHAnsi"/>
                <w:b/>
                <w:bCs/>
                <w:sz w:val="16"/>
                <w:szCs w:val="16"/>
              </w:rPr>
              <w:t>outcomes for citizens</w:t>
            </w:r>
            <w:r w:rsidRPr="007D116C">
              <w:rPr>
                <w:rFonts w:cstheme="minorHAnsi"/>
                <w:sz w:val="16"/>
                <w:szCs w:val="16"/>
              </w:rPr>
              <w:t>.</w:t>
            </w:r>
          </w:p>
        </w:tc>
      </w:tr>
      <w:tr w:rsidR="007D116C" w:rsidRPr="007D116C" w14:paraId="5F6ABB65" w14:textId="77777777" w:rsidTr="00D71B27">
        <w:trPr>
          <w:trHeight w:val="2167"/>
        </w:trPr>
        <w:tc>
          <w:tcPr>
            <w:cnfStyle w:val="001000000000" w:firstRow="0" w:lastRow="0" w:firstColumn="1" w:lastColumn="0" w:oddVBand="0" w:evenVBand="0" w:oddHBand="0" w:evenHBand="0" w:firstRowFirstColumn="0" w:firstRowLastColumn="0" w:lastRowFirstColumn="0" w:lastRowLastColumn="0"/>
            <w:tcW w:w="0" w:type="auto"/>
          </w:tcPr>
          <w:p w14:paraId="480E992B" w14:textId="77777777" w:rsidR="00051F51" w:rsidRPr="007D116C" w:rsidRDefault="00051F51" w:rsidP="00051F51">
            <w:pPr>
              <w:spacing w:beforeLines="80" w:before="192" w:afterLines="80" w:after="192" w:line="259" w:lineRule="auto"/>
              <w:rPr>
                <w:rFonts w:cstheme="minorHAnsi"/>
                <w:b w:val="0"/>
                <w:bCs w:val="0"/>
                <w:i/>
                <w:iCs/>
                <w:color w:val="auto"/>
                <w:sz w:val="16"/>
                <w:szCs w:val="16"/>
              </w:rPr>
            </w:pPr>
            <w:r w:rsidRPr="007D116C">
              <w:rPr>
                <w:rFonts w:cstheme="minorHAnsi"/>
                <w:b w:val="0"/>
                <w:bCs w:val="0"/>
                <w:i/>
                <w:iCs/>
                <w:color w:val="auto"/>
                <w:sz w:val="16"/>
                <w:szCs w:val="16"/>
              </w:rPr>
              <w:t>Senior regulatory executives need to be able to….</w:t>
            </w:r>
          </w:p>
        </w:tc>
        <w:tc>
          <w:tcPr>
            <w:tcW w:w="1976" w:type="dxa"/>
          </w:tcPr>
          <w:p w14:paraId="7316CFF9"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Be recognised as a Regulatory Professional leading a capable, credible and best-practice Regulator</w:t>
            </w:r>
          </w:p>
          <w:p w14:paraId="4D357CFE"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Shape, set, and drive the regulator’s future vision, mandate, values and culture</w:t>
            </w:r>
          </w:p>
          <w:p w14:paraId="1808E7BB"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Articulate and proactively communicate desired Regulatory Outcomes</w:t>
            </w:r>
          </w:p>
          <w:p w14:paraId="28AEA10A"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Articulate the regulator’s role across the regulatory system</w:t>
            </w:r>
          </w:p>
          <w:p w14:paraId="4E64C7A3" w14:textId="77777777" w:rsidR="00051F51" w:rsidRPr="007D116C" w:rsidRDefault="00051F51" w:rsidP="00051F51">
            <w:pPr>
              <w:numPr>
                <w:ilvl w:val="0"/>
                <w:numId w:val="21"/>
              </w:numPr>
              <w:spacing w:beforeLines="40" w:before="96" w:afterLines="100" w:after="240"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Decisively modify regulatory focus, Regulatory Posture and Strategy based on emerging risk levels.</w:t>
            </w:r>
          </w:p>
        </w:tc>
        <w:tc>
          <w:tcPr>
            <w:tcW w:w="1984" w:type="dxa"/>
          </w:tcPr>
          <w:p w14:paraId="0B4B8B3D"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Engage with government to ensure regulatory expectations relating to performance, KPIs and outcomes are realistic and achievable</w:t>
            </w:r>
          </w:p>
          <w:p w14:paraId="6C296086"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Proactively engage to shape policy settings to deliver Regulatory Outcomes</w:t>
            </w:r>
          </w:p>
          <w:p w14:paraId="0A68EBD2"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Leverage authority and mandate to modify or shift behaviour of the regulated community to deliver on Regulatory Outcomes</w:t>
            </w:r>
          </w:p>
        </w:tc>
        <w:tc>
          <w:tcPr>
            <w:tcW w:w="2256" w:type="dxa"/>
          </w:tcPr>
          <w:p w14:paraId="762B8392"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Ensure genuine engagement drives Regulatory Practice and delivers Regulatory Outcomes, whilst maintaining the integrity of the regulatory system</w:t>
            </w:r>
          </w:p>
          <w:p w14:paraId="7E635F49"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 xml:space="preserve">Identify, develop, maintain and leverage purposeful relationships with co- and peer regulators (local, state, national and international) </w:t>
            </w:r>
          </w:p>
          <w:p w14:paraId="454B7F69"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Actively utilise relationships with co-regulators to deliver on shared responsibilities, and advance mutually beneficial Regulatory Outcomes</w:t>
            </w:r>
          </w:p>
          <w:p w14:paraId="7C63BDC7" w14:textId="77777777" w:rsidR="00051F51" w:rsidRPr="007D116C" w:rsidRDefault="00051F51" w:rsidP="00051F51">
            <w:pPr>
              <w:numPr>
                <w:ilvl w:val="0"/>
                <w:numId w:val="21"/>
              </w:numPr>
              <w:spacing w:beforeLines="40" w:before="96" w:afterLines="100" w:after="240"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Develop productive relationships with dutyholders, stakeholders and wider community to deliver Regulatory Outcomes</w:t>
            </w:r>
          </w:p>
        </w:tc>
        <w:tc>
          <w:tcPr>
            <w:tcW w:w="2564" w:type="dxa"/>
          </w:tcPr>
          <w:p w14:paraId="197464F2"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Utilise a whole-of-system regulatory stewardship approach, ensuring it is fit-for-purpose, current and effective in delivering Regulatory Outcomes</w:t>
            </w:r>
          </w:p>
          <w:p w14:paraId="21514FE3"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 xml:space="preserve">Identify and exploit opportunities to develop and adapt Regulatory Practice </w:t>
            </w:r>
          </w:p>
          <w:p w14:paraId="4772853E" w14:textId="77777777" w:rsidR="00051F51" w:rsidRPr="007D116C" w:rsidRDefault="00051F51" w:rsidP="00051F51">
            <w:pPr>
              <w:numPr>
                <w:ilvl w:val="0"/>
                <w:numId w:val="21"/>
              </w:numPr>
              <w:spacing w:beforeLines="40" w:before="96" w:afterLines="100" w:after="240"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Utilise the complete regulatory toolkit and non-traditional problem-solving methods to deliver Regulatory Outcomes</w:t>
            </w:r>
          </w:p>
        </w:tc>
        <w:tc>
          <w:tcPr>
            <w:tcW w:w="2268" w:type="dxa"/>
          </w:tcPr>
          <w:p w14:paraId="0F6E63D5"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Shape a strong Regulatory Culture and Regulatory Approach to harness the whole regulator in delivery of regulatory outcomes</w:t>
            </w:r>
          </w:p>
          <w:p w14:paraId="18F8A0B9"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 xml:space="preserve">Support and grow the capability of regulatory professionals and the broader regulatory profession </w:t>
            </w:r>
          </w:p>
          <w:p w14:paraId="153A917B"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Create an environment where teams identify and avoid undue regulatory influence and capture</w:t>
            </w:r>
          </w:p>
          <w:p w14:paraId="02EBDEF9" w14:textId="77777777" w:rsidR="00051F51" w:rsidRPr="007D116C" w:rsidRDefault="00051F51" w:rsidP="00051F51">
            <w:pPr>
              <w:numPr>
                <w:ilvl w:val="0"/>
                <w:numId w:val="21"/>
              </w:numPr>
              <w:spacing w:beforeLines="40" w:before="96" w:afterLines="100" w:after="240"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Support teams to make timely, transparent and robust regulatory decisions</w:t>
            </w:r>
          </w:p>
        </w:tc>
        <w:tc>
          <w:tcPr>
            <w:tcW w:w="2268" w:type="dxa"/>
          </w:tcPr>
          <w:p w14:paraId="2DD5AE48"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Maintain an untiring focus on Regulatory Outcomes</w:t>
            </w:r>
          </w:p>
          <w:p w14:paraId="798BBFFF"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Drive development and embedding of Regulatory Strategy, risk based operational planning, Regulatory Practice, and supporting regulatory systems</w:t>
            </w:r>
          </w:p>
          <w:p w14:paraId="01518131"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Commit to valuing, supporting and advancing regulatory practice and the regulatory craft</w:t>
            </w:r>
          </w:p>
          <w:p w14:paraId="2ED5E97A" w14:textId="77777777" w:rsidR="00051F51" w:rsidRPr="007D116C" w:rsidRDefault="00051F51" w:rsidP="00051F51">
            <w:pPr>
              <w:numPr>
                <w:ilvl w:val="0"/>
                <w:numId w:val="21"/>
              </w:numPr>
              <w:spacing w:beforeLines="40" w:before="96" w:afterLines="40" w:after="96" w:line="259" w:lineRule="auto"/>
              <w:ind w:left="210" w:hanging="21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116C">
              <w:rPr>
                <w:rFonts w:cstheme="minorHAnsi"/>
                <w:sz w:val="16"/>
                <w:szCs w:val="16"/>
              </w:rPr>
              <w:t>Drive, evaluate, continuously improve and report on Regulatory Outcomes and regulatory performance</w:t>
            </w:r>
          </w:p>
        </w:tc>
      </w:tr>
      <w:tr w:rsidR="007D116C" w:rsidRPr="007D116C" w14:paraId="320204F3" w14:textId="77777777" w:rsidTr="00D71B27">
        <w:trPr>
          <w:cnfStyle w:val="000000100000" w:firstRow="0" w:lastRow="0" w:firstColumn="0" w:lastColumn="0" w:oddVBand="0" w:evenVBand="0" w:oddHBand="1" w:evenHBand="0" w:firstRowFirstColumn="0" w:firstRowLastColumn="0" w:lastRowFirstColumn="0" w:lastRowLastColumn="0"/>
          <w:trHeight w:val="5661"/>
        </w:trPr>
        <w:tc>
          <w:tcPr>
            <w:cnfStyle w:val="001000000000" w:firstRow="0" w:lastRow="0" w:firstColumn="1" w:lastColumn="0" w:oddVBand="0" w:evenVBand="0" w:oddHBand="0" w:evenHBand="0" w:firstRowFirstColumn="0" w:firstRowLastColumn="0" w:lastRowFirstColumn="0" w:lastRowLastColumn="0"/>
            <w:tcW w:w="0" w:type="auto"/>
          </w:tcPr>
          <w:p w14:paraId="2DE8C5BE" w14:textId="3C2CAF6D" w:rsidR="00051F51" w:rsidRPr="007D116C" w:rsidRDefault="00051F51" w:rsidP="00051F51">
            <w:pPr>
              <w:spacing w:beforeLines="80" w:before="192" w:afterLines="80" w:after="192" w:line="259" w:lineRule="auto"/>
              <w:rPr>
                <w:rFonts w:cstheme="minorHAnsi"/>
                <w:i/>
                <w:iCs/>
                <w:color w:val="auto"/>
                <w:sz w:val="16"/>
                <w:szCs w:val="16"/>
              </w:rPr>
            </w:pPr>
            <w:r w:rsidRPr="007D116C">
              <w:rPr>
                <w:rFonts w:cstheme="minorHAnsi"/>
                <w:i/>
                <w:iCs/>
                <w:color w:val="auto"/>
                <w:sz w:val="16"/>
                <w:szCs w:val="16"/>
              </w:rPr>
              <w:lastRenderedPageBreak/>
              <w:t>Domain specific senior regulatory executives need to be able to…</w:t>
            </w:r>
          </w:p>
        </w:tc>
        <w:tc>
          <w:tcPr>
            <w:tcW w:w="1976" w:type="dxa"/>
          </w:tcPr>
          <w:p w14:paraId="1952CB22"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Possess necessary knowledge and understanding of the Regulatory Domain</w:t>
            </w:r>
          </w:p>
          <w:p w14:paraId="1847855C"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 xml:space="preserve">Frame, maintain and adjust Regulatory Outcomes to the domain’s context </w:t>
            </w:r>
          </w:p>
          <w:p w14:paraId="0AD3E222"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 xml:space="preserve">Ensure their Regulatory Posture reflects the scale, scope and sensitivities of their Regulatory Domain </w:t>
            </w:r>
          </w:p>
          <w:p w14:paraId="55F6CA76" w14:textId="7D96DF4E" w:rsidR="00051F51" w:rsidRPr="007D116C" w:rsidRDefault="00051F51" w:rsidP="00051F51">
            <w:pPr>
              <w:numPr>
                <w:ilvl w:val="0"/>
                <w:numId w:val="21"/>
              </w:numPr>
              <w:spacing w:beforeLines="40" w:before="96" w:afterLines="40" w:after="96" w:line="259" w:lineRule="auto"/>
              <w:ind w:left="210" w:hanging="21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lang w:val="en-AU"/>
              </w:rPr>
              <w:t>Place knowledge and insights of the Regulatory Domain and sector within broader regulatory context to drive regulatory focus and effort.</w:t>
            </w:r>
          </w:p>
        </w:tc>
        <w:tc>
          <w:tcPr>
            <w:tcW w:w="1984" w:type="dxa"/>
          </w:tcPr>
          <w:p w14:paraId="2001B2F1"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Engage with dutyholders, stakeholders and communities specific to Regulatory Domains to ensure regulatory duties and obligations deliver desired Regulatory Outcomes</w:t>
            </w:r>
          </w:p>
          <w:p w14:paraId="7C3A87E9"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Leverage dutyholder, stakeholder and community relationships to ensure Regulatory Outcomes are understood</w:t>
            </w:r>
          </w:p>
          <w:p w14:paraId="77C1F2CC" w14:textId="6C7CF6F8" w:rsidR="00051F51" w:rsidRPr="007D116C" w:rsidRDefault="00051F51" w:rsidP="00051F51">
            <w:pPr>
              <w:numPr>
                <w:ilvl w:val="0"/>
                <w:numId w:val="21"/>
              </w:numPr>
              <w:spacing w:beforeLines="40" w:before="96" w:afterLines="40" w:after="96" w:line="259" w:lineRule="auto"/>
              <w:ind w:left="210" w:hanging="21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lang w:val="en-AU"/>
              </w:rPr>
              <w:t xml:space="preserve">Draw on a deep and specialist knowledge of the regulated domain and sectors to inform Regulatory Posture and Strategy </w:t>
            </w:r>
          </w:p>
        </w:tc>
        <w:tc>
          <w:tcPr>
            <w:tcW w:w="2256" w:type="dxa"/>
          </w:tcPr>
          <w:p w14:paraId="668C6575" w14:textId="111B75B8" w:rsidR="00051F51" w:rsidRPr="007D116C" w:rsidRDefault="00051F51" w:rsidP="00051F51">
            <w:pPr>
              <w:numPr>
                <w:ilvl w:val="0"/>
                <w:numId w:val="21"/>
              </w:numPr>
              <w:spacing w:beforeLines="40" w:before="96" w:afterLines="40" w:after="96" w:line="259" w:lineRule="auto"/>
              <w:ind w:left="210" w:hanging="21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lang w:val="en-AU"/>
              </w:rPr>
              <w:t>Recognise that regulatory roles and outcomes can span one or more Regulatory Domains when</w:t>
            </w:r>
            <w:r w:rsidRPr="007D116C">
              <w:rPr>
                <w:rFonts w:cstheme="minorHAnsi"/>
                <w:sz w:val="16"/>
                <w:szCs w:val="16"/>
              </w:rPr>
              <w:t xml:space="preserve"> identifying co-and peer regulators [and] delivering shared programs with mutual benefit [and] </w:t>
            </w:r>
            <w:r w:rsidRPr="007D116C">
              <w:rPr>
                <w:rFonts w:cstheme="minorHAnsi"/>
                <w:sz w:val="16"/>
                <w:szCs w:val="16"/>
                <w:lang w:val="en-AU"/>
              </w:rPr>
              <w:t>developing productive relationships</w:t>
            </w:r>
          </w:p>
        </w:tc>
        <w:tc>
          <w:tcPr>
            <w:tcW w:w="2564" w:type="dxa"/>
          </w:tcPr>
          <w:p w14:paraId="657FBD6D"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Appreciate the interplay and interdependence of the Regulatory Domain within the broader regulatory system, when exploring opportunities or adopting entrepreneurial approaches</w:t>
            </w:r>
          </w:p>
          <w:p w14:paraId="7092F787"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Identify and exploit opportunities within and across Regulatory Domains to develop and adapt Regulatory Practice</w:t>
            </w:r>
          </w:p>
          <w:p w14:paraId="331D2254" w14:textId="512EFCB0" w:rsidR="00051F51" w:rsidRPr="007D116C" w:rsidRDefault="00051F51" w:rsidP="00051F51">
            <w:pPr>
              <w:numPr>
                <w:ilvl w:val="0"/>
                <w:numId w:val="21"/>
              </w:numPr>
              <w:spacing w:beforeLines="40" w:before="96" w:afterLines="40" w:after="96" w:line="259" w:lineRule="auto"/>
              <w:ind w:left="210" w:hanging="21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lang w:val="en-AU"/>
              </w:rPr>
              <w:t>Identify and collaborate with colleagues and peers within and across Regulatory Domains when exploring non-traditional regulatory methods (e.g. regulatory sandboxes)</w:t>
            </w:r>
          </w:p>
        </w:tc>
        <w:tc>
          <w:tcPr>
            <w:tcW w:w="2268" w:type="dxa"/>
          </w:tcPr>
          <w:p w14:paraId="12A0D584"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lang w:val="en-AU"/>
              </w:rPr>
              <w:t>Recognise that Regulatory Domains are a subset of the broader Regulatory Profession when: establishing Regulatory Culture for their primary Regulatory Domain; determining an appropriate Regulatory Approach; and developing Regulatory Practitioners, Managers and Executives</w:t>
            </w:r>
          </w:p>
          <w:p w14:paraId="3F2BD9CF"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Enable and support the development of Regulatory Professionals within do main specific capabilities</w:t>
            </w:r>
          </w:p>
          <w:p w14:paraId="7FBACEC6" w14:textId="104F9E2A" w:rsidR="00051F51" w:rsidRPr="007D116C" w:rsidRDefault="00051F51" w:rsidP="00051F51">
            <w:pPr>
              <w:numPr>
                <w:ilvl w:val="0"/>
                <w:numId w:val="21"/>
              </w:numPr>
              <w:spacing w:beforeLines="40" w:before="96" w:afterLines="40" w:after="96" w:line="259" w:lineRule="auto"/>
              <w:ind w:left="210" w:hanging="21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lang w:val="en-AU"/>
              </w:rPr>
              <w:t>Understand and utilise their organisation’s specific governance structure (e.g., reporting to an Agency or Departmental head, Minister, Independent Board, Chair or Body) to improve Regulatory Culture, governance and effectiveness</w:t>
            </w:r>
          </w:p>
        </w:tc>
        <w:tc>
          <w:tcPr>
            <w:tcW w:w="2268" w:type="dxa"/>
          </w:tcPr>
          <w:p w14:paraId="59735B11"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Maintain an unwavering focus on regulatory domain outcomes</w:t>
            </w:r>
          </w:p>
          <w:p w14:paraId="397982A7" w14:textId="77777777" w:rsidR="00051F51" w:rsidRPr="007D116C" w:rsidRDefault="00051F51" w:rsidP="00051F51">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6"/>
                <w:szCs w:val="16"/>
                <w:lang w:val="en-AU"/>
              </w:rPr>
            </w:pPr>
            <w:r w:rsidRPr="007D116C">
              <w:rPr>
                <w:rFonts w:cstheme="minorHAnsi"/>
                <w:sz w:val="16"/>
                <w:szCs w:val="16"/>
                <w:lang w:val="en-AU"/>
              </w:rPr>
              <w:t>Appreciate that regulatory delivery varies across regulatory domains when:</w:t>
            </w:r>
          </w:p>
          <w:p w14:paraId="05961497" w14:textId="77777777" w:rsidR="00051F51" w:rsidRPr="007D116C" w:rsidRDefault="00051F51" w:rsidP="00051F51">
            <w:pPr>
              <w:pStyle w:val="ListBullet2"/>
              <w:numPr>
                <w:ilvl w:val="0"/>
                <w:numId w:val="1"/>
              </w:numPr>
              <w:spacing w:beforeLines="40" w:before="96" w:afterLines="100" w:after="240" w:line="240" w:lineRule="auto"/>
              <w:ind w:left="260" w:hanging="26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developing strategy and compliance plans</w:t>
            </w:r>
          </w:p>
          <w:p w14:paraId="69A0A91D" w14:textId="77777777" w:rsidR="00051F51" w:rsidRPr="007D116C" w:rsidRDefault="00051F51" w:rsidP="00051F51">
            <w:pPr>
              <w:pStyle w:val="ListBullet2"/>
              <w:numPr>
                <w:ilvl w:val="0"/>
                <w:numId w:val="1"/>
              </w:numPr>
              <w:spacing w:beforeLines="40" w:before="96" w:afterLines="100" w:after="240" w:line="240" w:lineRule="auto"/>
              <w:ind w:left="240" w:hanging="2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honing and refining regulatory practice</w:t>
            </w:r>
          </w:p>
          <w:p w14:paraId="3C9B6F1A" w14:textId="5384A995" w:rsidR="00051F51" w:rsidRPr="007D116C" w:rsidRDefault="00051F51" w:rsidP="00051F51">
            <w:pPr>
              <w:numPr>
                <w:ilvl w:val="0"/>
                <w:numId w:val="21"/>
              </w:numPr>
              <w:spacing w:beforeLines="40" w:before="96" w:afterLines="40" w:after="96" w:line="259" w:lineRule="auto"/>
              <w:ind w:left="210" w:hanging="21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D116C">
              <w:rPr>
                <w:rFonts w:cstheme="minorHAnsi"/>
                <w:sz w:val="16"/>
                <w:szCs w:val="16"/>
              </w:rPr>
              <w:t>delivering and reporting on regulatory domain outcomes</w:t>
            </w:r>
          </w:p>
        </w:tc>
      </w:tr>
    </w:tbl>
    <w:p w14:paraId="3C7A9024" w14:textId="77777777" w:rsidR="003E0080" w:rsidRPr="007D116C" w:rsidRDefault="003E0080" w:rsidP="00565FF3">
      <w:pPr>
        <w:spacing w:beforeLines="80" w:before="192" w:afterLines="80" w:after="192"/>
        <w:jc w:val="left"/>
        <w:rPr>
          <w:rFonts w:cstheme="minorHAnsi"/>
          <w:b/>
          <w:bCs/>
          <w:i/>
          <w:iCs/>
          <w:sz w:val="12"/>
          <w:szCs w:val="12"/>
        </w:rPr>
        <w:sectPr w:rsidR="003E0080" w:rsidRPr="007D116C" w:rsidSect="00A94608">
          <w:headerReference w:type="default" r:id="rId18"/>
          <w:pgSz w:w="16838" w:h="11906" w:orient="landscape"/>
          <w:pgMar w:top="1440" w:right="1440" w:bottom="1440" w:left="1440" w:header="708" w:footer="708" w:gutter="0"/>
          <w:cols w:space="708"/>
          <w:docGrid w:linePitch="360"/>
        </w:sectPr>
      </w:pPr>
      <w:bookmarkStart w:id="42" w:name="_Hlk98791581"/>
    </w:p>
    <w:bookmarkEnd w:id="42"/>
    <w:p w14:paraId="05410C2C" w14:textId="122B2613" w:rsidR="00B709BC" w:rsidRPr="007D116C" w:rsidRDefault="29BEFA58" w:rsidP="00B709BC">
      <w:pPr>
        <w:pStyle w:val="ListParagraph"/>
        <w:numPr>
          <w:ilvl w:val="0"/>
          <w:numId w:val="2"/>
        </w:numPr>
        <w:ind w:left="0" w:hanging="425"/>
        <w:contextualSpacing w:val="0"/>
      </w:pPr>
      <w:r w:rsidRPr="007D116C">
        <w:lastRenderedPageBreak/>
        <w:t>Table 1</w:t>
      </w:r>
      <w:r w:rsidR="001326B3" w:rsidRPr="007D116C">
        <w:t>2</w:t>
      </w:r>
      <w:r w:rsidRPr="007D116C">
        <w:t xml:space="preserve"> demonstrates that there are many capabilities unique to, or particularly important for, regulatory leaders, including mastery of the regulatory domain, the ability to set feasible, measurable targets for performance, and leveraging the expertise of a governing board in developing effective policy. </w:t>
      </w:r>
    </w:p>
    <w:p w14:paraId="45D3F5B3" w14:textId="7EBEB65E" w:rsidR="00B709BC" w:rsidRPr="007D116C" w:rsidRDefault="66194447" w:rsidP="00B709BC">
      <w:pPr>
        <w:pStyle w:val="ListParagraph"/>
        <w:numPr>
          <w:ilvl w:val="0"/>
          <w:numId w:val="2"/>
        </w:numPr>
        <w:ind w:left="0" w:hanging="425"/>
        <w:contextualSpacing w:val="0"/>
      </w:pPr>
      <w:r w:rsidRPr="007D116C">
        <w:t>A</w:t>
      </w:r>
      <w:r w:rsidR="49B3C6F0" w:rsidRPr="007D116C">
        <w:t xml:space="preserve"> matrix of capabilities</w:t>
      </w:r>
      <w:r w:rsidRPr="007D116C">
        <w:t xml:space="preserve"> of this nature</w:t>
      </w:r>
      <w:r w:rsidR="49B3C6F0" w:rsidRPr="007D116C">
        <w:t xml:space="preserve"> is intended to support confidence in the regulator </w:t>
      </w:r>
      <w:r w:rsidR="67E861E1" w:rsidRPr="007D116C">
        <w:t>to ensur</w:t>
      </w:r>
      <w:r w:rsidR="018AE9B5" w:rsidRPr="007D116C">
        <w:t>e “</w:t>
      </w:r>
      <w:r w:rsidR="67E861E1" w:rsidRPr="007D116C">
        <w:t xml:space="preserve">regulation is implemented and </w:t>
      </w:r>
      <w:r w:rsidR="6B8195A9" w:rsidRPr="007D116C">
        <w:t>administered</w:t>
      </w:r>
      <w:r w:rsidR="67E861E1" w:rsidRPr="007D116C">
        <w:t> well – that is, fit-for-purpose while maintaining essential safeguards and reducing compliance burden</w:t>
      </w:r>
      <w:r w:rsidR="018AE9B5" w:rsidRPr="007D116C">
        <w:t>”.</w:t>
      </w:r>
      <w:r w:rsidR="005704E0" w:rsidRPr="007D116C">
        <w:rPr>
          <w:rStyle w:val="FootnoteReference"/>
        </w:rPr>
        <w:footnoteReference w:id="123"/>
      </w:r>
      <w:r w:rsidR="018AE9B5" w:rsidRPr="007D116C">
        <w:t xml:space="preserve"> Leadership matters and </w:t>
      </w:r>
      <w:r w:rsidR="1BD4AB5C" w:rsidRPr="007D116C">
        <w:t>should be seen to matter in t</w:t>
      </w:r>
      <w:r w:rsidR="4902F637" w:rsidRPr="007D116C">
        <w:t>erms of</w:t>
      </w:r>
      <w:r w:rsidR="1BD4AB5C" w:rsidRPr="007D116C">
        <w:t xml:space="preserve"> public </w:t>
      </w:r>
      <w:r w:rsidR="4902F637" w:rsidRPr="007D116C">
        <w:t>scrutiny.</w:t>
      </w:r>
      <w:r w:rsidR="7064FE9E" w:rsidRPr="007D116C">
        <w:t xml:space="preserve"> A commitment to quality </w:t>
      </w:r>
      <w:r w:rsidR="4A658227" w:rsidRPr="007D116C">
        <w:t>of leadership</w:t>
      </w:r>
      <w:r w:rsidR="6C39BA3F" w:rsidRPr="007D116C">
        <w:t xml:space="preserve"> in this way</w:t>
      </w:r>
      <w:r w:rsidR="4A658227" w:rsidRPr="007D116C">
        <w:t xml:space="preserve"> does not negate the political dimension </w:t>
      </w:r>
      <w:r w:rsidR="1189401A" w:rsidRPr="007D116C">
        <w:t>of regulatory work.</w:t>
      </w:r>
      <w:r w:rsidR="1D548D7E" w:rsidRPr="007D116C">
        <w:t xml:space="preserve"> On the contrary, it </w:t>
      </w:r>
      <w:r w:rsidR="282EEF24" w:rsidRPr="007D116C">
        <w:t xml:space="preserve">stands as an </w:t>
      </w:r>
      <w:r w:rsidR="029538D1" w:rsidRPr="007D116C">
        <w:t xml:space="preserve">investment in public trust </w:t>
      </w:r>
      <w:r w:rsidR="282EEF24" w:rsidRPr="007D116C">
        <w:t>as well as sectoral trust</w:t>
      </w:r>
      <w:r w:rsidR="7F2BD5CF" w:rsidRPr="007D116C">
        <w:t>. An effective regulatory leader</w:t>
      </w:r>
      <w:r w:rsidR="6EF4634E" w:rsidRPr="007D116C">
        <w:t xml:space="preserve"> then</w:t>
      </w:r>
      <w:r w:rsidR="7F2BD5CF" w:rsidRPr="007D116C">
        <w:t xml:space="preserve"> is one able to engage with politic</w:t>
      </w:r>
      <w:r w:rsidR="1A7BE25F" w:rsidRPr="007D116C">
        <w:t xml:space="preserve">ians and </w:t>
      </w:r>
      <w:r w:rsidR="080FA95A" w:rsidRPr="007D116C">
        <w:t>m</w:t>
      </w:r>
      <w:r w:rsidR="77EEAE78" w:rsidRPr="007D116C">
        <w:t>inister</w:t>
      </w:r>
      <w:r w:rsidR="1A7BE25F" w:rsidRPr="007D116C">
        <w:t xml:space="preserve">s on their own terms, supported by the relevant </w:t>
      </w:r>
      <w:r w:rsidR="080FA95A" w:rsidRPr="007D116C">
        <w:t>b</w:t>
      </w:r>
      <w:r w:rsidR="1A7BE25F" w:rsidRPr="007D116C">
        <w:t>oard</w:t>
      </w:r>
      <w:r w:rsidR="18F8F455" w:rsidRPr="007D116C">
        <w:t>.</w:t>
      </w:r>
    </w:p>
    <w:p w14:paraId="0A446144" w14:textId="03D8A0D4" w:rsidR="00171857" w:rsidRPr="007D116C" w:rsidRDefault="35830442" w:rsidP="16FFD785">
      <w:pPr>
        <w:pStyle w:val="ListParagraph"/>
        <w:numPr>
          <w:ilvl w:val="0"/>
          <w:numId w:val="2"/>
        </w:numPr>
        <w:ind w:left="0" w:hanging="425"/>
      </w:pPr>
      <w:r w:rsidRPr="007D116C">
        <w:t xml:space="preserve">In its </w:t>
      </w:r>
      <w:r w:rsidR="3C66E5EC" w:rsidRPr="007D116C">
        <w:t xml:space="preserve">2021 </w:t>
      </w:r>
      <w:r w:rsidRPr="007D116C">
        <w:t xml:space="preserve">report, ANZSOG notes that because regulatory leadership requires a unique mix of public administration and regulatory technical skills, regulatory leaders will have taken different careers paths in the progression of their careers, with some having risen vertically within </w:t>
      </w:r>
      <w:r w:rsidR="7C1B5ABF" w:rsidRPr="007D116C">
        <w:t xml:space="preserve">one </w:t>
      </w:r>
      <w:r w:rsidRPr="007D116C">
        <w:t>agency, others coming in horizontally from leadership positions outside the regulatory domain</w:t>
      </w:r>
      <w:r w:rsidR="761F492A" w:rsidRPr="007D116C">
        <w:t xml:space="preserve"> or the regulat</w:t>
      </w:r>
      <w:r w:rsidR="2D1CFE70" w:rsidRPr="007D116C">
        <w:t>or profession</w:t>
      </w:r>
      <w:r w:rsidRPr="007D116C">
        <w:t>, and some having ‘zig-zagged’ between regulation and other areas. Identifying these different paths is important for up-skilling a regulator</w:t>
      </w:r>
      <w:r w:rsidR="2D1CFE70" w:rsidRPr="007D116C">
        <w:t>y agency’</w:t>
      </w:r>
      <w:r w:rsidRPr="007D116C">
        <w:t xml:space="preserve">s workforce, as </w:t>
      </w:r>
      <w:r w:rsidR="2D1CFE70" w:rsidRPr="007D116C">
        <w:t xml:space="preserve">the range of skills required for regulatory leadership </w:t>
      </w:r>
      <w:r w:rsidRPr="007D116C">
        <w:t>bears both on recruitment and on development opportunities for staff as they progress in their careers.</w:t>
      </w:r>
    </w:p>
    <w:p w14:paraId="291A70AD" w14:textId="5F5B77BB" w:rsidR="00056022" w:rsidRPr="007D116C" w:rsidRDefault="00BC007A" w:rsidP="00B709BC">
      <w:pPr>
        <w:pStyle w:val="Heading2"/>
      </w:pPr>
      <w:bookmarkStart w:id="43" w:name="_Toc100599148"/>
      <w:r w:rsidRPr="007D116C">
        <w:t xml:space="preserve">Leadership </w:t>
      </w:r>
      <w:r w:rsidR="00056022" w:rsidRPr="007D116C">
        <w:t>Capabilities</w:t>
      </w:r>
      <w:r w:rsidRPr="007D116C">
        <w:t xml:space="preserve"> </w:t>
      </w:r>
      <w:r w:rsidR="00056022" w:rsidRPr="007D116C">
        <w:t>and the QBCC</w:t>
      </w:r>
      <w:r w:rsidR="00F96507" w:rsidRPr="007D116C">
        <w:t xml:space="preserve"> in context</w:t>
      </w:r>
      <w:bookmarkEnd w:id="43"/>
    </w:p>
    <w:p w14:paraId="1501E707" w14:textId="5336A1D3" w:rsidR="00734E18" w:rsidRPr="007D116C" w:rsidRDefault="6CC214AC" w:rsidP="00AA3206">
      <w:pPr>
        <w:pStyle w:val="ListParagraph"/>
        <w:numPr>
          <w:ilvl w:val="0"/>
          <w:numId w:val="2"/>
        </w:numPr>
        <w:ind w:left="0" w:hanging="425"/>
        <w:contextualSpacing w:val="0"/>
      </w:pPr>
      <w:r w:rsidRPr="007D116C">
        <w:t xml:space="preserve">The Queensland Public Sector </w:t>
      </w:r>
      <w:r w:rsidR="77EEAE78" w:rsidRPr="007D116C">
        <w:t>Commission</w:t>
      </w:r>
      <w:r w:rsidRPr="007D116C">
        <w:t xml:space="preserve">’s (QPSC) </w:t>
      </w:r>
      <w:r w:rsidRPr="007D116C">
        <w:rPr>
          <w:i/>
          <w:iCs/>
        </w:rPr>
        <w:t>Leadership competencies for Queensland</w:t>
      </w:r>
      <w:r w:rsidRPr="007D116C">
        <w:t xml:space="preserve"> is intended for public sector leaders generally, equivalent to the APSC’s framework. It identifies many similar capabilities, listed in 3 categories: </w:t>
      </w:r>
      <w:r w:rsidRPr="007D116C">
        <w:rPr>
          <w:i/>
          <w:iCs/>
        </w:rPr>
        <w:t>Vision</w:t>
      </w:r>
      <w:r w:rsidRPr="007D116C">
        <w:t xml:space="preserve">, which captures strategy and change; </w:t>
      </w:r>
      <w:r w:rsidRPr="007D116C">
        <w:rPr>
          <w:i/>
          <w:iCs/>
        </w:rPr>
        <w:t>Results</w:t>
      </w:r>
      <w:r w:rsidRPr="007D116C">
        <w:t xml:space="preserve">, which captures talent development, relationships, and outcomes-focus; and </w:t>
      </w:r>
      <w:r w:rsidRPr="007D116C">
        <w:rPr>
          <w:i/>
          <w:iCs/>
        </w:rPr>
        <w:t>Accountability</w:t>
      </w:r>
      <w:r w:rsidRPr="007D116C">
        <w:t xml:space="preserve">, which captures </w:t>
      </w:r>
      <w:r w:rsidRPr="007D116C">
        <w:lastRenderedPageBreak/>
        <w:t>inclusion, growth, and governance and risk management. These are broken down further by different “leadership streams”, including the executive and chief executive streams.</w:t>
      </w:r>
      <w:r w:rsidR="3B507A57" w:rsidRPr="007D116C">
        <w:t xml:space="preserve"> T</w:t>
      </w:r>
      <w:r w:rsidRPr="007D116C">
        <w:t>here are many points of overlap with the APSC</w:t>
      </w:r>
      <w:r w:rsidR="53212CEB" w:rsidRPr="007D116C">
        <w:t xml:space="preserve"> framework</w:t>
      </w:r>
      <w:r w:rsidRPr="007D116C">
        <w:t xml:space="preserve">. However, because of its focus on public sector leadership, the </w:t>
      </w:r>
      <w:r w:rsidR="53212CEB" w:rsidRPr="007D116C">
        <w:t xml:space="preserve">QPSC </w:t>
      </w:r>
      <w:r w:rsidRPr="007D116C">
        <w:t>document does not seek to identify capabilities for regulators. Moreover, in its breakdown of the leadership streams, executives and chief executives a</w:t>
      </w:r>
      <w:r w:rsidR="53212CEB" w:rsidRPr="007D116C">
        <w:t>re not defined as</w:t>
      </w:r>
      <w:r w:rsidRPr="007D116C">
        <w:t xml:space="preserve"> having no “specialist/technical” responsibilities, and the breakdown of competencies reflects this</w:t>
      </w:r>
      <w:r w:rsidR="5D08DF57" w:rsidRPr="007D116C">
        <w:t xml:space="preserve"> emphasis on general, high-level skills</w:t>
      </w:r>
      <w:r w:rsidRPr="007D116C">
        <w:t>.</w:t>
      </w:r>
      <w:r w:rsidR="00DD37E5" w:rsidRPr="007D116C">
        <w:rPr>
          <w:rStyle w:val="FootnoteReference"/>
        </w:rPr>
        <w:footnoteReference w:id="124"/>
      </w:r>
      <w:r w:rsidRPr="007D116C">
        <w:t xml:space="preserve"> </w:t>
      </w:r>
    </w:p>
    <w:p w14:paraId="45B81C55" w14:textId="37C7DF3C" w:rsidR="00734E18" w:rsidRPr="007D116C" w:rsidRDefault="7D44B574" w:rsidP="3B034824">
      <w:pPr>
        <w:pStyle w:val="ListParagraph"/>
        <w:numPr>
          <w:ilvl w:val="0"/>
          <w:numId w:val="2"/>
        </w:numPr>
        <w:ind w:left="0" w:hanging="425"/>
      </w:pPr>
      <w:r w:rsidRPr="007D116C">
        <w:t xml:space="preserve">Insights into regulatory leadership capability bear upon not only the </w:t>
      </w:r>
      <w:r w:rsidR="77EEAE78" w:rsidRPr="007D116C">
        <w:t>Commission</w:t>
      </w:r>
      <w:r w:rsidRPr="007D116C">
        <w:t>er and her or his staff, but on how the statutory competencies of the</w:t>
      </w:r>
      <w:r w:rsidR="625D00F3" w:rsidRPr="007D116C">
        <w:t xml:space="preserve"> QBC</w:t>
      </w:r>
      <w:r w:rsidRPr="007D116C">
        <w:t xml:space="preserve"> </w:t>
      </w:r>
      <w:r w:rsidR="6B2BCF72" w:rsidRPr="007D116C">
        <w:t>B</w:t>
      </w:r>
      <w:r w:rsidRPr="007D116C">
        <w:t xml:space="preserve">oard should be interpreted. In particular, the meaning of “ability to make a contribution to the effective and efficient performance of the </w:t>
      </w:r>
      <w:r w:rsidR="77EEAE78" w:rsidRPr="007D116C">
        <w:t>Commission</w:t>
      </w:r>
      <w:r w:rsidRPr="007D116C">
        <w:t>’s functions” is</w:t>
      </w:r>
      <w:r w:rsidR="6B2BCF72" w:rsidRPr="007D116C">
        <w:t xml:space="preserve"> linked to</w:t>
      </w:r>
      <w:r w:rsidRPr="007D116C">
        <w:t xml:space="preserve"> the kinds of capabilities that regulators like the QBCC are known to need, as captured in Table 1</w:t>
      </w:r>
      <w:r w:rsidR="3C0B36F0" w:rsidRPr="007D116C">
        <w:t>2</w:t>
      </w:r>
      <w:r w:rsidRPr="007D116C">
        <w:t xml:space="preserve">. These insights also bear upon recruitment, training, and retention of staff </w:t>
      </w:r>
      <w:r w:rsidR="227DE7A8" w:rsidRPr="007D116C">
        <w:t>(</w:t>
      </w:r>
      <w:r w:rsidRPr="007D116C">
        <w:t>though it</w:t>
      </w:r>
      <w:r w:rsidR="227DE7A8" w:rsidRPr="007D116C">
        <w:t xml:space="preserve"> should be noted that it</w:t>
      </w:r>
      <w:r w:rsidRPr="007D116C">
        <w:t xml:space="preserve"> is not possible to judge from outside the QBCC how much overlap exists already between the </w:t>
      </w:r>
      <w:r w:rsidR="77EEAE78" w:rsidRPr="007D116C">
        <w:t>Commission</w:t>
      </w:r>
      <w:r w:rsidRPr="007D116C">
        <w:t>’s development programs and the capabilities required for regulatory leadership</w:t>
      </w:r>
      <w:r w:rsidR="227DE7A8" w:rsidRPr="007D116C">
        <w:t>)</w:t>
      </w:r>
      <w:r w:rsidRPr="007D116C">
        <w:t xml:space="preserve">. The </w:t>
      </w:r>
      <w:r w:rsidR="3A99AF86" w:rsidRPr="007D116C">
        <w:t>main implication is</w:t>
      </w:r>
      <w:r w:rsidRPr="007D116C">
        <w:t xml:space="preserve"> that the competencies identified in, for example, the QPSC Framework should be applied to the QBCC’s specific circumstances by incorporating </w:t>
      </w:r>
      <w:r w:rsidR="3A99AF86" w:rsidRPr="007D116C">
        <w:t xml:space="preserve">additional </w:t>
      </w:r>
      <w:r w:rsidRPr="007D116C">
        <w:t xml:space="preserve">insights about the distinctness of regulators and the regulatory profession. </w:t>
      </w:r>
    </w:p>
    <w:p w14:paraId="20C29BA7" w14:textId="72191D04" w:rsidR="00AA3206" w:rsidRPr="007D116C" w:rsidRDefault="418CDA0B" w:rsidP="16FFD785">
      <w:pPr>
        <w:pStyle w:val="ListParagraph"/>
        <w:numPr>
          <w:ilvl w:val="0"/>
          <w:numId w:val="2"/>
        </w:numPr>
        <w:ind w:left="0" w:hanging="425"/>
      </w:pPr>
      <w:r>
        <w:t>A</w:t>
      </w:r>
      <w:r w:rsidR="3A425848">
        <w:t>s</w:t>
      </w:r>
      <w:r>
        <w:t xml:space="preserve"> noted</w:t>
      </w:r>
      <w:r w:rsidR="5F27FAA7">
        <w:t xml:space="preserve"> earlier</w:t>
      </w:r>
      <w:r>
        <w:t xml:space="preserve">, the </w:t>
      </w:r>
      <w:r w:rsidR="16C84D63">
        <w:t xml:space="preserve">Queensland </w:t>
      </w:r>
      <w:r>
        <w:t xml:space="preserve">building and construction industry </w:t>
      </w:r>
      <w:r w:rsidR="16C84D63">
        <w:t>has seen considerable growth exacerbating</w:t>
      </w:r>
      <w:r w:rsidR="6DA3332A">
        <w:t xml:space="preserve"> issues including supply chain certainty, </w:t>
      </w:r>
      <w:r w:rsidR="16C84D63">
        <w:t>increases in material costs</w:t>
      </w:r>
      <w:r w:rsidR="7266DD7F">
        <w:t xml:space="preserve"> and labour demand and, in the two most recent years</w:t>
      </w:r>
      <w:r w:rsidR="3A425848">
        <w:t xml:space="preserve"> marked by COVID 19</w:t>
      </w:r>
      <w:r w:rsidR="7266DD7F">
        <w:t xml:space="preserve">, a shortage in labour supply </w:t>
      </w:r>
      <w:r w:rsidR="3A425848">
        <w:t xml:space="preserve">due to a reduction in skilled labour migration. Consequently, </w:t>
      </w:r>
      <w:r w:rsidR="0A667349">
        <w:t xml:space="preserve">public confidence in the industry and its regulation </w:t>
      </w:r>
      <w:r w:rsidR="77C90C4E">
        <w:t>continues to be</w:t>
      </w:r>
      <w:r w:rsidR="5BE3A843">
        <w:t xml:space="preserve"> tested</w:t>
      </w:r>
      <w:r w:rsidR="47B02C25">
        <w:t>, and various business uncertainties will</w:t>
      </w:r>
      <w:r w:rsidR="68500B46">
        <w:t xml:space="preserve"> affect industry investment</w:t>
      </w:r>
      <w:r w:rsidR="613162A5">
        <w:t>.</w:t>
      </w:r>
      <w:r w:rsidR="4CBD002F">
        <w:t xml:space="preserve"> The </w:t>
      </w:r>
      <w:r w:rsidR="1F6C6ADF">
        <w:t xml:space="preserve">QBCC has a governance model that includes a chief executive, the </w:t>
      </w:r>
      <w:r w:rsidR="77EEAE78">
        <w:t>Commission</w:t>
      </w:r>
      <w:r w:rsidR="1F6C6ADF">
        <w:t xml:space="preserve">er, and a governing board </w:t>
      </w:r>
      <w:r w:rsidR="1F6C6ADF">
        <w:lastRenderedPageBreak/>
        <w:t xml:space="preserve">selected for its </w:t>
      </w:r>
      <w:r w:rsidR="68500B46">
        <w:t xml:space="preserve">relevant </w:t>
      </w:r>
      <w:r w:rsidR="1F6C6ADF">
        <w:t xml:space="preserve">capabilities. These offices are charged with developing and implementing a highly complex risk-based regulatory strategy </w:t>
      </w:r>
      <w:r w:rsidR="1AA25472">
        <w:t xml:space="preserve">and supporting policies </w:t>
      </w:r>
      <w:r w:rsidR="1F6C6ADF">
        <w:t>in a dynamic, multi-stakeholder and large-scale sector of the economy. As such, QBCC has high capability needs.</w:t>
      </w:r>
    </w:p>
    <w:p w14:paraId="3CF7108B" w14:textId="64033A6B" w:rsidR="00AA3206" w:rsidRPr="007D116C" w:rsidRDefault="216AF1BD" w:rsidP="4A34D7B3">
      <w:pPr>
        <w:pStyle w:val="ListParagraph"/>
        <w:numPr>
          <w:ilvl w:val="0"/>
          <w:numId w:val="2"/>
        </w:numPr>
        <w:ind w:left="0" w:hanging="425"/>
      </w:pPr>
      <w:r w:rsidRPr="007D116C">
        <w:t>Questions arise as to the</w:t>
      </w:r>
      <w:r w:rsidR="3F065D2E" w:rsidRPr="007D116C">
        <w:t xml:space="preserve"> level of detail</w:t>
      </w:r>
      <w:r w:rsidR="380FDB86" w:rsidRPr="007D116C">
        <w:t xml:space="preserve"> with which domain-specific leadership skills and experience should be</w:t>
      </w:r>
      <w:r w:rsidR="02CFDFA4" w:rsidRPr="007D116C">
        <w:t xml:space="preserve"> </w:t>
      </w:r>
      <w:r w:rsidR="277B5291" w:rsidRPr="007D116C">
        <w:t>stipulated.</w:t>
      </w:r>
      <w:r w:rsidR="408E7081" w:rsidRPr="007D116C">
        <w:t xml:space="preserve"> The</w:t>
      </w:r>
      <w:r w:rsidR="14FBA75E" w:rsidRPr="007D116C">
        <w:t xml:space="preserve"> capabilities</w:t>
      </w:r>
      <w:r w:rsidR="408E7081" w:rsidRPr="007D116C">
        <w:t xml:space="preserve"> framework</w:t>
      </w:r>
      <w:r w:rsidR="6D59CCF3" w:rsidRPr="007D116C">
        <w:t xml:space="preserve"> is </w:t>
      </w:r>
      <w:r w:rsidR="4E9649E2" w:rsidRPr="007D116C">
        <w:t>instructive</w:t>
      </w:r>
      <w:r w:rsidR="61546107" w:rsidRPr="007D116C">
        <w:t xml:space="preserve"> at a high level</w:t>
      </w:r>
      <w:r w:rsidR="4E9649E2" w:rsidRPr="007D116C">
        <w:t xml:space="preserve"> and</w:t>
      </w:r>
      <w:r w:rsidR="408E7081" w:rsidRPr="007D116C">
        <w:t xml:space="preserve"> </w:t>
      </w:r>
      <w:r w:rsidR="75EC18D6" w:rsidRPr="007D116C">
        <w:t xml:space="preserve">sits </w:t>
      </w:r>
      <w:r w:rsidR="408E7081" w:rsidRPr="007D116C">
        <w:t>alongside the existing QB</w:t>
      </w:r>
      <w:r w:rsidR="75EC18D6" w:rsidRPr="007D116C">
        <w:t>CC</w:t>
      </w:r>
      <w:r w:rsidR="408E7081" w:rsidRPr="007D116C">
        <w:t xml:space="preserve"> Act</w:t>
      </w:r>
      <w:r w:rsidR="75EC18D6" w:rsidRPr="007D116C">
        <w:t>,</w:t>
      </w:r>
      <w:r w:rsidR="6D59CCF3" w:rsidRPr="007D116C">
        <w:t xml:space="preserve"> </w:t>
      </w:r>
      <w:r w:rsidR="14FBA75E" w:rsidRPr="007D116C">
        <w:t xml:space="preserve">which </w:t>
      </w:r>
      <w:r w:rsidR="6D59CCF3" w:rsidRPr="007D116C">
        <w:t xml:space="preserve">is </w:t>
      </w:r>
      <w:r w:rsidR="61546107" w:rsidRPr="007D116C">
        <w:t xml:space="preserve">more </w:t>
      </w:r>
      <w:r w:rsidR="14FBA75E" w:rsidRPr="007D116C">
        <w:t>generic</w:t>
      </w:r>
      <w:r w:rsidR="61546107" w:rsidRPr="007D116C">
        <w:t xml:space="preserve"> in terms of </w:t>
      </w:r>
      <w:r w:rsidR="75EC18D6" w:rsidRPr="007D116C">
        <w:t>stipulated capabilities for the QBC Board</w:t>
      </w:r>
      <w:r w:rsidR="6D59CCF3" w:rsidRPr="007D116C">
        <w:t>.</w:t>
      </w:r>
      <w:r w:rsidR="3E617FA8" w:rsidRPr="007D116C">
        <w:t xml:space="preserve"> </w:t>
      </w:r>
      <w:r w:rsidR="277B5291" w:rsidRPr="007D116C">
        <w:t xml:space="preserve">In the context of </w:t>
      </w:r>
      <w:r w:rsidR="657B848B" w:rsidRPr="007D116C">
        <w:t>the</w:t>
      </w:r>
      <w:r w:rsidR="277B5291" w:rsidRPr="007D116C">
        <w:t xml:space="preserve"> </w:t>
      </w:r>
      <w:r w:rsidR="5C24A1D2" w:rsidRPr="007D116C">
        <w:t>r</w:t>
      </w:r>
      <w:r w:rsidR="277B5291" w:rsidRPr="007D116C">
        <w:t>isk-</w:t>
      </w:r>
      <w:r w:rsidR="5C24A1D2" w:rsidRPr="007D116C">
        <w:t>b</w:t>
      </w:r>
      <w:r w:rsidR="277B5291" w:rsidRPr="007D116C">
        <w:t xml:space="preserve">ased </w:t>
      </w:r>
      <w:r w:rsidR="5C24A1D2" w:rsidRPr="007D116C">
        <w:t>strategy</w:t>
      </w:r>
      <w:r w:rsidR="657B848B" w:rsidRPr="007D116C">
        <w:t xml:space="preserve"> adopted by government</w:t>
      </w:r>
      <w:r w:rsidR="277B5291" w:rsidRPr="007D116C">
        <w:t>, senior executive</w:t>
      </w:r>
      <w:r w:rsidR="125455EC" w:rsidRPr="007D116C">
        <w:t>s within the regulatory agency</w:t>
      </w:r>
      <w:r w:rsidR="277B5291" w:rsidRPr="007D116C">
        <w:t xml:space="preserve">, </w:t>
      </w:r>
      <w:r w:rsidR="125455EC" w:rsidRPr="007D116C">
        <w:t>as well as appointees to the QBC</w:t>
      </w:r>
      <w:r w:rsidR="277B5291" w:rsidRPr="007D116C">
        <w:t xml:space="preserve"> Board, </w:t>
      </w:r>
      <w:r w:rsidR="3E617FA8" w:rsidRPr="007D116C">
        <w:t xml:space="preserve">ought to </w:t>
      </w:r>
      <w:r w:rsidR="6703AEE0" w:rsidRPr="007D116C">
        <w:t xml:space="preserve">have </w:t>
      </w:r>
      <w:r w:rsidR="0CB9D20C" w:rsidRPr="007D116C">
        <w:t>the kinds of skills and professional experience</w:t>
      </w:r>
      <w:r w:rsidR="3818466A" w:rsidRPr="007D116C">
        <w:t xml:space="preserve"> </w:t>
      </w:r>
      <w:r w:rsidR="3E617FA8" w:rsidRPr="007D116C">
        <w:t xml:space="preserve">that </w:t>
      </w:r>
      <w:r w:rsidR="0CB9D20C" w:rsidRPr="007D116C">
        <w:t xml:space="preserve">are </w:t>
      </w:r>
      <w:r w:rsidR="657B848B" w:rsidRPr="007D116C">
        <w:t>necessary</w:t>
      </w:r>
      <w:r w:rsidR="0CB9D20C" w:rsidRPr="007D116C">
        <w:t xml:space="preserve"> for </w:t>
      </w:r>
      <w:r w:rsidR="10350887" w:rsidRPr="007D116C">
        <w:t>that kind of regulatory approach</w:t>
      </w:r>
      <w:r w:rsidR="2041CF4C" w:rsidRPr="007D116C">
        <w:t>.</w:t>
      </w:r>
      <w:r w:rsidR="3E617FA8" w:rsidRPr="007D116C">
        <w:t xml:space="preserve"> </w:t>
      </w:r>
      <w:r w:rsidR="2041CF4C" w:rsidRPr="007D116C">
        <w:t>Such skills include</w:t>
      </w:r>
      <w:r w:rsidR="3E617FA8" w:rsidRPr="007D116C">
        <w:t>:</w:t>
      </w:r>
      <w:r w:rsidR="1F55A6AC" w:rsidRPr="007D116C">
        <w:t xml:space="preserve"> </w:t>
      </w:r>
      <w:r w:rsidR="61F88FBF" w:rsidRPr="007D116C">
        <w:rPr>
          <w:rFonts w:eastAsia="Calibri"/>
        </w:rPr>
        <w:t>processes for preparing formal risk assessment reports</w:t>
      </w:r>
      <w:r w:rsidR="1F55A6AC" w:rsidRPr="007D116C">
        <w:rPr>
          <w:rFonts w:eastAsia="Calibri"/>
        </w:rPr>
        <w:t xml:space="preserve">; </w:t>
      </w:r>
      <w:r w:rsidR="61F88FBF" w:rsidRPr="007D116C">
        <w:rPr>
          <w:rFonts w:eastAsia="Calibri"/>
        </w:rPr>
        <w:t>valuing and assessing available information/evidence</w:t>
      </w:r>
      <w:r w:rsidR="13DC47CC" w:rsidRPr="007D116C">
        <w:rPr>
          <w:rFonts w:eastAsia="Calibri"/>
        </w:rPr>
        <w:t xml:space="preserve">; </w:t>
      </w:r>
      <w:r w:rsidR="61F88FBF" w:rsidRPr="007D116C">
        <w:rPr>
          <w:rFonts w:eastAsia="Calibri"/>
        </w:rPr>
        <w:t>ranking risks and risk-reduction opportunities</w:t>
      </w:r>
      <w:r w:rsidR="13DC47CC" w:rsidRPr="007D116C">
        <w:rPr>
          <w:rFonts w:eastAsia="Calibri"/>
        </w:rPr>
        <w:t xml:space="preserve">; </w:t>
      </w:r>
      <w:r w:rsidR="61F88FBF" w:rsidRPr="007D116C">
        <w:rPr>
          <w:rFonts w:eastAsia="Calibri"/>
        </w:rPr>
        <w:t>judgement and deliberation alongside policy and legislation</w:t>
      </w:r>
      <w:r w:rsidR="13DC47CC" w:rsidRPr="007D116C">
        <w:rPr>
          <w:rFonts w:eastAsia="Calibri"/>
        </w:rPr>
        <w:t xml:space="preserve">; </w:t>
      </w:r>
      <w:r w:rsidR="61F88FBF" w:rsidRPr="007D116C">
        <w:rPr>
          <w:rFonts w:eastAsia="Calibri"/>
        </w:rPr>
        <w:t>transparency in procedures</w:t>
      </w:r>
      <w:r w:rsidR="13DC47CC" w:rsidRPr="007D116C">
        <w:rPr>
          <w:rFonts w:eastAsia="Calibri"/>
        </w:rPr>
        <w:t>.</w:t>
      </w:r>
      <w:r w:rsidR="00490D5C" w:rsidRPr="007D116C">
        <w:rPr>
          <w:rStyle w:val="FootnoteReference"/>
          <w:rFonts w:eastAsia="Calibri"/>
        </w:rPr>
        <w:footnoteReference w:id="125"/>
      </w:r>
    </w:p>
    <w:p w14:paraId="79020E5E" w14:textId="617542D3" w:rsidR="00AA3206" w:rsidRPr="007D116C" w:rsidRDefault="032719B7" w:rsidP="4A34D7B3">
      <w:pPr>
        <w:pStyle w:val="ListParagraph"/>
        <w:numPr>
          <w:ilvl w:val="0"/>
          <w:numId w:val="2"/>
        </w:numPr>
        <w:ind w:left="0" w:hanging="425"/>
      </w:pPr>
      <w:r w:rsidRPr="007D116C">
        <w:rPr>
          <w:rFonts w:eastAsiaTheme="minorEastAsia"/>
        </w:rPr>
        <w:t>Moreover, a key performance indicator of leadership</w:t>
      </w:r>
      <w:r w:rsidR="13706FE0" w:rsidRPr="007D116C">
        <w:rPr>
          <w:rFonts w:eastAsiaTheme="minorEastAsia"/>
        </w:rPr>
        <w:t xml:space="preserve"> in</w:t>
      </w:r>
      <w:r w:rsidR="07A4761F" w:rsidRPr="007D116C">
        <w:rPr>
          <w:rFonts w:eastAsiaTheme="minorEastAsia"/>
        </w:rPr>
        <w:t xml:space="preserve"> this</w:t>
      </w:r>
      <w:r w:rsidR="13706FE0" w:rsidRPr="007D116C">
        <w:rPr>
          <w:rFonts w:eastAsiaTheme="minorEastAsia"/>
        </w:rPr>
        <w:t xml:space="preserve"> industry context</w:t>
      </w:r>
      <w:r w:rsidRPr="007D116C">
        <w:rPr>
          <w:rFonts w:eastAsiaTheme="minorEastAsia"/>
        </w:rPr>
        <w:t xml:space="preserve"> might be found in the QBCC</w:t>
      </w:r>
      <w:r w:rsidR="07A4761F" w:rsidRPr="007D116C">
        <w:rPr>
          <w:rFonts w:eastAsiaTheme="minorEastAsia"/>
        </w:rPr>
        <w:t>’</w:t>
      </w:r>
      <w:r w:rsidRPr="007D116C">
        <w:rPr>
          <w:rFonts w:eastAsiaTheme="minorEastAsia"/>
        </w:rPr>
        <w:t xml:space="preserve">s capacity and record in undertaking and </w:t>
      </w:r>
      <w:r w:rsidR="4F3306F2" w:rsidRPr="007D116C">
        <w:t>commissioning</w:t>
      </w:r>
      <w:r w:rsidRPr="007D116C">
        <w:t xml:space="preserve"> targeted applied research and insights on sector and market trends and challenges.</w:t>
      </w:r>
    </w:p>
    <w:p w14:paraId="0381ADF4" w14:textId="280482BE" w:rsidR="00056022" w:rsidRPr="007D116C" w:rsidRDefault="1F6C6ADF" w:rsidP="4A34D7B3">
      <w:pPr>
        <w:pStyle w:val="ListParagraph"/>
        <w:numPr>
          <w:ilvl w:val="0"/>
          <w:numId w:val="2"/>
        </w:numPr>
        <w:ind w:left="0" w:hanging="425"/>
      </w:pPr>
      <w:r w:rsidRPr="007D116C">
        <w:rPr>
          <w:rFonts w:eastAsiaTheme="minorEastAsia"/>
        </w:rPr>
        <w:t xml:space="preserve">Drawing context and </w:t>
      </w:r>
      <w:r w:rsidR="26C4842F" w:rsidRPr="007D116C">
        <w:rPr>
          <w:rFonts w:eastAsiaTheme="minorEastAsia"/>
        </w:rPr>
        <w:t xml:space="preserve">regulatory risk management together, the </w:t>
      </w:r>
      <w:r w:rsidR="54400781" w:rsidRPr="007D116C">
        <w:rPr>
          <w:rFonts w:eastAsiaTheme="minorEastAsia"/>
        </w:rPr>
        <w:t xml:space="preserve">QBCC leadership has an additional regulatory </w:t>
      </w:r>
      <w:r w:rsidR="71EE0201" w:rsidRPr="007D116C">
        <w:rPr>
          <w:rFonts w:eastAsiaTheme="minorEastAsia"/>
        </w:rPr>
        <w:t xml:space="preserve">interest in </w:t>
      </w:r>
      <w:r w:rsidR="3B91B0EC" w:rsidRPr="007D116C">
        <w:rPr>
          <w:rFonts w:eastAsiaTheme="minorEastAsia"/>
        </w:rPr>
        <w:t xml:space="preserve">being aware of </w:t>
      </w:r>
      <w:r w:rsidR="54400781" w:rsidRPr="007D116C">
        <w:rPr>
          <w:rFonts w:eastAsiaTheme="minorEastAsia"/>
        </w:rPr>
        <w:t>inter</w:t>
      </w:r>
      <w:r w:rsidR="3B91B0EC" w:rsidRPr="007D116C">
        <w:rPr>
          <w:rFonts w:eastAsiaTheme="minorEastAsia"/>
        </w:rPr>
        <w:t>-</w:t>
      </w:r>
      <w:r w:rsidR="54400781" w:rsidRPr="007D116C">
        <w:rPr>
          <w:rFonts w:eastAsiaTheme="minorEastAsia"/>
        </w:rPr>
        <w:t xml:space="preserve">agency </w:t>
      </w:r>
      <w:r w:rsidR="3B91B0EC" w:rsidRPr="007D116C">
        <w:rPr>
          <w:rFonts w:eastAsiaTheme="minorEastAsia"/>
        </w:rPr>
        <w:t>interests</w:t>
      </w:r>
      <w:r w:rsidR="1FDEC2E1" w:rsidRPr="007D116C">
        <w:rPr>
          <w:rFonts w:eastAsiaTheme="minorEastAsia"/>
        </w:rPr>
        <w:t xml:space="preserve"> and </w:t>
      </w:r>
      <w:r w:rsidR="71EE0201" w:rsidRPr="007D116C">
        <w:rPr>
          <w:rFonts w:eastAsiaTheme="minorEastAsia"/>
        </w:rPr>
        <w:t>responsibili</w:t>
      </w:r>
      <w:r w:rsidR="7C74CEE2" w:rsidRPr="007D116C">
        <w:rPr>
          <w:rFonts w:eastAsiaTheme="minorEastAsia"/>
        </w:rPr>
        <w:t>ties</w:t>
      </w:r>
      <w:r w:rsidR="14AFA191" w:rsidRPr="007D116C">
        <w:rPr>
          <w:rFonts w:eastAsiaTheme="minorEastAsia"/>
        </w:rPr>
        <w:t xml:space="preserve">. </w:t>
      </w:r>
      <w:r w:rsidR="2946FC64" w:rsidRPr="007D116C">
        <w:rPr>
          <w:rFonts w:eastAsiaTheme="minorEastAsia"/>
        </w:rPr>
        <w:t>The building and construction industry has</w:t>
      </w:r>
      <w:r w:rsidR="14AFA191" w:rsidRPr="007D116C">
        <w:rPr>
          <w:rFonts w:eastAsiaTheme="minorEastAsia"/>
        </w:rPr>
        <w:t xml:space="preserve"> concerns</w:t>
      </w:r>
      <w:r w:rsidR="7ADD1409" w:rsidRPr="007D116C">
        <w:rPr>
          <w:rFonts w:eastAsiaTheme="minorEastAsia"/>
        </w:rPr>
        <w:t xml:space="preserve"> ranging across</w:t>
      </w:r>
      <w:r w:rsidR="14AFA191" w:rsidRPr="007D116C">
        <w:rPr>
          <w:rFonts w:eastAsiaTheme="minorEastAsia"/>
        </w:rPr>
        <w:t xml:space="preserve"> </w:t>
      </w:r>
      <w:r w:rsidR="1E049A10" w:rsidRPr="007D116C">
        <w:rPr>
          <w:rFonts w:eastAsiaTheme="minorEastAsia"/>
        </w:rPr>
        <w:t>infrastructure</w:t>
      </w:r>
      <w:r w:rsidR="7A2113BD" w:rsidRPr="007D116C">
        <w:rPr>
          <w:rFonts w:eastAsiaTheme="minorEastAsia"/>
        </w:rPr>
        <w:t>,</w:t>
      </w:r>
      <w:r w:rsidR="14AFA191" w:rsidRPr="007D116C">
        <w:rPr>
          <w:rFonts w:eastAsiaTheme="minorEastAsia"/>
        </w:rPr>
        <w:t xml:space="preserve"> planning</w:t>
      </w:r>
      <w:r w:rsidR="7A2113BD" w:rsidRPr="007D116C">
        <w:rPr>
          <w:rFonts w:eastAsiaTheme="minorEastAsia"/>
        </w:rPr>
        <w:t>,</w:t>
      </w:r>
      <w:r w:rsidR="7ADD1409" w:rsidRPr="007D116C">
        <w:rPr>
          <w:rFonts w:eastAsiaTheme="minorEastAsia"/>
        </w:rPr>
        <w:t xml:space="preserve"> and</w:t>
      </w:r>
      <w:r w:rsidR="14AFA191" w:rsidRPr="007D116C">
        <w:rPr>
          <w:rFonts w:eastAsiaTheme="minorEastAsia"/>
        </w:rPr>
        <w:t xml:space="preserve"> skills and training</w:t>
      </w:r>
      <w:r w:rsidR="7A2113BD" w:rsidRPr="007D116C">
        <w:rPr>
          <w:rFonts w:eastAsiaTheme="minorEastAsia"/>
        </w:rPr>
        <w:t>, and these</w:t>
      </w:r>
      <w:r w:rsidR="7ADD1409" w:rsidRPr="007D116C">
        <w:rPr>
          <w:rFonts w:eastAsiaTheme="minorEastAsia"/>
        </w:rPr>
        <w:t xml:space="preserve"> </w:t>
      </w:r>
      <w:r w:rsidR="7A2113BD" w:rsidRPr="007D116C">
        <w:rPr>
          <w:rFonts w:eastAsiaTheme="minorEastAsia"/>
        </w:rPr>
        <w:t>matters are</w:t>
      </w:r>
      <w:r w:rsidR="7DAC9233" w:rsidRPr="007D116C">
        <w:rPr>
          <w:rFonts w:eastAsiaTheme="minorEastAsia"/>
        </w:rPr>
        <w:t xml:space="preserve"> under separate </w:t>
      </w:r>
      <w:r w:rsidR="77EEAE78" w:rsidRPr="007D116C">
        <w:rPr>
          <w:rFonts w:eastAsiaTheme="minorEastAsia"/>
        </w:rPr>
        <w:t>Minister</w:t>
      </w:r>
      <w:r w:rsidR="7DAC9233" w:rsidRPr="007D116C">
        <w:rPr>
          <w:rFonts w:eastAsiaTheme="minorEastAsia"/>
        </w:rPr>
        <w:t>ial offices.</w:t>
      </w:r>
      <w:r w:rsidR="1BAB95D0" w:rsidRPr="007D116C">
        <w:rPr>
          <w:rFonts w:eastAsiaTheme="minorEastAsia"/>
        </w:rPr>
        <w:t xml:space="preserve"> </w:t>
      </w:r>
      <w:r w:rsidR="4D2A3A2E" w:rsidRPr="007D116C">
        <w:rPr>
          <w:rFonts w:eastAsiaTheme="minorEastAsia"/>
        </w:rPr>
        <w:t xml:space="preserve">Construction of major infrastructure, such </w:t>
      </w:r>
      <w:r w:rsidR="4F3306F2" w:rsidRPr="007D116C">
        <w:rPr>
          <w:rFonts w:eastAsiaTheme="minorEastAsia"/>
        </w:rPr>
        <w:t>as hospitals</w:t>
      </w:r>
      <w:r w:rsidR="4D2A3A2E" w:rsidRPr="007D116C">
        <w:rPr>
          <w:rFonts w:eastAsiaTheme="minorEastAsia"/>
        </w:rPr>
        <w:t xml:space="preserve">, likewise involve the relevant Department (Health). </w:t>
      </w:r>
      <w:r w:rsidR="559DF186" w:rsidRPr="007D116C">
        <w:rPr>
          <w:rFonts w:eastAsiaTheme="minorEastAsia"/>
        </w:rPr>
        <w:t>As such, c</w:t>
      </w:r>
      <w:r w:rsidR="22B02EA6" w:rsidRPr="007D116C">
        <w:rPr>
          <w:rFonts w:eastAsiaTheme="minorEastAsia"/>
        </w:rPr>
        <w:t xml:space="preserve">ross-government </w:t>
      </w:r>
      <w:r w:rsidR="7DA284AE" w:rsidRPr="007D116C">
        <w:rPr>
          <w:rFonts w:eastAsiaTheme="minorEastAsia"/>
        </w:rPr>
        <w:t xml:space="preserve">executive </w:t>
      </w:r>
      <w:r w:rsidR="22B02EA6" w:rsidRPr="007D116C">
        <w:rPr>
          <w:rFonts w:eastAsiaTheme="minorEastAsia"/>
        </w:rPr>
        <w:t xml:space="preserve">leadership </w:t>
      </w:r>
      <w:r w:rsidR="559DF186" w:rsidRPr="007D116C">
        <w:rPr>
          <w:rFonts w:eastAsiaTheme="minorEastAsia"/>
        </w:rPr>
        <w:t xml:space="preserve">is </w:t>
      </w:r>
      <w:r w:rsidR="621A6A8E" w:rsidRPr="007D116C">
        <w:rPr>
          <w:rFonts w:eastAsiaTheme="minorEastAsia"/>
        </w:rPr>
        <w:t>needed for effective regulation</w:t>
      </w:r>
      <w:r w:rsidR="2A4CCFB9" w:rsidRPr="007D116C">
        <w:rPr>
          <w:rFonts w:eastAsiaTheme="minorEastAsia"/>
        </w:rPr>
        <w:t>.</w:t>
      </w:r>
      <w:r w:rsidR="2A37B821" w:rsidRPr="007D116C">
        <w:rPr>
          <w:rFonts w:eastAsiaTheme="minorEastAsia"/>
        </w:rPr>
        <w:t xml:space="preserve"> An important question, then, is the extent to which this this kind of leadership is established</w:t>
      </w:r>
      <w:r w:rsidR="432016CF" w:rsidRPr="007D116C">
        <w:rPr>
          <w:rFonts w:eastAsiaTheme="minorEastAsia"/>
        </w:rPr>
        <w:t xml:space="preserve"> in organisational structures and </w:t>
      </w:r>
      <w:r w:rsidR="2A37B821" w:rsidRPr="007D116C">
        <w:rPr>
          <w:rFonts w:eastAsiaTheme="minorEastAsia"/>
        </w:rPr>
        <w:t>governed by</w:t>
      </w:r>
      <w:r w:rsidR="67198C90" w:rsidRPr="007D116C">
        <w:rPr>
          <w:rFonts w:eastAsiaTheme="minorEastAsia"/>
        </w:rPr>
        <w:t xml:space="preserve"> appropriate terms</w:t>
      </w:r>
      <w:r w:rsidR="2A37B821" w:rsidRPr="007D116C">
        <w:rPr>
          <w:rFonts w:eastAsiaTheme="minorEastAsia"/>
        </w:rPr>
        <w:t xml:space="preserve"> of</w:t>
      </w:r>
      <w:r w:rsidR="67198C90" w:rsidRPr="007D116C">
        <w:rPr>
          <w:rFonts w:eastAsiaTheme="minorEastAsia"/>
        </w:rPr>
        <w:t xml:space="preserve"> reference and skill matrices</w:t>
      </w:r>
      <w:r w:rsidR="22B02EA6" w:rsidRPr="007D116C">
        <w:rPr>
          <w:rFonts w:eastAsiaTheme="minorEastAsia"/>
        </w:rPr>
        <w:t xml:space="preserve">. </w:t>
      </w:r>
      <w:r w:rsidR="4844D267" w:rsidRPr="007D116C">
        <w:rPr>
          <w:rFonts w:eastAsiaTheme="minorEastAsia"/>
        </w:rPr>
        <w:t xml:space="preserve">This </w:t>
      </w:r>
      <w:r w:rsidR="5C5DA5EE" w:rsidRPr="007D116C">
        <w:rPr>
          <w:rFonts w:eastAsiaTheme="minorEastAsia"/>
        </w:rPr>
        <w:t xml:space="preserve">sectoral crossover </w:t>
      </w:r>
      <w:r w:rsidR="4844D267" w:rsidRPr="007D116C">
        <w:rPr>
          <w:rFonts w:eastAsiaTheme="minorEastAsia"/>
        </w:rPr>
        <w:t xml:space="preserve">places additional leadership demands upon the </w:t>
      </w:r>
      <w:r w:rsidR="77EEAE78" w:rsidRPr="007D116C">
        <w:rPr>
          <w:rFonts w:eastAsiaTheme="minorEastAsia"/>
        </w:rPr>
        <w:t>Commission</w:t>
      </w:r>
      <w:r w:rsidR="4844D267" w:rsidRPr="007D116C">
        <w:rPr>
          <w:rFonts w:eastAsiaTheme="minorEastAsia"/>
        </w:rPr>
        <w:t xml:space="preserve">er </w:t>
      </w:r>
      <w:r w:rsidR="0E399C80" w:rsidRPr="007D116C">
        <w:rPr>
          <w:rFonts w:eastAsiaTheme="minorEastAsia"/>
        </w:rPr>
        <w:t>in</w:t>
      </w:r>
      <w:r w:rsidR="729A1C0A" w:rsidRPr="007D116C">
        <w:rPr>
          <w:rFonts w:eastAsiaTheme="minorEastAsia"/>
        </w:rPr>
        <w:t xml:space="preserve"> terms of </w:t>
      </w:r>
      <w:r w:rsidR="1BCBB3AD" w:rsidRPr="007D116C">
        <w:rPr>
          <w:rFonts w:eastAsiaTheme="minorEastAsia"/>
        </w:rPr>
        <w:t xml:space="preserve">capability to </w:t>
      </w:r>
      <w:r w:rsidR="729A1C0A" w:rsidRPr="007D116C">
        <w:rPr>
          <w:rFonts w:eastAsiaTheme="minorEastAsia"/>
        </w:rPr>
        <w:t>consultation</w:t>
      </w:r>
      <w:r w:rsidR="2C3C5013" w:rsidRPr="007D116C">
        <w:rPr>
          <w:rFonts w:eastAsiaTheme="minorEastAsia"/>
        </w:rPr>
        <w:t xml:space="preserve"> and </w:t>
      </w:r>
      <w:r w:rsidR="1BCBB3AD" w:rsidRPr="007D116C">
        <w:rPr>
          <w:rFonts w:eastAsiaTheme="minorEastAsia"/>
        </w:rPr>
        <w:t xml:space="preserve">exercise of </w:t>
      </w:r>
      <w:r w:rsidR="2C3C5013" w:rsidRPr="007D116C">
        <w:rPr>
          <w:rFonts w:eastAsiaTheme="minorEastAsia"/>
        </w:rPr>
        <w:t>authority</w:t>
      </w:r>
      <w:r w:rsidR="1BCBB3AD" w:rsidRPr="007D116C">
        <w:rPr>
          <w:rFonts w:eastAsiaTheme="minorEastAsia"/>
        </w:rPr>
        <w:t>.</w:t>
      </w:r>
      <w:r w:rsidR="37EDEFC7" w:rsidRPr="007D116C">
        <w:rPr>
          <w:rFonts w:eastAsiaTheme="minorEastAsia"/>
        </w:rPr>
        <w:t xml:space="preserve"> In Queensland</w:t>
      </w:r>
      <w:r w:rsidR="2DE34E39" w:rsidRPr="007D116C">
        <w:rPr>
          <w:rFonts w:eastAsiaTheme="minorEastAsia"/>
        </w:rPr>
        <w:t>,</w:t>
      </w:r>
      <w:r w:rsidR="37EDEFC7" w:rsidRPr="007D116C">
        <w:rPr>
          <w:rFonts w:eastAsiaTheme="minorEastAsia"/>
        </w:rPr>
        <w:t xml:space="preserve"> </w:t>
      </w:r>
      <w:r w:rsidR="37EDEFC7" w:rsidRPr="007D116C">
        <w:rPr>
          <w:rFonts w:eastAsiaTheme="minorEastAsia"/>
          <w:i/>
          <w:iCs/>
        </w:rPr>
        <w:t>QBuild</w:t>
      </w:r>
      <w:r w:rsidR="37EDEFC7" w:rsidRPr="007D116C">
        <w:rPr>
          <w:rFonts w:eastAsiaTheme="minorEastAsia"/>
        </w:rPr>
        <w:t xml:space="preserve"> </w:t>
      </w:r>
      <w:r w:rsidR="37EDEFC7" w:rsidRPr="007D116C">
        <w:rPr>
          <w:rFonts w:eastAsiaTheme="minorEastAsia"/>
        </w:rPr>
        <w:lastRenderedPageBreak/>
        <w:t xml:space="preserve">has been established to </w:t>
      </w:r>
      <w:r w:rsidR="0DBD34D6" w:rsidRPr="007D116C">
        <w:rPr>
          <w:rFonts w:eastAsiaTheme="minorEastAsia"/>
        </w:rPr>
        <w:t>facilitate</w:t>
      </w:r>
      <w:r w:rsidR="37EDEFC7" w:rsidRPr="007D116C">
        <w:rPr>
          <w:rFonts w:eastAsiaTheme="minorEastAsia"/>
        </w:rPr>
        <w:t xml:space="preserve"> the multi-agency </w:t>
      </w:r>
      <w:r w:rsidR="670D463C" w:rsidRPr="007D116C">
        <w:rPr>
          <w:rFonts w:eastAsiaTheme="minorEastAsia"/>
        </w:rPr>
        <w:t xml:space="preserve">and multi-sector </w:t>
      </w:r>
      <w:r w:rsidR="0DBD34D6" w:rsidRPr="007D116C">
        <w:rPr>
          <w:rFonts w:eastAsiaTheme="minorEastAsia"/>
        </w:rPr>
        <w:t>demands</w:t>
      </w:r>
      <w:r w:rsidR="670D463C" w:rsidRPr="007D116C">
        <w:rPr>
          <w:rFonts w:eastAsiaTheme="minorEastAsia"/>
        </w:rPr>
        <w:t xml:space="preserve"> of construction.</w:t>
      </w:r>
      <w:r w:rsidR="0F3F594F" w:rsidRPr="007D116C">
        <w:rPr>
          <w:rFonts w:eastAsiaTheme="minorEastAsia"/>
        </w:rPr>
        <w:t xml:space="preserve"> Consideration of how the Commissioner </w:t>
      </w:r>
      <w:r w:rsidR="4FCD0481" w:rsidRPr="007D116C">
        <w:rPr>
          <w:rFonts w:eastAsiaTheme="minorEastAsia"/>
        </w:rPr>
        <w:t xml:space="preserve">is supported through </w:t>
      </w:r>
      <w:r w:rsidR="0F3F594F" w:rsidRPr="007D116C">
        <w:rPr>
          <w:rFonts w:eastAsiaTheme="minorEastAsia"/>
          <w:i/>
          <w:iCs/>
        </w:rPr>
        <w:t>QBuild</w:t>
      </w:r>
      <w:r w:rsidR="4FCD0481" w:rsidRPr="007D116C">
        <w:rPr>
          <w:rFonts w:eastAsiaTheme="minorEastAsia"/>
        </w:rPr>
        <w:t xml:space="preserve"> is beyond the scope of this paper.</w:t>
      </w:r>
    </w:p>
    <w:p w14:paraId="5DD04EA1" w14:textId="77777777" w:rsidR="008317D7" w:rsidRPr="007D116C" w:rsidRDefault="008317D7" w:rsidP="005C3080">
      <w:pPr>
        <w:pStyle w:val="Heading2"/>
      </w:pPr>
      <w:bookmarkStart w:id="44" w:name="_Toc100599149"/>
      <w:r w:rsidRPr="007D116C">
        <w:t>Internal leadership</w:t>
      </w:r>
      <w:bookmarkEnd w:id="44"/>
    </w:p>
    <w:p w14:paraId="465238B8" w14:textId="68D173D4" w:rsidR="005247F1" w:rsidRPr="007D116C" w:rsidRDefault="20B0A111" w:rsidP="4A34D7B3">
      <w:pPr>
        <w:pStyle w:val="ListParagraph"/>
        <w:numPr>
          <w:ilvl w:val="0"/>
          <w:numId w:val="2"/>
        </w:numPr>
        <w:ind w:left="0" w:hanging="425"/>
      </w:pPr>
      <w:r w:rsidRPr="007D116C">
        <w:t xml:space="preserve">An expert </w:t>
      </w:r>
      <w:r w:rsidR="7F2FD579" w:rsidRPr="007D116C">
        <w:t>c</w:t>
      </w:r>
      <w:r w:rsidR="216ECB54" w:rsidRPr="007D116C">
        <w:t>ommission</w:t>
      </w:r>
      <w:r w:rsidRPr="007D116C">
        <w:t xml:space="preserve">er must rely upon the structures and people supporting the regulator’s mission. The capabilities framework identifies features, skills and dispositions that are outward facing and others that are to benefit the regulatory </w:t>
      </w:r>
      <w:r w:rsidR="62276700" w:rsidRPr="007D116C">
        <w:t>agency itself</w:t>
      </w:r>
      <w:r w:rsidRPr="007D116C">
        <w:t xml:space="preserve">. In other words, the significant responsibility invested in a </w:t>
      </w:r>
      <w:r w:rsidR="7F2FD579" w:rsidRPr="007D116C">
        <w:t>c</w:t>
      </w:r>
      <w:r w:rsidR="216ECB54" w:rsidRPr="007D116C">
        <w:t>ommission</w:t>
      </w:r>
      <w:r w:rsidRPr="007D116C">
        <w:t>er or similar regulatory executive leader</w:t>
      </w:r>
      <w:r w:rsidR="54A569B4" w:rsidRPr="007D116C">
        <w:t xml:space="preserve"> </w:t>
      </w:r>
      <w:r w:rsidRPr="007D116C">
        <w:t xml:space="preserve">must be </w:t>
      </w:r>
      <w:r w:rsidR="54A569B4" w:rsidRPr="007D116C">
        <w:t xml:space="preserve">underpinned by the </w:t>
      </w:r>
      <w:r w:rsidRPr="007D116C">
        <w:t>capabilities and shared purpose</w:t>
      </w:r>
      <w:r w:rsidR="54A569B4" w:rsidRPr="007D116C">
        <w:t xml:space="preserve"> of the agency</w:t>
      </w:r>
      <w:r w:rsidRPr="007D116C">
        <w:t>. Organisational training, or professional learning, is central to this. Unsurprisingly, a core capability set for regulator</w:t>
      </w:r>
      <w:r w:rsidR="3AE6B2B6" w:rsidRPr="007D116C">
        <w:t>y</w:t>
      </w:r>
      <w:r w:rsidRPr="007D116C">
        <w:t xml:space="preserve"> leaders </w:t>
      </w:r>
      <w:r w:rsidR="3AE6B2B6" w:rsidRPr="007D116C">
        <w:t>is</w:t>
      </w:r>
      <w:r w:rsidRPr="007D116C">
        <w:t xml:space="preserve"> building and retaining a professional workforce (Table 11). This includes fostering both domain specific knowledge and</w:t>
      </w:r>
      <w:r w:rsidR="3AE6B2B6" w:rsidRPr="007D116C">
        <w:t xml:space="preserve"> broader</w:t>
      </w:r>
      <w:r w:rsidRPr="007D116C">
        <w:t xml:space="preserve"> professional capabilities and competencies. It also presupposes a learning-oriented workplace culture</w:t>
      </w:r>
      <w:r w:rsidR="7C103DCC" w:rsidRPr="007D116C">
        <w:t>.</w:t>
      </w:r>
    </w:p>
    <w:p w14:paraId="4E6E4D07" w14:textId="57DA9594" w:rsidR="005247F1" w:rsidRPr="007D116C" w:rsidRDefault="47C02DC9" w:rsidP="4A34D7B3">
      <w:pPr>
        <w:pStyle w:val="ListParagraph"/>
        <w:numPr>
          <w:ilvl w:val="0"/>
          <w:numId w:val="2"/>
        </w:numPr>
        <w:ind w:left="0" w:hanging="425"/>
      </w:pPr>
      <w:r w:rsidRPr="007D116C">
        <w:t>Cherney</w:t>
      </w:r>
      <w:r w:rsidR="750E9A36" w:rsidRPr="007D116C">
        <w:t>’s research</w:t>
      </w:r>
      <w:r w:rsidRPr="007D116C">
        <w:t xml:space="preserve"> surveying almost 300 Australian regulators highlighted that professional leadership development in the regulatory domain is lacking and does not meet reported</w:t>
      </w:r>
      <w:r w:rsidR="3C9182C4" w:rsidRPr="007D116C">
        <w:t xml:space="preserve"> levels of</w:t>
      </w:r>
      <w:r w:rsidRPr="007D116C">
        <w:t xml:space="preserve"> demand. Only one third of respondents in that survey agreed with the statement “</w:t>
      </w:r>
      <w:r w:rsidRPr="502F8547">
        <w:rPr>
          <w:i/>
          <w:iCs/>
        </w:rPr>
        <w:t>My regulator provides all the professional development required for me to advance as a professional regulator</w:t>
      </w:r>
      <w:r w:rsidRPr="007D116C">
        <w:t>”</w:t>
      </w:r>
      <w:r w:rsidR="76E3D6E7" w:rsidRPr="007D116C">
        <w:t xml:space="preserve">. </w:t>
      </w:r>
      <w:r w:rsidRPr="007D116C">
        <w:t>The quality and opportunity for relevant learning programs was also questioned by survey respondent</w:t>
      </w:r>
      <w:r w:rsidR="76E3D6E7" w:rsidRPr="007D116C">
        <w:t>s.</w:t>
      </w:r>
      <w:r w:rsidR="00F046F9" w:rsidRPr="007D116C">
        <w:rPr>
          <w:rStyle w:val="FootnoteReference"/>
        </w:rPr>
        <w:footnoteReference w:id="126"/>
      </w:r>
    </w:p>
    <w:p w14:paraId="648E7D94" w14:textId="681A3196" w:rsidR="008317D7" w:rsidRPr="007D116C" w:rsidRDefault="20B0A111" w:rsidP="00587AAF">
      <w:pPr>
        <w:pStyle w:val="ListParagraph"/>
        <w:numPr>
          <w:ilvl w:val="0"/>
          <w:numId w:val="2"/>
        </w:numPr>
        <w:ind w:left="0" w:hanging="425"/>
        <w:contextualSpacing w:val="0"/>
      </w:pPr>
      <w:r w:rsidRPr="007D116C">
        <w:t xml:space="preserve">The QBCC strategic plan states explicitly that staffing is a priority in fulfilling its mission. </w:t>
      </w:r>
      <w:r w:rsidRPr="007D116C">
        <w:rPr>
          <w:rFonts w:ascii="Calibri" w:eastAsia="Calibri" w:hAnsi="Calibri" w:cs="Calibri"/>
        </w:rPr>
        <w:t xml:space="preserve">Priority 3 in its current strategic plan is </w:t>
      </w:r>
      <w:r w:rsidRPr="007D116C">
        <w:rPr>
          <w:rFonts w:ascii="Calibri" w:eastAsia="Calibri" w:hAnsi="Calibri" w:cs="Calibri"/>
          <w:i/>
          <w:iCs/>
        </w:rPr>
        <w:t xml:space="preserve">Put our people first, and support and value them. </w:t>
      </w:r>
      <w:r w:rsidRPr="007D116C">
        <w:rPr>
          <w:rFonts w:ascii="Calibri" w:eastAsia="Calibri" w:hAnsi="Calibri" w:cs="Calibri"/>
        </w:rPr>
        <w:t xml:space="preserve">This is </w:t>
      </w:r>
      <w:r w:rsidR="31FEA944" w:rsidRPr="007D116C">
        <w:rPr>
          <w:rFonts w:ascii="Calibri" w:eastAsia="Calibri" w:hAnsi="Calibri" w:cs="Calibri"/>
        </w:rPr>
        <w:t>elaborated</w:t>
      </w:r>
      <w:r w:rsidR="64B1C022" w:rsidRPr="007D116C">
        <w:rPr>
          <w:rFonts w:ascii="Calibri" w:eastAsia="Calibri" w:hAnsi="Calibri" w:cs="Calibri"/>
        </w:rPr>
        <w:t xml:space="preserve"> in Table</w:t>
      </w:r>
      <w:r w:rsidR="31FEA944" w:rsidRPr="007D116C">
        <w:rPr>
          <w:rFonts w:ascii="Calibri" w:eastAsia="Calibri" w:hAnsi="Calibri" w:cs="Calibri"/>
        </w:rPr>
        <w:t> </w:t>
      </w:r>
      <w:r w:rsidR="64B1C022" w:rsidRPr="007D116C">
        <w:rPr>
          <w:rFonts w:ascii="Calibri" w:eastAsia="Calibri" w:hAnsi="Calibri" w:cs="Calibri"/>
        </w:rPr>
        <w:t>1</w:t>
      </w:r>
      <w:r w:rsidR="001268B9" w:rsidRPr="007D116C">
        <w:rPr>
          <w:rFonts w:ascii="Calibri" w:eastAsia="Calibri" w:hAnsi="Calibri" w:cs="Calibri"/>
        </w:rPr>
        <w:t>3</w:t>
      </w:r>
      <w:r w:rsidR="64B1C022" w:rsidRPr="007D116C">
        <w:rPr>
          <w:rFonts w:ascii="Calibri" w:eastAsia="Calibri" w:hAnsi="Calibri" w:cs="Calibri"/>
        </w:rPr>
        <w:t>, below</w:t>
      </w:r>
      <w:r w:rsidRPr="007D116C">
        <w:rPr>
          <w:rFonts w:ascii="Calibri" w:eastAsia="Calibri" w:hAnsi="Calibri" w:cs="Calibri"/>
        </w:rPr>
        <w:t>:</w:t>
      </w:r>
    </w:p>
    <w:p w14:paraId="58ECD31A" w14:textId="77777777" w:rsidR="009E1199" w:rsidRDefault="009E1199">
      <w:pPr>
        <w:rPr>
          <w:rFonts w:eastAsiaTheme="majorEastAsia" w:cstheme="majorBidi"/>
          <w:b/>
          <w:szCs w:val="24"/>
        </w:rPr>
      </w:pPr>
      <w:bookmarkStart w:id="45" w:name="_Toc98853513"/>
      <w:r>
        <w:br w:type="page"/>
      </w:r>
    </w:p>
    <w:p w14:paraId="497476F9" w14:textId="517D8F3C" w:rsidR="008317D7" w:rsidRPr="007D116C" w:rsidRDefault="008317D7" w:rsidP="008317D7">
      <w:pPr>
        <w:pStyle w:val="Heading3"/>
      </w:pPr>
      <w:bookmarkStart w:id="46" w:name="_Toc100599150"/>
      <w:r w:rsidRPr="007D116C">
        <w:lastRenderedPageBreak/>
        <w:t>Table 1</w:t>
      </w:r>
      <w:r w:rsidR="001268B9" w:rsidRPr="007D116C">
        <w:t>3</w:t>
      </w:r>
      <w:r w:rsidRPr="007D116C">
        <w:t>: QBCC values embodied in staffing</w:t>
      </w:r>
      <w:bookmarkEnd w:id="45"/>
      <w:bookmarkEnd w:id="46"/>
    </w:p>
    <w:tbl>
      <w:tblPr>
        <w:tblStyle w:val="TableGrid"/>
        <w:tblW w:w="0" w:type="auto"/>
        <w:tblLook w:val="04A0" w:firstRow="1" w:lastRow="0" w:firstColumn="1" w:lastColumn="0" w:noHBand="0" w:noVBand="1"/>
      </w:tblPr>
      <w:tblGrid>
        <w:gridCol w:w="4508"/>
        <w:gridCol w:w="4508"/>
      </w:tblGrid>
      <w:tr w:rsidR="007D116C" w:rsidRPr="007D116C" w14:paraId="698427DC" w14:textId="77777777" w:rsidTr="0096299F">
        <w:tc>
          <w:tcPr>
            <w:tcW w:w="4508" w:type="dxa"/>
            <w:shd w:val="clear" w:color="auto" w:fill="000000" w:themeFill="text1"/>
          </w:tcPr>
          <w:p w14:paraId="140510FE" w14:textId="77777777" w:rsidR="008317D7" w:rsidRPr="007D116C" w:rsidRDefault="008317D7" w:rsidP="00B72CFC">
            <w:pPr>
              <w:spacing w:after="240" w:line="276" w:lineRule="auto"/>
              <w:jc w:val="center"/>
              <w:rPr>
                <w:rFonts w:ascii="Calibri" w:eastAsia="Calibri" w:hAnsi="Calibri" w:cs="Calibri"/>
                <w:b/>
                <w:bCs/>
                <w:i/>
                <w:iCs/>
              </w:rPr>
            </w:pPr>
            <w:r w:rsidRPr="007D116C">
              <w:rPr>
                <w:rFonts w:ascii="Calibri" w:eastAsia="Calibri" w:hAnsi="Calibri" w:cs="Calibri"/>
                <w:b/>
                <w:bCs/>
                <w:i/>
                <w:iCs/>
              </w:rPr>
              <w:t>Put our People First</w:t>
            </w:r>
          </w:p>
        </w:tc>
        <w:tc>
          <w:tcPr>
            <w:tcW w:w="4508" w:type="dxa"/>
            <w:shd w:val="clear" w:color="auto" w:fill="000000" w:themeFill="text1"/>
          </w:tcPr>
          <w:p w14:paraId="21698E48" w14:textId="77777777" w:rsidR="008317D7" w:rsidRPr="007D116C" w:rsidRDefault="008317D7" w:rsidP="00B72CFC">
            <w:pPr>
              <w:spacing w:after="240" w:line="276" w:lineRule="auto"/>
              <w:jc w:val="center"/>
              <w:rPr>
                <w:rFonts w:ascii="Calibri" w:eastAsia="Calibri" w:hAnsi="Calibri" w:cs="Calibri"/>
                <w:b/>
                <w:bCs/>
              </w:rPr>
            </w:pPr>
            <w:r w:rsidRPr="007D116C">
              <w:rPr>
                <w:rFonts w:ascii="Calibri" w:eastAsia="Calibri" w:hAnsi="Calibri" w:cs="Calibri"/>
                <w:b/>
                <w:bCs/>
              </w:rPr>
              <w:t>KPIs</w:t>
            </w:r>
          </w:p>
        </w:tc>
      </w:tr>
      <w:tr w:rsidR="007D116C" w:rsidRPr="007D116C" w14:paraId="408C0061" w14:textId="77777777" w:rsidTr="0096299F">
        <w:tc>
          <w:tcPr>
            <w:tcW w:w="4508" w:type="dxa"/>
            <w:shd w:val="clear" w:color="auto" w:fill="F2F2F2" w:themeFill="background1" w:themeFillShade="F2"/>
          </w:tcPr>
          <w:p w14:paraId="0DFA1C9C"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Recruit and develop great people – we attract and retain a diverse workforce with the right skills to deliver our mandate</w:t>
            </w:r>
          </w:p>
          <w:p w14:paraId="4F283F8C" w14:textId="77777777" w:rsidR="008317D7" w:rsidRPr="007D116C" w:rsidRDefault="008317D7" w:rsidP="0033465D">
            <w:pPr>
              <w:pStyle w:val="ListParagraph"/>
              <w:numPr>
                <w:ilvl w:val="0"/>
                <w:numId w:val="3"/>
              </w:numPr>
              <w:spacing w:after="240" w:line="276" w:lineRule="auto"/>
              <w:jc w:val="left"/>
              <w:rPr>
                <w:rFonts w:eastAsiaTheme="minorEastAsia"/>
                <w:sz w:val="20"/>
                <w:szCs w:val="20"/>
              </w:rPr>
            </w:pPr>
            <w:r w:rsidRPr="007D116C">
              <w:rPr>
                <w:rFonts w:ascii="Calibri" w:eastAsia="Calibri" w:hAnsi="Calibri" w:cs="Calibri"/>
                <w:sz w:val="20"/>
                <w:szCs w:val="20"/>
              </w:rPr>
              <w:t>Performance matters – we recognise and reward high performance and seek continuous improvement</w:t>
            </w:r>
          </w:p>
          <w:p w14:paraId="561AC483" w14:textId="77777777" w:rsidR="008317D7" w:rsidRPr="007D116C" w:rsidRDefault="008317D7" w:rsidP="0033465D">
            <w:pPr>
              <w:pStyle w:val="ListParagraph"/>
              <w:numPr>
                <w:ilvl w:val="0"/>
                <w:numId w:val="3"/>
              </w:numPr>
              <w:spacing w:after="240" w:line="276" w:lineRule="auto"/>
              <w:jc w:val="left"/>
              <w:rPr>
                <w:rFonts w:eastAsiaTheme="minorEastAsia"/>
                <w:sz w:val="20"/>
                <w:szCs w:val="20"/>
              </w:rPr>
            </w:pPr>
            <w:r w:rsidRPr="007D116C">
              <w:rPr>
                <w:rFonts w:ascii="Calibri" w:eastAsia="Calibri" w:hAnsi="Calibri" w:cs="Calibri"/>
                <w:sz w:val="20"/>
                <w:szCs w:val="20"/>
              </w:rPr>
              <w:t xml:space="preserve">Culture – we celebrate shared values that promote a positive and productive working environment </w:t>
            </w:r>
          </w:p>
          <w:p w14:paraId="5BF1A995" w14:textId="77777777" w:rsidR="008317D7" w:rsidRPr="007D116C" w:rsidRDefault="008317D7" w:rsidP="0033465D">
            <w:pPr>
              <w:pStyle w:val="ListParagraph"/>
              <w:numPr>
                <w:ilvl w:val="0"/>
                <w:numId w:val="3"/>
              </w:numPr>
              <w:spacing w:after="240" w:line="276" w:lineRule="auto"/>
              <w:jc w:val="left"/>
              <w:rPr>
                <w:rFonts w:eastAsiaTheme="minorEastAsia"/>
                <w:sz w:val="20"/>
                <w:szCs w:val="20"/>
              </w:rPr>
            </w:pPr>
            <w:r w:rsidRPr="007D116C">
              <w:rPr>
                <w:rFonts w:ascii="Calibri" w:eastAsia="Calibri" w:hAnsi="Calibri" w:cs="Calibri"/>
                <w:sz w:val="20"/>
                <w:szCs w:val="20"/>
              </w:rPr>
              <w:t>Wellness – we support and mentor our staff</w:t>
            </w:r>
          </w:p>
        </w:tc>
        <w:tc>
          <w:tcPr>
            <w:tcW w:w="4508" w:type="dxa"/>
            <w:shd w:val="clear" w:color="auto" w:fill="F2F2F2" w:themeFill="background1" w:themeFillShade="F2"/>
          </w:tcPr>
          <w:p w14:paraId="6103AAB8"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Agency participation rate in the Working for Queensland survey</w:t>
            </w:r>
          </w:p>
          <w:p w14:paraId="64B93CC4"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Percentage of staff turnover</w:t>
            </w:r>
          </w:p>
          <w:p w14:paraId="315D28EF"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Overall QBCC gender diversity</w:t>
            </w:r>
          </w:p>
          <w:p w14:paraId="5DF82AB8"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Gender Parity – SLT and Directors</w:t>
            </w:r>
          </w:p>
          <w:p w14:paraId="148BC324"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Gender pay gap</w:t>
            </w:r>
          </w:p>
          <w:p w14:paraId="50C9FDF0"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Loss time injury frequency rate</w:t>
            </w:r>
          </w:p>
          <w:p w14:paraId="701FD36D" w14:textId="77777777" w:rsidR="008317D7" w:rsidRPr="007D116C" w:rsidRDefault="008317D7" w:rsidP="0033465D">
            <w:pPr>
              <w:pStyle w:val="ListParagraph"/>
              <w:numPr>
                <w:ilvl w:val="0"/>
                <w:numId w:val="3"/>
              </w:numPr>
              <w:spacing w:after="240" w:line="276" w:lineRule="auto"/>
              <w:jc w:val="left"/>
              <w:rPr>
                <w:rFonts w:asciiTheme="minorEastAsia" w:eastAsiaTheme="minorEastAsia" w:hAnsiTheme="minorEastAsia" w:cstheme="minorEastAsia"/>
                <w:sz w:val="20"/>
                <w:szCs w:val="20"/>
              </w:rPr>
            </w:pPr>
            <w:r w:rsidRPr="007D116C">
              <w:rPr>
                <w:rFonts w:ascii="Calibri" w:eastAsia="Calibri" w:hAnsi="Calibri" w:cs="Calibri"/>
                <w:sz w:val="20"/>
                <w:szCs w:val="20"/>
              </w:rPr>
              <w:t>Average days lost due to absenteeism</w:t>
            </w:r>
          </w:p>
          <w:p w14:paraId="0FFEE460" w14:textId="77777777" w:rsidR="008317D7" w:rsidRPr="007D116C" w:rsidRDefault="008317D7" w:rsidP="0033465D">
            <w:pPr>
              <w:spacing w:after="240" w:line="276" w:lineRule="auto"/>
              <w:jc w:val="left"/>
              <w:rPr>
                <w:rFonts w:ascii="Calibri" w:eastAsia="Calibri" w:hAnsi="Calibri" w:cs="Calibri"/>
                <w:sz w:val="20"/>
                <w:szCs w:val="20"/>
              </w:rPr>
            </w:pPr>
          </w:p>
        </w:tc>
      </w:tr>
    </w:tbl>
    <w:p w14:paraId="12247298" w14:textId="7AAF8458" w:rsidR="004F2329" w:rsidRPr="007D116C" w:rsidRDefault="1FBC5222" w:rsidP="00B72CFC">
      <w:pPr>
        <w:pStyle w:val="ListParagraph"/>
        <w:numPr>
          <w:ilvl w:val="0"/>
          <w:numId w:val="2"/>
        </w:numPr>
        <w:spacing w:before="240"/>
        <w:ind w:left="0" w:hanging="425"/>
        <w:contextualSpacing w:val="0"/>
      </w:pPr>
      <w:r w:rsidRPr="007D116C">
        <w:t>On this view, the</w:t>
      </w:r>
      <w:r w:rsidR="47C02DC9" w:rsidRPr="007D116C">
        <w:t xml:space="preserve"> QBCC exhibits a level of responsibility and consistency with stated national and international best practice norms in terms of staff development and workplace culture to support its mission, efficacy and efficiency. It </w:t>
      </w:r>
      <w:r w:rsidR="7DB6B568" w:rsidRPr="007D116C">
        <w:t>reflects</w:t>
      </w:r>
      <w:r w:rsidR="12F8175C" w:rsidRPr="007D116C">
        <w:t xml:space="preserve"> the guidelines</w:t>
      </w:r>
      <w:r w:rsidR="47C02DC9" w:rsidRPr="007D116C">
        <w:t xml:space="preserve"> for state regulators set out by the 2021 Queensland Audit Office under the rubric </w:t>
      </w:r>
      <w:r w:rsidR="47C02DC9" w:rsidRPr="007D116C">
        <w:rPr>
          <w:i/>
          <w:iCs/>
        </w:rPr>
        <w:t>Plan-Act-Report-Learn</w:t>
      </w:r>
      <w:r w:rsidR="47C02DC9" w:rsidRPr="007D116C">
        <w:t>.</w:t>
      </w:r>
      <w:r w:rsidR="008317D7" w:rsidRPr="007D116C">
        <w:rPr>
          <w:rStyle w:val="FootnoteReference"/>
        </w:rPr>
        <w:footnoteReference w:id="127"/>
      </w:r>
      <w:r w:rsidR="47C02DC9" w:rsidRPr="007D116C">
        <w:t xml:space="preserve"> </w:t>
      </w:r>
    </w:p>
    <w:p w14:paraId="1DBCC42F" w14:textId="62F690CF" w:rsidR="008317D7" w:rsidRPr="007D116C" w:rsidRDefault="47C02DC9" w:rsidP="004F2329">
      <w:pPr>
        <w:pStyle w:val="ListParagraph"/>
        <w:numPr>
          <w:ilvl w:val="0"/>
          <w:numId w:val="2"/>
        </w:numPr>
        <w:ind w:left="0" w:hanging="425"/>
        <w:contextualSpacing w:val="0"/>
      </w:pPr>
      <w:r w:rsidRPr="007D116C">
        <w:t xml:space="preserve">QBCC reports against staffing and leadership KPIs in its Annual Report. It indicates a commitment to ongoing performance improvement, as well as specific development leadership support. </w:t>
      </w:r>
      <w:r w:rsidR="4E86550B" w:rsidRPr="007D116C">
        <w:t xml:space="preserve">However, it should be noted that none of the KPIs listed in Table 12 go directly to the kinds of </w:t>
      </w:r>
      <w:r w:rsidR="601FF7F7" w:rsidRPr="007D116C">
        <w:t>regulatory leadership or regulatory craft skills relevant to risk-based regulation</w:t>
      </w:r>
      <w:r w:rsidR="31F13DF5" w:rsidRPr="007D116C">
        <w:t xml:space="preserve"> as captured in Table 11</w:t>
      </w:r>
      <w:r w:rsidR="601FF7F7" w:rsidRPr="007D116C">
        <w:t>.</w:t>
      </w:r>
      <w:r w:rsidR="4E86550B" w:rsidRPr="007D116C">
        <w:t xml:space="preserve"> </w:t>
      </w:r>
      <w:r w:rsidRPr="007D116C">
        <w:t>Stated initiatives for 2020-21 reporting period included:</w:t>
      </w:r>
      <w:r w:rsidR="63C4CFD5" w:rsidRPr="007D116C">
        <w:t xml:space="preserve"> </w:t>
      </w:r>
      <w:r w:rsidRPr="007D116C">
        <w:rPr>
          <w:rFonts w:ascii="Calibri" w:eastAsia="Calibri" w:hAnsi="Calibri" w:cs="Calibri"/>
        </w:rPr>
        <w:t>introducing a capability development program to support leaders in managing organisational change in the workplace</w:t>
      </w:r>
      <w:r w:rsidR="63C4CFD5" w:rsidRPr="007D116C">
        <w:rPr>
          <w:rFonts w:ascii="Calibri" w:eastAsia="Calibri" w:hAnsi="Calibri" w:cs="Calibri"/>
        </w:rPr>
        <w:t xml:space="preserve">; </w:t>
      </w:r>
      <w:r w:rsidRPr="007D116C">
        <w:rPr>
          <w:rFonts w:ascii="Calibri" w:eastAsia="Calibri" w:hAnsi="Calibri" w:cs="Calibri"/>
        </w:rPr>
        <w:t>changing the Human Resources Service delivery model to better support our leadership teams</w:t>
      </w:r>
      <w:r w:rsidR="63C4CFD5" w:rsidRPr="007D116C">
        <w:rPr>
          <w:rFonts w:ascii="Calibri" w:eastAsia="Calibri" w:hAnsi="Calibri" w:cs="Calibri"/>
        </w:rPr>
        <w:t xml:space="preserve">; </w:t>
      </w:r>
      <w:r w:rsidRPr="007D116C">
        <w:rPr>
          <w:rFonts w:ascii="Calibri" w:eastAsia="Calibri" w:hAnsi="Calibri" w:cs="Calibri"/>
        </w:rPr>
        <w:t>introducing a specific program of workplace training and support for Domestic and Family Violence</w:t>
      </w:r>
      <w:r w:rsidR="63C4CFD5" w:rsidRPr="007D116C">
        <w:rPr>
          <w:rFonts w:ascii="Calibri" w:eastAsia="Calibri" w:hAnsi="Calibri" w:cs="Calibri"/>
        </w:rPr>
        <w:t xml:space="preserve">; </w:t>
      </w:r>
      <w:r w:rsidRPr="007D116C">
        <w:rPr>
          <w:rFonts w:ascii="Calibri" w:eastAsia="Calibri" w:hAnsi="Calibri" w:cs="Calibri"/>
        </w:rPr>
        <w:t>introducing journey mapping and developing the employee experience for staff members.</w:t>
      </w:r>
      <w:r w:rsidR="008317D7" w:rsidRPr="007D116C">
        <w:rPr>
          <w:rStyle w:val="FootnoteReference"/>
          <w:rFonts w:ascii="Calibri" w:eastAsia="Calibri" w:hAnsi="Calibri" w:cs="Calibri"/>
        </w:rPr>
        <w:footnoteReference w:id="128"/>
      </w:r>
    </w:p>
    <w:p w14:paraId="4920BC51" w14:textId="7F01CF7B" w:rsidR="00067578" w:rsidRPr="007D116C" w:rsidRDefault="00067578" w:rsidP="004F2329">
      <w:pPr>
        <w:pStyle w:val="Heading2"/>
      </w:pPr>
      <w:bookmarkStart w:id="47" w:name="_Toc100599151"/>
      <w:r w:rsidRPr="007D116C">
        <w:lastRenderedPageBreak/>
        <w:t>Values</w:t>
      </w:r>
      <w:bookmarkEnd w:id="47"/>
    </w:p>
    <w:p w14:paraId="31DBF3EF" w14:textId="77777777" w:rsidR="004F2329" w:rsidRPr="007D116C" w:rsidRDefault="46331693" w:rsidP="004F2329">
      <w:pPr>
        <w:pStyle w:val="ListParagraph"/>
        <w:numPr>
          <w:ilvl w:val="0"/>
          <w:numId w:val="2"/>
        </w:numPr>
        <w:ind w:left="0" w:hanging="425"/>
        <w:contextualSpacing w:val="0"/>
      </w:pPr>
      <w:r w:rsidRPr="007D116C">
        <w:t>Along with capabilities, there is an expectation that institutions like regulators represent values of public service and that these inform a regulator’s operations. Values function by being incorporated into the everyday working of an institution – they become its culture by prescribing certain behaviours and norms that support the mission of the institution. It has been argued that stipulating in law or public policy that certain standards of behaviour are expected encourages officials within institutions to internalise those standards, rather than merely avoiding proscribed, punishable acts.</w:t>
      </w:r>
      <w:r w:rsidR="00067578" w:rsidRPr="007D116C">
        <w:rPr>
          <w:vertAlign w:val="superscript"/>
        </w:rPr>
        <w:footnoteReference w:id="129"/>
      </w:r>
      <w:r w:rsidRPr="007D116C">
        <w:t xml:space="preserve"> For regulators, it has also been argued that values are part of building a professional culture, which, because of its high standards, reinforces the independence of the regulators and reduces the risk of undue influence.</w:t>
      </w:r>
      <w:r w:rsidR="00067578" w:rsidRPr="007D116C">
        <w:rPr>
          <w:vertAlign w:val="superscript"/>
        </w:rPr>
        <w:footnoteReference w:id="130"/>
      </w:r>
      <w:r w:rsidRPr="007D116C">
        <w:t xml:space="preserve"> Values, then, are a key input into the performance of a regulator because they inform not only the leadership but the whole workforce, influencing a wide range of decisions that impact the regulator and the regulatory environment.</w:t>
      </w:r>
    </w:p>
    <w:p w14:paraId="1A41DAE4" w14:textId="19276FB2" w:rsidR="00121BA8" w:rsidRPr="007D116C" w:rsidRDefault="46331693" w:rsidP="16FFD785">
      <w:pPr>
        <w:pStyle w:val="ListParagraph"/>
        <w:numPr>
          <w:ilvl w:val="0"/>
          <w:numId w:val="2"/>
        </w:numPr>
        <w:ind w:left="0" w:hanging="425"/>
      </w:pPr>
      <w:r w:rsidRPr="007D116C">
        <w:t xml:space="preserve">The QBCC </w:t>
      </w:r>
      <w:r w:rsidR="31F13DF5" w:rsidRPr="007D116C">
        <w:t xml:space="preserve">outlines </w:t>
      </w:r>
      <w:r w:rsidRPr="007D116C">
        <w:t>its model “behaviours” as part of its strategic plan. These behaviours are shown in Table 1</w:t>
      </w:r>
      <w:r w:rsidR="3E9FD043" w:rsidRPr="007D116C">
        <w:t>4</w:t>
      </w:r>
      <w:r w:rsidRPr="007D116C">
        <w:t>, below, along with the Queensland public service values.</w:t>
      </w:r>
      <w:r w:rsidR="5D573F04" w:rsidRPr="007D116C">
        <w:t xml:space="preserve"> Taken together, these could be viewed as a set of value statements </w:t>
      </w:r>
      <w:r w:rsidR="338FDB3F" w:rsidRPr="007D116C">
        <w:t>about QBCC operations.</w:t>
      </w:r>
    </w:p>
    <w:p w14:paraId="050BBB81" w14:textId="77777777" w:rsidR="009E1199" w:rsidRDefault="009E1199">
      <w:pPr>
        <w:rPr>
          <w:rFonts w:asciiTheme="majorHAnsi" w:eastAsiaTheme="majorEastAsia" w:hAnsiTheme="majorHAnsi" w:cstheme="majorBidi"/>
          <w:b/>
          <w:bCs/>
          <w:sz w:val="24"/>
          <w:szCs w:val="24"/>
        </w:rPr>
      </w:pPr>
      <w:bookmarkStart w:id="48" w:name="_Toc98853515"/>
      <w:r>
        <w:rPr>
          <w:rFonts w:asciiTheme="majorHAnsi" w:eastAsiaTheme="majorEastAsia" w:hAnsiTheme="majorHAnsi" w:cstheme="majorBidi"/>
          <w:b/>
          <w:bCs/>
          <w:sz w:val="24"/>
          <w:szCs w:val="24"/>
        </w:rPr>
        <w:br w:type="page"/>
      </w:r>
    </w:p>
    <w:p w14:paraId="787EC986" w14:textId="106B7247" w:rsidR="00067578" w:rsidRPr="007D116C" w:rsidRDefault="00067578" w:rsidP="00121BA8">
      <w:pPr>
        <w:keepNext/>
        <w:keepLines/>
        <w:spacing w:before="40" w:after="0" w:line="276" w:lineRule="auto"/>
        <w:outlineLvl w:val="2"/>
        <w:rPr>
          <w:rFonts w:asciiTheme="majorHAnsi" w:eastAsiaTheme="majorEastAsia" w:hAnsiTheme="majorHAnsi" w:cstheme="majorBidi"/>
          <w:b/>
          <w:bCs/>
          <w:sz w:val="24"/>
          <w:szCs w:val="24"/>
        </w:rPr>
      </w:pPr>
      <w:bookmarkStart w:id="49" w:name="_Toc100599152"/>
      <w:r w:rsidRPr="007D116C">
        <w:rPr>
          <w:rFonts w:asciiTheme="majorHAnsi" w:eastAsiaTheme="majorEastAsia" w:hAnsiTheme="majorHAnsi" w:cstheme="majorBidi"/>
          <w:b/>
          <w:bCs/>
          <w:sz w:val="24"/>
          <w:szCs w:val="24"/>
        </w:rPr>
        <w:lastRenderedPageBreak/>
        <w:t xml:space="preserve">Table </w:t>
      </w:r>
      <w:r w:rsidRPr="007D116C">
        <w:rPr>
          <w:rStyle w:val="Heading3Char"/>
        </w:rPr>
        <w:t>1</w:t>
      </w:r>
      <w:r w:rsidR="001268B9" w:rsidRPr="007D116C">
        <w:rPr>
          <w:rStyle w:val="Heading3Char"/>
        </w:rPr>
        <w:t>4</w:t>
      </w:r>
      <w:r w:rsidRPr="007D116C">
        <w:rPr>
          <w:rFonts w:asciiTheme="majorHAnsi" w:eastAsiaTheme="majorEastAsia" w:hAnsiTheme="majorHAnsi" w:cstheme="majorBidi"/>
          <w:b/>
          <w:bCs/>
          <w:sz w:val="24"/>
          <w:szCs w:val="24"/>
        </w:rPr>
        <w:t>: Behaviours and values</w:t>
      </w:r>
      <w:bookmarkEnd w:id="48"/>
      <w:bookmarkEnd w:id="49"/>
    </w:p>
    <w:tbl>
      <w:tblPr>
        <w:tblStyle w:val="GridTable41"/>
        <w:tblW w:w="0" w:type="auto"/>
        <w:tblLook w:val="04A0" w:firstRow="1" w:lastRow="0" w:firstColumn="1" w:lastColumn="0" w:noHBand="0" w:noVBand="1"/>
      </w:tblPr>
      <w:tblGrid>
        <w:gridCol w:w="4508"/>
        <w:gridCol w:w="4508"/>
      </w:tblGrid>
      <w:tr w:rsidR="007D116C" w:rsidRPr="007D116C" w14:paraId="0B4DCF83" w14:textId="77777777" w:rsidTr="16FFD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3060115" w14:textId="77777777" w:rsidR="00067578" w:rsidRPr="007D116C" w:rsidRDefault="48E9AC0D" w:rsidP="000E620D">
            <w:pPr>
              <w:spacing w:line="276" w:lineRule="auto"/>
              <w:jc w:val="center"/>
              <w:rPr>
                <w:color w:val="auto"/>
              </w:rPr>
            </w:pPr>
            <w:r w:rsidRPr="007D116C">
              <w:rPr>
                <w:color w:val="auto"/>
              </w:rPr>
              <w:t>QBCC ‘Our behaviours’</w:t>
            </w:r>
            <w:r w:rsidR="00067578" w:rsidRPr="007D116C">
              <w:rPr>
                <w:color w:val="auto"/>
                <w:vertAlign w:val="superscript"/>
              </w:rPr>
              <w:footnoteReference w:id="131"/>
            </w:r>
          </w:p>
        </w:tc>
        <w:tc>
          <w:tcPr>
            <w:tcW w:w="4508" w:type="dxa"/>
          </w:tcPr>
          <w:p w14:paraId="08644F95" w14:textId="77777777" w:rsidR="00067578" w:rsidRPr="007D116C" w:rsidRDefault="48E9AC0D" w:rsidP="000E620D">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7D116C">
              <w:rPr>
                <w:color w:val="auto"/>
              </w:rPr>
              <w:t>Queensland public service values</w:t>
            </w:r>
            <w:r w:rsidR="00067578" w:rsidRPr="007D116C">
              <w:rPr>
                <w:color w:val="auto"/>
                <w:vertAlign w:val="superscript"/>
              </w:rPr>
              <w:footnoteReference w:id="132"/>
            </w:r>
          </w:p>
        </w:tc>
      </w:tr>
      <w:tr w:rsidR="007D116C" w:rsidRPr="007D116C" w14:paraId="35146B49" w14:textId="77777777" w:rsidTr="16FFD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31E99E6" w14:textId="70BFBC02" w:rsidR="00067578" w:rsidRPr="007D116C" w:rsidRDefault="00067578" w:rsidP="00815E1A">
            <w:pPr>
              <w:spacing w:line="276" w:lineRule="auto"/>
              <w:contextualSpacing/>
              <w:rPr>
                <w:b w:val="0"/>
                <w:bCs w:val="0"/>
                <w:sz w:val="20"/>
                <w:szCs w:val="20"/>
              </w:rPr>
            </w:pPr>
            <w:r w:rsidRPr="007D116C">
              <w:rPr>
                <w:sz w:val="20"/>
                <w:szCs w:val="20"/>
              </w:rPr>
              <w:t>Professionalism</w:t>
            </w:r>
            <w:r w:rsidRPr="007D116C">
              <w:rPr>
                <w:b w:val="0"/>
                <w:bCs w:val="0"/>
                <w:sz w:val="20"/>
                <w:szCs w:val="20"/>
              </w:rPr>
              <w:t xml:space="preserve"> </w:t>
            </w:r>
            <w:r w:rsidR="008157C2" w:rsidRPr="007D116C">
              <w:rPr>
                <w:b w:val="0"/>
                <w:bCs w:val="0"/>
                <w:sz w:val="20"/>
                <w:szCs w:val="20"/>
              </w:rPr>
              <w:t>–</w:t>
            </w:r>
            <w:r w:rsidRPr="007D116C">
              <w:rPr>
                <w:b w:val="0"/>
                <w:bCs w:val="0"/>
                <w:sz w:val="20"/>
                <w:szCs w:val="20"/>
              </w:rPr>
              <w:t xml:space="preserve"> we</w:t>
            </w:r>
            <w:r w:rsidR="008157C2" w:rsidRPr="007D116C">
              <w:rPr>
                <w:b w:val="0"/>
                <w:bCs w:val="0"/>
                <w:sz w:val="20"/>
                <w:szCs w:val="20"/>
              </w:rPr>
              <w:t xml:space="preserve"> </w:t>
            </w:r>
            <w:r w:rsidRPr="007D116C">
              <w:rPr>
                <w:b w:val="0"/>
                <w:bCs w:val="0"/>
                <w:sz w:val="20"/>
                <w:szCs w:val="20"/>
              </w:rPr>
              <w:t>act with professionalism in all we do</w:t>
            </w:r>
          </w:p>
          <w:p w14:paraId="0802E712" w14:textId="3D36FBBA" w:rsidR="00067578" w:rsidRPr="007D116C" w:rsidRDefault="00067578" w:rsidP="00815E1A">
            <w:pPr>
              <w:spacing w:line="276" w:lineRule="auto"/>
              <w:contextualSpacing/>
              <w:rPr>
                <w:b w:val="0"/>
                <w:bCs w:val="0"/>
                <w:sz w:val="20"/>
                <w:szCs w:val="20"/>
              </w:rPr>
            </w:pPr>
            <w:r w:rsidRPr="007D116C">
              <w:rPr>
                <w:sz w:val="20"/>
                <w:szCs w:val="20"/>
              </w:rPr>
              <w:t>Integrity</w:t>
            </w:r>
            <w:r w:rsidRPr="007D116C">
              <w:rPr>
                <w:b w:val="0"/>
                <w:bCs w:val="0"/>
                <w:sz w:val="20"/>
                <w:szCs w:val="20"/>
              </w:rPr>
              <w:t xml:space="preserve"> </w:t>
            </w:r>
            <w:r w:rsidR="008157C2" w:rsidRPr="007D116C">
              <w:rPr>
                <w:b w:val="0"/>
                <w:bCs w:val="0"/>
                <w:sz w:val="20"/>
                <w:szCs w:val="20"/>
              </w:rPr>
              <w:t>–</w:t>
            </w:r>
            <w:r w:rsidRPr="007D116C">
              <w:rPr>
                <w:b w:val="0"/>
                <w:bCs w:val="0"/>
                <w:sz w:val="20"/>
                <w:szCs w:val="20"/>
              </w:rPr>
              <w:t xml:space="preserve"> we</w:t>
            </w:r>
            <w:r w:rsidR="008157C2" w:rsidRPr="007D116C">
              <w:rPr>
                <w:b w:val="0"/>
                <w:bCs w:val="0"/>
                <w:sz w:val="20"/>
                <w:szCs w:val="20"/>
              </w:rPr>
              <w:t xml:space="preserve"> </w:t>
            </w:r>
            <w:r w:rsidRPr="007D116C">
              <w:rPr>
                <w:b w:val="0"/>
                <w:bCs w:val="0"/>
                <w:sz w:val="20"/>
                <w:szCs w:val="20"/>
              </w:rPr>
              <w:t>act impartially and with honesty</w:t>
            </w:r>
          </w:p>
          <w:p w14:paraId="72676132" w14:textId="0D6CF3DE" w:rsidR="00067578" w:rsidRPr="007D116C" w:rsidRDefault="00067578" w:rsidP="00815E1A">
            <w:pPr>
              <w:spacing w:line="276" w:lineRule="auto"/>
              <w:contextualSpacing/>
              <w:rPr>
                <w:b w:val="0"/>
                <w:bCs w:val="0"/>
                <w:sz w:val="20"/>
                <w:szCs w:val="20"/>
              </w:rPr>
            </w:pPr>
            <w:r w:rsidRPr="007D116C">
              <w:rPr>
                <w:sz w:val="20"/>
                <w:szCs w:val="20"/>
              </w:rPr>
              <w:t>Accountability</w:t>
            </w:r>
            <w:r w:rsidRPr="007D116C">
              <w:rPr>
                <w:b w:val="0"/>
                <w:bCs w:val="0"/>
                <w:sz w:val="20"/>
                <w:szCs w:val="20"/>
              </w:rPr>
              <w:t xml:space="preserve"> </w:t>
            </w:r>
            <w:r w:rsidR="008157C2" w:rsidRPr="007D116C">
              <w:rPr>
                <w:b w:val="0"/>
                <w:bCs w:val="0"/>
                <w:sz w:val="20"/>
                <w:szCs w:val="20"/>
              </w:rPr>
              <w:t xml:space="preserve">– </w:t>
            </w:r>
            <w:r w:rsidRPr="007D116C">
              <w:rPr>
                <w:b w:val="0"/>
                <w:bCs w:val="0"/>
                <w:sz w:val="20"/>
                <w:szCs w:val="20"/>
              </w:rPr>
              <w:t>we</w:t>
            </w:r>
            <w:r w:rsidR="008157C2" w:rsidRPr="007D116C">
              <w:rPr>
                <w:b w:val="0"/>
                <w:bCs w:val="0"/>
                <w:sz w:val="20"/>
                <w:szCs w:val="20"/>
              </w:rPr>
              <w:t xml:space="preserve"> </w:t>
            </w:r>
            <w:r w:rsidRPr="007D116C">
              <w:rPr>
                <w:b w:val="0"/>
                <w:bCs w:val="0"/>
                <w:sz w:val="20"/>
                <w:szCs w:val="20"/>
              </w:rPr>
              <w:t>do what we say, we are accountable for our actions, we mitigate risk</w:t>
            </w:r>
          </w:p>
          <w:p w14:paraId="0308BC32" w14:textId="17D39A47" w:rsidR="00067578" w:rsidRPr="007D116C" w:rsidRDefault="00067578" w:rsidP="00815E1A">
            <w:pPr>
              <w:spacing w:line="276" w:lineRule="auto"/>
              <w:contextualSpacing/>
              <w:rPr>
                <w:b w:val="0"/>
                <w:bCs w:val="0"/>
                <w:sz w:val="20"/>
                <w:szCs w:val="20"/>
              </w:rPr>
            </w:pPr>
            <w:r w:rsidRPr="007D116C">
              <w:rPr>
                <w:sz w:val="20"/>
                <w:szCs w:val="20"/>
              </w:rPr>
              <w:t>Teamwork</w:t>
            </w:r>
            <w:r w:rsidRPr="007D116C">
              <w:rPr>
                <w:b w:val="0"/>
                <w:bCs w:val="0"/>
                <w:sz w:val="20"/>
                <w:szCs w:val="20"/>
              </w:rPr>
              <w:t xml:space="preserve"> </w:t>
            </w:r>
            <w:r w:rsidR="008157C2" w:rsidRPr="007D116C">
              <w:rPr>
                <w:b w:val="0"/>
                <w:bCs w:val="0"/>
                <w:sz w:val="20"/>
                <w:szCs w:val="20"/>
              </w:rPr>
              <w:t>–</w:t>
            </w:r>
            <w:r w:rsidRPr="007D116C">
              <w:rPr>
                <w:b w:val="0"/>
                <w:bCs w:val="0"/>
                <w:sz w:val="20"/>
                <w:szCs w:val="20"/>
              </w:rPr>
              <w:t xml:space="preserve"> we</w:t>
            </w:r>
            <w:r w:rsidR="008157C2" w:rsidRPr="007D116C">
              <w:rPr>
                <w:b w:val="0"/>
                <w:bCs w:val="0"/>
                <w:sz w:val="20"/>
                <w:szCs w:val="20"/>
              </w:rPr>
              <w:t xml:space="preserve"> </w:t>
            </w:r>
            <w:r w:rsidRPr="007D116C">
              <w:rPr>
                <w:b w:val="0"/>
                <w:bCs w:val="0"/>
                <w:sz w:val="20"/>
                <w:szCs w:val="20"/>
              </w:rPr>
              <w:t>think about others and how our decisions or behaviours impact them</w:t>
            </w:r>
          </w:p>
          <w:p w14:paraId="0128758D" w14:textId="3FA792D7" w:rsidR="00067578" w:rsidRPr="007D116C" w:rsidRDefault="00067578" w:rsidP="00815E1A">
            <w:pPr>
              <w:spacing w:line="276" w:lineRule="auto"/>
              <w:contextualSpacing/>
              <w:rPr>
                <w:sz w:val="20"/>
                <w:szCs w:val="20"/>
              </w:rPr>
            </w:pPr>
            <w:r w:rsidRPr="007D116C">
              <w:rPr>
                <w:sz w:val="20"/>
                <w:szCs w:val="20"/>
              </w:rPr>
              <w:t>Customer</w:t>
            </w:r>
            <w:r w:rsidRPr="007D116C">
              <w:rPr>
                <w:b w:val="0"/>
                <w:bCs w:val="0"/>
                <w:sz w:val="20"/>
                <w:szCs w:val="20"/>
              </w:rPr>
              <w:t xml:space="preserve"> </w:t>
            </w:r>
            <w:r w:rsidRPr="007D116C">
              <w:rPr>
                <w:sz w:val="20"/>
                <w:szCs w:val="20"/>
              </w:rPr>
              <w:t>Focus</w:t>
            </w:r>
            <w:r w:rsidRPr="007D116C">
              <w:rPr>
                <w:b w:val="0"/>
                <w:bCs w:val="0"/>
                <w:sz w:val="20"/>
                <w:szCs w:val="20"/>
              </w:rPr>
              <w:t xml:space="preserve"> </w:t>
            </w:r>
            <w:r w:rsidR="008157C2" w:rsidRPr="007D116C">
              <w:rPr>
                <w:b w:val="0"/>
                <w:bCs w:val="0"/>
                <w:sz w:val="20"/>
                <w:szCs w:val="20"/>
              </w:rPr>
              <w:t>–</w:t>
            </w:r>
            <w:r w:rsidRPr="007D116C">
              <w:rPr>
                <w:b w:val="0"/>
                <w:bCs w:val="0"/>
                <w:sz w:val="20"/>
                <w:szCs w:val="20"/>
              </w:rPr>
              <w:t xml:space="preserve"> we</w:t>
            </w:r>
            <w:r w:rsidR="008157C2" w:rsidRPr="007D116C">
              <w:rPr>
                <w:b w:val="0"/>
                <w:bCs w:val="0"/>
                <w:sz w:val="20"/>
                <w:szCs w:val="20"/>
              </w:rPr>
              <w:t xml:space="preserve"> </w:t>
            </w:r>
            <w:r w:rsidRPr="007D116C">
              <w:rPr>
                <w:b w:val="0"/>
                <w:bCs w:val="0"/>
                <w:sz w:val="20"/>
                <w:szCs w:val="20"/>
              </w:rPr>
              <w:t>treat all of our customers, including our colleagues, with respect, compassion and empathy</w:t>
            </w:r>
          </w:p>
        </w:tc>
        <w:tc>
          <w:tcPr>
            <w:tcW w:w="4508" w:type="dxa"/>
          </w:tcPr>
          <w:p w14:paraId="08325C39" w14:textId="77777777" w:rsidR="00067578" w:rsidRPr="007D116C" w:rsidRDefault="00067578" w:rsidP="00815E1A">
            <w:pPr>
              <w:spacing w:line="276" w:lineRule="auto"/>
              <w:contextualSpacing/>
              <w:cnfStyle w:val="000000100000" w:firstRow="0" w:lastRow="0" w:firstColumn="0" w:lastColumn="0" w:oddVBand="0" w:evenVBand="0" w:oddHBand="1" w:evenHBand="0" w:firstRowFirstColumn="0" w:firstRowLastColumn="0" w:lastRowFirstColumn="0" w:lastRowLastColumn="0"/>
              <w:rPr>
                <w:b/>
                <w:bCs/>
                <w:sz w:val="20"/>
                <w:szCs w:val="20"/>
              </w:rPr>
            </w:pPr>
            <w:r w:rsidRPr="007D116C">
              <w:rPr>
                <w:b/>
                <w:bCs/>
                <w:sz w:val="20"/>
                <w:szCs w:val="20"/>
              </w:rPr>
              <w:t>Customers first</w:t>
            </w:r>
          </w:p>
          <w:p w14:paraId="0F08B173"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Know your customers</w:t>
            </w:r>
          </w:p>
          <w:p w14:paraId="5B8C38B6"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Deliver what matters</w:t>
            </w:r>
          </w:p>
          <w:p w14:paraId="2D688966"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Make decisions with empathy</w:t>
            </w:r>
          </w:p>
          <w:p w14:paraId="1E6BCD99" w14:textId="77777777" w:rsidR="00067578" w:rsidRPr="007D116C" w:rsidRDefault="00067578" w:rsidP="00815E1A">
            <w:pPr>
              <w:spacing w:line="276" w:lineRule="auto"/>
              <w:contextualSpacing/>
              <w:cnfStyle w:val="000000100000" w:firstRow="0" w:lastRow="0" w:firstColumn="0" w:lastColumn="0" w:oddVBand="0" w:evenVBand="0" w:oddHBand="1" w:evenHBand="0" w:firstRowFirstColumn="0" w:firstRowLastColumn="0" w:lastRowFirstColumn="0" w:lastRowLastColumn="0"/>
              <w:rPr>
                <w:b/>
                <w:bCs/>
                <w:sz w:val="20"/>
                <w:szCs w:val="20"/>
              </w:rPr>
            </w:pPr>
            <w:r w:rsidRPr="007D116C">
              <w:rPr>
                <w:b/>
                <w:bCs/>
                <w:sz w:val="20"/>
                <w:szCs w:val="20"/>
              </w:rPr>
              <w:t>Ideas into action</w:t>
            </w:r>
          </w:p>
          <w:p w14:paraId="28BB1B42"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Challenge the norm and suggest solutions</w:t>
            </w:r>
          </w:p>
          <w:p w14:paraId="2D11810E"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Encourage and embrace new ideas</w:t>
            </w:r>
          </w:p>
          <w:p w14:paraId="1390B3E8"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Work across boundaries</w:t>
            </w:r>
          </w:p>
          <w:p w14:paraId="31527923" w14:textId="77777777" w:rsidR="00067578" w:rsidRPr="007D116C" w:rsidRDefault="00067578" w:rsidP="00815E1A">
            <w:pPr>
              <w:spacing w:line="276" w:lineRule="auto"/>
              <w:contextualSpacing/>
              <w:cnfStyle w:val="000000100000" w:firstRow="0" w:lastRow="0" w:firstColumn="0" w:lastColumn="0" w:oddVBand="0" w:evenVBand="0" w:oddHBand="1" w:evenHBand="0" w:firstRowFirstColumn="0" w:firstRowLastColumn="0" w:lastRowFirstColumn="0" w:lastRowLastColumn="0"/>
              <w:rPr>
                <w:b/>
                <w:bCs/>
                <w:sz w:val="20"/>
                <w:szCs w:val="20"/>
              </w:rPr>
            </w:pPr>
            <w:r w:rsidRPr="007D116C">
              <w:rPr>
                <w:b/>
                <w:bCs/>
                <w:sz w:val="20"/>
                <w:szCs w:val="20"/>
              </w:rPr>
              <w:t>Unleash potential</w:t>
            </w:r>
          </w:p>
          <w:p w14:paraId="43FE13D9"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Expect greatness</w:t>
            </w:r>
          </w:p>
          <w:p w14:paraId="054C4766"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Lead and set clear expectations</w:t>
            </w:r>
          </w:p>
          <w:p w14:paraId="5A5BC62E"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Seek, provide and act on feedback</w:t>
            </w:r>
          </w:p>
          <w:p w14:paraId="0DCEC069" w14:textId="77777777" w:rsidR="00067578" w:rsidRPr="007D116C" w:rsidRDefault="00067578" w:rsidP="00815E1A">
            <w:pPr>
              <w:spacing w:line="276" w:lineRule="auto"/>
              <w:contextualSpacing/>
              <w:cnfStyle w:val="000000100000" w:firstRow="0" w:lastRow="0" w:firstColumn="0" w:lastColumn="0" w:oddVBand="0" w:evenVBand="0" w:oddHBand="1" w:evenHBand="0" w:firstRowFirstColumn="0" w:firstRowLastColumn="0" w:lastRowFirstColumn="0" w:lastRowLastColumn="0"/>
              <w:rPr>
                <w:b/>
                <w:bCs/>
                <w:sz w:val="20"/>
                <w:szCs w:val="20"/>
              </w:rPr>
            </w:pPr>
            <w:r w:rsidRPr="007D116C">
              <w:rPr>
                <w:b/>
                <w:bCs/>
                <w:sz w:val="20"/>
                <w:szCs w:val="20"/>
              </w:rPr>
              <w:t>Be courageous</w:t>
            </w:r>
          </w:p>
          <w:p w14:paraId="4FB82C9F"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Own your actions, successes and mistakes</w:t>
            </w:r>
          </w:p>
          <w:p w14:paraId="6794BD9B"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Take calculated risks</w:t>
            </w:r>
          </w:p>
          <w:p w14:paraId="503AC816"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Act with transparency</w:t>
            </w:r>
          </w:p>
          <w:p w14:paraId="7A1AD997" w14:textId="77777777" w:rsidR="00067578" w:rsidRPr="007D116C" w:rsidRDefault="00067578" w:rsidP="00815E1A">
            <w:pPr>
              <w:spacing w:line="276" w:lineRule="auto"/>
              <w:contextualSpacing/>
              <w:cnfStyle w:val="000000100000" w:firstRow="0" w:lastRow="0" w:firstColumn="0" w:lastColumn="0" w:oddVBand="0" w:evenVBand="0" w:oddHBand="1" w:evenHBand="0" w:firstRowFirstColumn="0" w:firstRowLastColumn="0" w:lastRowFirstColumn="0" w:lastRowLastColumn="0"/>
              <w:rPr>
                <w:b/>
                <w:bCs/>
                <w:sz w:val="20"/>
                <w:szCs w:val="20"/>
              </w:rPr>
            </w:pPr>
            <w:r w:rsidRPr="007D116C">
              <w:rPr>
                <w:b/>
                <w:bCs/>
                <w:sz w:val="20"/>
                <w:szCs w:val="20"/>
              </w:rPr>
              <w:t>Empower people</w:t>
            </w:r>
          </w:p>
          <w:p w14:paraId="731A81BE"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Lead, empower and trust</w:t>
            </w:r>
          </w:p>
          <w:p w14:paraId="5AF05B05"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Play to everyone's strengths</w:t>
            </w:r>
          </w:p>
          <w:p w14:paraId="51E0B88A" w14:textId="77777777" w:rsidR="00067578" w:rsidRPr="007D116C" w:rsidRDefault="00067578" w:rsidP="00746094">
            <w:pPr>
              <w:numPr>
                <w:ilvl w:val="0"/>
                <w:numId w:val="4"/>
              </w:numPr>
              <w:spacing w:line="276"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D116C">
              <w:rPr>
                <w:sz w:val="20"/>
                <w:szCs w:val="20"/>
              </w:rPr>
              <w:t>Develop yourself and those around you</w:t>
            </w:r>
          </w:p>
        </w:tc>
      </w:tr>
    </w:tbl>
    <w:p w14:paraId="6B64B199" w14:textId="77777777" w:rsidR="00067578" w:rsidRPr="007D116C" w:rsidRDefault="00067578" w:rsidP="00067578">
      <w:pPr>
        <w:spacing w:line="276" w:lineRule="auto"/>
        <w:contextualSpacing/>
      </w:pPr>
    </w:p>
    <w:p w14:paraId="12FC1D3C" w14:textId="4A056440" w:rsidR="00E15598" w:rsidRPr="007D116C" w:rsidRDefault="34844111" w:rsidP="4A34D7B3">
      <w:pPr>
        <w:pStyle w:val="ListParagraph"/>
        <w:numPr>
          <w:ilvl w:val="0"/>
          <w:numId w:val="2"/>
        </w:numPr>
        <w:ind w:left="0" w:hanging="425"/>
      </w:pPr>
      <w:r w:rsidRPr="007D116C">
        <w:t>For</w:t>
      </w:r>
      <w:r w:rsidR="46331693" w:rsidRPr="007D116C">
        <w:t xml:space="preserve"> a regulator like the QBCC that operates within a complex regulatory environment with a strategy that empowers decision-makers with considerable discretion, it is important that its institutional values encourage professionalism and accountability, and </w:t>
      </w:r>
      <w:r w:rsidR="510F55EE" w:rsidRPr="007D116C">
        <w:t xml:space="preserve">that </w:t>
      </w:r>
      <w:r w:rsidR="46331693" w:rsidRPr="007D116C">
        <w:t xml:space="preserve">these are included in the QBCC’s </w:t>
      </w:r>
      <w:r w:rsidR="7CF78686" w:rsidRPr="007D116C">
        <w:t xml:space="preserve">stated </w:t>
      </w:r>
      <w:r w:rsidR="46331693" w:rsidRPr="007D116C">
        <w:t>behaviours.</w:t>
      </w:r>
    </w:p>
    <w:p w14:paraId="6C0DF69D" w14:textId="5C99601C" w:rsidR="00AF3B46" w:rsidRPr="007D116C" w:rsidRDefault="59E21BAA" w:rsidP="4A34D7B3">
      <w:pPr>
        <w:pStyle w:val="ListParagraph"/>
        <w:numPr>
          <w:ilvl w:val="0"/>
          <w:numId w:val="2"/>
        </w:numPr>
        <w:ind w:left="0" w:hanging="425"/>
      </w:pPr>
      <w:r w:rsidRPr="007D116C">
        <w:t>The</w:t>
      </w:r>
      <w:r w:rsidR="7D21BED7" w:rsidRPr="007D116C">
        <w:t xml:space="preserve"> credibility of a regulator is also an important part of its capability</w:t>
      </w:r>
      <w:r w:rsidR="23CF944F" w:rsidRPr="007D116C">
        <w:t>.</w:t>
      </w:r>
      <w:r w:rsidR="7D21BED7" w:rsidRPr="007D116C">
        <w:t xml:space="preserve"> </w:t>
      </w:r>
      <w:r w:rsidR="23CF944F" w:rsidRPr="007D116C">
        <w:t>T</w:t>
      </w:r>
      <w:r w:rsidR="7D21BED7" w:rsidRPr="007D116C">
        <w:t xml:space="preserve">he regulatory environment becomes more difficult </w:t>
      </w:r>
      <w:r w:rsidR="23CF944F" w:rsidRPr="007D116C">
        <w:t>if</w:t>
      </w:r>
      <w:r w:rsidR="7D21BED7" w:rsidRPr="007D116C">
        <w:t xml:space="preserve"> a regulator’s performance is perceived to decline. Institutional values are part of this dynamic in two ways: first, values influence performance and so in part determine </w:t>
      </w:r>
      <w:r w:rsidR="3A30F77A" w:rsidRPr="007D116C">
        <w:t>its overall capability</w:t>
      </w:r>
      <w:r w:rsidR="7D21BED7" w:rsidRPr="007D116C">
        <w:t xml:space="preserve">; and secondly, values affect the perception of the regulator’s credibility which in turn affects the regulatory environment. So, it is important that a regulator’s values, and their enactment as behaviours by staff and leaders, reflects the expectations of the regulated community. In short, to </w:t>
      </w:r>
      <w:r w:rsidR="7D21BED7" w:rsidRPr="007D116C">
        <w:lastRenderedPageBreak/>
        <w:t>the extent that they influence staff behaviour</w:t>
      </w:r>
      <w:r w:rsidR="3BD29D5C" w:rsidRPr="007D116C">
        <w:t xml:space="preserve"> and the credibility of the agency</w:t>
      </w:r>
      <w:r w:rsidR="7D21BED7" w:rsidRPr="007D116C">
        <w:t xml:space="preserve">, the values of a regulator are part of its capability. </w:t>
      </w:r>
    </w:p>
    <w:p w14:paraId="07B726C3" w14:textId="4A459FBD" w:rsidR="00F61085" w:rsidRPr="007D116C" w:rsidRDefault="00F61085" w:rsidP="00E15598">
      <w:pPr>
        <w:pStyle w:val="Heading2"/>
      </w:pPr>
      <w:bookmarkStart w:id="50" w:name="_Toc100599153"/>
      <w:r w:rsidRPr="007D116C">
        <w:t>Conclusion to Part E</w:t>
      </w:r>
      <w:bookmarkEnd w:id="50"/>
    </w:p>
    <w:p w14:paraId="73CDCB62" w14:textId="28CA08B7" w:rsidR="00A11262" w:rsidRPr="007D116C" w:rsidRDefault="59F96E01" w:rsidP="00240156">
      <w:pPr>
        <w:pStyle w:val="ListParagraph"/>
        <w:numPr>
          <w:ilvl w:val="0"/>
          <w:numId w:val="2"/>
        </w:numPr>
        <w:ind w:left="0" w:hanging="426"/>
      </w:pPr>
      <w:r w:rsidRPr="007D116C">
        <w:t>The Q</w:t>
      </w:r>
      <w:r w:rsidR="3424D87E" w:rsidRPr="007D116C">
        <w:t>B</w:t>
      </w:r>
      <w:r w:rsidRPr="007D116C">
        <w:t xml:space="preserve">CC requires that its leaders and workforce have certain capabilities specific to the regulatory profession, and which reflect the complexity and discretion inherent in its risk-based regulatory approach. To this end, it is important to recognise that regulation is increasingly understood as a distinct profession involving distinct capabilities. This fact should influence how regulators like the QBCC understand the capability mix required for the fulfilment of their mandates. Similarly, the values of a regulator like the QBCC should reflect the desirability of decision-makers at all </w:t>
      </w:r>
      <w:r w:rsidR="0B8AE627" w:rsidRPr="007D116C">
        <w:t>levels</w:t>
      </w:r>
      <w:r w:rsidRPr="007D116C">
        <w:t xml:space="preserve"> being empowered to develop their understanding of the regulatory environment and exercise the discretion inherent in their roles in furtherance of the regulator’s mission. This is vital for protecting the regulator’s credibility and shaping the regulatory environment</w:t>
      </w:r>
      <w:r w:rsidR="3365704A" w:rsidRPr="007D116C">
        <w:t>.</w:t>
      </w:r>
    </w:p>
    <w:p w14:paraId="60010E34" w14:textId="77777777" w:rsidR="00A11262" w:rsidRPr="007D116C" w:rsidRDefault="00A11262">
      <w:pPr>
        <w:rPr>
          <w:rFonts w:asciiTheme="majorHAnsi" w:eastAsiaTheme="majorEastAsia" w:hAnsiTheme="majorHAnsi" w:cstheme="majorBidi"/>
          <w:b/>
          <w:sz w:val="24"/>
          <w:szCs w:val="32"/>
        </w:rPr>
      </w:pPr>
      <w:r w:rsidRPr="007D116C">
        <w:br w:type="page"/>
      </w:r>
    </w:p>
    <w:p w14:paraId="6204564F" w14:textId="390716C3" w:rsidR="00A11262" w:rsidRPr="007D116C" w:rsidRDefault="00A11262" w:rsidP="008F4526">
      <w:pPr>
        <w:pStyle w:val="Heading3"/>
      </w:pPr>
      <w:bookmarkStart w:id="51" w:name="_Toc100599154"/>
      <w:r w:rsidRPr="007D116C">
        <w:lastRenderedPageBreak/>
        <w:t>Conclusion</w:t>
      </w:r>
      <w:bookmarkEnd w:id="51"/>
    </w:p>
    <w:p w14:paraId="1D493C62" w14:textId="7B7A4EE7" w:rsidR="002A2066" w:rsidRPr="007D116C" w:rsidRDefault="089AB54F" w:rsidP="002A2066">
      <w:pPr>
        <w:pStyle w:val="ListParagraph"/>
        <w:numPr>
          <w:ilvl w:val="0"/>
          <w:numId w:val="2"/>
        </w:numPr>
      </w:pPr>
      <w:r w:rsidRPr="007D116C">
        <w:t xml:space="preserve">The purpose of this report has been to illuminate certain identifiable features of the QBCC’s model and thereby to assist the independent review, rather than to recommend changes to the regulator or even to suggest that change is necessary, which is a question for the reviewer. </w:t>
      </w:r>
      <w:r w:rsidR="6B058EF8" w:rsidRPr="007D116C">
        <w:t>The</w:t>
      </w:r>
      <w:r w:rsidRPr="007D116C">
        <w:t xml:space="preserve"> analysis has sought to provide a</w:t>
      </w:r>
      <w:r w:rsidR="00ABA2C4" w:rsidRPr="007D116C">
        <w:t xml:space="preserve"> baseline </w:t>
      </w:r>
      <w:r w:rsidRPr="007D116C">
        <w:t xml:space="preserve">description of the QBCC, especially in relation to comparable regulators, and to elaborate using the best available evidence what its model and approach entail for its operations. </w:t>
      </w:r>
    </w:p>
    <w:p w14:paraId="1D9E457C" w14:textId="456893B3" w:rsidR="002A2066" w:rsidRPr="007D116C" w:rsidRDefault="089AB54F" w:rsidP="002A2066">
      <w:pPr>
        <w:pStyle w:val="ListParagraph"/>
        <w:numPr>
          <w:ilvl w:val="0"/>
          <w:numId w:val="2"/>
        </w:numPr>
      </w:pPr>
      <w:r>
        <w:t>To this end, this report has undertaken five related tasks: an analysis of the QBCC’s governance model, a comparison of that model with OECD best practice guidelines for regulators, a comparison between building and construction industry regulators in Australia’s mainland states, a discussion of the QBCC’s interpretation of Queensland’s risk-based regulatory approach in light of some of the relevant literature, and finally, a consideration of the capabilities and values appropriate for a regulator like the QBCC with that kind of regulatory approach.</w:t>
      </w:r>
      <w:r w:rsidR="45C1D6B6">
        <w:t xml:space="preserve"> It has also acknowledged the sectoral context and noted the high demands facing building regulation.</w:t>
      </w:r>
    </w:p>
    <w:p w14:paraId="06F88F5E" w14:textId="2FACB781" w:rsidR="005F5D65" w:rsidRPr="007D116C" w:rsidRDefault="089AB54F" w:rsidP="002A2066">
      <w:pPr>
        <w:pStyle w:val="ListParagraph"/>
        <w:numPr>
          <w:ilvl w:val="0"/>
          <w:numId w:val="2"/>
        </w:numPr>
      </w:pPr>
      <w:r w:rsidRPr="007D116C">
        <w:t>The overarching point that emerges from these tasks is that the QBCC has a difficult mission: it performs a wide range of functions within a</w:t>
      </w:r>
      <w:r w:rsidR="4A6498C7" w:rsidRPr="007D116C">
        <w:t>n</w:t>
      </w:r>
      <w:r w:rsidRPr="007D116C">
        <w:t xml:space="preserve"> </w:t>
      </w:r>
      <w:r w:rsidR="4A6498C7" w:rsidRPr="007D116C">
        <w:t xml:space="preserve">increasingly </w:t>
      </w:r>
      <w:r w:rsidRPr="007D116C">
        <w:t>complex regulatory environment</w:t>
      </w:r>
      <w:r w:rsidR="4A6498C7" w:rsidRPr="007D116C">
        <w:t xml:space="preserve"> in which regulated entities</w:t>
      </w:r>
      <w:r w:rsidR="328AB47F" w:rsidRPr="007D116C">
        <w:t xml:space="preserve"> are facing growing economic challenges</w:t>
      </w:r>
      <w:r w:rsidRPr="007D116C">
        <w:t>, and it is pursuing a regulatory approach that also requires a high level of capability. For these reasons, it is important to recognise the emerging understanding of regulation as a distinct profession requiring a unique set of capabilities, and the connection between those capabilities and the values that determine how they are deployed.</w:t>
      </w:r>
    </w:p>
    <w:p w14:paraId="36771CA6" w14:textId="57E3899B" w:rsidR="04191C1A" w:rsidRDefault="04191C1A" w:rsidP="502F8547">
      <w:pPr>
        <w:pStyle w:val="ListParagraph"/>
        <w:numPr>
          <w:ilvl w:val="0"/>
          <w:numId w:val="2"/>
        </w:numPr>
      </w:pPr>
      <w:r>
        <w:t xml:space="preserve">Materially, </w:t>
      </w:r>
      <w:r w:rsidR="7ED15DFE">
        <w:t xml:space="preserve">there is a </w:t>
      </w:r>
      <w:r>
        <w:t xml:space="preserve">deficit in operating </w:t>
      </w:r>
      <w:r w:rsidR="7A4204C6">
        <w:t xml:space="preserve">funds </w:t>
      </w:r>
      <w:r w:rsidR="7ED15DFE">
        <w:t>that has</w:t>
      </w:r>
      <w:r w:rsidR="7A4204C6">
        <w:t xml:space="preserve"> been offset </w:t>
      </w:r>
      <w:r w:rsidR="4766DACE">
        <w:t>by</w:t>
      </w:r>
      <w:r w:rsidR="7A4204C6">
        <w:t xml:space="preserve"> other grants and savings,</w:t>
      </w:r>
      <w:r w:rsidR="7ED15DFE">
        <w:t xml:space="preserve"> and</w:t>
      </w:r>
      <w:r w:rsidR="7A4204C6">
        <w:t xml:space="preserve"> </w:t>
      </w:r>
      <w:r w:rsidR="4766DACE">
        <w:t>payments to administer the insurance fund</w:t>
      </w:r>
      <w:r w:rsidR="7ED15DFE">
        <w:t>.</w:t>
      </w:r>
      <w:r w:rsidR="0DF4CC74">
        <w:t xml:space="preserve"> However, </w:t>
      </w:r>
      <w:r w:rsidR="59B0E732">
        <w:t xml:space="preserve">offsets </w:t>
      </w:r>
      <w:r w:rsidR="551DAD3B">
        <w:t>are tactical measures</w:t>
      </w:r>
      <w:r w:rsidR="1B21C003">
        <w:t xml:space="preserve"> </w:t>
      </w:r>
      <w:r w:rsidR="775B3EA1">
        <w:t>while</w:t>
      </w:r>
      <w:r w:rsidR="0DF4CC74">
        <w:t xml:space="preserve"> the </w:t>
      </w:r>
      <w:r w:rsidR="2C20AD50">
        <w:t xml:space="preserve">reforms required in recent years </w:t>
      </w:r>
      <w:r w:rsidR="775B3EA1">
        <w:t xml:space="preserve">appear to have put the </w:t>
      </w:r>
      <w:r w:rsidR="1B21C003">
        <w:t xml:space="preserve">QBCC’s </w:t>
      </w:r>
      <w:r w:rsidR="775B3EA1">
        <w:t xml:space="preserve">revenue </w:t>
      </w:r>
      <w:r w:rsidR="1B21C003">
        <w:t xml:space="preserve">stream </w:t>
      </w:r>
      <w:r w:rsidR="1232796B">
        <w:t>under</w:t>
      </w:r>
      <w:r w:rsidR="1E096D87">
        <w:t xml:space="preserve"> greater</w:t>
      </w:r>
      <w:r w:rsidR="1232796B">
        <w:t xml:space="preserve"> pressure.</w:t>
      </w:r>
      <w:r w:rsidR="0A2B2AB3">
        <w:t xml:space="preserve"> </w:t>
      </w:r>
      <w:r w:rsidR="4FB12581">
        <w:t>Levies</w:t>
      </w:r>
      <w:r w:rsidR="19ED2F61">
        <w:t xml:space="preserve"> exist and are</w:t>
      </w:r>
      <w:r w:rsidR="0A2B2AB3">
        <w:t xml:space="preserve"> being </w:t>
      </w:r>
      <w:r w:rsidR="4FB12581">
        <w:t>introduced</w:t>
      </w:r>
      <w:r w:rsidR="0A2B2AB3">
        <w:t xml:space="preserve"> in other </w:t>
      </w:r>
      <w:r w:rsidR="4FB12581">
        <w:t>jurisdictions</w:t>
      </w:r>
      <w:r w:rsidR="19ED2F61">
        <w:t xml:space="preserve"> to mitigate </w:t>
      </w:r>
      <w:r w:rsidR="05643285">
        <w:t xml:space="preserve">recent </w:t>
      </w:r>
      <w:r w:rsidR="1B9886B7">
        <w:t>sectoral reform</w:t>
      </w:r>
      <w:r w:rsidR="05643285">
        <w:t>s</w:t>
      </w:r>
      <w:r w:rsidR="19ED2F61">
        <w:t>.</w:t>
      </w:r>
      <w:r w:rsidR="4FB12581">
        <w:t xml:space="preserve"> </w:t>
      </w:r>
      <w:r w:rsidR="0A2B2AB3">
        <w:t xml:space="preserve"> </w:t>
      </w:r>
    </w:p>
    <w:p w14:paraId="126A18A4" w14:textId="3E2E9D62" w:rsidR="4341A428" w:rsidRPr="007D116C" w:rsidRDefault="089AB54F">
      <w:pPr>
        <w:pStyle w:val="ListParagraph"/>
        <w:numPr>
          <w:ilvl w:val="0"/>
          <w:numId w:val="2"/>
        </w:numPr>
        <w:ind w:left="0" w:hanging="426"/>
      </w:pPr>
      <w:r>
        <w:lastRenderedPageBreak/>
        <w:t>As the OECD notes, questions about regulatory governance and approaches can be answered in many ways, and what matters most is the effectiveness of a regulator against the mandate given it by government. But effective regulators tend to have a coherent understanding of their missions, their strategies, the roles of leaders and staff in carrying those out, and the results they want to achieve for the regulated community. This report has presented some of the opportunities and challenges of realising this idea of regulatory best practice.</w:t>
      </w:r>
      <w:r>
        <w:br w:type="page"/>
      </w:r>
    </w:p>
    <w:p w14:paraId="1D924FA9" w14:textId="19B8738E" w:rsidR="4341A428" w:rsidRPr="007D116C" w:rsidRDefault="6A239699" w:rsidP="008F4526">
      <w:pPr>
        <w:pStyle w:val="Heading3"/>
        <w:rPr>
          <w:rFonts w:ascii="Calibri Light" w:hAnsi="Calibri Light"/>
        </w:rPr>
      </w:pPr>
      <w:bookmarkStart w:id="52" w:name="_Toc100599155"/>
      <w:r w:rsidRPr="007D116C">
        <w:lastRenderedPageBreak/>
        <w:t>A</w:t>
      </w:r>
      <w:r w:rsidR="00A11262" w:rsidRPr="007D116C">
        <w:t>ppendi</w:t>
      </w:r>
      <w:r w:rsidR="003C7BCA" w:rsidRPr="007D116C">
        <w:t>x A:</w:t>
      </w:r>
      <w:r w:rsidRPr="007D116C">
        <w:t xml:space="preserve"> REVIEW TERMS OF REFERENCE</w:t>
      </w:r>
      <w:bookmarkEnd w:id="52"/>
    </w:p>
    <w:p w14:paraId="0D3F4ED8" w14:textId="4EFF97FC" w:rsidR="4341A428" w:rsidRPr="007D116C" w:rsidRDefault="4341A428" w:rsidP="4341A428">
      <w:pPr>
        <w:rPr>
          <w:rFonts w:ascii="Calibri" w:eastAsia="Calibri" w:hAnsi="Calibri" w:cs="Calibri"/>
        </w:rPr>
      </w:pPr>
      <w:r w:rsidRPr="007D116C">
        <w:rPr>
          <w:rFonts w:ascii="Calibri" w:eastAsia="Calibri" w:hAnsi="Calibri" w:cs="Calibri"/>
        </w:rPr>
        <w:t>Scope In undertaking the review, advice and recommendations will be provided on whether:</w:t>
      </w:r>
    </w:p>
    <w:p w14:paraId="7F57A4C1" w14:textId="28446E94" w:rsidR="4341A428" w:rsidRPr="007D116C" w:rsidRDefault="4341A428" w:rsidP="007612F0">
      <w:pPr>
        <w:spacing w:line="276" w:lineRule="auto"/>
        <w:rPr>
          <w:rFonts w:ascii="Calibri" w:eastAsia="Calibri" w:hAnsi="Calibri" w:cs="Calibri"/>
        </w:rPr>
      </w:pPr>
      <w:r w:rsidRPr="007D116C">
        <w:rPr>
          <w:rFonts w:ascii="Calibri" w:eastAsia="Calibri" w:hAnsi="Calibri" w:cs="Calibri"/>
        </w:rPr>
        <w:t>1. the QBCC’s structure and governance arrangements reflect best practice for similar regulatory bodies in Queensland or other jurisdictions, including whether all current functions should continue, or continue in their current form, in particular dispute resolution, and any proposed adjustments to ensure best practice</w:t>
      </w:r>
    </w:p>
    <w:p w14:paraId="561144F4" w14:textId="6F545440" w:rsidR="4341A428" w:rsidRPr="007D116C" w:rsidRDefault="4341A428" w:rsidP="007612F0">
      <w:pPr>
        <w:spacing w:line="276" w:lineRule="auto"/>
        <w:rPr>
          <w:rFonts w:ascii="Calibri" w:eastAsia="Calibri" w:hAnsi="Calibri" w:cs="Calibri"/>
        </w:rPr>
      </w:pPr>
      <w:r w:rsidRPr="007D116C">
        <w:rPr>
          <w:rFonts w:ascii="Calibri" w:eastAsia="Calibri" w:hAnsi="Calibri" w:cs="Calibri"/>
        </w:rPr>
        <w:t>2. the roles and responsibilities of the QBCC and the QBC Board are sufficiently clear and support good governance</w:t>
      </w:r>
    </w:p>
    <w:p w14:paraId="1754A69B" w14:textId="20EF786A" w:rsidR="4341A428" w:rsidRPr="007D116C" w:rsidRDefault="4341A428" w:rsidP="007612F0">
      <w:pPr>
        <w:spacing w:line="276" w:lineRule="auto"/>
        <w:rPr>
          <w:rFonts w:ascii="Calibri" w:eastAsia="Calibri" w:hAnsi="Calibri" w:cs="Calibri"/>
        </w:rPr>
      </w:pPr>
      <w:r w:rsidRPr="007D116C">
        <w:rPr>
          <w:rFonts w:ascii="Calibri" w:eastAsia="Calibri" w:hAnsi="Calibri" w:cs="Calibri"/>
        </w:rPr>
        <w:t>3. any legislative amendments or administrative changes required to give effect to any potential improvements identified from 1 and 2</w:t>
      </w:r>
    </w:p>
    <w:p w14:paraId="51FA9A56" w14:textId="43DFBC3E" w:rsidR="4341A428" w:rsidRPr="007D116C" w:rsidRDefault="4341A428" w:rsidP="007612F0">
      <w:pPr>
        <w:spacing w:line="276" w:lineRule="auto"/>
        <w:rPr>
          <w:rFonts w:ascii="Calibri" w:eastAsia="Calibri" w:hAnsi="Calibri" w:cs="Calibri"/>
        </w:rPr>
      </w:pPr>
      <w:r w:rsidRPr="007D116C">
        <w:rPr>
          <w:rFonts w:ascii="Calibri" w:eastAsia="Calibri" w:hAnsi="Calibri" w:cs="Calibri"/>
        </w:rPr>
        <w:t xml:space="preserve">4. any other relevant matters exist that should be further examined to ensure the QBCC is well positioned to deliver on government commitments and reforms. </w:t>
      </w:r>
    </w:p>
    <w:p w14:paraId="54101FFD" w14:textId="024F1C08" w:rsidR="4341A428" w:rsidRPr="007D116C" w:rsidRDefault="4341A428" w:rsidP="007612F0">
      <w:pPr>
        <w:spacing w:line="276" w:lineRule="auto"/>
        <w:rPr>
          <w:rFonts w:ascii="Calibri" w:eastAsia="Calibri" w:hAnsi="Calibri" w:cs="Calibri"/>
        </w:rPr>
      </w:pPr>
      <w:r w:rsidRPr="007D116C">
        <w:rPr>
          <w:rFonts w:ascii="Calibri" w:eastAsia="Calibri" w:hAnsi="Calibri" w:cs="Calibri"/>
        </w:rPr>
        <w:t xml:space="preserve">In making recommendations, the report should: </w:t>
      </w:r>
    </w:p>
    <w:p w14:paraId="40A3A3E1" w14:textId="4B00215A" w:rsidR="4341A428" w:rsidRPr="007D116C" w:rsidRDefault="4341A428" w:rsidP="007612F0">
      <w:pPr>
        <w:pStyle w:val="ListParagraph"/>
        <w:numPr>
          <w:ilvl w:val="0"/>
          <w:numId w:val="1"/>
        </w:numPr>
        <w:spacing w:line="276" w:lineRule="auto"/>
        <w:rPr>
          <w:rFonts w:eastAsiaTheme="minorEastAsia"/>
        </w:rPr>
      </w:pPr>
      <w:r w:rsidRPr="007D116C">
        <w:rPr>
          <w:rFonts w:ascii="Calibri" w:eastAsia="Calibri" w:hAnsi="Calibri" w:cs="Calibri"/>
        </w:rPr>
        <w:t>clearly identify what elements of the QBCC’s work were considered, findings, and the reasoning behind recommendations</w:t>
      </w:r>
    </w:p>
    <w:p w14:paraId="52503B21" w14:textId="18D018F3" w:rsidR="4341A428" w:rsidRPr="007D116C" w:rsidRDefault="4341A428" w:rsidP="007612F0">
      <w:pPr>
        <w:pStyle w:val="ListParagraph"/>
        <w:numPr>
          <w:ilvl w:val="0"/>
          <w:numId w:val="1"/>
        </w:numPr>
        <w:spacing w:line="276" w:lineRule="auto"/>
        <w:rPr>
          <w:rFonts w:eastAsiaTheme="minorEastAsia"/>
        </w:rPr>
      </w:pPr>
      <w:r w:rsidRPr="007D116C">
        <w:rPr>
          <w:rFonts w:ascii="Calibri" w:eastAsia="Calibri" w:hAnsi="Calibri" w:cs="Calibri"/>
        </w:rPr>
        <w:t>clearly identify whether each of the recommendations can be implemented immediately, or requires longer term consideration, with a focus on workable and pragmatic solutions</w:t>
      </w:r>
    </w:p>
    <w:p w14:paraId="68754A79" w14:textId="6FFD873A" w:rsidR="4341A428" w:rsidRPr="007D116C" w:rsidRDefault="4341A428" w:rsidP="007612F0">
      <w:pPr>
        <w:pStyle w:val="ListParagraph"/>
        <w:numPr>
          <w:ilvl w:val="0"/>
          <w:numId w:val="1"/>
        </w:numPr>
        <w:spacing w:line="276" w:lineRule="auto"/>
        <w:rPr>
          <w:rFonts w:eastAsiaTheme="minorEastAsia"/>
        </w:rPr>
      </w:pPr>
      <w:r w:rsidRPr="007D116C">
        <w:rPr>
          <w:rFonts w:ascii="Calibri" w:eastAsia="Calibri" w:hAnsi="Calibri" w:cs="Calibri"/>
        </w:rPr>
        <w:t>if recommending changes in structures or functions, outline the changes proposed, with reference to legislative schemes in Queensland and other jurisdictions</w:t>
      </w:r>
    </w:p>
    <w:p w14:paraId="776AE979" w14:textId="50793881" w:rsidR="4341A428" w:rsidRPr="007D116C" w:rsidRDefault="4341A428" w:rsidP="007612F0">
      <w:pPr>
        <w:pStyle w:val="ListParagraph"/>
        <w:numPr>
          <w:ilvl w:val="0"/>
          <w:numId w:val="1"/>
        </w:numPr>
        <w:spacing w:line="276" w:lineRule="auto"/>
        <w:rPr>
          <w:rFonts w:eastAsiaTheme="minorEastAsia"/>
        </w:rPr>
      </w:pPr>
      <w:r w:rsidRPr="007D116C">
        <w:rPr>
          <w:rFonts w:ascii="Calibri" w:eastAsia="Calibri" w:hAnsi="Calibri" w:cs="Calibri"/>
        </w:rPr>
        <w:t>if relevant, recommend what alternatives to legislative change could be considered by government, for example, administrative options</w:t>
      </w:r>
    </w:p>
    <w:p w14:paraId="00D8FD31" w14:textId="7B141C10" w:rsidR="4341A428" w:rsidRPr="007D116C" w:rsidRDefault="4341A428" w:rsidP="007612F0">
      <w:pPr>
        <w:pStyle w:val="ListParagraph"/>
        <w:numPr>
          <w:ilvl w:val="0"/>
          <w:numId w:val="1"/>
        </w:numPr>
        <w:spacing w:line="276" w:lineRule="auto"/>
        <w:rPr>
          <w:rFonts w:eastAsiaTheme="minorEastAsia"/>
        </w:rPr>
      </w:pPr>
      <w:r w:rsidRPr="007D116C">
        <w:rPr>
          <w:rFonts w:ascii="Calibri" w:eastAsia="Calibri" w:hAnsi="Calibri" w:cs="Calibri"/>
        </w:rPr>
        <w:t>if relevant, recommend a combination of legislative and administrative change and detail how these might interact</w:t>
      </w:r>
    </w:p>
    <w:p w14:paraId="60E185C4" w14:textId="34D04D17" w:rsidR="4341A428" w:rsidRPr="007D116C" w:rsidRDefault="4341A428" w:rsidP="007612F0">
      <w:pPr>
        <w:pStyle w:val="ListParagraph"/>
        <w:numPr>
          <w:ilvl w:val="0"/>
          <w:numId w:val="1"/>
        </w:numPr>
        <w:spacing w:line="276" w:lineRule="auto"/>
        <w:rPr>
          <w:rFonts w:eastAsiaTheme="minorEastAsia"/>
        </w:rPr>
      </w:pPr>
      <w:r w:rsidRPr="007D116C">
        <w:rPr>
          <w:rFonts w:ascii="Calibri" w:eastAsia="Calibri" w:hAnsi="Calibri" w:cs="Calibri"/>
        </w:rPr>
        <w:t>what further action may be necessary to implement a recommendation</w:t>
      </w:r>
    </w:p>
    <w:p w14:paraId="08E93F56" w14:textId="4F4967FF" w:rsidR="4341A428" w:rsidRPr="007D116C" w:rsidRDefault="4341A428" w:rsidP="007612F0">
      <w:pPr>
        <w:pStyle w:val="ListParagraph"/>
        <w:numPr>
          <w:ilvl w:val="0"/>
          <w:numId w:val="1"/>
        </w:numPr>
        <w:spacing w:line="276" w:lineRule="auto"/>
        <w:rPr>
          <w:rFonts w:eastAsiaTheme="minorEastAsia"/>
        </w:rPr>
      </w:pPr>
      <w:r w:rsidRPr="007D116C">
        <w:rPr>
          <w:rFonts w:ascii="Calibri" w:eastAsia="Calibri" w:hAnsi="Calibri" w:cs="Calibri"/>
        </w:rPr>
        <w:t>if no further action is required, specify why.</w:t>
      </w:r>
    </w:p>
    <w:p w14:paraId="27778B47" w14:textId="1FC83487" w:rsidR="4341A428" w:rsidRPr="007D116C" w:rsidRDefault="4341A428">
      <w:r w:rsidRPr="007D116C">
        <w:br w:type="page"/>
      </w:r>
    </w:p>
    <w:p w14:paraId="6FDDE22C" w14:textId="77777777" w:rsidR="0054799C" w:rsidRPr="007D116C" w:rsidRDefault="0054799C">
      <w:pPr>
        <w:rPr>
          <w:b/>
          <w:bCs/>
        </w:rPr>
        <w:sectPr w:rsidR="0054799C" w:rsidRPr="007D116C" w:rsidSect="00F0085A">
          <w:headerReference w:type="default" r:id="rId19"/>
          <w:pgSz w:w="11906" w:h="16838"/>
          <w:pgMar w:top="1440" w:right="1440" w:bottom="1440" w:left="1440" w:header="708" w:footer="708" w:gutter="0"/>
          <w:cols w:space="708"/>
          <w:docGrid w:linePitch="360"/>
        </w:sectPr>
      </w:pPr>
    </w:p>
    <w:p w14:paraId="4D7A6AC7" w14:textId="500A23A3" w:rsidR="4341A428" w:rsidRPr="007D116C" w:rsidRDefault="4341A428" w:rsidP="0054799C">
      <w:pPr>
        <w:rPr>
          <w:b/>
          <w:bCs/>
        </w:rPr>
      </w:pPr>
      <w:r w:rsidRPr="007D116C">
        <w:rPr>
          <w:b/>
          <w:bCs/>
        </w:rPr>
        <w:lastRenderedPageBreak/>
        <w:t>APPENDIX B: QBCC Organisational Chart</w:t>
      </w:r>
    </w:p>
    <w:p w14:paraId="19FB168B" w14:textId="77777777" w:rsidR="007964A3" w:rsidRPr="007D116C" w:rsidRDefault="007964A3" w:rsidP="007964A3">
      <w:pPr>
        <w:rPr>
          <w:rFonts w:eastAsiaTheme="minorEastAsia"/>
        </w:rPr>
      </w:pPr>
      <w:r w:rsidRPr="007D116C">
        <w:t xml:space="preserve">Cite org chart: </w:t>
      </w:r>
      <w:hyperlink r:id="rId20">
        <w:r w:rsidRPr="007D116C">
          <w:rPr>
            <w:rStyle w:val="Hyperlink"/>
            <w:color w:val="auto"/>
          </w:rPr>
          <w:t>https://www.qbcc.qld.gov.au/sites/default/files/QBCC_Organisational_Chart.pdf</w:t>
        </w:r>
      </w:hyperlink>
    </w:p>
    <w:p w14:paraId="6F15E618" w14:textId="77777777" w:rsidR="0054799C" w:rsidRPr="007D116C" w:rsidRDefault="0054799C" w:rsidP="0054799C">
      <w:pPr>
        <w:rPr>
          <w:b/>
          <w:bCs/>
        </w:rPr>
      </w:pPr>
    </w:p>
    <w:p w14:paraId="2DEED618" w14:textId="3FE0C459" w:rsidR="4341A428" w:rsidRPr="007D116C" w:rsidRDefault="4341A428" w:rsidP="4341A428">
      <w:pPr>
        <w:rPr>
          <w:b/>
          <w:bCs/>
        </w:rPr>
      </w:pPr>
    </w:p>
    <w:sectPr w:rsidR="4341A428" w:rsidRPr="007D116C" w:rsidSect="0054799C">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942E" w14:textId="77777777" w:rsidR="001C4EBB" w:rsidRDefault="001C4EBB" w:rsidP="006D76ED">
      <w:pPr>
        <w:spacing w:after="0" w:line="240" w:lineRule="auto"/>
      </w:pPr>
      <w:r>
        <w:separator/>
      </w:r>
    </w:p>
  </w:endnote>
  <w:endnote w:type="continuationSeparator" w:id="0">
    <w:p w14:paraId="79B50585" w14:textId="77777777" w:rsidR="001C4EBB" w:rsidRDefault="001C4EBB" w:rsidP="006D76ED">
      <w:pPr>
        <w:spacing w:after="0" w:line="240" w:lineRule="auto"/>
      </w:pPr>
      <w:r>
        <w:continuationSeparator/>
      </w:r>
    </w:p>
  </w:endnote>
  <w:endnote w:type="continuationNotice" w:id="1">
    <w:p w14:paraId="4776CC10" w14:textId="77777777" w:rsidR="001C4EBB" w:rsidRDefault="001C4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ommet">
    <w:altName w:val="Cambria"/>
    <w:panose1 w:val="00000000000000000000"/>
    <w:charset w:val="4D"/>
    <w:family w:val="auto"/>
    <w:notTrueType/>
    <w:pitch w:val="variable"/>
    <w:sig w:usb0="A00000AF" w:usb1="5000005B" w:usb2="00000000" w:usb3="00000000" w:csb0="00000193" w:csb1="00000000"/>
  </w:font>
  <w:font w:name="Nunito">
    <w:charset w:val="00"/>
    <w:family w:val="auto"/>
    <w:pitch w:val="variable"/>
    <w:sig w:usb0="A00002FF" w:usb1="5000204B" w:usb2="00000000" w:usb3="00000000" w:csb0="00000197"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9574" w14:textId="39A7F575" w:rsidR="00581423" w:rsidRDefault="00581423">
    <w:pPr>
      <w:pStyle w:val="Footer"/>
      <w:jc w:val="right"/>
    </w:pPr>
  </w:p>
  <w:p w14:paraId="61469B8F" w14:textId="2C98D420" w:rsidR="006D76ED" w:rsidRDefault="006D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34145"/>
      <w:docPartObj>
        <w:docPartGallery w:val="Page Numbers (Bottom of Page)"/>
        <w:docPartUnique/>
      </w:docPartObj>
    </w:sdtPr>
    <w:sdtEndPr>
      <w:rPr>
        <w:noProof/>
      </w:rPr>
    </w:sdtEndPr>
    <w:sdtContent>
      <w:p w14:paraId="7B806104" w14:textId="5BD08329" w:rsidR="009B1DAD" w:rsidRDefault="009B1D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B04FB2" w14:textId="4DA46C79" w:rsidR="009B1DAD" w:rsidRDefault="009B1DAD">
    <w:pPr>
      <w:pStyle w:val="Footer"/>
    </w:pPr>
    <w:r>
      <w:t>Australia and New Zealand School of Government (ANZSOG)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4052" w14:textId="77777777" w:rsidR="001C4EBB" w:rsidRDefault="001C4EBB" w:rsidP="006D76ED">
      <w:pPr>
        <w:spacing w:after="0" w:line="240" w:lineRule="auto"/>
      </w:pPr>
      <w:r>
        <w:separator/>
      </w:r>
    </w:p>
  </w:footnote>
  <w:footnote w:type="continuationSeparator" w:id="0">
    <w:p w14:paraId="7C4FC8EA" w14:textId="77777777" w:rsidR="001C4EBB" w:rsidRDefault="001C4EBB" w:rsidP="006D76ED">
      <w:pPr>
        <w:spacing w:after="0" w:line="240" w:lineRule="auto"/>
      </w:pPr>
      <w:r>
        <w:continuationSeparator/>
      </w:r>
    </w:p>
  </w:footnote>
  <w:footnote w:type="continuationNotice" w:id="1">
    <w:p w14:paraId="570F81C8" w14:textId="77777777" w:rsidR="001C4EBB" w:rsidRDefault="001C4EBB">
      <w:pPr>
        <w:spacing w:after="0" w:line="240" w:lineRule="auto"/>
      </w:pPr>
    </w:p>
  </w:footnote>
  <w:footnote w:id="2">
    <w:p w14:paraId="2D49196C" w14:textId="18596A4D" w:rsidR="00FB0A25" w:rsidRPr="008076C0" w:rsidRDefault="00FB0A25" w:rsidP="00933C54">
      <w:pPr>
        <w:pStyle w:val="FootnoteText"/>
        <w:jc w:val="left"/>
        <w:rPr>
          <w:rFonts w:cstheme="minorHAnsi"/>
        </w:rPr>
      </w:pPr>
      <w:r w:rsidRPr="008076C0">
        <w:rPr>
          <w:rStyle w:val="FootnoteReference"/>
          <w:rFonts w:cstheme="minorHAnsi"/>
        </w:rPr>
        <w:footnoteRef/>
      </w:r>
      <w:r w:rsidRPr="008076C0">
        <w:rPr>
          <w:rFonts w:cstheme="minorHAnsi"/>
        </w:rPr>
        <w:t xml:space="preserve"> </w:t>
      </w:r>
      <w:r w:rsidR="00933C54" w:rsidRPr="008076C0">
        <w:rPr>
          <w:rFonts w:cstheme="minorHAnsi"/>
        </w:rPr>
        <w:t>Department of Energy and Public Works</w:t>
      </w:r>
      <w:r w:rsidR="001D582C" w:rsidRPr="008076C0">
        <w:rPr>
          <w:rFonts w:cstheme="minorHAnsi"/>
        </w:rPr>
        <w:t xml:space="preserve"> (DEPW)</w:t>
      </w:r>
      <w:r w:rsidR="00933C54" w:rsidRPr="008076C0">
        <w:rPr>
          <w:rFonts w:cstheme="minorHAnsi"/>
        </w:rPr>
        <w:t xml:space="preserve"> (2022)</w:t>
      </w:r>
      <w:r w:rsidR="00F833E6" w:rsidRPr="008076C0">
        <w:rPr>
          <w:rFonts w:cstheme="minorHAnsi"/>
        </w:rPr>
        <w:t>,</w:t>
      </w:r>
      <w:r w:rsidR="00933C54" w:rsidRPr="008076C0">
        <w:rPr>
          <w:rFonts w:cstheme="minorHAnsi"/>
        </w:rPr>
        <w:t xml:space="preserve"> “About the QBCC governance review</w:t>
      </w:r>
      <w:r w:rsidR="00D17398" w:rsidRPr="008076C0">
        <w:rPr>
          <w:rFonts w:cstheme="minorHAnsi"/>
        </w:rPr>
        <w:t>,</w:t>
      </w:r>
      <w:r w:rsidR="00933C54" w:rsidRPr="008076C0">
        <w:rPr>
          <w:rFonts w:cstheme="minorHAnsi"/>
        </w:rPr>
        <w:t>”</w:t>
      </w:r>
      <w:r w:rsidR="00D17398" w:rsidRPr="008076C0">
        <w:rPr>
          <w:rFonts w:cstheme="minorHAnsi"/>
        </w:rPr>
        <w:t xml:space="preserve"> accessed 4</w:t>
      </w:r>
      <w:r w:rsidR="00757884">
        <w:rPr>
          <w:rFonts w:cstheme="minorHAnsi"/>
        </w:rPr>
        <w:t> </w:t>
      </w:r>
      <w:r w:rsidR="00D17398" w:rsidRPr="008076C0">
        <w:rPr>
          <w:rFonts w:cstheme="minorHAnsi"/>
        </w:rPr>
        <w:t>April 2022. &lt;</w:t>
      </w:r>
      <w:r w:rsidRPr="008076C0">
        <w:rPr>
          <w:rFonts w:cstheme="minorHAnsi"/>
        </w:rPr>
        <w:t>https://www.epw.qld.gov.au/about/initiatives/qbcc-governance-review/abou</w:t>
      </w:r>
      <w:r w:rsidR="00D17398" w:rsidRPr="008076C0">
        <w:rPr>
          <w:rFonts w:cstheme="minorHAnsi"/>
        </w:rPr>
        <w:t>t&gt;</w:t>
      </w:r>
      <w:r w:rsidRPr="008076C0">
        <w:rPr>
          <w:rFonts w:cstheme="minorHAnsi"/>
        </w:rPr>
        <w:t xml:space="preserve"> </w:t>
      </w:r>
    </w:p>
  </w:footnote>
  <w:footnote w:id="3">
    <w:p w14:paraId="5D996B00" w14:textId="2AC8C38D" w:rsidR="00795670" w:rsidRPr="008076C0" w:rsidRDefault="00795670" w:rsidP="00933C54">
      <w:pPr>
        <w:pStyle w:val="FootnoteText"/>
        <w:jc w:val="left"/>
        <w:rPr>
          <w:rFonts w:cstheme="minorHAnsi"/>
        </w:rPr>
      </w:pPr>
      <w:r w:rsidRPr="008076C0">
        <w:rPr>
          <w:rStyle w:val="FootnoteReference"/>
          <w:rFonts w:cstheme="minorHAnsi"/>
        </w:rPr>
        <w:footnoteRef/>
      </w:r>
      <w:r w:rsidRPr="008076C0">
        <w:rPr>
          <w:rFonts w:cstheme="minorHAnsi"/>
        </w:rPr>
        <w:t xml:space="preserve"> </w:t>
      </w:r>
      <w:r w:rsidR="001D582C" w:rsidRPr="008076C0">
        <w:rPr>
          <w:rFonts w:cstheme="minorHAnsi"/>
        </w:rPr>
        <w:t>For more information see: Australia and New Zealand School of Government</w:t>
      </w:r>
      <w:r w:rsidRPr="008076C0">
        <w:rPr>
          <w:rFonts w:cstheme="minorHAnsi"/>
        </w:rPr>
        <w:t xml:space="preserve"> </w:t>
      </w:r>
      <w:r w:rsidR="001D582C" w:rsidRPr="008076C0">
        <w:rPr>
          <w:rFonts w:cstheme="minorHAnsi"/>
        </w:rPr>
        <w:t>(</w:t>
      </w:r>
      <w:r w:rsidRPr="008076C0">
        <w:rPr>
          <w:rFonts w:cstheme="minorHAnsi"/>
        </w:rPr>
        <w:t>ANZSOG</w:t>
      </w:r>
      <w:r w:rsidR="001D582C" w:rsidRPr="008076C0">
        <w:rPr>
          <w:rFonts w:cstheme="minorHAnsi"/>
        </w:rPr>
        <w:t>)</w:t>
      </w:r>
      <w:r w:rsidRPr="008076C0">
        <w:rPr>
          <w:rFonts w:cstheme="minorHAnsi"/>
        </w:rPr>
        <w:t xml:space="preserve">, </w:t>
      </w:r>
      <w:r w:rsidR="00F833E6" w:rsidRPr="008076C0">
        <w:rPr>
          <w:rFonts w:cstheme="minorHAnsi"/>
        </w:rPr>
        <w:t>“About us,” accessed 4 April 2022 &lt;https://www.anzsog.edu.au/about/about-us&gt;</w:t>
      </w:r>
    </w:p>
  </w:footnote>
  <w:footnote w:id="4">
    <w:p w14:paraId="3BEA5A54" w14:textId="17737A3B" w:rsidR="00FB0A25" w:rsidRPr="00DE27B8" w:rsidRDefault="00FB0A25" w:rsidP="00933C54">
      <w:pPr>
        <w:pStyle w:val="FootnoteText"/>
        <w:jc w:val="left"/>
        <w:rPr>
          <w:rFonts w:cstheme="minorHAnsi"/>
          <w:sz w:val="18"/>
          <w:szCs w:val="18"/>
        </w:rPr>
      </w:pPr>
      <w:r w:rsidRPr="008076C0">
        <w:rPr>
          <w:rStyle w:val="FootnoteReference"/>
          <w:rFonts w:cstheme="minorHAnsi"/>
        </w:rPr>
        <w:footnoteRef/>
      </w:r>
      <w:r w:rsidRPr="008076C0">
        <w:rPr>
          <w:rFonts w:cstheme="minorHAnsi"/>
        </w:rPr>
        <w:t xml:space="preserve"> Queensland Government</w:t>
      </w:r>
      <w:r w:rsidR="00A02EA8" w:rsidRPr="008076C0">
        <w:rPr>
          <w:rFonts w:cstheme="minorHAnsi"/>
        </w:rPr>
        <w:t xml:space="preserve"> (2020</w:t>
      </w:r>
      <w:r w:rsidR="00FC072E" w:rsidRPr="008076C0">
        <w:rPr>
          <w:rFonts w:cstheme="minorHAnsi"/>
        </w:rPr>
        <w:t>)</w:t>
      </w:r>
      <w:r w:rsidR="00A02EA8" w:rsidRPr="008076C0">
        <w:rPr>
          <w:rFonts w:cstheme="minorHAnsi"/>
        </w:rPr>
        <w:t xml:space="preserve">, </w:t>
      </w:r>
      <w:r w:rsidR="00A02EA8" w:rsidRPr="008076C0">
        <w:rPr>
          <w:rFonts w:cstheme="minorHAnsi"/>
          <w:i/>
          <w:iCs/>
        </w:rPr>
        <w:t>Progress report on 2017 election commitments June 2020</w:t>
      </w:r>
      <w:r w:rsidRPr="008076C0">
        <w:rPr>
          <w:rFonts w:cstheme="minorHAnsi"/>
        </w:rPr>
        <w:t xml:space="preserve"> p. 36</w:t>
      </w:r>
      <w:r w:rsidR="00A02EA8" w:rsidRPr="008076C0">
        <w:rPr>
          <w:rFonts w:cstheme="minorHAnsi"/>
        </w:rPr>
        <w:t xml:space="preserve">. Available here: </w:t>
      </w:r>
      <w:r w:rsidR="009447DF" w:rsidRPr="008076C0">
        <w:rPr>
          <w:rFonts w:cstheme="minorHAnsi"/>
        </w:rPr>
        <w:t>&lt;</w:t>
      </w:r>
      <w:r w:rsidR="00A02EA8" w:rsidRPr="008076C0">
        <w:rPr>
          <w:rFonts w:cstheme="minorHAnsi"/>
        </w:rPr>
        <w:t>https://cabinet.qld.gov.au/documents/2020/May/GvtCtts/Attachments/2017.PDF</w:t>
      </w:r>
      <w:r w:rsidR="009447DF" w:rsidRPr="008076C0">
        <w:rPr>
          <w:rFonts w:cstheme="minorHAnsi"/>
        </w:rPr>
        <w:t xml:space="preserve">&gt; </w:t>
      </w:r>
      <w:r w:rsidR="009E676A" w:rsidRPr="008076C0">
        <w:rPr>
          <w:rFonts w:cstheme="minorHAnsi"/>
        </w:rPr>
        <w:t>(accessed 4</w:t>
      </w:r>
      <w:r w:rsidR="00757884">
        <w:rPr>
          <w:rFonts w:cstheme="minorHAnsi"/>
        </w:rPr>
        <w:t> </w:t>
      </w:r>
      <w:r w:rsidR="009E676A" w:rsidRPr="008076C0">
        <w:rPr>
          <w:rFonts w:cstheme="minorHAnsi"/>
        </w:rPr>
        <w:t>April</w:t>
      </w:r>
      <w:r w:rsidR="00757884">
        <w:rPr>
          <w:rFonts w:cstheme="minorHAnsi"/>
        </w:rPr>
        <w:t> </w:t>
      </w:r>
      <w:r w:rsidR="009E676A" w:rsidRPr="008076C0">
        <w:rPr>
          <w:rFonts w:cstheme="minorHAnsi"/>
        </w:rPr>
        <w:t>2022)</w:t>
      </w:r>
      <w:r w:rsidR="00A02EA8" w:rsidRPr="008076C0">
        <w:rPr>
          <w:rFonts w:cstheme="minorHAnsi"/>
        </w:rPr>
        <w:t xml:space="preserve"> </w:t>
      </w:r>
    </w:p>
  </w:footnote>
  <w:footnote w:id="5">
    <w:p w14:paraId="627FA39F" w14:textId="6FD326A3" w:rsidR="00614885" w:rsidRPr="006A11C1" w:rsidRDefault="00614885" w:rsidP="00614885">
      <w:pPr>
        <w:pStyle w:val="FootnoteText"/>
        <w:rPr>
          <w:lang w:val="en-AU"/>
        </w:rPr>
      </w:pPr>
      <w:r>
        <w:rPr>
          <w:rStyle w:val="FootnoteReference"/>
        </w:rPr>
        <w:footnoteRef/>
      </w:r>
      <w:r>
        <w:t xml:space="preserve"> </w:t>
      </w:r>
      <w:r w:rsidR="0047583F">
        <w:rPr>
          <w:lang w:val="en-AU"/>
        </w:rPr>
        <w:t>Explanatory Notes</w:t>
      </w:r>
      <w:r w:rsidR="0047583F" w:rsidRPr="0040077F">
        <w:rPr>
          <w:i/>
          <w:iCs/>
          <w:lang w:val="en-AU"/>
        </w:rPr>
        <w:t xml:space="preserve"> </w:t>
      </w:r>
      <w:r w:rsidR="0047583F">
        <w:rPr>
          <w:lang w:val="en-AU"/>
        </w:rPr>
        <w:t xml:space="preserve">for </w:t>
      </w:r>
      <w:r w:rsidRPr="0040077F">
        <w:rPr>
          <w:i/>
          <w:iCs/>
          <w:lang w:val="en-AU"/>
        </w:rPr>
        <w:t>Queensland Building and Construction Commission and Other Legislation Amendment Bill 2014</w:t>
      </w:r>
      <w:r w:rsidR="00FA3CA2">
        <w:rPr>
          <w:i/>
          <w:iCs/>
          <w:lang w:val="en-AU"/>
        </w:rPr>
        <w:t xml:space="preserve"> (Qld)</w:t>
      </w:r>
      <w:r w:rsidR="0047583F">
        <w:rPr>
          <w:lang w:val="en-AU"/>
        </w:rPr>
        <w:t>. Available here: &lt;</w:t>
      </w:r>
      <w:r w:rsidRPr="0047583F">
        <w:rPr>
          <w:lang w:val="en-AU"/>
        </w:rPr>
        <w:t>https://www.legislation.qld.gov.au/view/pdf/bill.first.exp/bill-2014-1818</w:t>
      </w:r>
      <w:r w:rsidR="0047583F">
        <w:rPr>
          <w:lang w:val="en-AU"/>
        </w:rPr>
        <w:t>&gt; (accessed 4 April 2022)</w:t>
      </w:r>
      <w:r>
        <w:rPr>
          <w:lang w:val="en-AU"/>
        </w:rPr>
        <w:t xml:space="preserve"> </w:t>
      </w:r>
    </w:p>
  </w:footnote>
  <w:footnote w:id="6">
    <w:p w14:paraId="12858522" w14:textId="77777777" w:rsidR="0036390B" w:rsidRDefault="0036390B"/>
    <w:p w14:paraId="2BD5D11A" w14:textId="77777777" w:rsidR="00FA3F23" w:rsidRDefault="00FA3F23"/>
  </w:footnote>
  <w:footnote w:id="7">
    <w:p w14:paraId="55B4F934" w14:textId="18D02CB2" w:rsidR="00614885" w:rsidRPr="00AF6031" w:rsidRDefault="00614885" w:rsidP="003D67EF">
      <w:pPr>
        <w:pStyle w:val="FootnoteText"/>
        <w:jc w:val="left"/>
        <w:rPr>
          <w:lang w:val="en-AU"/>
        </w:rPr>
      </w:pPr>
      <w:r>
        <w:rPr>
          <w:rStyle w:val="FootnoteReference"/>
        </w:rPr>
        <w:footnoteRef/>
      </w:r>
      <w:r>
        <w:t xml:space="preserve"> </w:t>
      </w:r>
      <w:r w:rsidR="00E80692">
        <w:t xml:space="preserve">The Hon. </w:t>
      </w:r>
      <w:r>
        <w:t>Tim</w:t>
      </w:r>
      <w:r w:rsidR="00E80692">
        <w:t xml:space="preserve"> Mander MP</w:t>
      </w:r>
      <w:r w:rsidR="00BE178B">
        <w:t xml:space="preserve"> (2014), “</w:t>
      </w:r>
      <w:r>
        <w:t>Queensland building and construction commission and other legislation bill, second reading</w:t>
      </w:r>
      <w:r w:rsidR="009029E6">
        <w:t>”, accessed 4 April 2022. &lt;</w:t>
      </w:r>
      <w:r w:rsidR="0047583F" w:rsidRPr="009029E6">
        <w:t>https://documents.parliament.qld.gov.au/speeches/spk2014/Timothy_Mander-Everton-20141015-267423815669.pdf</w:t>
      </w:r>
      <w:r w:rsidR="009D0F81">
        <w:t xml:space="preserve">&gt; </w:t>
      </w:r>
      <w:r>
        <w:t xml:space="preserve"> </w:t>
      </w:r>
    </w:p>
  </w:footnote>
  <w:footnote w:id="8">
    <w:p w14:paraId="71C87C76" w14:textId="77777777" w:rsidR="006E2524" w:rsidRPr="009E2348" w:rsidRDefault="006E2524" w:rsidP="006E2524">
      <w:pPr>
        <w:pStyle w:val="FootnoteText"/>
        <w:rPr>
          <w:lang w:val="en-AU"/>
        </w:rPr>
      </w:pPr>
      <w:r>
        <w:rPr>
          <w:rStyle w:val="FootnoteReference"/>
        </w:rPr>
        <w:footnoteRef/>
      </w:r>
      <w:r>
        <w:t xml:space="preserve"> Department of Employment, Small Business and Training, 2018, </w:t>
      </w:r>
      <w:r>
        <w:rPr>
          <w:i/>
        </w:rPr>
        <w:t>State of Small Business 2018</w:t>
      </w:r>
    </w:p>
  </w:footnote>
  <w:footnote w:id="9">
    <w:p w14:paraId="670781B3" w14:textId="44F45724" w:rsidR="00E47934" w:rsidRPr="006F3604" w:rsidRDefault="00E47934">
      <w:pPr>
        <w:pStyle w:val="FootnoteText"/>
        <w:rPr>
          <w:lang w:val="en-AU"/>
        </w:rPr>
      </w:pPr>
      <w:r>
        <w:rPr>
          <w:rStyle w:val="FootnoteReference"/>
        </w:rPr>
        <w:footnoteRef/>
      </w:r>
      <w:r w:rsidR="16FFD785">
        <w:t xml:space="preserve"> Australian Securities and Investments Commission (2018), </w:t>
      </w:r>
      <w:r w:rsidR="16FFD785" w:rsidRPr="16FFD785">
        <w:rPr>
          <w:i/>
          <w:iCs/>
        </w:rPr>
        <w:t>Australian insolvency statistics series 3.2 – released November 2018</w:t>
      </w:r>
    </w:p>
  </w:footnote>
  <w:footnote w:id="10">
    <w:p w14:paraId="7519EBCE" w14:textId="59849BEC" w:rsidR="00D77537" w:rsidRPr="006F3604" w:rsidRDefault="00D77537">
      <w:pPr>
        <w:pStyle w:val="FootnoteText"/>
        <w:rPr>
          <w:lang w:val="en-AU"/>
        </w:rPr>
      </w:pPr>
      <w:r>
        <w:rPr>
          <w:rStyle w:val="FootnoteReference"/>
        </w:rPr>
        <w:footnoteRef/>
      </w:r>
      <w:r>
        <w:t xml:space="preserve"> ABC News, 17 October 2018, </w:t>
      </w:r>
      <w:r>
        <w:rPr>
          <w:i/>
        </w:rPr>
        <w:t xml:space="preserve">Hundreds of jobs lost as major central Queensland building company JM Kelly collapses, </w:t>
      </w:r>
      <w:r>
        <w:t xml:space="preserve">available at: </w:t>
      </w:r>
      <w:r w:rsidRPr="00001924">
        <w:t>www.abc.net.au/news/2018-10-17/major-building-company-collapses-central-queensland/10387422</w:t>
      </w:r>
    </w:p>
  </w:footnote>
  <w:footnote w:id="11">
    <w:p w14:paraId="1AC9360E" w14:textId="42FE4B72" w:rsidR="00614885" w:rsidRPr="00033A8D" w:rsidRDefault="00614885" w:rsidP="003D67EF">
      <w:pPr>
        <w:pStyle w:val="FootnoteText"/>
        <w:jc w:val="left"/>
        <w:rPr>
          <w:lang w:val="en-AU"/>
        </w:rPr>
      </w:pPr>
      <w:r>
        <w:rPr>
          <w:rStyle w:val="FootnoteReference"/>
        </w:rPr>
        <w:footnoteRef/>
      </w:r>
      <w:r>
        <w:t xml:space="preserve"> </w:t>
      </w:r>
      <w:r w:rsidR="00472E48">
        <w:t xml:space="preserve">Peter </w:t>
      </w:r>
      <w:r w:rsidRPr="00033A8D">
        <w:t>Sher</w:t>
      </w:r>
      <w:r w:rsidR="00472E48">
        <w:t>gold</w:t>
      </w:r>
      <w:r w:rsidRPr="00033A8D">
        <w:t xml:space="preserve"> and </w:t>
      </w:r>
      <w:r w:rsidR="00472E48">
        <w:t xml:space="preserve">Bronwyn </w:t>
      </w:r>
      <w:r w:rsidRPr="00033A8D">
        <w:t xml:space="preserve">Weir (2018), </w:t>
      </w:r>
      <w:r w:rsidRPr="00472E48">
        <w:rPr>
          <w:i/>
          <w:iCs/>
        </w:rPr>
        <w:t xml:space="preserve">Building </w:t>
      </w:r>
      <w:r w:rsidR="000656AE">
        <w:rPr>
          <w:i/>
          <w:iCs/>
        </w:rPr>
        <w:t>c</w:t>
      </w:r>
      <w:r w:rsidRPr="00472E48">
        <w:rPr>
          <w:i/>
          <w:iCs/>
        </w:rPr>
        <w:t>onfidence</w:t>
      </w:r>
      <w:r w:rsidR="00472E48">
        <w:rPr>
          <w:i/>
          <w:iCs/>
        </w:rPr>
        <w:t xml:space="preserve">: improving the effectiveness of compliance and enforcement systems for the </w:t>
      </w:r>
      <w:r w:rsidR="003A4AA5">
        <w:rPr>
          <w:i/>
          <w:iCs/>
        </w:rPr>
        <w:t>building and construction industry across Australia</w:t>
      </w:r>
      <w:r w:rsidRPr="00033A8D">
        <w:t>,</w:t>
      </w:r>
      <w:r w:rsidR="00EF38E7">
        <w:t xml:space="preserve"> Australian Government. Available here: </w:t>
      </w:r>
      <w:r w:rsidRPr="00033A8D">
        <w:t xml:space="preserve"> </w:t>
      </w:r>
      <w:r w:rsidR="00D021B2">
        <w:t>&lt;</w:t>
      </w:r>
      <w:r w:rsidRPr="00D021B2">
        <w:t>https://www.industry.gov.au/sites/default/files/July%202018/document/pdf/building_ministers_forum_expert_assessment_-_building_confidence.pdf</w:t>
      </w:r>
      <w:r w:rsidR="00D021B2">
        <w:t>&gt; (accessed 4 April 2022)</w:t>
      </w:r>
      <w:r>
        <w:t xml:space="preserve"> </w:t>
      </w:r>
    </w:p>
  </w:footnote>
  <w:footnote w:id="12">
    <w:p w14:paraId="342B7BB9" w14:textId="750E4F68" w:rsidR="00614885" w:rsidRPr="00823983" w:rsidRDefault="00614885" w:rsidP="003D67EF">
      <w:pPr>
        <w:pStyle w:val="FootnoteText"/>
        <w:jc w:val="left"/>
        <w:rPr>
          <w:lang w:val="en-AU"/>
        </w:rPr>
      </w:pPr>
      <w:r>
        <w:rPr>
          <w:rStyle w:val="FootnoteReference"/>
        </w:rPr>
        <w:footnoteRef/>
      </w:r>
      <w:r>
        <w:t xml:space="preserve"> </w:t>
      </w:r>
      <w:r w:rsidR="00DE0752">
        <w:t xml:space="preserve">Building Ministers’ Forum (2019), </w:t>
      </w:r>
      <w:r w:rsidRPr="00DE0752">
        <w:rPr>
          <w:i/>
          <w:iCs/>
          <w:lang w:val="en-AU"/>
        </w:rPr>
        <w:t xml:space="preserve">Building </w:t>
      </w:r>
      <w:r w:rsidR="000656AE">
        <w:rPr>
          <w:i/>
          <w:iCs/>
          <w:lang w:val="en-AU"/>
        </w:rPr>
        <w:t>c</w:t>
      </w:r>
      <w:r w:rsidRPr="00DE0752">
        <w:rPr>
          <w:i/>
          <w:iCs/>
          <w:lang w:val="en-AU"/>
        </w:rPr>
        <w:t xml:space="preserve">onfidence </w:t>
      </w:r>
      <w:r w:rsidR="000656AE">
        <w:rPr>
          <w:i/>
          <w:iCs/>
          <w:lang w:val="en-AU"/>
        </w:rPr>
        <w:t>r</w:t>
      </w:r>
      <w:r w:rsidRPr="00DE0752">
        <w:rPr>
          <w:i/>
          <w:iCs/>
          <w:lang w:val="en-AU"/>
        </w:rPr>
        <w:t>eport</w:t>
      </w:r>
      <w:r w:rsidR="00DE0752">
        <w:rPr>
          <w:i/>
          <w:iCs/>
          <w:lang w:val="en-AU"/>
        </w:rPr>
        <w:t>:</w:t>
      </w:r>
      <w:r w:rsidRPr="00DE0752">
        <w:rPr>
          <w:i/>
          <w:iCs/>
          <w:lang w:val="en-AU"/>
        </w:rPr>
        <w:t xml:space="preserve"> </w:t>
      </w:r>
      <w:r w:rsidR="000656AE">
        <w:rPr>
          <w:i/>
          <w:iCs/>
          <w:lang w:val="en-AU"/>
        </w:rPr>
        <w:t>i</w:t>
      </w:r>
      <w:r w:rsidRPr="00DE0752">
        <w:rPr>
          <w:i/>
          <w:iCs/>
          <w:lang w:val="en-AU"/>
        </w:rPr>
        <w:t xml:space="preserve">mplementation </w:t>
      </w:r>
      <w:r w:rsidR="000656AE">
        <w:rPr>
          <w:i/>
          <w:iCs/>
          <w:lang w:val="en-AU"/>
        </w:rPr>
        <w:t>p</w:t>
      </w:r>
      <w:r w:rsidRPr="00DE0752">
        <w:rPr>
          <w:i/>
          <w:iCs/>
          <w:lang w:val="en-AU"/>
        </w:rPr>
        <w:t>lan</w:t>
      </w:r>
      <w:r>
        <w:rPr>
          <w:lang w:val="en-AU"/>
        </w:rPr>
        <w:t xml:space="preserve">, </w:t>
      </w:r>
      <w:r w:rsidR="000656AE">
        <w:rPr>
          <w:lang w:val="en-AU"/>
        </w:rPr>
        <w:t>Australian Government. Available here:</w:t>
      </w:r>
      <w:r>
        <w:rPr>
          <w:lang w:val="en-AU"/>
        </w:rPr>
        <w:t xml:space="preserve"> </w:t>
      </w:r>
      <w:r w:rsidR="000656AE">
        <w:rPr>
          <w:lang w:val="en-AU"/>
        </w:rPr>
        <w:t>&lt;</w:t>
      </w:r>
      <w:r w:rsidRPr="000656AE">
        <w:rPr>
          <w:lang w:val="en-AU"/>
        </w:rPr>
        <w:t>https://www.industry.gov.au/sites/default/files/2019-03/building-confidence-report-implementation-plan.pdf</w:t>
      </w:r>
      <w:r w:rsidR="000656AE">
        <w:rPr>
          <w:lang w:val="en-AU"/>
        </w:rPr>
        <w:t xml:space="preserve">&gt; (accessed 4 April </w:t>
      </w:r>
      <w:r w:rsidR="00757884">
        <w:rPr>
          <w:lang w:val="en-AU"/>
        </w:rPr>
        <w:t>2022)</w:t>
      </w:r>
      <w:r>
        <w:rPr>
          <w:lang w:val="en-AU"/>
        </w:rPr>
        <w:t xml:space="preserve"> </w:t>
      </w:r>
    </w:p>
  </w:footnote>
  <w:footnote w:id="13">
    <w:p w14:paraId="17D71351" w14:textId="0C390BE4" w:rsidR="005F5FD9" w:rsidRDefault="005F5FD9" w:rsidP="000500CF">
      <w:pPr>
        <w:pStyle w:val="FootnoteText"/>
        <w:jc w:val="left"/>
      </w:pPr>
      <w:r>
        <w:rPr>
          <w:rStyle w:val="FootnoteReference"/>
        </w:rPr>
        <w:footnoteRef/>
      </w:r>
      <w:r>
        <w:t xml:space="preserve"> This is not intended to be an exhaustive description of the features of governance of regulators, but to capture the</w:t>
      </w:r>
      <w:r w:rsidR="00F041F1">
        <w:t>se</w:t>
      </w:r>
      <w:r>
        <w:t xml:space="preserve"> areas of interest to the QBCC as agreed between DEPW and ANZSOG. For example, mechanisms for appealing regulatory decisions are not included in this analysis, nor are processes for public engagement. The focus in this section is more narrowly on the structure of the body and the relationships between its leaders, rather than its interactions with the regulated community – this is canvassed in subsequent sections.</w:t>
      </w:r>
    </w:p>
  </w:footnote>
  <w:footnote w:id="14">
    <w:p w14:paraId="728333FF" w14:textId="4DB4B2CC" w:rsidR="00F76325" w:rsidRDefault="00882D86" w:rsidP="000500CF">
      <w:pPr>
        <w:pStyle w:val="FootnoteText"/>
        <w:jc w:val="left"/>
        <w:rPr>
          <w:rStyle w:val="Hyperlink"/>
        </w:rPr>
      </w:pPr>
      <w:r>
        <w:rPr>
          <w:rStyle w:val="FootnoteReference"/>
        </w:rPr>
        <w:footnoteRef/>
      </w:r>
      <w:r>
        <w:t xml:space="preserve"> All references in this paragraph are to the </w:t>
      </w:r>
      <w:r>
        <w:rPr>
          <w:i/>
          <w:iCs/>
        </w:rPr>
        <w:t>Queensland Building and Construction Commission Act (1991)</w:t>
      </w:r>
      <w:r w:rsidR="00FA3CA2">
        <w:rPr>
          <w:i/>
          <w:iCs/>
        </w:rPr>
        <w:t xml:space="preserve"> (Qld)</w:t>
      </w:r>
      <w:r w:rsidR="00FA3CA2">
        <w:t>. Available here:</w:t>
      </w:r>
      <w:r>
        <w:t xml:space="preserve"> </w:t>
      </w:r>
      <w:r w:rsidR="00FA3CA2">
        <w:t>&lt;</w:t>
      </w:r>
      <w:r w:rsidR="000656AE" w:rsidRPr="00FA3CA2">
        <w:t>https://www.legislation.qld.gov.au/view/pdf/inforce/current/act-1991-098</w:t>
      </w:r>
      <w:r w:rsidR="00FA3CA2">
        <w:t>&gt; (accessed 4</w:t>
      </w:r>
      <w:r w:rsidR="004820B4">
        <w:t> </w:t>
      </w:r>
      <w:r w:rsidR="00FA3CA2">
        <w:t>April</w:t>
      </w:r>
      <w:r w:rsidR="004820B4">
        <w:t> </w:t>
      </w:r>
      <w:r w:rsidR="00FA3CA2">
        <w:t>2022)</w:t>
      </w:r>
    </w:p>
    <w:p w14:paraId="262FA121" w14:textId="46BA1797" w:rsidR="00D5256E" w:rsidRPr="00180BC0" w:rsidRDefault="00D5256E" w:rsidP="000500CF">
      <w:pPr>
        <w:pStyle w:val="FootnoteText"/>
        <w:jc w:val="left"/>
        <w:rPr>
          <w:color w:val="0563C1" w:themeColor="hyperlink"/>
          <w:u w:val="single"/>
        </w:rPr>
      </w:pPr>
      <w:r w:rsidRPr="00180BC0">
        <w:t>Style note</w:t>
      </w:r>
      <w:r w:rsidR="00CE54D4">
        <w:t>: the QBCC Act does not capitalise ‘commission’ and ‘commissioner’. This style is preserved in quote</w:t>
      </w:r>
      <w:r w:rsidR="00B25BBD">
        <w:t>s, but throughout th</w:t>
      </w:r>
      <w:r w:rsidR="00A436DE">
        <w:t>is</w:t>
      </w:r>
      <w:r w:rsidR="00B25BBD">
        <w:t xml:space="preserve"> report the words are capitalised.</w:t>
      </w:r>
    </w:p>
  </w:footnote>
  <w:footnote w:id="15">
    <w:p w14:paraId="50DD7F6D" w14:textId="2B295E10" w:rsidR="00270674" w:rsidRDefault="00270674" w:rsidP="000500CF">
      <w:pPr>
        <w:pStyle w:val="FootnoteText"/>
        <w:jc w:val="left"/>
      </w:pPr>
      <w:r>
        <w:rPr>
          <w:rStyle w:val="FootnoteReference"/>
        </w:rPr>
        <w:footnoteRef/>
      </w:r>
      <w:r>
        <w:t xml:space="preserve"> </w:t>
      </w:r>
      <w:r w:rsidR="00352182">
        <w:t>Queensland Building and Construction Commission (QBCC)</w:t>
      </w:r>
      <w:r w:rsidR="000E779A">
        <w:t xml:space="preserve"> (2014) “A voice for service trades</w:t>
      </w:r>
      <w:r w:rsidR="000575CC">
        <w:t>,</w:t>
      </w:r>
      <w:r w:rsidR="000E779A">
        <w:t>”</w:t>
      </w:r>
      <w:r w:rsidR="000575CC">
        <w:t xml:space="preserve"> accessed 4</w:t>
      </w:r>
      <w:r w:rsidR="000500CF">
        <w:t> </w:t>
      </w:r>
      <w:r w:rsidR="000575CC">
        <w:t>April 2022.</w:t>
      </w:r>
      <w:r w:rsidR="000E779A">
        <w:t xml:space="preserve"> </w:t>
      </w:r>
      <w:r w:rsidR="000575CC">
        <w:t>&lt;</w:t>
      </w:r>
      <w:r w:rsidR="000575CC" w:rsidRPr="000575CC">
        <w:t>https://www.qbcc.qld.gov.au/service-trades-council-stc/voice-service-trades</w:t>
      </w:r>
      <w:r w:rsidR="000575CC">
        <w:t xml:space="preserve">&gt; </w:t>
      </w:r>
      <w:r>
        <w:t xml:space="preserve"> </w:t>
      </w:r>
    </w:p>
    <w:p w14:paraId="2AFBBDAC" w14:textId="2C122E50" w:rsidR="00F76D3A" w:rsidRPr="00F76D3A" w:rsidRDefault="00F76D3A" w:rsidP="000500CF">
      <w:pPr>
        <w:pStyle w:val="FootnoteText"/>
        <w:jc w:val="left"/>
      </w:pPr>
      <w:r>
        <w:rPr>
          <w:i/>
          <w:iCs/>
        </w:rPr>
        <w:t xml:space="preserve">Plumbing and drainage Act 2018 </w:t>
      </w:r>
      <w:r>
        <w:t>(Qld), s</w:t>
      </w:r>
      <w:r w:rsidR="000A5E42">
        <w:t>s 105-108. Available here: &lt;</w:t>
      </w:r>
      <w:r w:rsidR="000A5E42" w:rsidRPr="000A5E42">
        <w:t>https://www.legislation.qld.gov.au/view/pdf/inforce/current/act-2018-017</w:t>
      </w:r>
      <w:r w:rsidR="000A5E42">
        <w:t>&gt; (accessed 5 April 2022)</w:t>
      </w:r>
    </w:p>
  </w:footnote>
  <w:footnote w:id="16">
    <w:p w14:paraId="1D985CE5" w14:textId="1F504847" w:rsidR="00B933FE" w:rsidRDefault="00B933FE" w:rsidP="000500CF">
      <w:pPr>
        <w:pStyle w:val="FootnoteText"/>
        <w:jc w:val="left"/>
      </w:pPr>
      <w:r>
        <w:rPr>
          <w:rStyle w:val="FootnoteReference"/>
        </w:rPr>
        <w:footnoteRef/>
      </w:r>
      <w:r>
        <w:t xml:space="preserve"> QBCC </w:t>
      </w:r>
      <w:r w:rsidR="008F27BF">
        <w:t xml:space="preserve">(2014), </w:t>
      </w:r>
      <w:r>
        <w:t>“Overview</w:t>
      </w:r>
      <w:r w:rsidR="008F27BF">
        <w:t>,” accessed 4 April 2022</w:t>
      </w:r>
      <w:r w:rsidR="00A923C7">
        <w:t>.</w:t>
      </w:r>
      <w:r>
        <w:t xml:space="preserve"> </w:t>
      </w:r>
      <w:r w:rsidR="00A923C7">
        <w:t>&lt;</w:t>
      </w:r>
      <w:r w:rsidR="000575CC" w:rsidRPr="00A923C7">
        <w:t>https://www.qbcc.qld.gov.au/about-us/overview</w:t>
      </w:r>
      <w:r w:rsidR="00A923C7">
        <w:t>&gt;</w:t>
      </w:r>
      <w:r>
        <w:t xml:space="preserve"> </w:t>
      </w:r>
    </w:p>
    <w:p w14:paraId="793090BC" w14:textId="10D0FB38" w:rsidR="00B933FE" w:rsidRDefault="00A923C7" w:rsidP="000500CF">
      <w:pPr>
        <w:pStyle w:val="FootnoteText"/>
        <w:jc w:val="left"/>
      </w:pPr>
      <w:r>
        <w:t xml:space="preserve">QBCC (2014) </w:t>
      </w:r>
      <w:r w:rsidR="00B933FE">
        <w:t>“Our mandate, purpose, vision and behaviours</w:t>
      </w:r>
      <w:r>
        <w:t>,</w:t>
      </w:r>
      <w:r w:rsidR="00B933FE">
        <w:t>”</w:t>
      </w:r>
      <w:r>
        <w:t xml:space="preserve"> accessed 4 April 2022. </w:t>
      </w:r>
      <w:r w:rsidR="00B933FE">
        <w:t xml:space="preserve"> </w:t>
      </w:r>
      <w:r>
        <w:t>&lt;</w:t>
      </w:r>
      <w:r w:rsidRPr="00A923C7">
        <w:t>https://www.qbcc.qld.gov.au/about-us/our-mandate-purpose-vision-behaviours</w:t>
      </w:r>
      <w:r>
        <w:t>&gt;</w:t>
      </w:r>
    </w:p>
  </w:footnote>
  <w:footnote w:id="17">
    <w:p w14:paraId="230AA384" w14:textId="75138118" w:rsidR="00624E0B" w:rsidRPr="00010A94" w:rsidRDefault="00624E0B" w:rsidP="000500CF">
      <w:pPr>
        <w:pStyle w:val="FootnoteText"/>
        <w:jc w:val="left"/>
      </w:pPr>
      <w:r>
        <w:rPr>
          <w:rStyle w:val="FootnoteReference"/>
        </w:rPr>
        <w:footnoteRef/>
      </w:r>
      <w:r>
        <w:t xml:space="preserve"> “</w:t>
      </w:r>
      <w:r w:rsidRPr="007B2803">
        <w:t>The objects of this Act are (a) to regulate the building industry—(i) to ensure the maintenance of proper standards in the industry; and (ii) to achieve a reasonable balance between the interests of building contractors and consumers; and (b) to provide remedies for defective building work; and (c) to provide support, education and advice for those who undertake building work and consumers; and (d) to regulate domestic building contracts to achieve a reasonable balance between the interests of building contractors and building owners; and (e) to regulate building products to ensure—(i) the safety of consumers and the public generally; and (ii) persons involved in the production, supply or installation of building products are held responsible for the safety of the products and their use; and (f) to provide for the proper, efficient and effective management of the commission in the performance of its functions.</w:t>
      </w:r>
      <w:r>
        <w:t>”</w:t>
      </w:r>
      <w:r w:rsidR="00F774C8">
        <w:t xml:space="preserve"> </w:t>
      </w:r>
      <w:r w:rsidR="00F774C8">
        <w:rPr>
          <w:i/>
          <w:iCs/>
        </w:rPr>
        <w:t>Queensland Building and Construction Commission Act 1991 (Qld)</w:t>
      </w:r>
      <w:r w:rsidR="00010A94">
        <w:t>, s</w:t>
      </w:r>
      <w:r w:rsidR="00031935">
        <w:t xml:space="preserve"> 3. See fn </w:t>
      </w:r>
      <w:r w:rsidR="004820B4">
        <w:t>9 for link.</w:t>
      </w:r>
    </w:p>
  </w:footnote>
  <w:footnote w:id="18">
    <w:p w14:paraId="3EB81E6E" w14:textId="77777777" w:rsidR="003B0DA3" w:rsidRPr="008C7703" w:rsidRDefault="003B0DA3" w:rsidP="00915E5B">
      <w:pPr>
        <w:pStyle w:val="FootnoteText"/>
        <w:jc w:val="left"/>
      </w:pPr>
      <w:r>
        <w:rPr>
          <w:rStyle w:val="FootnoteReference"/>
        </w:rPr>
        <w:footnoteRef/>
      </w:r>
      <w:r>
        <w:t xml:space="preserve"> </w:t>
      </w:r>
      <w:r>
        <w:rPr>
          <w:i/>
          <w:iCs/>
        </w:rPr>
        <w:t xml:space="preserve">Building Act 1975 </w:t>
      </w:r>
      <w:r>
        <w:t>(Qld). Available here: &lt;</w:t>
      </w:r>
      <w:r w:rsidRPr="004820B4">
        <w:t>https://www.legislation.qld.gov.au/view/pdf/inforce/current/act-1975-011</w:t>
      </w:r>
      <w:r>
        <w:t>&gt; (accessed 4 April 2022)</w:t>
      </w:r>
    </w:p>
  </w:footnote>
  <w:footnote w:id="19">
    <w:p w14:paraId="4C004094" w14:textId="481E09F4" w:rsidR="00FB5AE2" w:rsidRDefault="00FB5AE2" w:rsidP="00915E5B">
      <w:pPr>
        <w:pStyle w:val="FootnoteText"/>
        <w:jc w:val="left"/>
      </w:pPr>
      <w:r>
        <w:rPr>
          <w:rStyle w:val="FootnoteReference"/>
        </w:rPr>
        <w:footnoteRef/>
      </w:r>
      <w:r>
        <w:t xml:space="preserve"> </w:t>
      </w:r>
      <w:r>
        <w:rPr>
          <w:i/>
          <w:iCs/>
        </w:rPr>
        <w:t>Building Industry Fairness (Security of Payment) Act 2017</w:t>
      </w:r>
      <w:r w:rsidR="00915E5B">
        <w:t xml:space="preserve"> (Qld). Available here: &lt;</w:t>
      </w:r>
      <w:r w:rsidR="00915E5B" w:rsidRPr="00915E5B">
        <w:t>https://www.legislation.qld.gov.au/view/pdf/inforce/current/act-2017-043</w:t>
      </w:r>
      <w:r w:rsidR="00915E5B">
        <w:t>&gt; (accessed 5 April 2022).</w:t>
      </w:r>
    </w:p>
    <w:p w14:paraId="53F4DFC5" w14:textId="36CCA366" w:rsidR="00915E5B" w:rsidRPr="00E0766C" w:rsidRDefault="00E0766C" w:rsidP="006F3604">
      <w:pPr>
        <w:pStyle w:val="FootnoteText"/>
        <w:jc w:val="left"/>
      </w:pPr>
      <w:r>
        <w:rPr>
          <w:i/>
          <w:iCs/>
        </w:rPr>
        <w:t xml:space="preserve">Building Industry Fairness (Security of Payment) Regulation 2018 </w:t>
      </w:r>
      <w:r>
        <w:t>(Qld). Available here: &lt;</w:t>
      </w:r>
      <w:r w:rsidRPr="00E0766C">
        <w:t>https://www.legislation.qld.gov.au/view/pdf/inforce/current/sl-2018-0016</w:t>
      </w:r>
      <w:r w:rsidR="0058514D">
        <w:t>&gt; (accessed 5 April 2022).</w:t>
      </w:r>
    </w:p>
  </w:footnote>
  <w:footnote w:id="20">
    <w:p w14:paraId="14A6B4D2" w14:textId="6A540BD3" w:rsidR="00DE3669" w:rsidRDefault="00DE3669">
      <w:pPr>
        <w:pStyle w:val="FootnoteText"/>
      </w:pPr>
      <w:r>
        <w:rPr>
          <w:rStyle w:val="FootnoteReference"/>
        </w:rPr>
        <w:footnoteRef/>
      </w:r>
      <w:r w:rsidR="16FFD785">
        <w:t xml:space="preserve"> </w:t>
      </w:r>
      <w:r w:rsidR="16FFD785" w:rsidRPr="008A236E">
        <w:t>Based on information provided to ANZSOG by DEPW.</w:t>
      </w:r>
    </w:p>
  </w:footnote>
  <w:footnote w:id="21">
    <w:p w14:paraId="6957B6F5" w14:textId="39D914CD" w:rsidR="00C145B2" w:rsidRDefault="00C145B2">
      <w:pPr>
        <w:pStyle w:val="FootnoteText"/>
      </w:pPr>
      <w:r>
        <w:rPr>
          <w:rStyle w:val="FootnoteReference"/>
        </w:rPr>
        <w:footnoteRef/>
      </w:r>
      <w:r>
        <w:t xml:space="preserve"> </w:t>
      </w:r>
      <w:r w:rsidRPr="00FD4A9E">
        <w:rPr>
          <w:i/>
          <w:iCs/>
        </w:rPr>
        <w:t>Ibid</w:t>
      </w:r>
    </w:p>
  </w:footnote>
  <w:footnote w:id="22">
    <w:p w14:paraId="78E604EB" w14:textId="6B4C332C" w:rsidR="00451B1A" w:rsidRPr="00451B1A" w:rsidRDefault="00451B1A">
      <w:pPr>
        <w:pStyle w:val="FootnoteText"/>
        <w:rPr>
          <w:lang w:val="en-AU"/>
        </w:rPr>
      </w:pPr>
      <w:r>
        <w:rPr>
          <w:rStyle w:val="FootnoteReference"/>
        </w:rPr>
        <w:footnoteRef/>
      </w:r>
      <w:r>
        <w:t xml:space="preserve"> </w:t>
      </w:r>
      <w:r>
        <w:rPr>
          <w:lang w:val="en-AU"/>
        </w:rPr>
        <w:t>Revenue</w:t>
      </w:r>
      <w:r w:rsidR="00E645AC">
        <w:rPr>
          <w:lang w:val="en-AU"/>
        </w:rPr>
        <w:t xml:space="preserve"> increase</w:t>
      </w:r>
      <w:r>
        <w:rPr>
          <w:lang w:val="en-AU"/>
        </w:rPr>
        <w:t xml:space="preserve"> from growth </w:t>
      </w:r>
      <w:r w:rsidR="00290C09">
        <w:rPr>
          <w:lang w:val="en-AU"/>
        </w:rPr>
        <w:t>rather than</w:t>
      </w:r>
      <w:r w:rsidR="00E645AC">
        <w:rPr>
          <w:lang w:val="en-AU"/>
        </w:rPr>
        <w:t xml:space="preserve"> </w:t>
      </w:r>
      <w:r w:rsidR="00290C09">
        <w:rPr>
          <w:lang w:val="en-AU"/>
        </w:rPr>
        <w:t xml:space="preserve">substantial </w:t>
      </w:r>
      <w:r w:rsidR="00E645AC">
        <w:rPr>
          <w:lang w:val="en-AU"/>
        </w:rPr>
        <w:t xml:space="preserve">increases in </w:t>
      </w:r>
      <w:r w:rsidR="00290C09">
        <w:rPr>
          <w:lang w:val="en-AU"/>
        </w:rPr>
        <w:t xml:space="preserve">standing </w:t>
      </w:r>
      <w:r w:rsidR="00E645AC">
        <w:rPr>
          <w:lang w:val="en-AU"/>
        </w:rPr>
        <w:t>charge</w:t>
      </w:r>
      <w:r w:rsidR="00290C09">
        <w:rPr>
          <w:lang w:val="en-AU"/>
        </w:rPr>
        <w:t>s.</w:t>
      </w:r>
    </w:p>
  </w:footnote>
  <w:footnote w:id="23">
    <w:p w14:paraId="3C52B4C6" w14:textId="0EBB6306" w:rsidR="001264E0" w:rsidRPr="008556B1" w:rsidRDefault="001264E0" w:rsidP="001264E0">
      <w:pPr>
        <w:pStyle w:val="FootnoteText"/>
      </w:pPr>
      <w:r>
        <w:rPr>
          <w:rStyle w:val="FootnoteReference"/>
        </w:rPr>
        <w:footnoteRef/>
      </w:r>
      <w:r>
        <w:t xml:space="preserve"> </w:t>
      </w:r>
      <w:r w:rsidR="008556B1">
        <w:rPr>
          <w:i/>
          <w:iCs/>
        </w:rPr>
        <w:t>Queensland Building and Construction Commission Act 1991 (Qld)</w:t>
      </w:r>
      <w:r w:rsidR="008556B1">
        <w:t>, as above</w:t>
      </w:r>
    </w:p>
  </w:footnote>
  <w:footnote w:id="24">
    <w:p w14:paraId="2377C2FD" w14:textId="0D1E2F22" w:rsidR="00A52AEA" w:rsidRDefault="001A6D83" w:rsidP="001A6D83">
      <w:pPr>
        <w:pStyle w:val="FootnoteText"/>
      </w:pPr>
      <w:r>
        <w:rPr>
          <w:rStyle w:val="FootnoteReference"/>
        </w:rPr>
        <w:footnoteRef/>
      </w:r>
      <w:r>
        <w:t xml:space="preserve"> QBCC (2021), </w:t>
      </w:r>
      <w:r>
        <w:rPr>
          <w:i/>
          <w:iCs/>
        </w:rPr>
        <w:t>Annual Report 2020-21</w:t>
      </w:r>
      <w:r w:rsidR="00322E93">
        <w:t xml:space="preserve">. Available here: </w:t>
      </w:r>
      <w:r w:rsidR="00BC2981">
        <w:t>&lt;</w:t>
      </w:r>
      <w:r w:rsidR="00BC2981" w:rsidRPr="00BC2981">
        <w:t>https://www.qbcc.qld.gov.au/qbcc-annual-report-2020-2021</w:t>
      </w:r>
      <w:r w:rsidR="00BC2981">
        <w:t>&gt; (accessed 4 April 2022)</w:t>
      </w:r>
      <w:r w:rsidR="001A6272">
        <w:t xml:space="preserve"> </w:t>
      </w:r>
    </w:p>
    <w:p w14:paraId="62AF8226" w14:textId="548C393F" w:rsidR="001A6D83" w:rsidRPr="00CE6F7C" w:rsidRDefault="001A6272" w:rsidP="001A6D83">
      <w:pPr>
        <w:pStyle w:val="FootnoteText"/>
      </w:pPr>
      <w:r w:rsidRPr="001A6272">
        <w:t xml:space="preserve">QBCC (2020) </w:t>
      </w:r>
      <w:r>
        <w:rPr>
          <w:i/>
          <w:iCs/>
        </w:rPr>
        <w:t>Annual report 2019-20</w:t>
      </w:r>
      <w:r w:rsidR="00BC2981">
        <w:t xml:space="preserve">. </w:t>
      </w:r>
      <w:r w:rsidR="009325F9">
        <w:t>Available here: &lt;</w:t>
      </w:r>
      <w:r w:rsidR="009325F9" w:rsidRPr="009325F9">
        <w:t>https://www.qbcc.qld.gov.au/qbcc-annual-report-2019-2020</w:t>
      </w:r>
      <w:r w:rsidR="009325F9">
        <w:t>&gt; (accessed 4 April 2022)</w:t>
      </w:r>
    </w:p>
  </w:footnote>
  <w:footnote w:id="25">
    <w:p w14:paraId="165ACB49" w14:textId="2F10F037" w:rsidR="007534C1" w:rsidRDefault="007534C1" w:rsidP="00154075">
      <w:pPr>
        <w:pStyle w:val="FootnoteText"/>
        <w:jc w:val="left"/>
      </w:pPr>
      <w:r>
        <w:rPr>
          <w:rStyle w:val="FootnoteReference"/>
        </w:rPr>
        <w:footnoteRef/>
      </w:r>
      <w:r>
        <w:t xml:space="preserve"> </w:t>
      </w:r>
      <w:r w:rsidR="00F56D99">
        <w:rPr>
          <w:i/>
          <w:iCs/>
        </w:rPr>
        <w:t>Queensland Building Services Authority Amendment Act 2013 (Qld)</w:t>
      </w:r>
      <w:r w:rsidR="00040BD2">
        <w:t>. Available here: &lt;</w:t>
      </w:r>
      <w:r w:rsidRPr="00040BD2">
        <w:t>https://www.legislation.qld.gov.au/view/pdf/asmade/act-2013-038</w:t>
      </w:r>
      <w:r w:rsidR="00040BD2">
        <w:t>&gt; (accessed 4 April 2022)</w:t>
      </w:r>
      <w:r>
        <w:t xml:space="preserve"> </w:t>
      </w:r>
    </w:p>
    <w:p w14:paraId="34357175" w14:textId="1EEABF4C" w:rsidR="007534C1" w:rsidRDefault="007534C1" w:rsidP="00154075">
      <w:pPr>
        <w:pStyle w:val="FootnoteText"/>
        <w:jc w:val="left"/>
      </w:pPr>
      <w:r>
        <w:t>Explanatory notes</w:t>
      </w:r>
      <w:r w:rsidR="004E4B9B">
        <w:t xml:space="preserve"> for that act</w:t>
      </w:r>
      <w:r w:rsidR="00565F0A">
        <w:t>, available here</w:t>
      </w:r>
      <w:r>
        <w:t xml:space="preserve">: </w:t>
      </w:r>
      <w:r w:rsidR="00565F0A">
        <w:t>&lt;</w:t>
      </w:r>
      <w:r w:rsidR="00565F0A" w:rsidRPr="00565F0A">
        <w:t>https://www.legislation.qld.gov.au/view/pdf/bill.first.exp/bill-2013-1751</w:t>
      </w:r>
      <w:r w:rsidR="00565F0A">
        <w:t>&gt;</w:t>
      </w:r>
      <w:r w:rsidR="00977086">
        <w:t xml:space="preserve"> (accessed 4 April 2022)</w:t>
      </w:r>
      <w:r w:rsidR="00565F0A">
        <w:t xml:space="preserve"> </w:t>
      </w:r>
      <w:r>
        <w:t xml:space="preserve"> </w:t>
      </w:r>
    </w:p>
  </w:footnote>
  <w:footnote w:id="26">
    <w:p w14:paraId="260CAE0A" w14:textId="0758AB07" w:rsidR="00F93CED" w:rsidRDefault="00F93CED" w:rsidP="00154075">
      <w:pPr>
        <w:pStyle w:val="FootnoteText"/>
        <w:jc w:val="left"/>
      </w:pPr>
      <w:r>
        <w:rPr>
          <w:rStyle w:val="FootnoteReference"/>
        </w:rPr>
        <w:footnoteRef/>
      </w:r>
      <w:r>
        <w:t xml:space="preserve"> </w:t>
      </w:r>
      <w:r w:rsidR="00681A9A">
        <w:t xml:space="preserve">Department of Housing and Public Works </w:t>
      </w:r>
      <w:r w:rsidR="00E10F9C">
        <w:t xml:space="preserve">(2013), </w:t>
      </w:r>
      <w:r w:rsidR="00E10F9C">
        <w:rPr>
          <w:i/>
          <w:iCs/>
        </w:rPr>
        <w:t xml:space="preserve">Queensland Government response </w:t>
      </w:r>
      <w:r w:rsidR="00597367">
        <w:rPr>
          <w:i/>
          <w:iCs/>
        </w:rPr>
        <w:t>to the Transport, Housing and Local Government Committee Report No. 14: Inquiry into the operation and performance of the Queensland Building Services Authority</w:t>
      </w:r>
      <w:r w:rsidR="001F4A0F">
        <w:rPr>
          <w:i/>
          <w:iCs/>
        </w:rPr>
        <w:t xml:space="preserve"> 2012</w:t>
      </w:r>
      <w:r w:rsidR="001F4A0F">
        <w:t>,</w:t>
      </w:r>
      <w:r w:rsidR="001F4A0F">
        <w:rPr>
          <w:i/>
          <w:iCs/>
        </w:rPr>
        <w:t xml:space="preserve"> </w:t>
      </w:r>
      <w:r w:rsidR="00681A9A">
        <w:t>Queensland Government, Re</w:t>
      </w:r>
      <w:r w:rsidR="007230C6">
        <w:t>commendation 1.</w:t>
      </w:r>
      <w:r w:rsidR="00681A9A">
        <w:t xml:space="preserve"> Available here</w:t>
      </w:r>
      <w:r>
        <w:t xml:space="preserve">: </w:t>
      </w:r>
      <w:r w:rsidR="00681A9A">
        <w:t>&lt;</w:t>
      </w:r>
      <w:r w:rsidRPr="00681A9A">
        <w:t>https://cabinet.qld.gov.au/documents/2013/May/BSA%20Ctte%20Report/Attachments/Response.pdf</w:t>
      </w:r>
      <w:r w:rsidR="00681A9A">
        <w:t xml:space="preserve">&gt; </w:t>
      </w:r>
      <w:r>
        <w:t xml:space="preserve"> </w:t>
      </w:r>
      <w:r w:rsidR="007230C6">
        <w:t>(accessed 4 April 2022)</w:t>
      </w:r>
    </w:p>
  </w:footnote>
  <w:footnote w:id="27">
    <w:p w14:paraId="012F50F3" w14:textId="50A4E6D7" w:rsidR="003C7B2D" w:rsidRDefault="003C7B2D" w:rsidP="000B0E69">
      <w:pPr>
        <w:pStyle w:val="FootnoteText"/>
        <w:jc w:val="left"/>
      </w:pPr>
      <w:r>
        <w:rPr>
          <w:rStyle w:val="FootnoteReference"/>
        </w:rPr>
        <w:footnoteRef/>
      </w:r>
      <w:r>
        <w:t xml:space="preserve"> </w:t>
      </w:r>
      <w:r w:rsidR="00CC1BEE">
        <w:rPr>
          <w:i/>
          <w:iCs/>
        </w:rPr>
        <w:t>Ibid</w:t>
      </w:r>
      <w:r w:rsidR="00CC1BEE">
        <w:t xml:space="preserve">, </w:t>
      </w:r>
      <w:r>
        <w:t>Rec</w:t>
      </w:r>
      <w:r w:rsidR="00AC3540">
        <w:t>ommendation</w:t>
      </w:r>
      <w:r>
        <w:t xml:space="preserve"> 4</w:t>
      </w:r>
    </w:p>
  </w:footnote>
  <w:footnote w:id="28">
    <w:p w14:paraId="48CF3B57" w14:textId="0857FDF4" w:rsidR="000C15C0" w:rsidRDefault="000C15C0" w:rsidP="000B0E69">
      <w:pPr>
        <w:pStyle w:val="FootnoteText"/>
        <w:jc w:val="left"/>
      </w:pPr>
      <w:r>
        <w:rPr>
          <w:rStyle w:val="FootnoteReference"/>
        </w:rPr>
        <w:footnoteRef/>
      </w:r>
      <w:r>
        <w:t xml:space="preserve"> </w:t>
      </w:r>
      <w:r w:rsidR="00A80D8A">
        <w:t>Explanatory notes</w:t>
      </w:r>
      <w:r w:rsidR="005369F1">
        <w:t xml:space="preserve"> for </w:t>
      </w:r>
      <w:r w:rsidR="005369F1">
        <w:rPr>
          <w:i/>
          <w:iCs/>
        </w:rPr>
        <w:t>Queensland Building Services Authority Amendment Act 2013 (Qld)</w:t>
      </w:r>
      <w:r>
        <w:t>, p. 3</w:t>
      </w:r>
      <w:r w:rsidR="005369F1">
        <w:t>. See fn 17 for link.</w:t>
      </w:r>
    </w:p>
  </w:footnote>
  <w:footnote w:id="29">
    <w:p w14:paraId="552B17BE" w14:textId="794E5896" w:rsidR="00745605" w:rsidRDefault="00745605" w:rsidP="000B0E69">
      <w:pPr>
        <w:pStyle w:val="FootnoteText"/>
        <w:jc w:val="left"/>
      </w:pPr>
      <w:r>
        <w:rPr>
          <w:rStyle w:val="FootnoteReference"/>
        </w:rPr>
        <w:footnoteRef/>
      </w:r>
      <w:r>
        <w:t xml:space="preserve"> </w:t>
      </w:r>
      <w:r w:rsidRPr="00970A04">
        <w:rPr>
          <w:i/>
          <w:iCs/>
        </w:rPr>
        <w:t>Q</w:t>
      </w:r>
      <w:r w:rsidR="00AB42EC" w:rsidRPr="00970A04">
        <w:rPr>
          <w:i/>
          <w:iCs/>
        </w:rPr>
        <w:t xml:space="preserve">ueensland </w:t>
      </w:r>
      <w:r w:rsidRPr="00970A04">
        <w:rPr>
          <w:i/>
          <w:iCs/>
        </w:rPr>
        <w:t>B</w:t>
      </w:r>
      <w:r w:rsidR="00AB42EC" w:rsidRPr="00970A04">
        <w:rPr>
          <w:i/>
          <w:iCs/>
        </w:rPr>
        <w:t xml:space="preserve">uilding </w:t>
      </w:r>
      <w:r w:rsidRPr="00970A04">
        <w:rPr>
          <w:i/>
          <w:iCs/>
        </w:rPr>
        <w:t>S</w:t>
      </w:r>
      <w:r w:rsidR="00AB42EC" w:rsidRPr="00970A04">
        <w:rPr>
          <w:i/>
          <w:iCs/>
        </w:rPr>
        <w:t xml:space="preserve">ervices Authority </w:t>
      </w:r>
      <w:r w:rsidRPr="00970A04">
        <w:rPr>
          <w:i/>
          <w:iCs/>
        </w:rPr>
        <w:t>Act 1991</w:t>
      </w:r>
      <w:r w:rsidR="00970A04">
        <w:t xml:space="preserve"> (Qld)</w:t>
      </w:r>
      <w:r w:rsidR="00CF74BD">
        <w:t xml:space="preserve"> (superseded)</w:t>
      </w:r>
      <w:r w:rsidR="00970A04">
        <w:t>,</w:t>
      </w:r>
      <w:r>
        <w:t xml:space="preserve"> s 9(1)(a)</w:t>
      </w:r>
      <w:r w:rsidR="00CF74BD">
        <w:t>. Available here: &lt;</w:t>
      </w:r>
      <w:r w:rsidR="00CF74BD" w:rsidRPr="00CF74BD">
        <w:t>https://www.legislation.qld.gov.au/view/pdf/asmade/act-1991-098</w:t>
      </w:r>
      <w:r w:rsidR="00CF74BD">
        <w:t>&gt; (accessed 4 April 2022)</w:t>
      </w:r>
    </w:p>
  </w:footnote>
  <w:footnote w:id="30">
    <w:p w14:paraId="07433E02" w14:textId="08BBDEFD" w:rsidR="00542E16" w:rsidRDefault="00542E16" w:rsidP="000B0E69">
      <w:pPr>
        <w:pStyle w:val="FootnoteText"/>
        <w:jc w:val="left"/>
      </w:pPr>
      <w:r>
        <w:rPr>
          <w:rStyle w:val="FootnoteReference"/>
        </w:rPr>
        <w:footnoteRef/>
      </w:r>
      <w:r>
        <w:t xml:space="preserve"> This amendment was made by the </w:t>
      </w:r>
      <w:r>
        <w:rPr>
          <w:i/>
          <w:iCs/>
        </w:rPr>
        <w:t>B</w:t>
      </w:r>
      <w:r w:rsidR="00F50121">
        <w:rPr>
          <w:i/>
          <w:iCs/>
        </w:rPr>
        <w:t>uilding Industry Fairness (Security of Payment)</w:t>
      </w:r>
      <w:r>
        <w:rPr>
          <w:i/>
          <w:iCs/>
        </w:rPr>
        <w:t xml:space="preserve"> Act</w:t>
      </w:r>
      <w:r w:rsidR="00F50121">
        <w:rPr>
          <w:i/>
          <w:iCs/>
        </w:rPr>
        <w:t xml:space="preserve"> 2017 </w:t>
      </w:r>
      <w:r w:rsidR="00F50121">
        <w:t>(Qld)</w:t>
      </w:r>
      <w:r w:rsidR="00DC7031">
        <w:t>,</w:t>
      </w:r>
      <w:r>
        <w:rPr>
          <w:i/>
          <w:iCs/>
        </w:rPr>
        <w:t xml:space="preserve"> </w:t>
      </w:r>
      <w:r w:rsidRPr="00263385">
        <w:t>s</w:t>
      </w:r>
      <w:r>
        <w:rPr>
          <w:i/>
          <w:iCs/>
        </w:rPr>
        <w:t xml:space="preserve"> </w:t>
      </w:r>
      <w:r>
        <w:t>254</w:t>
      </w:r>
      <w:r w:rsidR="00DC7031">
        <w:t xml:space="preserve">. Available here: </w:t>
      </w:r>
      <w:r w:rsidR="000D3630">
        <w:t>&lt;</w:t>
      </w:r>
      <w:r w:rsidR="00DC7031" w:rsidRPr="000D3630">
        <w:t>https://www.legislation.qld.gov.au/view/pdf/inforce/current/act-2017-043</w:t>
      </w:r>
      <w:r w:rsidR="000D3630">
        <w:t xml:space="preserve">&gt; </w:t>
      </w:r>
      <w:r w:rsidR="00DC7031">
        <w:t xml:space="preserve">(accessed </w:t>
      </w:r>
      <w:r w:rsidR="00870DD3">
        <w:t>4 April 2022)</w:t>
      </w:r>
      <w:r>
        <w:t xml:space="preserve"> </w:t>
      </w:r>
    </w:p>
  </w:footnote>
  <w:footnote w:id="31">
    <w:p w14:paraId="63C55273" w14:textId="35FAE125" w:rsidR="6855D54F" w:rsidRDefault="6855D54F" w:rsidP="000B0E69">
      <w:pPr>
        <w:pStyle w:val="FootnoteText"/>
        <w:jc w:val="left"/>
      </w:pPr>
      <w:r w:rsidRPr="6855D54F">
        <w:rPr>
          <w:rStyle w:val="FootnoteReference"/>
        </w:rPr>
        <w:footnoteRef/>
      </w:r>
      <w:r w:rsidR="5666D6C0" w:rsidRPr="6855D54F">
        <w:t xml:space="preserve"> </w:t>
      </w:r>
      <w:r w:rsidR="5666D6C0">
        <w:t>QBCC</w:t>
      </w:r>
      <w:r w:rsidR="000D3630">
        <w:t xml:space="preserve"> (2021), as above,</w:t>
      </w:r>
      <w:r w:rsidR="5666D6C0">
        <w:t xml:space="preserve"> p37</w:t>
      </w:r>
    </w:p>
  </w:footnote>
  <w:footnote w:id="32">
    <w:p w14:paraId="0CF55E2A" w14:textId="667CFB26" w:rsidR="00BC6C5D" w:rsidRPr="00BF70FB" w:rsidRDefault="00BC6C5D" w:rsidP="000B0E69">
      <w:pPr>
        <w:pStyle w:val="FootnoteText"/>
        <w:jc w:val="left"/>
      </w:pPr>
      <w:r>
        <w:rPr>
          <w:rStyle w:val="FootnoteReference"/>
        </w:rPr>
        <w:footnoteRef/>
      </w:r>
      <w:r>
        <w:t xml:space="preserve"> See generally OECD (2014), </w:t>
      </w:r>
      <w:r>
        <w:rPr>
          <w:i/>
          <w:iCs/>
        </w:rPr>
        <w:t>The governance of regulators</w:t>
      </w:r>
      <w:r>
        <w:t xml:space="preserve">, OECD Publishing: Paris. Available here: </w:t>
      </w:r>
      <w:r w:rsidR="002B2F30">
        <w:t>&lt;</w:t>
      </w:r>
      <w:r w:rsidR="000D3630" w:rsidRPr="002B2F30">
        <w:t>https://read.oecd-ilibrary.org/governance/the-governance-of-regulators_9789264209015-en#page1</w:t>
      </w:r>
      <w:r w:rsidR="002B2F30">
        <w:t>&gt; (accessed 4 April 2022)</w:t>
      </w:r>
      <w:r>
        <w:t xml:space="preserve"> </w:t>
      </w:r>
    </w:p>
  </w:footnote>
  <w:footnote w:id="33">
    <w:p w14:paraId="16CC7E52" w14:textId="155859CC" w:rsidR="00BE2030" w:rsidRPr="00E34DC1" w:rsidRDefault="00BE2030" w:rsidP="000B0E69">
      <w:pPr>
        <w:pStyle w:val="FootnoteText"/>
        <w:jc w:val="left"/>
      </w:pPr>
      <w:r>
        <w:rPr>
          <w:rStyle w:val="FootnoteReference"/>
        </w:rPr>
        <w:footnoteRef/>
      </w:r>
      <w:r w:rsidR="000B0E69">
        <w:t xml:space="preserve"> </w:t>
      </w:r>
      <w:r w:rsidR="000B0E69">
        <w:rPr>
          <w:i/>
          <w:iCs/>
        </w:rPr>
        <w:t>Ibid</w:t>
      </w:r>
      <w:r>
        <w:t>, pp. 30, 46, 68, 98, 106</w:t>
      </w:r>
      <w:r w:rsidR="000B0E69">
        <w:t xml:space="preserve"> (NB: </w:t>
      </w:r>
      <w:r>
        <w:t>Principles have been selected for relevance.</w:t>
      </w:r>
      <w:r w:rsidR="000B0E69">
        <w:t>)</w:t>
      </w:r>
    </w:p>
  </w:footnote>
  <w:footnote w:id="34">
    <w:p w14:paraId="3D5F67DC" w14:textId="32A5BE17" w:rsidR="00E7159A" w:rsidRPr="003C32A4" w:rsidRDefault="00E7159A" w:rsidP="003C32A4">
      <w:pPr>
        <w:pStyle w:val="FootnoteText"/>
        <w:jc w:val="left"/>
        <w:rPr>
          <w:lang w:val="en-AU"/>
        </w:rPr>
      </w:pPr>
      <w:r>
        <w:rPr>
          <w:rStyle w:val="FootnoteReference"/>
        </w:rPr>
        <w:footnoteRef/>
      </w:r>
      <w:r>
        <w:t xml:space="preserve"> </w:t>
      </w:r>
      <w:r w:rsidR="003C32A4">
        <w:t xml:space="preserve">Department of the Premier and Cabinet (2016), </w:t>
      </w:r>
      <w:r>
        <w:rPr>
          <w:i/>
          <w:iCs/>
        </w:rPr>
        <w:t>Welcome aboard</w:t>
      </w:r>
      <w:r w:rsidRPr="00F66835">
        <w:t>,</w:t>
      </w:r>
      <w:r w:rsidR="00060073">
        <w:t xml:space="preserve"> Queensland Government,</w:t>
      </w:r>
      <w:r>
        <w:rPr>
          <w:i/>
          <w:iCs/>
        </w:rPr>
        <w:t xml:space="preserve"> </w:t>
      </w:r>
      <w:r>
        <w:t>Section 4: Selection and recruitment</w:t>
      </w:r>
      <w:r w:rsidR="00060073">
        <w:t>. Available here:</w:t>
      </w:r>
      <w:r>
        <w:t xml:space="preserve"> </w:t>
      </w:r>
      <w:r w:rsidR="00060073">
        <w:t>&lt;</w:t>
      </w:r>
      <w:r w:rsidR="002B2F30" w:rsidRPr="00060073">
        <w:t>https://www.premiers.qld.gov.au/publications/categories/policies-and-codes/handbooks/welcome-aboard/selection-recruitment.aspx</w:t>
      </w:r>
      <w:r w:rsidR="00060073">
        <w:t>&gt; (accessed 4 April 2022)</w:t>
      </w:r>
      <w:r>
        <w:t xml:space="preserve"> </w:t>
      </w:r>
    </w:p>
  </w:footnote>
  <w:footnote w:id="35">
    <w:p w14:paraId="563A3C17" w14:textId="77777777" w:rsidR="00066204" w:rsidRDefault="00066204" w:rsidP="00066204">
      <w:pPr>
        <w:pStyle w:val="FootnoteText"/>
      </w:pPr>
      <w:r>
        <w:rPr>
          <w:rStyle w:val="FootnoteReference"/>
        </w:rPr>
        <w:footnoteRef/>
      </w:r>
      <w:r>
        <w:t xml:space="preserve"> This information was provided to ANZSOG by DEPW.</w:t>
      </w:r>
    </w:p>
  </w:footnote>
  <w:footnote w:id="36">
    <w:p w14:paraId="46A43599" w14:textId="5A2C6513" w:rsidR="000A516C" w:rsidRPr="00A9661D" w:rsidRDefault="000A516C" w:rsidP="000A516C">
      <w:pPr>
        <w:pStyle w:val="FootnoteText"/>
      </w:pPr>
      <w:r>
        <w:rPr>
          <w:rStyle w:val="FootnoteReference"/>
        </w:rPr>
        <w:footnoteRef/>
      </w:r>
      <w:r>
        <w:t xml:space="preserve"> OECD (2016a), </w:t>
      </w:r>
      <w:r>
        <w:rPr>
          <w:i/>
          <w:iCs/>
        </w:rPr>
        <w:t>Governance of regulators’ practices: accountability, transparency and coordination</w:t>
      </w:r>
      <w:r>
        <w:t>, OECD Publishing: Paris, p. 17</w:t>
      </w:r>
      <w:r w:rsidR="001E747D">
        <w:t xml:space="preserve">. Available here: </w:t>
      </w:r>
      <w:r w:rsidR="00DD0E7C">
        <w:t>&lt;</w:t>
      </w:r>
      <w:r w:rsidR="00DD0E7C" w:rsidRPr="00DD0E7C">
        <w:t>https://www.oecd.org/publications/governance-of-regulators-practices-9789264255388-en.htm</w:t>
      </w:r>
      <w:r w:rsidR="00DD0E7C">
        <w:t xml:space="preserve">&gt; </w:t>
      </w:r>
      <w:r w:rsidR="00164D7A">
        <w:t>(accessed 4 April 2022)</w:t>
      </w:r>
    </w:p>
  </w:footnote>
  <w:footnote w:id="37">
    <w:p w14:paraId="56278CBD" w14:textId="0B4246B1" w:rsidR="00A3608B" w:rsidRDefault="00A3608B">
      <w:pPr>
        <w:pStyle w:val="FootnoteText"/>
      </w:pPr>
      <w:r>
        <w:rPr>
          <w:rStyle w:val="FootnoteReference"/>
        </w:rPr>
        <w:footnoteRef/>
      </w:r>
      <w:r>
        <w:t xml:space="preserve"> </w:t>
      </w:r>
      <w:r w:rsidR="00C0567C">
        <w:t>OECD (2014), as above, p. 47</w:t>
      </w:r>
    </w:p>
  </w:footnote>
  <w:footnote w:id="38">
    <w:p w14:paraId="00B9B7E8" w14:textId="147860CB" w:rsidR="008272E9" w:rsidRDefault="008272E9" w:rsidP="0015137D">
      <w:pPr>
        <w:pStyle w:val="FootnoteText"/>
        <w:jc w:val="left"/>
      </w:pPr>
      <w:r>
        <w:rPr>
          <w:rStyle w:val="FootnoteReference"/>
        </w:rPr>
        <w:footnoteRef/>
      </w:r>
      <w:r>
        <w:t xml:space="preserve"> OECD (2016b), </w:t>
      </w:r>
      <w:r>
        <w:rPr>
          <w:i/>
          <w:iCs/>
        </w:rPr>
        <w:t>Being an independent regulator</w:t>
      </w:r>
      <w:r>
        <w:t>, OECD Publishing: Paris, p. 33</w:t>
      </w:r>
      <w:r w:rsidR="00164D7A">
        <w:t xml:space="preserve">. Available here: </w:t>
      </w:r>
      <w:r w:rsidR="00D834BA">
        <w:t>&lt;</w:t>
      </w:r>
      <w:r w:rsidR="00D834BA" w:rsidRPr="00D834BA">
        <w:t>https://www.oecd.org/publications/being-an-independent-regulator-9789264255401-en.htm</w:t>
      </w:r>
      <w:r w:rsidR="00D834BA">
        <w:t>&gt; (accessed 4 April 2022)</w:t>
      </w:r>
    </w:p>
  </w:footnote>
  <w:footnote w:id="39">
    <w:p w14:paraId="43E5EEF5" w14:textId="060D2710" w:rsidR="00875F66" w:rsidRDefault="00875F66" w:rsidP="0015137D">
      <w:pPr>
        <w:pStyle w:val="FootnoteText"/>
        <w:jc w:val="left"/>
      </w:pPr>
      <w:r>
        <w:rPr>
          <w:rStyle w:val="FootnoteReference"/>
        </w:rPr>
        <w:footnoteRef/>
      </w:r>
      <w:r>
        <w:t xml:space="preserve"> </w:t>
      </w:r>
      <w:r w:rsidR="008272E9">
        <w:t xml:space="preserve">See also: </w:t>
      </w:r>
      <w:r w:rsidR="0015137D">
        <w:rPr>
          <w:i/>
          <w:iCs/>
        </w:rPr>
        <w:t xml:space="preserve">ibid </w:t>
      </w:r>
      <w:r w:rsidR="0015137D">
        <w:t xml:space="preserve">pp. 35-7; </w:t>
      </w:r>
      <w:r>
        <w:t>OECD (2014), as above, pp. 47-52</w:t>
      </w:r>
      <w:r w:rsidR="009B273B">
        <w:t xml:space="preserve"> </w:t>
      </w:r>
    </w:p>
  </w:footnote>
  <w:footnote w:id="40">
    <w:p w14:paraId="6BFA9A80" w14:textId="77777777" w:rsidR="00D27DBD" w:rsidRDefault="00D27DBD" w:rsidP="0015137D">
      <w:pPr>
        <w:pStyle w:val="FootnoteText"/>
        <w:jc w:val="left"/>
      </w:pPr>
      <w:r>
        <w:rPr>
          <w:rStyle w:val="FootnoteReference"/>
        </w:rPr>
        <w:footnoteRef/>
      </w:r>
      <w:r>
        <w:t xml:space="preserve"> OECD (2014), as above, Chapter 2. The OECD’s observations are based in part on an assessment of two Australian regulators, the Australian Competition and Consumer Commission and the Australian Energy Regulator.</w:t>
      </w:r>
    </w:p>
  </w:footnote>
  <w:footnote w:id="41">
    <w:p w14:paraId="47575BD0" w14:textId="77777777" w:rsidR="008F2797" w:rsidRPr="00FA4693" w:rsidRDefault="008F2797" w:rsidP="0015137D">
      <w:pPr>
        <w:pStyle w:val="FootnoteText"/>
        <w:jc w:val="left"/>
      </w:pPr>
      <w:r>
        <w:rPr>
          <w:rStyle w:val="FootnoteReference"/>
        </w:rPr>
        <w:footnoteRef/>
      </w:r>
      <w:r>
        <w:t xml:space="preserve"> OECD (2016b), </w:t>
      </w:r>
      <w:r w:rsidRPr="004B31A5">
        <w:t>as above</w:t>
      </w:r>
      <w:r>
        <w:t>, pp. 25-7</w:t>
      </w:r>
    </w:p>
  </w:footnote>
  <w:footnote w:id="42">
    <w:p w14:paraId="5EC15529" w14:textId="77777777" w:rsidR="004675A6" w:rsidRDefault="004675A6" w:rsidP="00C13135">
      <w:pPr>
        <w:pStyle w:val="FootnoteText"/>
        <w:jc w:val="left"/>
      </w:pPr>
      <w:r>
        <w:rPr>
          <w:rStyle w:val="FootnoteReference"/>
        </w:rPr>
        <w:footnoteRef/>
      </w:r>
      <w:r>
        <w:t xml:space="preserve"> OECD (2016b), as above, pp.38-44</w:t>
      </w:r>
    </w:p>
  </w:footnote>
  <w:footnote w:id="43">
    <w:p w14:paraId="78AADC5F" w14:textId="3E65219C" w:rsidR="003E357B" w:rsidRPr="00765983" w:rsidRDefault="003E357B" w:rsidP="00C13135">
      <w:pPr>
        <w:pStyle w:val="FootnoteText"/>
        <w:jc w:val="left"/>
      </w:pPr>
      <w:r>
        <w:rPr>
          <w:rStyle w:val="FootnoteReference"/>
        </w:rPr>
        <w:footnoteRef/>
      </w:r>
      <w:r>
        <w:t xml:space="preserve"> OECD (2017), </w:t>
      </w:r>
      <w:r>
        <w:rPr>
          <w:i/>
          <w:iCs/>
        </w:rPr>
        <w:t>Creating a culture of independence: practical guidance against undue influence</w:t>
      </w:r>
      <w:r>
        <w:t>, OECD Publishing: Paris pp. 23-32</w:t>
      </w:r>
      <w:r w:rsidR="00C66E51">
        <w:t>. Available here: &lt;</w:t>
      </w:r>
      <w:r w:rsidR="00C66E51" w:rsidRPr="00C66E51">
        <w:t>https://www.oecd.org/gov/creating-a-culture-of-independence-9789264274198-en.htm</w:t>
      </w:r>
      <w:r w:rsidR="00C66E51">
        <w:t>&gt; (accessed 4 April 2022)</w:t>
      </w:r>
    </w:p>
  </w:footnote>
  <w:footnote w:id="44">
    <w:p w14:paraId="6E82DDAA" w14:textId="2C107ACC" w:rsidR="00D14361" w:rsidRPr="00B85AA2" w:rsidRDefault="00D14361" w:rsidP="00C13135">
      <w:pPr>
        <w:pStyle w:val="FootnoteText"/>
        <w:jc w:val="left"/>
      </w:pPr>
      <w:r>
        <w:rPr>
          <w:rStyle w:val="FootnoteReference"/>
        </w:rPr>
        <w:footnoteRef/>
      </w:r>
      <w:r>
        <w:t xml:space="preserve"> Carolyn Jackson (2014)</w:t>
      </w:r>
      <w:r w:rsidR="0097145C">
        <w:t>,</w:t>
      </w:r>
      <w:r w:rsidR="00E8413D">
        <w:t xml:space="preserve"> “Structural and behavioural independence: mapping the meaning of agency independence at the field level” </w:t>
      </w:r>
      <w:r w:rsidR="0099084A">
        <w:rPr>
          <w:i/>
          <w:iCs/>
        </w:rPr>
        <w:t>International Review of Administrative Sciences</w:t>
      </w:r>
      <w:r w:rsidR="00B85AA2">
        <w:rPr>
          <w:i/>
          <w:iCs/>
        </w:rPr>
        <w:t xml:space="preserve"> </w:t>
      </w:r>
      <w:r w:rsidR="00B85AA2">
        <w:t>80(2) pp.</w:t>
      </w:r>
      <w:r w:rsidR="00175AF5">
        <w:t xml:space="preserve"> </w:t>
      </w:r>
      <w:r w:rsidR="00B40DF2">
        <w:t>257-275</w:t>
      </w:r>
      <w:r w:rsidR="004010F6">
        <w:t>, p. 259</w:t>
      </w:r>
    </w:p>
  </w:footnote>
  <w:footnote w:id="45">
    <w:p w14:paraId="7C314E79" w14:textId="40527D10" w:rsidR="0022179F" w:rsidRPr="0022179F" w:rsidRDefault="0022179F" w:rsidP="001D55CD">
      <w:pPr>
        <w:pStyle w:val="FootnoteText"/>
        <w:jc w:val="left"/>
        <w:rPr>
          <w:lang w:val="en-AU"/>
        </w:rPr>
      </w:pPr>
      <w:r>
        <w:rPr>
          <w:rStyle w:val="FootnoteReference"/>
        </w:rPr>
        <w:footnoteRef/>
      </w:r>
      <w:r w:rsidR="001D55CD">
        <w:t xml:space="preserve"> </w:t>
      </w:r>
      <w:r w:rsidR="0097145C">
        <w:t xml:space="preserve">Department of </w:t>
      </w:r>
      <w:r w:rsidR="001D55CD">
        <w:t xml:space="preserve">the Premier and Cabinet (2016), as above </w:t>
      </w:r>
    </w:p>
  </w:footnote>
  <w:footnote w:id="46">
    <w:p w14:paraId="299FC363" w14:textId="7ED8551C" w:rsidR="007779D3" w:rsidRDefault="007779D3" w:rsidP="00AE15D1">
      <w:pPr>
        <w:pStyle w:val="FootnoteText"/>
        <w:jc w:val="left"/>
      </w:pPr>
      <w:r>
        <w:rPr>
          <w:rStyle w:val="FootnoteReference"/>
        </w:rPr>
        <w:footnoteRef/>
      </w:r>
      <w:r>
        <w:t xml:space="preserve"> D</w:t>
      </w:r>
      <w:r w:rsidR="00C30986">
        <w:t xml:space="preserve">epartment of </w:t>
      </w:r>
      <w:r>
        <w:t>C</w:t>
      </w:r>
      <w:r w:rsidR="00C30986">
        <w:t>ustomer Service</w:t>
      </w:r>
      <w:r w:rsidR="007D6277">
        <w:t xml:space="preserve"> (2021)</w:t>
      </w:r>
      <w:r w:rsidR="00C30986">
        <w:t>,</w:t>
      </w:r>
      <w:r>
        <w:t xml:space="preserve"> </w:t>
      </w:r>
      <w:r w:rsidRPr="00C30986">
        <w:rPr>
          <w:i/>
          <w:iCs/>
        </w:rPr>
        <w:t xml:space="preserve">Annual </w:t>
      </w:r>
      <w:r w:rsidR="00C30986">
        <w:rPr>
          <w:i/>
          <w:iCs/>
        </w:rPr>
        <w:t>r</w:t>
      </w:r>
      <w:r w:rsidRPr="00C30986">
        <w:rPr>
          <w:i/>
          <w:iCs/>
        </w:rPr>
        <w:t>eport</w:t>
      </w:r>
      <w:r>
        <w:t xml:space="preserve"> 2020-21</w:t>
      </w:r>
      <w:r w:rsidR="00592844">
        <w:t>, New South Wales Government,</w:t>
      </w:r>
      <w:r>
        <w:t xml:space="preserve"> p. 13</w:t>
      </w:r>
      <w:r w:rsidR="00592844">
        <w:t>. Available here:</w:t>
      </w:r>
      <w:r>
        <w:t xml:space="preserve"> </w:t>
      </w:r>
      <w:r w:rsidR="00C92E37">
        <w:t>&lt;</w:t>
      </w:r>
      <w:r w:rsidR="001D55CD" w:rsidRPr="00C92E37">
        <w:t>https://www.nsw.gov.au/sites/default/files/2022-02/DCS%20Annual%20Report%202020-2021.pdf</w:t>
      </w:r>
      <w:r w:rsidR="00C92E37">
        <w:t>&gt; (accessed 4 April 2022)</w:t>
      </w:r>
      <w:r>
        <w:t xml:space="preserve"> </w:t>
      </w:r>
    </w:p>
  </w:footnote>
  <w:footnote w:id="47">
    <w:p w14:paraId="77E04F53" w14:textId="79AF14CD" w:rsidR="00AE15D1" w:rsidRDefault="00AE15D1" w:rsidP="00AE15D1">
      <w:pPr>
        <w:pStyle w:val="FootnoteText"/>
        <w:jc w:val="left"/>
      </w:pPr>
      <w:r>
        <w:rPr>
          <w:rStyle w:val="FootnoteReference"/>
        </w:rPr>
        <w:footnoteRef/>
      </w:r>
      <w:r>
        <w:t xml:space="preserve"> Adapted from p. 11 here:</w:t>
      </w:r>
      <w:r w:rsidR="007D6277">
        <w:t xml:space="preserve"> Victorian Building Authority (2021), </w:t>
      </w:r>
      <w:r w:rsidR="007D6277">
        <w:rPr>
          <w:i/>
          <w:iCs/>
        </w:rPr>
        <w:t>Annual report 2020-21</w:t>
      </w:r>
      <w:r w:rsidR="007D6277">
        <w:t xml:space="preserve">, </w:t>
      </w:r>
      <w:r w:rsidR="001C1D1B">
        <w:t>Victorian Government. Available here:</w:t>
      </w:r>
      <w:r w:rsidR="007D6277">
        <w:t xml:space="preserve"> </w:t>
      </w:r>
      <w:r w:rsidR="001C1D1B">
        <w:t>&lt;</w:t>
      </w:r>
      <w:r w:rsidR="007D6277" w:rsidRPr="001C1D1B">
        <w:t>https://www.vba.vic.gov.au/__data/assets/pdf_file/0004/144373/VBA-Annual-Report-202021.pdf</w:t>
      </w:r>
      <w:r w:rsidR="001C1D1B">
        <w:t>&gt;</w:t>
      </w:r>
      <w:r>
        <w:t xml:space="preserve"> </w:t>
      </w:r>
      <w:r w:rsidR="001C1D1B">
        <w:t>(accessed 4 April 2022)</w:t>
      </w:r>
    </w:p>
  </w:footnote>
  <w:footnote w:id="48">
    <w:p w14:paraId="7517C27A" w14:textId="19E911EF" w:rsidR="00D50DEE" w:rsidRDefault="00922409" w:rsidP="00AB7511">
      <w:pPr>
        <w:pStyle w:val="FootnoteText"/>
        <w:jc w:val="left"/>
      </w:pPr>
      <w:r>
        <w:rPr>
          <w:rStyle w:val="FootnoteReference"/>
        </w:rPr>
        <w:footnoteRef/>
      </w:r>
      <w:r>
        <w:t xml:space="preserve"> </w:t>
      </w:r>
      <w:r w:rsidR="007B45E0">
        <w:t>Government of South Australia (2020), “Building and trades</w:t>
      </w:r>
      <w:r w:rsidR="00205C25">
        <w:t>,</w:t>
      </w:r>
      <w:r w:rsidR="007B45E0">
        <w:t>”</w:t>
      </w:r>
      <w:r w:rsidR="00205C25">
        <w:t xml:space="preserve"> accessed 4 April 2022. </w:t>
      </w:r>
      <w:r w:rsidR="007B45E0">
        <w:t xml:space="preserve"> </w:t>
      </w:r>
      <w:r w:rsidR="00E80932">
        <w:t>&lt;</w:t>
      </w:r>
      <w:r w:rsidR="007B45E0" w:rsidRPr="00205C25">
        <w:t>https://www.sa.gov.au/topics/business-and-trade/licensing/building-and-trades</w:t>
      </w:r>
      <w:r w:rsidR="00E80932">
        <w:t>&gt;</w:t>
      </w:r>
      <w:r>
        <w:t xml:space="preserve">  </w:t>
      </w:r>
    </w:p>
    <w:p w14:paraId="61F6DD7D" w14:textId="47462F5F" w:rsidR="00922409" w:rsidRDefault="006A462C" w:rsidP="00AB7511">
      <w:pPr>
        <w:pStyle w:val="FootnoteText"/>
        <w:jc w:val="left"/>
      </w:pPr>
      <w:r>
        <w:t>Consumer and Business Services</w:t>
      </w:r>
      <w:r w:rsidR="003837BE">
        <w:t xml:space="preserve"> </w:t>
      </w:r>
      <w:r>
        <w:t>(2018)</w:t>
      </w:r>
      <w:r w:rsidR="003837BE">
        <w:t>,</w:t>
      </w:r>
      <w:r>
        <w:t xml:space="preserve"> “Work and business licences,” accessed 4 April 2022. </w:t>
      </w:r>
      <w:r w:rsidR="00E80932">
        <w:t>&lt;</w:t>
      </w:r>
      <w:r w:rsidR="00D50DEE" w:rsidRPr="00D50DEE">
        <w:t>https://www.cbs.sa.gov.au/work-business-licences</w:t>
      </w:r>
      <w:r w:rsidR="00E80932">
        <w:t>&gt;</w:t>
      </w:r>
      <w:r w:rsidR="00922409">
        <w:t xml:space="preserve"> </w:t>
      </w:r>
    </w:p>
  </w:footnote>
  <w:footnote w:id="49">
    <w:p w14:paraId="269D432E" w14:textId="4E908F8F" w:rsidR="006345EC" w:rsidRDefault="006345EC" w:rsidP="00AB7511">
      <w:pPr>
        <w:pStyle w:val="FootnoteText"/>
        <w:jc w:val="left"/>
      </w:pPr>
      <w:r>
        <w:rPr>
          <w:rStyle w:val="FootnoteReference"/>
        </w:rPr>
        <w:footnoteRef/>
      </w:r>
      <w:r>
        <w:t xml:space="preserve"> </w:t>
      </w:r>
      <w:r w:rsidR="00D50DEE">
        <w:t>Small Business Commissioner (2022), “Security of payment</w:t>
      </w:r>
      <w:r w:rsidR="005E174F">
        <w:t>,</w:t>
      </w:r>
      <w:r w:rsidR="00D50DEE">
        <w:t>”</w:t>
      </w:r>
      <w:r w:rsidR="005E174F">
        <w:t xml:space="preserve"> accessed 4 April 2022.</w:t>
      </w:r>
      <w:r w:rsidR="00D50DEE">
        <w:t xml:space="preserve"> </w:t>
      </w:r>
      <w:r w:rsidR="00E80932">
        <w:t>&lt;</w:t>
      </w:r>
      <w:r w:rsidR="00D50DEE" w:rsidRPr="005E174F">
        <w:t>https://www.sasbc.sa.gov.au/security_of_payment</w:t>
      </w:r>
      <w:r w:rsidR="00E80932">
        <w:t>&gt;</w:t>
      </w:r>
      <w:r>
        <w:t xml:space="preserve"> </w:t>
      </w:r>
    </w:p>
  </w:footnote>
  <w:footnote w:id="50">
    <w:p w14:paraId="216D5B34" w14:textId="29920E28" w:rsidR="008A2927" w:rsidRDefault="008A2927" w:rsidP="00AB7511">
      <w:pPr>
        <w:pStyle w:val="FootnoteText"/>
        <w:jc w:val="left"/>
      </w:pPr>
      <w:r>
        <w:rPr>
          <w:rStyle w:val="FootnoteReference"/>
        </w:rPr>
        <w:footnoteRef/>
      </w:r>
      <w:r>
        <w:t xml:space="preserve"> </w:t>
      </w:r>
      <w:r w:rsidR="005E6ABA">
        <w:t xml:space="preserve">State Planning Commission </w:t>
      </w:r>
      <w:r w:rsidR="009D5289">
        <w:t>(unknown year)</w:t>
      </w:r>
      <w:r w:rsidR="003837BE">
        <w:t xml:space="preserve">, “Role of the panel,” accessed 4 April 2022. </w:t>
      </w:r>
      <w:r>
        <w:t xml:space="preserve"> </w:t>
      </w:r>
      <w:r w:rsidR="00E80932">
        <w:t>&lt;</w:t>
      </w:r>
      <w:r w:rsidRPr="003837BE">
        <w:t>https://www.saplanningcommission.sa.gov.au/building-technical-panel/role_of_the_pane</w:t>
      </w:r>
      <w:r w:rsidR="000C1A04">
        <w:t>l</w:t>
      </w:r>
      <w:r w:rsidR="00E80932">
        <w:t>&gt;</w:t>
      </w:r>
    </w:p>
  </w:footnote>
  <w:footnote w:id="51">
    <w:p w14:paraId="2497EE93" w14:textId="24FB5BB9" w:rsidR="00BC1389" w:rsidRDefault="00BC1389" w:rsidP="00AB7511">
      <w:pPr>
        <w:pStyle w:val="FootnoteText"/>
        <w:jc w:val="left"/>
      </w:pPr>
      <w:r>
        <w:rPr>
          <w:rStyle w:val="FootnoteReference"/>
        </w:rPr>
        <w:footnoteRef/>
      </w:r>
      <w:r>
        <w:t xml:space="preserve"> </w:t>
      </w:r>
      <w:r w:rsidR="00AB2FDF">
        <w:t>PlanSA</w:t>
      </w:r>
      <w:r w:rsidR="00353F77">
        <w:t xml:space="preserve"> (unknown year), “Inspections and compliance,” accessed 4 April 2022 </w:t>
      </w:r>
      <w:r w:rsidR="00E80932">
        <w:t>&lt;</w:t>
      </w:r>
      <w:r w:rsidRPr="00353F77">
        <w:t>https://plan.sa.gov.au/resources/building/inspections_and_compliance</w:t>
      </w:r>
      <w:r w:rsidR="00E80932">
        <w:t>&gt;</w:t>
      </w:r>
      <w:r>
        <w:t xml:space="preserve"> </w:t>
      </w:r>
    </w:p>
  </w:footnote>
  <w:footnote w:id="52">
    <w:p w14:paraId="75262DEC" w14:textId="7C81168C" w:rsidR="0058189C" w:rsidRDefault="0058189C" w:rsidP="00AB7511">
      <w:pPr>
        <w:pStyle w:val="FootnoteText"/>
        <w:jc w:val="left"/>
      </w:pPr>
      <w:r>
        <w:rPr>
          <w:rStyle w:val="FootnoteReference"/>
        </w:rPr>
        <w:footnoteRef/>
      </w:r>
      <w:r>
        <w:t xml:space="preserve"> </w:t>
      </w:r>
      <w:r w:rsidR="008433FF">
        <w:t xml:space="preserve">Department of Mines, Industry Regulation and Safety (2019), “Leadership structure,” accessed </w:t>
      </w:r>
      <w:r w:rsidR="0068142E">
        <w:t xml:space="preserve">4 April 2022. </w:t>
      </w:r>
      <w:r>
        <w:t xml:space="preserve"> </w:t>
      </w:r>
      <w:r w:rsidR="00E80932">
        <w:t>&lt;</w:t>
      </w:r>
      <w:r w:rsidR="006C6B12" w:rsidRPr="0068142E">
        <w:t>https://www.dmirs.wa.gov.au/sites/default/files/atoms/files/dmirs-leadership-structure_0.pdf</w:t>
      </w:r>
      <w:r w:rsidR="00E80932">
        <w:t>&gt;</w:t>
      </w:r>
      <w:r>
        <w:t xml:space="preserve"> </w:t>
      </w:r>
    </w:p>
  </w:footnote>
  <w:footnote w:id="53">
    <w:p w14:paraId="52FD8731" w14:textId="2BE7E67A" w:rsidR="00F97962" w:rsidRDefault="00F97962" w:rsidP="00AB7511">
      <w:pPr>
        <w:pStyle w:val="FootnoteText"/>
        <w:jc w:val="left"/>
      </w:pPr>
      <w:r>
        <w:rPr>
          <w:rStyle w:val="FootnoteReference"/>
        </w:rPr>
        <w:footnoteRef/>
      </w:r>
      <w:r>
        <w:t xml:space="preserve"> </w:t>
      </w:r>
      <w:r w:rsidR="00354A64">
        <w:t>Department of Mines, Industry Regulation and Safety</w:t>
      </w:r>
      <w:r w:rsidR="00777A48">
        <w:t xml:space="preserve"> (2022), “About Building and Energy,” accessed 4 April 2022. </w:t>
      </w:r>
      <w:r w:rsidR="00EF1FE2">
        <w:t>&lt;</w:t>
      </w:r>
      <w:r w:rsidR="002D690F" w:rsidRPr="002D690F">
        <w:t>https://www.commerce.wa.gov.au/building-and-energy/about-building-and-energy-1</w:t>
      </w:r>
      <w:r w:rsidR="00EF1FE2">
        <w:t>&gt;</w:t>
      </w:r>
      <w:r>
        <w:t xml:space="preserve"> </w:t>
      </w:r>
    </w:p>
  </w:footnote>
  <w:footnote w:id="54">
    <w:p w14:paraId="2D9FA2E0" w14:textId="7F25E77C" w:rsidR="00F867BB" w:rsidRDefault="00F867BB" w:rsidP="00AB7511">
      <w:pPr>
        <w:pStyle w:val="FootnoteText"/>
        <w:jc w:val="left"/>
      </w:pPr>
      <w:r>
        <w:rPr>
          <w:rStyle w:val="FootnoteReference"/>
        </w:rPr>
        <w:footnoteRef/>
      </w:r>
      <w:r>
        <w:t xml:space="preserve"> </w:t>
      </w:r>
      <w:r w:rsidR="00126FED">
        <w:t>State Insurance</w:t>
      </w:r>
      <w:r w:rsidR="0040753D">
        <w:t xml:space="preserve"> Regulatory Agency</w:t>
      </w:r>
      <w:r w:rsidR="00210DBF">
        <w:t xml:space="preserve"> (</w:t>
      </w:r>
      <w:r w:rsidR="00B1402C">
        <w:t>unknown year), “List of licensed insurers or providers</w:t>
      </w:r>
      <w:r w:rsidR="00C76EAD">
        <w:t xml:space="preserve">,” accessed 4 April 2022. </w:t>
      </w:r>
      <w:r w:rsidR="00E80932">
        <w:t>&lt;</w:t>
      </w:r>
      <w:r w:rsidRPr="00C76EAD">
        <w:t>https://www.sira.nsw.gov.au/insurance-coverage/home-building-compensation-insurance/list-of-licensed-insurers-or-providers</w:t>
      </w:r>
      <w:r w:rsidR="00E80932">
        <w:t>&gt;</w:t>
      </w:r>
      <w:r>
        <w:t xml:space="preserve"> </w:t>
      </w:r>
    </w:p>
  </w:footnote>
  <w:footnote w:id="55">
    <w:p w14:paraId="1ABB966A" w14:textId="4DD5B630" w:rsidR="000A4D93" w:rsidRDefault="000A4D93" w:rsidP="00AB7511">
      <w:pPr>
        <w:pStyle w:val="FootnoteText"/>
        <w:jc w:val="left"/>
      </w:pPr>
      <w:r>
        <w:rPr>
          <w:rStyle w:val="FootnoteReference"/>
        </w:rPr>
        <w:footnoteRef/>
      </w:r>
      <w:r>
        <w:t xml:space="preserve"> </w:t>
      </w:r>
      <w:r w:rsidR="00C76EAD">
        <w:t>Consumer Affairs Victoria</w:t>
      </w:r>
      <w:r w:rsidR="00B13AB9">
        <w:t xml:space="preserve"> (2021), “Domestic building insurance,” accessed </w:t>
      </w:r>
      <w:r w:rsidR="002455CF">
        <w:t xml:space="preserve">4 April 2022. </w:t>
      </w:r>
      <w:r w:rsidR="00E80932">
        <w:t>&lt;</w:t>
      </w:r>
      <w:r w:rsidRPr="002455CF">
        <w:t>https://www.consumer.vic.gov.au/licensing-and-registration/builders-and-tradespeople/running-your-business/warranties-and-insurance/domestic-building-insurance</w:t>
      </w:r>
      <w:r w:rsidR="00E80932">
        <w:t>&gt;</w:t>
      </w:r>
      <w:r>
        <w:t xml:space="preserve"> </w:t>
      </w:r>
    </w:p>
  </w:footnote>
  <w:footnote w:id="56">
    <w:p w14:paraId="5A77F771" w14:textId="324BAD16" w:rsidR="004A4CCA" w:rsidRDefault="004A4CCA" w:rsidP="00383DAC">
      <w:pPr>
        <w:pStyle w:val="FootnoteText"/>
        <w:jc w:val="left"/>
      </w:pPr>
      <w:r>
        <w:rPr>
          <w:rStyle w:val="FootnoteReference"/>
        </w:rPr>
        <w:footnoteRef/>
      </w:r>
      <w:r>
        <w:t xml:space="preserve"> </w:t>
      </w:r>
      <w:r w:rsidR="00CC095E">
        <w:t xml:space="preserve">State Planning Commission (2021), </w:t>
      </w:r>
      <w:r w:rsidRPr="00CC095E">
        <w:rPr>
          <w:i/>
          <w:iCs/>
        </w:rPr>
        <w:t>Annual repo</w:t>
      </w:r>
      <w:r w:rsidR="00CC095E">
        <w:rPr>
          <w:i/>
          <w:iCs/>
        </w:rPr>
        <w:t>rt 2020-21</w:t>
      </w:r>
      <w:r w:rsidR="00CC095E">
        <w:t xml:space="preserve">, </w:t>
      </w:r>
      <w:r w:rsidR="00E80932">
        <w:t>Government of South Australia,</w:t>
      </w:r>
      <w:r>
        <w:t xml:space="preserve"> p. 31</w:t>
      </w:r>
      <w:r w:rsidR="00E80932">
        <w:t xml:space="preserve">. Available here: </w:t>
      </w:r>
      <w:r>
        <w:t xml:space="preserve"> </w:t>
      </w:r>
      <w:r w:rsidR="00E80932">
        <w:t>&lt;</w:t>
      </w:r>
      <w:r w:rsidR="00E816A3" w:rsidRPr="00E80932">
        <w:t>https://dit.sa.gov.au/__data/assets/pdf_file/0012/948387/State_Planning_Commission_Annual_Report_2020-21.pdf</w:t>
      </w:r>
      <w:r w:rsidR="00E80932">
        <w:t>&gt;</w:t>
      </w:r>
      <w:r>
        <w:t xml:space="preserve"> </w:t>
      </w:r>
      <w:r w:rsidR="00EF1FE2">
        <w:t>(accessed 4 April 2022)</w:t>
      </w:r>
    </w:p>
  </w:footnote>
  <w:footnote w:id="57">
    <w:p w14:paraId="43E33113" w14:textId="48A0AC75" w:rsidR="005C3649" w:rsidRDefault="005C3649" w:rsidP="00383DAC">
      <w:pPr>
        <w:pStyle w:val="FootnoteText"/>
        <w:jc w:val="left"/>
      </w:pPr>
      <w:r>
        <w:rPr>
          <w:rStyle w:val="FootnoteReference"/>
        </w:rPr>
        <w:footnoteRef/>
      </w:r>
      <w:r>
        <w:t xml:space="preserve"> </w:t>
      </w:r>
      <w:r w:rsidR="00213190">
        <w:t xml:space="preserve">South Australia Government Financing Authority </w:t>
      </w:r>
      <w:r w:rsidR="007951C5">
        <w:t>(2020), “Building indemnity insurance,” accessed 4 April 2022. &lt;</w:t>
      </w:r>
      <w:r w:rsidRPr="007951C5">
        <w:t>https://www.safa.sa.gov.au/Insurance/building-indemnity-insurance</w:t>
      </w:r>
      <w:r w:rsidR="007951C5">
        <w:t>&gt;</w:t>
      </w:r>
      <w:r>
        <w:t xml:space="preserve"> </w:t>
      </w:r>
    </w:p>
  </w:footnote>
  <w:footnote w:id="58">
    <w:p w14:paraId="102A19D0" w14:textId="603A3922" w:rsidR="00A71F3C" w:rsidRDefault="00A71F3C" w:rsidP="00383DAC">
      <w:pPr>
        <w:pStyle w:val="FootnoteText"/>
        <w:jc w:val="left"/>
      </w:pPr>
      <w:r>
        <w:rPr>
          <w:rStyle w:val="FootnoteReference"/>
        </w:rPr>
        <w:footnoteRef/>
      </w:r>
      <w:r>
        <w:t xml:space="preserve"> </w:t>
      </w:r>
      <w:r w:rsidR="003D705A">
        <w:t>Department of Mines, Industry Regulation and Safety</w:t>
      </w:r>
      <w:r w:rsidR="00831D19">
        <w:t xml:space="preserve"> (</w:t>
      </w:r>
      <w:r w:rsidR="00F425C5">
        <w:t>2021</w:t>
      </w:r>
      <w:r w:rsidR="00831D19">
        <w:t>, “Home indemnity insurance</w:t>
      </w:r>
      <w:r w:rsidR="00F425C5">
        <w:t>,” accessed 4 April 2022</w:t>
      </w:r>
      <w:r w:rsidR="00A2620D">
        <w:t>. &lt;</w:t>
      </w:r>
      <w:r w:rsidR="00A2620D" w:rsidRPr="00A2620D">
        <w:t>https://www.commerce.wa.gov.au/publications/home-indemnity-insurance</w:t>
      </w:r>
      <w:r w:rsidR="00A2620D">
        <w:t>&gt;</w:t>
      </w:r>
    </w:p>
  </w:footnote>
  <w:footnote w:id="59">
    <w:p w14:paraId="6A0DA718" w14:textId="7D3B61C7" w:rsidR="16FFD785" w:rsidRDefault="16FFD785" w:rsidP="008A236E">
      <w:pPr>
        <w:pStyle w:val="FootnoteText"/>
      </w:pPr>
      <w:r w:rsidRPr="16FFD785">
        <w:rPr>
          <w:rStyle w:val="FootnoteReference"/>
        </w:rPr>
        <w:footnoteRef/>
      </w:r>
      <w:r w:rsidRPr="16FFD785">
        <w:t xml:space="preserve"> </w:t>
      </w:r>
      <w:r w:rsidRPr="16FFD785">
        <w:rPr>
          <w:i/>
          <w:iCs/>
        </w:rPr>
        <w:t xml:space="preserve">Building Services (Complaint Resolution and Administration) Regulations 2011 </w:t>
      </w:r>
      <w:r w:rsidRPr="008A236E">
        <w:t>(WA), Division 3</w:t>
      </w:r>
      <w:r w:rsidRPr="16FFD785">
        <w:t>. Available here: &lt;</w:t>
      </w:r>
      <w:hyperlink r:id="rId1" w:history="1">
        <w:r w:rsidRPr="16FFD785">
          <w:rPr>
            <w:rStyle w:val="Hyperlink"/>
          </w:rPr>
          <w:t>https://www.legislation.wa.gov.au/legislation/statutes.nsf/main_mrtitle_12698_homepage.html</w:t>
        </w:r>
      </w:hyperlink>
      <w:r w:rsidRPr="16FFD785">
        <w:rPr>
          <w:rStyle w:val="Hyperlink"/>
        </w:rPr>
        <w:t>&gt;</w:t>
      </w:r>
      <w:r w:rsidRPr="16FFD785">
        <w:t xml:space="preserve"> (accessed 11 April 2002)</w:t>
      </w:r>
    </w:p>
  </w:footnote>
  <w:footnote w:id="60">
    <w:p w14:paraId="0E37C0A6" w14:textId="0BB65F1A" w:rsidR="00DE23F4" w:rsidRDefault="00DE23F4">
      <w:pPr>
        <w:pStyle w:val="FootnoteText"/>
        <w:jc w:val="left"/>
      </w:pPr>
      <w:r>
        <w:rPr>
          <w:rStyle w:val="FootnoteReference"/>
        </w:rPr>
        <w:footnoteRef/>
      </w:r>
      <w:r>
        <w:t xml:space="preserve"> </w:t>
      </w:r>
      <w:r w:rsidRPr="00383DAC">
        <w:rPr>
          <w:i/>
          <w:iCs/>
        </w:rPr>
        <w:t>Building and Construction Industry (Portable Long Service Leave) Act 1991</w:t>
      </w:r>
      <w:r w:rsidR="00AB4F8C">
        <w:rPr>
          <w:i/>
          <w:iCs/>
        </w:rPr>
        <w:t xml:space="preserve"> </w:t>
      </w:r>
      <w:r w:rsidR="00AB4F8C">
        <w:t>(Qld),</w:t>
      </w:r>
      <w:r w:rsidR="009A7621">
        <w:t xml:space="preserve"> s 66. </w:t>
      </w:r>
    </w:p>
  </w:footnote>
  <w:footnote w:id="61">
    <w:p w14:paraId="395DEB93" w14:textId="69B2C9D0" w:rsidR="00B0474C" w:rsidRDefault="00B0474C" w:rsidP="006F3604">
      <w:pPr>
        <w:pStyle w:val="FootnoteText"/>
        <w:jc w:val="left"/>
      </w:pPr>
      <w:r>
        <w:rPr>
          <w:rStyle w:val="FootnoteReference"/>
        </w:rPr>
        <w:footnoteRef/>
      </w:r>
      <w:r>
        <w:t xml:space="preserve"> </w:t>
      </w:r>
      <w:r w:rsidR="00B57B72">
        <w:t>QLeave (2022), “What is the levy?” accessed 4 April 2022. &lt;</w:t>
      </w:r>
      <w:r w:rsidR="00B57B72" w:rsidRPr="00A71153">
        <w:t>https://www.qleave.qld.gov.au/building-and-construction/levy-payers/what-is-the-levy</w:t>
      </w:r>
      <w:r w:rsidR="00B57B72">
        <w:t>&gt;</w:t>
      </w:r>
    </w:p>
  </w:footnote>
  <w:footnote w:id="62">
    <w:p w14:paraId="63233FDD" w14:textId="18CF20F5" w:rsidR="00B0474C" w:rsidRDefault="00B0474C" w:rsidP="006F3604">
      <w:pPr>
        <w:pStyle w:val="FootnoteText"/>
        <w:jc w:val="left"/>
      </w:pPr>
      <w:r>
        <w:rPr>
          <w:rStyle w:val="FootnoteReference"/>
        </w:rPr>
        <w:footnoteRef/>
      </w:r>
      <w:r>
        <w:t xml:space="preserve"> Long Service</w:t>
      </w:r>
      <w:r w:rsidR="00EF7D1F">
        <w:t xml:space="preserve"> Corporation</w:t>
      </w:r>
      <w:r w:rsidR="009944D7">
        <w:t xml:space="preserve"> (2022), “What is Long Service</w:t>
      </w:r>
      <w:r>
        <w:t xml:space="preserve"> Levy</w:t>
      </w:r>
      <w:r w:rsidR="009944D7">
        <w:t>,”</w:t>
      </w:r>
      <w:r>
        <w:t xml:space="preserve"> </w:t>
      </w:r>
      <w:r w:rsidR="009944D7">
        <w:t>accessed 5 April 2022. &lt;</w:t>
      </w:r>
      <w:r w:rsidR="009944D7" w:rsidRPr="006F3604">
        <w:t>https://www.longservice.nsw.gov.au/bci/levy/about-the-levy/long-service-levy</w:t>
      </w:r>
      <w:r w:rsidR="009944D7">
        <w:t>&gt;</w:t>
      </w:r>
      <w:r>
        <w:t xml:space="preserve"> </w:t>
      </w:r>
    </w:p>
    <w:p w14:paraId="5A55FCD7" w14:textId="3C6AFBE3" w:rsidR="00B0474C" w:rsidRPr="00837E82" w:rsidRDefault="00B0474C" w:rsidP="006F3604">
      <w:pPr>
        <w:pStyle w:val="FootnoteText"/>
        <w:jc w:val="left"/>
      </w:pPr>
      <w:r>
        <w:t xml:space="preserve">The Developer Levy was introduced by the </w:t>
      </w:r>
      <w:r>
        <w:rPr>
          <w:i/>
          <w:iCs/>
        </w:rPr>
        <w:t>Building Legislation Amendment Act 2021 (NSW)</w:t>
      </w:r>
      <w:r>
        <w:t xml:space="preserve">, which amended the </w:t>
      </w:r>
      <w:r>
        <w:rPr>
          <w:i/>
          <w:iCs/>
        </w:rPr>
        <w:t xml:space="preserve">Residential Apartment Buildings (Compliance and Enforcement Powers) Act 2020 </w:t>
      </w:r>
      <w:r>
        <w:t>to insert s 6A, which gives the Secretary of the Department of Customer Service the power to impose a levy on building work. At the time of writing, the details of the levy are still be</w:t>
      </w:r>
      <w:r w:rsidR="0070778E">
        <w:t>ing</w:t>
      </w:r>
      <w:r>
        <w:t xml:space="preserve"> discussed with stakeholders.</w:t>
      </w:r>
      <w:r>
        <w:rPr>
          <w:i/>
          <w:iCs/>
        </w:rPr>
        <w:t xml:space="preserve"> </w:t>
      </w:r>
      <w:r>
        <w:br/>
      </w:r>
      <w:r w:rsidR="003652DA">
        <w:t xml:space="preserve">The </w:t>
      </w:r>
      <w:r w:rsidR="002632EA">
        <w:t>relevant provision</w:t>
      </w:r>
      <w:r w:rsidR="003652DA">
        <w:t xml:space="preserve"> is available here</w:t>
      </w:r>
      <w:r>
        <w:t xml:space="preserve">: </w:t>
      </w:r>
      <w:r w:rsidR="003652DA">
        <w:rPr>
          <w:rStyle w:val="Hyperlink"/>
        </w:rPr>
        <w:t>&lt;</w:t>
      </w:r>
      <w:r w:rsidR="003652DA" w:rsidRPr="006F3604">
        <w:t>https://legislation.nsw.gov.au/view/html/inforce/current/act-2020-009#sec.6A</w:t>
      </w:r>
      <w:r w:rsidR="003652DA">
        <w:t>&gt;</w:t>
      </w:r>
      <w:r>
        <w:t xml:space="preserve"> </w:t>
      </w:r>
    </w:p>
  </w:footnote>
  <w:footnote w:id="63">
    <w:p w14:paraId="2FD1B21A" w14:textId="1398CD37" w:rsidR="00532DB2" w:rsidRDefault="00532DB2" w:rsidP="006F3604">
      <w:pPr>
        <w:pStyle w:val="FootnoteText"/>
        <w:jc w:val="left"/>
      </w:pPr>
      <w:r>
        <w:rPr>
          <w:rStyle w:val="FootnoteReference"/>
        </w:rPr>
        <w:footnoteRef/>
      </w:r>
      <w:r>
        <w:t xml:space="preserve"> </w:t>
      </w:r>
      <w:r w:rsidR="00272180">
        <w:t xml:space="preserve">Victorian Building Authority (2019, </w:t>
      </w:r>
      <w:r w:rsidR="00272180">
        <w:rPr>
          <w:i/>
          <w:iCs/>
        </w:rPr>
        <w:t>Building permit levy: practice note 73-2019</w:t>
      </w:r>
      <w:r w:rsidR="00272180">
        <w:t>, Victorian Government. Available here: &lt;</w:t>
      </w:r>
      <w:r w:rsidR="00272180" w:rsidRPr="006F3604">
        <w:t>https://www.vba.vic.gov.au/__data/assets/pdf_file/0007/78181/PN-73-Building-Permit-Levy.pdf</w:t>
      </w:r>
      <w:r w:rsidR="00272180">
        <w:t>&gt; (accessed 5 April 2022)</w:t>
      </w:r>
    </w:p>
    <w:p w14:paraId="1AAA5BCD" w14:textId="0AE47C3E" w:rsidR="00532DB2" w:rsidRDefault="00532DB2" w:rsidP="006F3604">
      <w:pPr>
        <w:pStyle w:val="FootnoteText"/>
        <w:jc w:val="left"/>
      </w:pPr>
      <w:r>
        <w:t xml:space="preserve">The Cladding Rectification Levy only applies in metropolitan Melbourne. The levy increases with the cost of the project: 0.128% for projects costing between $800,000 and $1 million; 0.256% for projects costing between $1 million and $1.5 million; 0.82% for projects costing %1.5 million or more. It is paid on top of the Building Permit Levy. </w:t>
      </w:r>
      <w:r w:rsidR="00272180">
        <w:t>Victorian Building Authority (2022), “Cladding rectification levy FAQs,” accessed 5 April 2022. &lt;</w:t>
      </w:r>
      <w:r w:rsidR="00272180" w:rsidRPr="00272180">
        <w:t>https://www.vba.vic.gov.au/tools/bams/cladding-rectification-levy-faqs</w:t>
      </w:r>
      <w:r w:rsidR="00272180">
        <w:t>&gt;</w:t>
      </w:r>
    </w:p>
  </w:footnote>
  <w:footnote w:id="64">
    <w:p w14:paraId="14907E79" w14:textId="741CF1AD" w:rsidR="00B0474C" w:rsidRDefault="00B0474C" w:rsidP="006F3604">
      <w:pPr>
        <w:pStyle w:val="FootnoteText"/>
        <w:jc w:val="left"/>
      </w:pPr>
      <w:r>
        <w:rPr>
          <w:rStyle w:val="FootnoteReference"/>
        </w:rPr>
        <w:footnoteRef/>
      </w:r>
      <w:r>
        <w:t xml:space="preserve"> </w:t>
      </w:r>
      <w:r w:rsidR="00272180">
        <w:t>Construction Industry Training Board (2022), “About the levy,” accessed 5 April 2022. &lt;</w:t>
      </w:r>
      <w:r w:rsidR="00272180" w:rsidRPr="006F3604">
        <w:t>https://citb.org.au/pay-a-levy/about-the-levy</w:t>
      </w:r>
      <w:r w:rsidR="00272180">
        <w:t>&gt;</w:t>
      </w:r>
      <w:r>
        <w:t xml:space="preserve"> </w:t>
      </w:r>
    </w:p>
    <w:p w14:paraId="0650A7E0" w14:textId="79FB8C1E" w:rsidR="00B0474C" w:rsidRDefault="00B0474C" w:rsidP="006F3604">
      <w:pPr>
        <w:pStyle w:val="FootnoteText"/>
        <w:jc w:val="left"/>
      </w:pPr>
      <w:r>
        <w:t xml:space="preserve">Portable Long Service Leave </w:t>
      </w:r>
      <w:r w:rsidR="00272180">
        <w:t>(2022), “How to register,” accessed 5 April 2022.</w:t>
      </w:r>
      <w:r>
        <w:t xml:space="preserve"> </w:t>
      </w:r>
      <w:r w:rsidR="00272180">
        <w:t>&lt;</w:t>
      </w:r>
      <w:r w:rsidR="00272180" w:rsidRPr="006F3604">
        <w:t>https://www.portableleave.org.au/employers/about-the-scheme</w:t>
      </w:r>
      <w:r w:rsidR="00272180">
        <w:t>&gt;</w:t>
      </w:r>
      <w:r>
        <w:t xml:space="preserve"> </w:t>
      </w:r>
    </w:p>
  </w:footnote>
  <w:footnote w:id="65">
    <w:p w14:paraId="5F44ED87" w14:textId="78E6FC9E" w:rsidR="00B0474C" w:rsidRDefault="00B0474C" w:rsidP="006F3604">
      <w:pPr>
        <w:pStyle w:val="FootnoteText"/>
        <w:jc w:val="left"/>
      </w:pPr>
      <w:r>
        <w:rPr>
          <w:rStyle w:val="FootnoteReference"/>
        </w:rPr>
        <w:footnoteRef/>
      </w:r>
      <w:r>
        <w:t xml:space="preserve"> DMIRS charges a flat fee of $61.65 for buildings with total cost below the threshold. It also charges a higher levy (0.274%) for approvals for unauthorised building work. </w:t>
      </w:r>
      <w:r w:rsidR="00272180">
        <w:t>Department of Mines, Industry Regulation and Safety (2021), “Building Services Levy,” accessed 5 April 2022.</w:t>
      </w:r>
      <w:r>
        <w:t xml:space="preserve"> </w:t>
      </w:r>
      <w:r w:rsidR="00272180">
        <w:t>&lt;</w:t>
      </w:r>
      <w:r w:rsidR="00272180" w:rsidRPr="006F3604">
        <w:t>https://www.commerce.wa.gov.au/building-and-energy/building-services-levy</w:t>
      </w:r>
      <w:r w:rsidR="00272180">
        <w:t>&gt;</w:t>
      </w:r>
      <w:r>
        <w:t xml:space="preserve"> </w:t>
      </w:r>
    </w:p>
    <w:p w14:paraId="611F502C" w14:textId="2C9BBFE3" w:rsidR="00534669" w:rsidRDefault="00534669" w:rsidP="006F3604">
      <w:pPr>
        <w:pStyle w:val="FootnoteText"/>
        <w:jc w:val="left"/>
      </w:pPr>
      <w:r>
        <w:t>Construction Training Fund (2021), “We collect a levy,” accessed 11 April 2022</w:t>
      </w:r>
      <w:r w:rsidR="001F6B84">
        <w:t>. &lt;</w:t>
      </w:r>
      <w:r w:rsidR="001F6B84" w:rsidRPr="001F6B84">
        <w:t>https://ctf.wa.gov.au/what-we-do/we-collect-a-levy</w:t>
      </w:r>
      <w:r w:rsidR="001F6B84">
        <w:t>&gt;</w:t>
      </w:r>
    </w:p>
  </w:footnote>
  <w:footnote w:id="66">
    <w:p w14:paraId="378BDAC3" w14:textId="7B381FE9" w:rsidR="00937C36" w:rsidRDefault="00937C36" w:rsidP="00EF586E">
      <w:pPr>
        <w:pStyle w:val="FootnoteText"/>
        <w:jc w:val="left"/>
      </w:pPr>
      <w:r>
        <w:rPr>
          <w:rStyle w:val="FootnoteReference"/>
        </w:rPr>
        <w:footnoteRef/>
      </w:r>
      <w:r>
        <w:t xml:space="preserve"> </w:t>
      </w:r>
      <w:r w:rsidR="004C0437">
        <w:t>The Hon</w:t>
      </w:r>
      <w:r w:rsidR="003300D0">
        <w:t>. Annastacia Palaszczuk MP</w:t>
      </w:r>
      <w:r w:rsidR="00864DB0">
        <w:t xml:space="preserve"> (2020)</w:t>
      </w:r>
      <w:r w:rsidR="003300D0">
        <w:t xml:space="preserve">, </w:t>
      </w:r>
      <w:r w:rsidR="00E91A30">
        <w:rPr>
          <w:i/>
          <w:iCs/>
        </w:rPr>
        <w:t xml:space="preserve">Letter </w:t>
      </w:r>
      <w:r w:rsidR="00864DB0">
        <w:rPr>
          <w:i/>
          <w:iCs/>
        </w:rPr>
        <w:t>to The Hon Mick de Brenni MP</w:t>
      </w:r>
      <w:r w:rsidR="00864DB0">
        <w:t>, Queensland Government. Available here:</w:t>
      </w:r>
      <w:r w:rsidR="003300D0">
        <w:t xml:space="preserve"> </w:t>
      </w:r>
      <w:r w:rsidR="00BC7FC9">
        <w:t>&lt;</w:t>
      </w:r>
      <w:r w:rsidR="003300D0" w:rsidRPr="00BC7FC9">
        <w:t>https://cabinet.qld.gov.au/ministers-portfolios/assets/charter-letter/mick-de-brenni.pdf</w:t>
      </w:r>
      <w:r w:rsidR="00BC7FC9">
        <w:t>&gt; (accessed 4 April 2022)</w:t>
      </w:r>
      <w:r>
        <w:t xml:space="preserve"> </w:t>
      </w:r>
    </w:p>
  </w:footnote>
  <w:footnote w:id="67">
    <w:p w14:paraId="7B8CFC30" w14:textId="7590FE23" w:rsidR="0095798C" w:rsidRDefault="0095798C" w:rsidP="00EF586E">
      <w:pPr>
        <w:pStyle w:val="FootnoteText"/>
        <w:jc w:val="left"/>
      </w:pPr>
      <w:r>
        <w:rPr>
          <w:rStyle w:val="FootnoteReference"/>
        </w:rPr>
        <w:footnoteRef/>
      </w:r>
      <w:r>
        <w:t xml:space="preserve"> </w:t>
      </w:r>
      <w:r w:rsidR="00630A72">
        <w:t>QBCC (</w:t>
      </w:r>
      <w:r w:rsidR="00B52DED">
        <w:t>2021)</w:t>
      </w:r>
      <w:r w:rsidR="00216DEF">
        <w:t xml:space="preserve">, </w:t>
      </w:r>
      <w:r w:rsidR="00216DEF">
        <w:rPr>
          <w:i/>
          <w:iCs/>
        </w:rPr>
        <w:t>Strategic plan 2020-2024</w:t>
      </w:r>
      <w:r w:rsidR="00DD7715">
        <w:t>, Queensland government. Available here:</w:t>
      </w:r>
      <w:r w:rsidR="00B52DED">
        <w:t xml:space="preserve"> </w:t>
      </w:r>
      <w:r w:rsidR="00DD7715">
        <w:t>&lt;</w:t>
      </w:r>
      <w:r w:rsidR="00B52DED" w:rsidRPr="00DD7715">
        <w:t>https://www.qbcc.qld.gov.au/sites/default/files/QBCC_Strategic_Plan_2020-2024.pdf</w:t>
      </w:r>
      <w:r w:rsidR="00DD7715">
        <w:t>&gt;</w:t>
      </w:r>
      <w:r>
        <w:t xml:space="preserve"> </w:t>
      </w:r>
      <w:r w:rsidR="00DD7715">
        <w:t>(accessed 4 April 2022)</w:t>
      </w:r>
    </w:p>
  </w:footnote>
  <w:footnote w:id="68">
    <w:p w14:paraId="07B9711F" w14:textId="67FCC2BD" w:rsidR="006F7461" w:rsidRPr="000D7C2A" w:rsidRDefault="006F7461" w:rsidP="00AB7511">
      <w:pPr>
        <w:pStyle w:val="FootnoteText"/>
        <w:jc w:val="left"/>
      </w:pPr>
      <w:r>
        <w:rPr>
          <w:rStyle w:val="FootnoteReference"/>
        </w:rPr>
        <w:footnoteRef/>
      </w:r>
      <w:r>
        <w:t xml:space="preserve"> </w:t>
      </w:r>
      <w:r w:rsidR="00D03BBF">
        <w:t>Queensland Treasury</w:t>
      </w:r>
      <w:r w:rsidR="00073E11">
        <w:t xml:space="preserve"> (2019)</w:t>
      </w:r>
      <w:r w:rsidR="00D03BBF">
        <w:t xml:space="preserve">, </w:t>
      </w:r>
      <w:r w:rsidR="00073E11">
        <w:t xml:space="preserve">“Regulator Performance Framework” in </w:t>
      </w:r>
      <w:r>
        <w:rPr>
          <w:i/>
          <w:iCs/>
        </w:rPr>
        <w:t>Queensland Government Guide to Better Regulation</w:t>
      </w:r>
      <w:r w:rsidR="00073E11">
        <w:t>, Queensland Government. Available here</w:t>
      </w:r>
      <w:r>
        <w:t xml:space="preserve">: </w:t>
      </w:r>
      <w:r w:rsidR="00073E11">
        <w:t>&lt;</w:t>
      </w:r>
      <w:r w:rsidRPr="00073E11">
        <w:t>https://s3.treasury.qld.gov.au/files/Queensland-Government-Guide-to-Better-Regulation-May-2019.pdf</w:t>
      </w:r>
      <w:r w:rsidR="00073E11">
        <w:t>&gt;</w:t>
      </w:r>
      <w:r>
        <w:t xml:space="preserve"> </w:t>
      </w:r>
      <w:r w:rsidR="00D83E70">
        <w:t>(accessed 4 April 2022)</w:t>
      </w:r>
    </w:p>
  </w:footnote>
  <w:footnote w:id="69">
    <w:p w14:paraId="10D7EA1E" w14:textId="07FC9A73" w:rsidR="00AC05FF" w:rsidRDefault="00AC05FF" w:rsidP="00AB7511">
      <w:pPr>
        <w:pStyle w:val="FootnoteText"/>
        <w:jc w:val="left"/>
      </w:pPr>
      <w:r>
        <w:rPr>
          <w:rStyle w:val="FootnoteReference"/>
        </w:rPr>
        <w:footnoteRef/>
      </w:r>
      <w:r>
        <w:t xml:space="preserve"> QBCC</w:t>
      </w:r>
      <w:r w:rsidR="00D83E70">
        <w:t xml:space="preserve"> (2021), </w:t>
      </w:r>
      <w:r w:rsidR="00D83E70">
        <w:rPr>
          <w:i/>
          <w:iCs/>
        </w:rPr>
        <w:t>Reporting on the Queensland Government’s Regulator Performance Framework 2020-21</w:t>
      </w:r>
      <w:r w:rsidR="00D83E70">
        <w:t xml:space="preserve">, Queensland Government. Available </w:t>
      </w:r>
      <w:r>
        <w:t xml:space="preserve">here: </w:t>
      </w:r>
      <w:r w:rsidR="00D83E70">
        <w:t>&lt;</w:t>
      </w:r>
      <w:r w:rsidR="00073E11" w:rsidRPr="00D83E70">
        <w:t>https://www.qbcc.qld.gov.au/sites/default/files/report-regulator-performance-framework-2020-2021.pdf</w:t>
      </w:r>
      <w:r w:rsidR="00D83E70">
        <w:t>&gt;</w:t>
      </w:r>
      <w:r>
        <w:t xml:space="preserve"> </w:t>
      </w:r>
      <w:r w:rsidR="00D83E70">
        <w:t>(accessed 4 April 2022)</w:t>
      </w:r>
    </w:p>
  </w:footnote>
  <w:footnote w:id="70">
    <w:p w14:paraId="6B9C94D9" w14:textId="44259186" w:rsidR="001277F3" w:rsidRDefault="001277F3" w:rsidP="00AB7511">
      <w:pPr>
        <w:pStyle w:val="FootnoteText"/>
        <w:jc w:val="left"/>
      </w:pPr>
      <w:r>
        <w:rPr>
          <w:rStyle w:val="FootnoteReference"/>
        </w:rPr>
        <w:footnoteRef/>
      </w:r>
      <w:r>
        <w:t xml:space="preserve"> </w:t>
      </w:r>
      <w:r w:rsidR="001A6050">
        <w:t>NSW Fair Trad</w:t>
      </w:r>
      <w:r w:rsidR="00C3671B">
        <w:t xml:space="preserve">ing (2019), </w:t>
      </w:r>
      <w:r w:rsidR="00C3671B">
        <w:rPr>
          <w:i/>
          <w:iCs/>
        </w:rPr>
        <w:t>NSW Fair Trading Roadmap 2019-2022</w:t>
      </w:r>
      <w:r w:rsidR="00C3671B">
        <w:t>, NSW Government. Available here:</w:t>
      </w:r>
      <w:r w:rsidR="001A6050">
        <w:t xml:space="preserve"> </w:t>
      </w:r>
      <w:r w:rsidR="00C3671B">
        <w:t>&lt;</w:t>
      </w:r>
      <w:r w:rsidR="00C3671B" w:rsidRPr="00C3671B">
        <w:t>https://www.fairtrading.nsw.gov.au/__data/assets/pdf_file/0004/453298/FT05003-0219-443811.pdf</w:t>
      </w:r>
      <w:r w:rsidR="00C3671B">
        <w:t>&gt;</w:t>
      </w:r>
      <w:r>
        <w:t xml:space="preserve"> </w:t>
      </w:r>
      <w:r w:rsidR="00C3671B">
        <w:t>(accessed 4 April 2022)</w:t>
      </w:r>
    </w:p>
  </w:footnote>
  <w:footnote w:id="71">
    <w:p w14:paraId="7CD7723C" w14:textId="49BDEA66" w:rsidR="00B063CF" w:rsidRDefault="00B063CF" w:rsidP="00AB7511">
      <w:pPr>
        <w:pStyle w:val="FootnoteText"/>
        <w:jc w:val="left"/>
      </w:pPr>
      <w:r>
        <w:rPr>
          <w:rStyle w:val="FootnoteReference"/>
        </w:rPr>
        <w:footnoteRef/>
      </w:r>
      <w:r>
        <w:t xml:space="preserve"> </w:t>
      </w:r>
      <w:r w:rsidR="00F94517">
        <w:t>NSW Fair Trading (</w:t>
      </w:r>
      <w:r w:rsidR="00DF791B">
        <w:t>2021)</w:t>
      </w:r>
      <w:r w:rsidR="00581269">
        <w:t>, “Statements of regulatory intent</w:t>
      </w:r>
      <w:r w:rsidR="00DB06CA">
        <w:t>,” accessed 4 April 2022.</w:t>
      </w:r>
      <w:r w:rsidR="00DF791B">
        <w:t xml:space="preserve"> </w:t>
      </w:r>
      <w:r w:rsidR="00DB06CA">
        <w:t>&lt;</w:t>
      </w:r>
      <w:r w:rsidR="00DF791B" w:rsidRPr="00DB06CA">
        <w:t>https://www.fairtrading.nsw.gov.au/about-fair-trading/legislation-and-publications/statements-of-regulatory-intent</w:t>
      </w:r>
      <w:r w:rsidR="00DB06CA">
        <w:t>&gt;</w:t>
      </w:r>
      <w:r>
        <w:t xml:space="preserve"> </w:t>
      </w:r>
    </w:p>
  </w:footnote>
  <w:footnote w:id="72">
    <w:p w14:paraId="4D2EA94B" w14:textId="35A4C264" w:rsidR="00A66542" w:rsidRDefault="00A66542" w:rsidP="00AB7511">
      <w:pPr>
        <w:pStyle w:val="FootnoteText"/>
        <w:jc w:val="left"/>
      </w:pPr>
      <w:r>
        <w:rPr>
          <w:rStyle w:val="FootnoteReference"/>
        </w:rPr>
        <w:footnoteRef/>
      </w:r>
      <w:r>
        <w:t xml:space="preserve"> </w:t>
      </w:r>
      <w:r w:rsidR="00AE1729">
        <w:t xml:space="preserve">Department of Customer Service (2021), </w:t>
      </w:r>
      <w:r w:rsidR="00AE1729">
        <w:rPr>
          <w:i/>
          <w:iCs/>
        </w:rPr>
        <w:t>Construct NSW</w:t>
      </w:r>
      <w:r w:rsidR="004C561B">
        <w:rPr>
          <w:i/>
          <w:iCs/>
        </w:rPr>
        <w:t xml:space="preserve"> </w:t>
      </w:r>
      <w:r w:rsidR="003D5ECE">
        <w:rPr>
          <w:i/>
          <w:iCs/>
        </w:rPr>
        <w:t>u</w:t>
      </w:r>
      <w:r w:rsidR="004C561B">
        <w:rPr>
          <w:i/>
          <w:iCs/>
        </w:rPr>
        <w:t>pdate report</w:t>
      </w:r>
      <w:r w:rsidR="003D5ECE">
        <w:t>, NSW Government. Available here:</w:t>
      </w:r>
      <w:r>
        <w:t xml:space="preserve"> </w:t>
      </w:r>
      <w:r w:rsidR="003D5ECE">
        <w:t>&lt;</w:t>
      </w:r>
      <w:r w:rsidR="003D5ECE" w:rsidRPr="003D5ECE">
        <w:t>https://www.nsw.gov.au/sites/default/files/2021-02/Construct%20NSW%20Update%20Report%20February%202021.pdf</w:t>
      </w:r>
      <w:r w:rsidR="003D5ECE">
        <w:t>&gt;</w:t>
      </w:r>
      <w:r>
        <w:t xml:space="preserve"> </w:t>
      </w:r>
      <w:r w:rsidR="003D5ECE">
        <w:t>(accessed 4 April 2022)</w:t>
      </w:r>
    </w:p>
  </w:footnote>
  <w:footnote w:id="73">
    <w:p w14:paraId="2FA5851A" w14:textId="13FA50B9" w:rsidR="00EF586E" w:rsidRDefault="00EF586E" w:rsidP="00AB7511">
      <w:pPr>
        <w:pStyle w:val="FootnoteText"/>
        <w:jc w:val="left"/>
      </w:pPr>
      <w:r>
        <w:rPr>
          <w:rStyle w:val="FootnoteReference"/>
        </w:rPr>
        <w:footnoteRef/>
      </w:r>
      <w:r>
        <w:t xml:space="preserve"> </w:t>
      </w:r>
      <w:r w:rsidR="00291ADC">
        <w:t>NSW Fair Trading</w:t>
      </w:r>
      <w:r w:rsidR="0065603F">
        <w:t xml:space="preserve"> (2019), “Building stronger foundations,” accessed </w:t>
      </w:r>
      <w:r w:rsidR="0012330A">
        <w:t>4 April 2022. &lt;</w:t>
      </w:r>
      <w:r w:rsidR="0012330A" w:rsidRPr="0012330A">
        <w:t>https://www.fairtrading.nsw.gov.au/consultation-tool/building-stronger-foundations</w:t>
      </w:r>
      <w:r w:rsidR="0012330A">
        <w:t>&gt;</w:t>
      </w:r>
      <w:r>
        <w:t xml:space="preserve"> </w:t>
      </w:r>
    </w:p>
  </w:footnote>
  <w:footnote w:id="74">
    <w:p w14:paraId="51F79477" w14:textId="781CA4D5" w:rsidR="00AE33BB" w:rsidRDefault="00AE33BB" w:rsidP="00AB7511">
      <w:pPr>
        <w:pStyle w:val="FootnoteText"/>
        <w:jc w:val="left"/>
      </w:pPr>
      <w:r>
        <w:rPr>
          <w:rStyle w:val="FootnoteReference"/>
        </w:rPr>
        <w:footnoteRef/>
      </w:r>
      <w:r>
        <w:t xml:space="preserve"> </w:t>
      </w:r>
      <w:r w:rsidR="00C2752B">
        <w:t xml:space="preserve">NSW Government (2021), </w:t>
      </w:r>
      <w:r w:rsidR="00C2752B">
        <w:rPr>
          <w:i/>
          <w:iCs/>
        </w:rPr>
        <w:t>Towards a customer-centric government</w:t>
      </w:r>
      <w:r w:rsidR="0031249D">
        <w:t>. Available here: &lt;</w:t>
      </w:r>
      <w:r w:rsidR="00C2752B" w:rsidRPr="0031249D">
        <w:t>https://www.nsw.gov.au/sites/default/files/2021-08/towards-a-customer-centric-government.pdf</w:t>
      </w:r>
      <w:r w:rsidR="0031249D">
        <w:t>&gt; (accessed 4 April 2022)</w:t>
      </w:r>
      <w:r>
        <w:t xml:space="preserve"> </w:t>
      </w:r>
    </w:p>
  </w:footnote>
  <w:footnote w:id="75">
    <w:p w14:paraId="1C77585B" w14:textId="2CD3D5EE" w:rsidR="002B1E9E" w:rsidRDefault="002B1E9E" w:rsidP="00AB7511">
      <w:pPr>
        <w:pStyle w:val="FootnoteText"/>
        <w:jc w:val="left"/>
      </w:pPr>
      <w:r>
        <w:rPr>
          <w:rStyle w:val="FootnoteReference"/>
        </w:rPr>
        <w:footnoteRef/>
      </w:r>
      <w:r>
        <w:t xml:space="preserve"> </w:t>
      </w:r>
      <w:r w:rsidR="007216D4">
        <w:t>Victorian Building Authority</w:t>
      </w:r>
      <w:r w:rsidR="003E286C">
        <w:t xml:space="preserve"> (2022), “Minister’s Statement of Expectations,” accessed 5 April 2022. &lt;</w:t>
      </w:r>
      <w:r w:rsidR="003E286C" w:rsidRPr="006F3604">
        <w:t>https://www.vba.vic.gov.au/about/ministers-statement-of-expectations</w:t>
      </w:r>
      <w:r w:rsidR="003E286C">
        <w:t>&gt;</w:t>
      </w:r>
      <w:r>
        <w:t xml:space="preserve"> </w:t>
      </w:r>
    </w:p>
  </w:footnote>
  <w:footnote w:id="76">
    <w:p w14:paraId="3D9965DB" w14:textId="2CB65B91" w:rsidR="0027742F" w:rsidRDefault="0027742F" w:rsidP="00AB7511">
      <w:pPr>
        <w:pStyle w:val="FootnoteText"/>
        <w:jc w:val="left"/>
      </w:pPr>
      <w:r>
        <w:rPr>
          <w:rStyle w:val="FootnoteReference"/>
        </w:rPr>
        <w:footnoteRef/>
      </w:r>
      <w:r>
        <w:t xml:space="preserve"> </w:t>
      </w:r>
      <w:r w:rsidR="002D529E">
        <w:t>Victorian Building Authority (2018)</w:t>
      </w:r>
      <w:r w:rsidR="00C92175">
        <w:t xml:space="preserve">, </w:t>
      </w:r>
      <w:r w:rsidR="00C92175">
        <w:rPr>
          <w:i/>
          <w:iCs/>
        </w:rPr>
        <w:t>Victorian Building Authority Corporate Plan 2018-22</w:t>
      </w:r>
      <w:r w:rsidR="00C92175">
        <w:t>, Victorian Government. Available here: &lt;</w:t>
      </w:r>
      <w:r w:rsidR="00C92175" w:rsidRPr="006F3604">
        <w:t>https://www.vba.vic.gov.au/__data/assets/pdf_file/0003/97428/Victorian-Building-Authority-Corporate-Plan-2018-22.pdf</w:t>
      </w:r>
      <w:r w:rsidR="00C92175">
        <w:t>&gt;</w:t>
      </w:r>
      <w:r>
        <w:t xml:space="preserve"> </w:t>
      </w:r>
      <w:r w:rsidR="009F4F5B">
        <w:t>(accessed 5 April 2022)</w:t>
      </w:r>
    </w:p>
  </w:footnote>
  <w:footnote w:id="77">
    <w:p w14:paraId="1D25ECA7" w14:textId="64D320AE" w:rsidR="00FB68F7" w:rsidRDefault="00FB68F7" w:rsidP="00AB7511">
      <w:pPr>
        <w:pStyle w:val="FootnoteText"/>
        <w:jc w:val="left"/>
      </w:pPr>
      <w:r>
        <w:rPr>
          <w:rStyle w:val="FootnoteReference"/>
        </w:rPr>
        <w:footnoteRef/>
      </w:r>
      <w:r>
        <w:t xml:space="preserve"> </w:t>
      </w:r>
      <w:r w:rsidR="00424255">
        <w:t xml:space="preserve">Victorian Building Authority (2020), </w:t>
      </w:r>
      <w:r w:rsidR="00424255">
        <w:rPr>
          <w:i/>
          <w:iCs/>
        </w:rPr>
        <w:t>V</w:t>
      </w:r>
      <w:r w:rsidR="00DD372B">
        <w:rPr>
          <w:i/>
          <w:iCs/>
        </w:rPr>
        <w:t>BA Annual Plan 2020-21</w:t>
      </w:r>
      <w:r w:rsidR="00424255">
        <w:t>, Victorian Government. Available here</w:t>
      </w:r>
      <w:r w:rsidR="00DD372B">
        <w:t>:</w:t>
      </w:r>
      <w:r w:rsidR="00424255">
        <w:t xml:space="preserve"> </w:t>
      </w:r>
      <w:r w:rsidR="00DD372B">
        <w:t>&lt;</w:t>
      </w:r>
      <w:r w:rsidR="00DD372B" w:rsidRPr="006F3604">
        <w:t>https://www.vba.vic.gov.au/__data/assets/pdf_file/0003/122961/Victorian_Building_Authority_2020-21_Annual_Plan.pdf</w:t>
      </w:r>
      <w:r w:rsidR="00DD372B">
        <w:t>&gt;</w:t>
      </w:r>
      <w:r>
        <w:t xml:space="preserve"> </w:t>
      </w:r>
    </w:p>
  </w:footnote>
  <w:footnote w:id="78">
    <w:p w14:paraId="289387A2" w14:textId="72ED5A27" w:rsidR="00CA275B" w:rsidRDefault="00CA275B" w:rsidP="00AB7511">
      <w:pPr>
        <w:pStyle w:val="FootnoteText"/>
        <w:jc w:val="left"/>
      </w:pPr>
      <w:r>
        <w:rPr>
          <w:rStyle w:val="FootnoteReference"/>
        </w:rPr>
        <w:footnoteRef/>
      </w:r>
      <w:r>
        <w:t xml:space="preserve"> </w:t>
      </w:r>
      <w:r w:rsidR="008306EB">
        <w:t>Victorian Building Authority (20</w:t>
      </w:r>
      <w:r w:rsidR="00184DE0">
        <w:t xml:space="preserve">16), </w:t>
      </w:r>
      <w:r w:rsidR="00184DE0">
        <w:rPr>
          <w:i/>
          <w:iCs/>
        </w:rPr>
        <w:t>Regulatory approach: the Victorian Building Authority’s strategy to regulate the Victorian building and plumbing industries</w:t>
      </w:r>
      <w:r w:rsidR="008306EB">
        <w:t>, Victorian Government. Available here</w:t>
      </w:r>
      <w:r w:rsidR="00184DE0">
        <w:t>:</w:t>
      </w:r>
      <w:r w:rsidR="008306EB">
        <w:t xml:space="preserve"> </w:t>
      </w:r>
      <w:r w:rsidR="00185003">
        <w:t>&lt;</w:t>
      </w:r>
      <w:r w:rsidR="00185003" w:rsidRPr="006F3604">
        <w:t>https://www.vba.vic.gov.au/__data/assets/pdf_file/0010/97480/VBA-Regulatory-Approach.pdf</w:t>
      </w:r>
      <w:r w:rsidR="00185003">
        <w:t>&gt;</w:t>
      </w:r>
      <w:r>
        <w:t xml:space="preserve"> </w:t>
      </w:r>
      <w:r w:rsidR="00185003">
        <w:t>(accessed 5 April 2022)</w:t>
      </w:r>
    </w:p>
  </w:footnote>
  <w:footnote w:id="79">
    <w:p w14:paraId="48017028" w14:textId="3905DA19" w:rsidR="001D2425" w:rsidRDefault="001D2425" w:rsidP="00AB7511">
      <w:pPr>
        <w:pStyle w:val="FootnoteText"/>
        <w:jc w:val="left"/>
      </w:pPr>
      <w:r>
        <w:rPr>
          <w:rStyle w:val="FootnoteReference"/>
        </w:rPr>
        <w:footnoteRef/>
      </w:r>
      <w:r>
        <w:t xml:space="preserve"> </w:t>
      </w:r>
      <w:r w:rsidR="00A07C28">
        <w:t xml:space="preserve">Victorian Building Authority </w:t>
      </w:r>
      <w:r w:rsidR="004E1D08">
        <w:t xml:space="preserve">(2020), </w:t>
      </w:r>
      <w:r w:rsidR="004E1D08">
        <w:rPr>
          <w:i/>
          <w:iCs/>
        </w:rPr>
        <w:t>Compliance and enforcement policy</w:t>
      </w:r>
      <w:r w:rsidR="004E1D08">
        <w:t>, Victorian Government. Available here:</w:t>
      </w:r>
      <w:r w:rsidR="004E1D08">
        <w:rPr>
          <w:i/>
          <w:iCs/>
        </w:rPr>
        <w:t xml:space="preserve"> </w:t>
      </w:r>
      <w:r w:rsidR="004E1D08">
        <w:t>&lt;</w:t>
      </w:r>
      <w:r w:rsidR="004E1D08" w:rsidRPr="006F3604">
        <w:t>https://www.vba.vic.gov.au/__data/assets/pdf_file/0011/99029/Compliance-and-Enforcement-Policy.pdf</w:t>
      </w:r>
      <w:r w:rsidR="004E1D08">
        <w:t>&gt; (accessed 5 April 2022)</w:t>
      </w:r>
      <w:r>
        <w:t xml:space="preserve"> </w:t>
      </w:r>
    </w:p>
  </w:footnote>
  <w:footnote w:id="80">
    <w:p w14:paraId="6A5E0ECD" w14:textId="4BFC0DC4" w:rsidR="009D4CFB" w:rsidRDefault="009D4CFB" w:rsidP="00AB7511">
      <w:pPr>
        <w:pStyle w:val="FootnoteText"/>
        <w:jc w:val="left"/>
      </w:pPr>
      <w:r>
        <w:rPr>
          <w:rStyle w:val="FootnoteReference"/>
        </w:rPr>
        <w:footnoteRef/>
      </w:r>
      <w:r>
        <w:t xml:space="preserve"> </w:t>
      </w:r>
      <w:r w:rsidR="00BD59B5">
        <w:t>Victorian Building Authority</w:t>
      </w:r>
      <w:r w:rsidR="00B22C93">
        <w:t xml:space="preserve"> (2022), </w:t>
      </w:r>
      <w:r w:rsidR="0079182A">
        <w:rPr>
          <w:i/>
          <w:iCs/>
        </w:rPr>
        <w:t>Victorian Building Authority service charter</w:t>
      </w:r>
      <w:r w:rsidR="0079182A">
        <w:t>, Victorian Government. Available here: &lt;</w:t>
      </w:r>
      <w:r w:rsidR="009B0A01" w:rsidRPr="006F3604">
        <w:t>https://www.vba.vic.gov.au/__data/assets/pdf_file/0013/100192/VBA-Service-Charter.pdf</w:t>
      </w:r>
      <w:r w:rsidR="0079182A">
        <w:t>&gt; (accessed 5 April 2022)</w:t>
      </w:r>
      <w:r>
        <w:t xml:space="preserve"> </w:t>
      </w:r>
    </w:p>
  </w:footnote>
  <w:footnote w:id="81">
    <w:p w14:paraId="2B227184" w14:textId="5C0211E4" w:rsidR="008E1B32" w:rsidRDefault="008E1B32" w:rsidP="00AB7511">
      <w:pPr>
        <w:pStyle w:val="FootnoteText"/>
        <w:jc w:val="left"/>
      </w:pPr>
      <w:r>
        <w:rPr>
          <w:rStyle w:val="FootnoteReference"/>
        </w:rPr>
        <w:footnoteRef/>
      </w:r>
      <w:r>
        <w:t xml:space="preserve"> </w:t>
      </w:r>
      <w:r w:rsidR="00EF495C">
        <w:t xml:space="preserve">State Planning Commission (2020), </w:t>
      </w:r>
      <w:r w:rsidR="00EF495C">
        <w:rPr>
          <w:i/>
          <w:iCs/>
        </w:rPr>
        <w:t>State Planning Commission Strategic Plan 2021-2022</w:t>
      </w:r>
      <w:r w:rsidR="00EE1A92">
        <w:t>, Government of South Australia. Available here: &lt;</w:t>
      </w:r>
      <w:r w:rsidR="00EE1A92" w:rsidRPr="006F3604">
        <w:t>https://dit.sa.gov.au/__data/assets/pdf_file/0011/539804/State_Planning_Commission_Strategic_Plan_-_2021-22.pdf</w:t>
      </w:r>
      <w:r w:rsidR="00EE1A92">
        <w:t>&gt;</w:t>
      </w:r>
      <w:r>
        <w:t xml:space="preserve"> </w:t>
      </w:r>
    </w:p>
  </w:footnote>
  <w:footnote w:id="82">
    <w:p w14:paraId="79F40DDF" w14:textId="165F612B" w:rsidR="008F4CD5" w:rsidRDefault="008F4CD5" w:rsidP="00AB7511">
      <w:pPr>
        <w:pStyle w:val="FootnoteText"/>
        <w:jc w:val="left"/>
      </w:pPr>
      <w:r>
        <w:rPr>
          <w:rStyle w:val="FootnoteReference"/>
        </w:rPr>
        <w:footnoteRef/>
      </w:r>
      <w:r>
        <w:t xml:space="preserve"> </w:t>
      </w:r>
      <w:r w:rsidR="002A3940">
        <w:t xml:space="preserve">Consumer and Business Services (2019) </w:t>
      </w:r>
      <w:r w:rsidR="002A3940">
        <w:rPr>
          <w:i/>
          <w:iCs/>
        </w:rPr>
        <w:t>Strategic Plan 2019-2022</w:t>
      </w:r>
      <w:r w:rsidR="00A90DAA">
        <w:t>, Government of South Australia. Available here:</w:t>
      </w:r>
      <w:r w:rsidR="002A3940">
        <w:t xml:space="preserve"> </w:t>
      </w:r>
      <w:r w:rsidR="00A90DAA">
        <w:t>&lt;</w:t>
      </w:r>
      <w:r w:rsidR="00CB4AB3" w:rsidRPr="006F3604">
        <w:t>https://www.cbs.sa.gov.au/sites/default/files/resource-files/cbs-strategic-plan2019-22.pdf</w:t>
      </w:r>
      <w:r w:rsidR="00CB4AB3">
        <w:t>&gt;</w:t>
      </w:r>
      <w:r>
        <w:t xml:space="preserve"> </w:t>
      </w:r>
      <w:r w:rsidR="00CB4AB3">
        <w:t>(accessed 5 April 2022)</w:t>
      </w:r>
    </w:p>
  </w:footnote>
  <w:footnote w:id="83">
    <w:p w14:paraId="51B56A7B" w14:textId="2C545833" w:rsidR="004C5472" w:rsidRDefault="004C5472" w:rsidP="00AB7511">
      <w:pPr>
        <w:pStyle w:val="FootnoteText"/>
        <w:jc w:val="left"/>
      </w:pPr>
      <w:r>
        <w:rPr>
          <w:rStyle w:val="FootnoteReference"/>
        </w:rPr>
        <w:footnoteRef/>
      </w:r>
      <w:r>
        <w:t xml:space="preserve"> </w:t>
      </w:r>
      <w:r w:rsidR="00016643">
        <w:t>Department of Planning, Transport and Infrastructure (</w:t>
      </w:r>
      <w:r w:rsidR="002D4F04">
        <w:t xml:space="preserve">2017), </w:t>
      </w:r>
      <w:r w:rsidR="002D4F04">
        <w:rPr>
          <w:i/>
          <w:iCs/>
        </w:rPr>
        <w:t>The 30-year plan for Greater Adelaide: 2017 update</w:t>
      </w:r>
      <w:r w:rsidR="002D4F04">
        <w:t xml:space="preserve">, </w:t>
      </w:r>
      <w:r w:rsidR="004F584C">
        <w:t xml:space="preserve">Government of South Australia. Available here: </w:t>
      </w:r>
      <w:r w:rsidR="00016643">
        <w:t xml:space="preserve"> </w:t>
      </w:r>
      <w:r w:rsidR="00BF6C2D">
        <w:t>&lt;</w:t>
      </w:r>
      <w:r w:rsidR="004F584C" w:rsidRPr="006F3604">
        <w:t>https://livingadelaide.sa.gov.au/__data/assets/pdf_file/0003/319809/The_30-Year_Plan_for_Greater_Adelaide.pdf</w:t>
      </w:r>
      <w:r w:rsidR="00BF6C2D">
        <w:t>&gt; (accessed 5 April 2022)</w:t>
      </w:r>
      <w:r>
        <w:t xml:space="preserve"> </w:t>
      </w:r>
    </w:p>
  </w:footnote>
  <w:footnote w:id="84">
    <w:p w14:paraId="44DC5634" w14:textId="619DFC20" w:rsidR="00DA433A" w:rsidRDefault="00DA433A" w:rsidP="00AB7511">
      <w:pPr>
        <w:pStyle w:val="FootnoteText"/>
        <w:jc w:val="left"/>
      </w:pPr>
      <w:r>
        <w:rPr>
          <w:rStyle w:val="FootnoteReference"/>
        </w:rPr>
        <w:footnoteRef/>
      </w:r>
      <w:r>
        <w:t xml:space="preserve"> </w:t>
      </w:r>
      <w:r w:rsidR="000A55C4">
        <w:t xml:space="preserve">State Planning Commission (2021), </w:t>
      </w:r>
      <w:r w:rsidR="000A55C4">
        <w:rPr>
          <w:i/>
          <w:iCs/>
        </w:rPr>
        <w:t>30-year plan for Greater Adelaide – 2017 update report card</w:t>
      </w:r>
      <w:r w:rsidR="004A10A2">
        <w:t>, Government of South Australia. Available here</w:t>
      </w:r>
      <w:r>
        <w:t xml:space="preserve">: </w:t>
      </w:r>
      <w:r w:rsidR="004A10A2">
        <w:t>&lt;</w:t>
      </w:r>
      <w:r w:rsidR="004A10A2" w:rsidRPr="006F3604">
        <w:t>https://livingadelaide.sa.gov.au/__data/assets/pdf_file/0011/893927/30-Year_Plan_for_Greater_Adelaide_-_2017_Update_Report_Card_-_2020-21.pdf</w:t>
      </w:r>
      <w:r w:rsidR="004A10A2">
        <w:t>&gt;</w:t>
      </w:r>
      <w:r>
        <w:t xml:space="preserve"> </w:t>
      </w:r>
      <w:r w:rsidR="004A10A2">
        <w:t xml:space="preserve">(accessed </w:t>
      </w:r>
      <w:r w:rsidR="00061D37">
        <w:t>5 April 2022)</w:t>
      </w:r>
    </w:p>
  </w:footnote>
  <w:footnote w:id="85">
    <w:p w14:paraId="140DEBE7" w14:textId="489674EA" w:rsidR="006D44BD" w:rsidRDefault="006D44BD" w:rsidP="00AB7511">
      <w:pPr>
        <w:pStyle w:val="FootnoteText"/>
        <w:jc w:val="left"/>
      </w:pPr>
      <w:r>
        <w:rPr>
          <w:rStyle w:val="FootnoteReference"/>
        </w:rPr>
        <w:footnoteRef/>
      </w:r>
      <w:r>
        <w:t xml:space="preserve"> </w:t>
      </w:r>
      <w:r w:rsidR="009A5680">
        <w:t xml:space="preserve">Department of Mines, Industry </w:t>
      </w:r>
      <w:r w:rsidR="007756F4">
        <w:t>R</w:t>
      </w:r>
      <w:r w:rsidR="009A5680">
        <w:t>egulation and Safety (20</w:t>
      </w:r>
      <w:r w:rsidR="007756F4">
        <w:t xml:space="preserve">20), </w:t>
      </w:r>
      <w:r w:rsidR="007756F4">
        <w:rPr>
          <w:i/>
          <w:iCs/>
        </w:rPr>
        <w:t>Strategic plan: Towards 2024</w:t>
      </w:r>
      <w:r w:rsidR="0014160F">
        <w:t xml:space="preserve">, Government of Western Australia. Available here: </w:t>
      </w:r>
      <w:r w:rsidR="0014160F">
        <w:rPr>
          <w:i/>
          <w:iCs/>
        </w:rPr>
        <w:t xml:space="preserve"> &lt;</w:t>
      </w:r>
      <w:r w:rsidR="0014160F" w:rsidRPr="006F3604">
        <w:t>https://www.dmirs.wa.gov.au/sites/default/files/atoms/files/towards2024.pdf</w:t>
      </w:r>
      <w:r w:rsidR="0014160F">
        <w:t>&gt;</w:t>
      </w:r>
      <w:r>
        <w:t xml:space="preserve"> </w:t>
      </w:r>
      <w:r w:rsidR="0014160F">
        <w:t>(available here 5 April 2022)</w:t>
      </w:r>
    </w:p>
  </w:footnote>
  <w:footnote w:id="86">
    <w:p w14:paraId="5C97426A" w14:textId="172D2188" w:rsidR="00CB3F9C" w:rsidRDefault="00CB3F9C" w:rsidP="00AB7511">
      <w:pPr>
        <w:pStyle w:val="FootnoteText"/>
        <w:jc w:val="left"/>
      </w:pPr>
      <w:r>
        <w:rPr>
          <w:rStyle w:val="FootnoteReference"/>
        </w:rPr>
        <w:footnoteRef/>
      </w:r>
      <w:r>
        <w:t xml:space="preserve"> </w:t>
      </w:r>
      <w:r w:rsidR="0077503A">
        <w:t>Premier of Western Australia</w:t>
      </w:r>
      <w:r w:rsidR="00102965">
        <w:t xml:space="preserve"> (2021), </w:t>
      </w:r>
      <w:r w:rsidR="00102965">
        <w:rPr>
          <w:i/>
          <w:iCs/>
        </w:rPr>
        <w:t>Premier’s charter to the Council of Regulators (27 May 2021)</w:t>
      </w:r>
      <w:r w:rsidR="004534D9">
        <w:t>, Government of Western Australia. Available here:</w:t>
      </w:r>
      <w:r w:rsidR="007809FE">
        <w:t xml:space="preserve"> &lt;</w:t>
      </w:r>
      <w:r w:rsidR="004534D9" w:rsidRPr="006F3604">
        <w:t>https://www.wa.gov.au/system/files/2021-08/premiers-charter-to-the-council-of-regulators.pdf</w:t>
      </w:r>
      <w:r w:rsidR="007809FE">
        <w:t>&gt;</w:t>
      </w:r>
      <w:r>
        <w:t xml:space="preserve"> </w:t>
      </w:r>
      <w:r w:rsidR="007809FE">
        <w:t>(accessed 5 April 2022)</w:t>
      </w:r>
    </w:p>
  </w:footnote>
  <w:footnote w:id="87">
    <w:p w14:paraId="2F3DCF69" w14:textId="04DE5057" w:rsidR="00132EE8" w:rsidRDefault="00132EE8" w:rsidP="00AB7511">
      <w:pPr>
        <w:pStyle w:val="FootnoteText"/>
        <w:jc w:val="left"/>
      </w:pPr>
      <w:r>
        <w:rPr>
          <w:rStyle w:val="FootnoteReference"/>
        </w:rPr>
        <w:footnoteRef/>
      </w:r>
      <w:r>
        <w:t xml:space="preserve"> </w:t>
      </w:r>
      <w:r w:rsidR="008E63AD" w:rsidRPr="006F3604">
        <w:t>Government of Western Australia</w:t>
      </w:r>
      <w:r>
        <w:t xml:space="preserve"> </w:t>
      </w:r>
      <w:r w:rsidR="008E63AD">
        <w:t>(2022)</w:t>
      </w:r>
      <w:r w:rsidR="00165A71">
        <w:t xml:space="preserve">, “Streamline WA Steering Committee Terms of Reference,” accessed 5 April 2022. </w:t>
      </w:r>
      <w:r w:rsidR="00685ABA">
        <w:t>&lt;</w:t>
      </w:r>
      <w:r w:rsidR="00685ABA" w:rsidRPr="00685ABA">
        <w:t>https://www.wa.gov.au/government/publications/streamline-wa-steering-committee-terms-of-reference</w:t>
      </w:r>
      <w:r w:rsidR="00685ABA">
        <w:t xml:space="preserve">&gt; </w:t>
      </w:r>
    </w:p>
  </w:footnote>
  <w:footnote w:id="88">
    <w:p w14:paraId="3E8E9712" w14:textId="2CA2026A" w:rsidR="00752A15" w:rsidRPr="00FF3AAB" w:rsidRDefault="00752A15" w:rsidP="004D626D">
      <w:pPr>
        <w:pStyle w:val="FootnoteText"/>
        <w:jc w:val="left"/>
      </w:pPr>
      <w:r>
        <w:rPr>
          <w:rStyle w:val="FootnoteReference"/>
        </w:rPr>
        <w:footnoteRef/>
      </w:r>
      <w:r>
        <w:t xml:space="preserve"> </w:t>
      </w:r>
      <w:r w:rsidR="00750764">
        <w:t xml:space="preserve">However, in this respect, QBCC is not an outlier among Queensland regulators. The former Queensland Productivity Commission notes in its 2021 report </w:t>
      </w:r>
      <w:r w:rsidR="00F71EDD">
        <w:rPr>
          <w:i/>
          <w:iCs/>
        </w:rPr>
        <w:t xml:space="preserve">Improving regulation </w:t>
      </w:r>
      <w:r w:rsidR="00F71EDD">
        <w:t>that “While some statu</w:t>
      </w:r>
      <w:r w:rsidR="00FF3AAB">
        <w:t>t</w:t>
      </w:r>
      <w:r w:rsidR="00F71EDD">
        <w:t>o</w:t>
      </w:r>
      <w:r w:rsidR="00FF3AAB">
        <w:t>r</w:t>
      </w:r>
      <w:r w:rsidR="00F71EDD">
        <w:t xml:space="preserve">y agencies in Queensland are currently provided SOEs by the </w:t>
      </w:r>
      <w:r w:rsidR="001B76C8">
        <w:t>relevant minister (as a requirement under relevant legislation) there is no consistent</w:t>
      </w:r>
      <w:r w:rsidR="00FF3AAB">
        <w:t xml:space="preserve">, whole-of-government use of SOEs in a regulatory context”. QPC (2021) </w:t>
      </w:r>
      <w:r w:rsidR="00FF3AAB">
        <w:rPr>
          <w:i/>
          <w:iCs/>
        </w:rPr>
        <w:t>Improving regulation</w:t>
      </w:r>
      <w:r w:rsidR="00AD1012">
        <w:t>, Queensland Government,</w:t>
      </w:r>
      <w:r w:rsidR="00FF3AAB">
        <w:rPr>
          <w:i/>
          <w:iCs/>
        </w:rPr>
        <w:t xml:space="preserve"> </w:t>
      </w:r>
      <w:r w:rsidR="00FF3AAB">
        <w:t>p. 31</w:t>
      </w:r>
      <w:r w:rsidR="00AD1012">
        <w:t>. Available here: &lt;</w:t>
      </w:r>
      <w:r w:rsidR="00AD1012" w:rsidRPr="00AD1012">
        <w:t>https://qpc.blob.core.windows.net/wordpress/2021/03/Regulation-research-paper-3.3.21.pdf</w:t>
      </w:r>
      <w:r w:rsidR="00AD1012">
        <w:t>&gt; (accessed 5 April 2022)</w:t>
      </w:r>
    </w:p>
  </w:footnote>
  <w:footnote w:id="89">
    <w:p w14:paraId="10FBA609" w14:textId="7B8E2C38" w:rsidR="00A53581" w:rsidRDefault="00A53581" w:rsidP="006F3604">
      <w:pPr>
        <w:pStyle w:val="FootnoteText"/>
        <w:jc w:val="left"/>
      </w:pPr>
      <w:r>
        <w:rPr>
          <w:rStyle w:val="FootnoteReference"/>
        </w:rPr>
        <w:footnoteRef/>
      </w:r>
      <w:r>
        <w:t xml:space="preserve"> QBCC (</w:t>
      </w:r>
      <w:r w:rsidR="00462DF2">
        <w:t>2022), “QBC Board</w:t>
      </w:r>
      <w:r w:rsidR="00F73C60">
        <w:t>,” accessed 5 April 2022. &lt;</w:t>
      </w:r>
      <w:r w:rsidR="00F73C60" w:rsidRPr="00F73C60">
        <w:t>https://www.qbcc.qld.gov.au/about-us/qbc-board</w:t>
      </w:r>
      <w:r w:rsidR="00F73C60">
        <w:t>&gt;</w:t>
      </w:r>
    </w:p>
  </w:footnote>
  <w:footnote w:id="90">
    <w:p w14:paraId="310019AC" w14:textId="4436220F" w:rsidR="00F87F7D" w:rsidRDefault="00F87F7D" w:rsidP="006F3604">
      <w:pPr>
        <w:pStyle w:val="FootnoteText"/>
        <w:jc w:val="left"/>
      </w:pPr>
      <w:r>
        <w:rPr>
          <w:rStyle w:val="FootnoteReference"/>
        </w:rPr>
        <w:footnoteRef/>
      </w:r>
      <w:r>
        <w:t xml:space="preserve"> Victorian Building Authority (2022), “VBA Board,” accessed 5 April 2022. &lt;</w:t>
      </w:r>
      <w:r w:rsidRPr="00F87F7D">
        <w:t>https://www.vba.vic.gov.au/about/vba-board</w:t>
      </w:r>
      <w:r w:rsidR="0019152C">
        <w:t xml:space="preserve">&gt; </w:t>
      </w:r>
    </w:p>
  </w:footnote>
  <w:footnote w:id="91">
    <w:p w14:paraId="5CF6F634" w14:textId="7068A0C4" w:rsidR="00526946" w:rsidRDefault="00526946" w:rsidP="006F3604">
      <w:pPr>
        <w:pStyle w:val="FootnoteText"/>
        <w:jc w:val="left"/>
      </w:pPr>
      <w:r>
        <w:rPr>
          <w:rStyle w:val="FootnoteReference"/>
        </w:rPr>
        <w:footnoteRef/>
      </w:r>
      <w:r>
        <w:t xml:space="preserve"> State Planning Commission (2022), “Commission members,” accessed 5 April 2022. &lt;</w:t>
      </w:r>
      <w:r w:rsidRPr="00526946">
        <w:t>https://www.saplanningcommission.sa.gov.au/commission_members</w:t>
      </w:r>
      <w:r w:rsidR="0041478D">
        <w:t xml:space="preserve">&gt; </w:t>
      </w:r>
    </w:p>
  </w:footnote>
  <w:footnote w:id="92">
    <w:p w14:paraId="3253C701" w14:textId="6FFCAFDD" w:rsidR="00AF0805" w:rsidRDefault="00AF0805" w:rsidP="006F3604">
      <w:pPr>
        <w:pStyle w:val="FootnoteText"/>
        <w:jc w:val="left"/>
      </w:pPr>
      <w:r>
        <w:rPr>
          <w:rStyle w:val="FootnoteReference"/>
        </w:rPr>
        <w:footnoteRef/>
      </w:r>
      <w:r>
        <w:t xml:space="preserve"> Building Technical Panel (2022), “Panel members</w:t>
      </w:r>
      <w:r w:rsidR="007A1F1B">
        <w:t>,” accessed 5 April 2022. &lt;</w:t>
      </w:r>
      <w:r w:rsidR="007A1F1B" w:rsidRPr="007A1F1B">
        <w:t>https://www.saplanningcommission.sa.gov.au/building-technical-panel/members?SQ_VARIATION_731622=0</w:t>
      </w:r>
      <w:r w:rsidR="007A1F1B">
        <w:t>&gt;</w:t>
      </w:r>
    </w:p>
  </w:footnote>
  <w:footnote w:id="93">
    <w:p w14:paraId="35758EC4" w14:textId="745C56D7" w:rsidR="00281363" w:rsidRDefault="00281363">
      <w:pPr>
        <w:pStyle w:val="FootnoteText"/>
      </w:pPr>
      <w:r>
        <w:rPr>
          <w:rStyle w:val="FootnoteReference"/>
        </w:rPr>
        <w:footnoteRef/>
      </w:r>
      <w:r>
        <w:t xml:space="preserve"> Department of Mines, Industry Regulation and Safety (2022), “Building Services Board,” accessed 5 April 2022. &lt;</w:t>
      </w:r>
      <w:r w:rsidRPr="00281363">
        <w:t>https://www.commerce.wa.gov.au/building-and-energy/building-services-board</w:t>
      </w:r>
      <w:r>
        <w:t>&gt;</w:t>
      </w:r>
    </w:p>
  </w:footnote>
  <w:footnote w:id="94">
    <w:p w14:paraId="5F516DA7" w14:textId="66E9A942" w:rsidR="0089121C" w:rsidRPr="0089121C" w:rsidRDefault="0089121C">
      <w:pPr>
        <w:pStyle w:val="FootnoteText"/>
        <w:jc w:val="left"/>
        <w:rPr>
          <w:lang w:val="en-AU"/>
        </w:rPr>
      </w:pPr>
      <w:r>
        <w:rPr>
          <w:rStyle w:val="FootnoteReference"/>
        </w:rPr>
        <w:footnoteRef/>
      </w:r>
      <w:r>
        <w:t xml:space="preserve"> </w:t>
      </w:r>
      <w:r w:rsidR="00504E94">
        <w:t>Victorian Government (2022), “Diversity on Victorian Government Board Guidelines,” accessed 5 April 2022. &lt;</w:t>
      </w:r>
      <w:r w:rsidR="00504E94" w:rsidRPr="00504E94">
        <w:t>https://www.vic.gov.au/diversity-victorian-government-board-guidelines</w:t>
      </w:r>
      <w:r w:rsidR="00504E94">
        <w:t>&gt;</w:t>
      </w:r>
    </w:p>
  </w:footnote>
  <w:footnote w:id="95">
    <w:p w14:paraId="2CA20993" w14:textId="04652458" w:rsidR="00904BA5" w:rsidRDefault="00904BA5">
      <w:pPr>
        <w:pStyle w:val="FootnoteText"/>
      </w:pPr>
      <w:r>
        <w:rPr>
          <w:rStyle w:val="FootnoteReference"/>
        </w:rPr>
        <w:footnoteRef/>
      </w:r>
      <w:r>
        <w:t xml:space="preserve"> Queensland </w:t>
      </w:r>
      <w:r w:rsidR="00124FB6">
        <w:t>Treasury</w:t>
      </w:r>
      <w:r>
        <w:t xml:space="preserve"> (2019), as above</w:t>
      </w:r>
      <w:r w:rsidR="00124FB6">
        <w:t xml:space="preserve"> (see fn 63)</w:t>
      </w:r>
    </w:p>
  </w:footnote>
  <w:footnote w:id="96">
    <w:p w14:paraId="51326FCC" w14:textId="1A3816DE" w:rsidR="00B67CA9" w:rsidRPr="00684CFD" w:rsidRDefault="00B67CA9" w:rsidP="006F3604">
      <w:pPr>
        <w:pStyle w:val="FootnoteText"/>
        <w:jc w:val="left"/>
      </w:pPr>
      <w:r>
        <w:rPr>
          <w:rStyle w:val="FootnoteReference"/>
        </w:rPr>
        <w:footnoteRef/>
      </w:r>
      <w:r>
        <w:t xml:space="preserve"> </w:t>
      </w:r>
      <w:r w:rsidR="00894D31">
        <w:t xml:space="preserve">Department of Prime Minister and Cabinet (2021), </w:t>
      </w:r>
      <w:r w:rsidR="00894D31">
        <w:rPr>
          <w:i/>
          <w:iCs/>
        </w:rPr>
        <w:t xml:space="preserve">Regulatory impact analysis guide for </w:t>
      </w:r>
      <w:r w:rsidR="00684CFD">
        <w:rPr>
          <w:i/>
          <w:iCs/>
        </w:rPr>
        <w:t>m</w:t>
      </w:r>
      <w:r w:rsidR="00894D31">
        <w:rPr>
          <w:i/>
          <w:iCs/>
        </w:rPr>
        <w:t xml:space="preserve">inisters’ </w:t>
      </w:r>
      <w:r w:rsidR="00684CFD">
        <w:rPr>
          <w:i/>
          <w:iCs/>
        </w:rPr>
        <w:t>m</w:t>
      </w:r>
      <w:r w:rsidR="00894D31">
        <w:rPr>
          <w:i/>
          <w:iCs/>
        </w:rPr>
        <w:t xml:space="preserve">eetings and </w:t>
      </w:r>
      <w:r w:rsidR="00684CFD">
        <w:rPr>
          <w:i/>
          <w:iCs/>
        </w:rPr>
        <w:t>n</w:t>
      </w:r>
      <w:r w:rsidR="00894D31">
        <w:rPr>
          <w:i/>
          <w:iCs/>
        </w:rPr>
        <w:t>ational</w:t>
      </w:r>
      <w:r w:rsidR="00684CFD">
        <w:rPr>
          <w:i/>
          <w:iCs/>
        </w:rPr>
        <w:t xml:space="preserve"> standard setting bodies</w:t>
      </w:r>
      <w:r w:rsidR="00684CFD">
        <w:t xml:space="preserve">, Commonwealth of Australia. Available here: </w:t>
      </w:r>
      <w:r w:rsidR="00954DA9">
        <w:t>&lt;</w:t>
      </w:r>
      <w:r w:rsidR="00954DA9" w:rsidRPr="00954DA9">
        <w:t>https://obpr.pmc.gov.au/sites/default/files/2021-06/regulator-analysis-guide.pdf</w:t>
      </w:r>
      <w:r w:rsidR="00954DA9">
        <w:t>&gt; (accessed 5 April 2022)</w:t>
      </w:r>
    </w:p>
  </w:footnote>
  <w:footnote w:id="97">
    <w:p w14:paraId="190892B2" w14:textId="3CDC2DE0" w:rsidR="000C7D44" w:rsidRPr="00D73346" w:rsidRDefault="000C7D44" w:rsidP="000C7D44">
      <w:pPr>
        <w:pStyle w:val="FootnoteText"/>
      </w:pPr>
      <w:r>
        <w:rPr>
          <w:rStyle w:val="FootnoteReference"/>
        </w:rPr>
        <w:footnoteRef/>
      </w:r>
      <w:r>
        <w:t xml:space="preserve"> Queensland </w:t>
      </w:r>
      <w:r w:rsidR="00124FB6">
        <w:t xml:space="preserve">Treasury </w:t>
      </w:r>
      <w:r>
        <w:t xml:space="preserve">(2019), </w:t>
      </w:r>
      <w:r w:rsidR="00124FB6">
        <w:t>as above</w:t>
      </w:r>
      <w:r>
        <w:t>, p. 6</w:t>
      </w:r>
    </w:p>
  </w:footnote>
  <w:footnote w:id="98">
    <w:p w14:paraId="78F067F7" w14:textId="65D8D1A0" w:rsidR="000C7D44" w:rsidRDefault="000C7D44" w:rsidP="000C7D44">
      <w:pPr>
        <w:pStyle w:val="FootnoteText"/>
      </w:pPr>
      <w:r>
        <w:rPr>
          <w:rStyle w:val="FootnoteReference"/>
        </w:rPr>
        <w:footnoteRef/>
      </w:r>
      <w:r>
        <w:t xml:space="preserve"> </w:t>
      </w:r>
      <w:r w:rsidR="00124FB6">
        <w:rPr>
          <w:i/>
          <w:iCs/>
        </w:rPr>
        <w:t>Ibid</w:t>
      </w:r>
      <w:r>
        <w:t xml:space="preserve"> pp. 27-8</w:t>
      </w:r>
    </w:p>
  </w:footnote>
  <w:footnote w:id="99">
    <w:p w14:paraId="39D17381" w14:textId="6928417C" w:rsidR="000C7D44" w:rsidRDefault="000C7D44" w:rsidP="000C7D44">
      <w:pPr>
        <w:pStyle w:val="FootnoteText"/>
      </w:pPr>
      <w:r>
        <w:rPr>
          <w:rStyle w:val="FootnoteReference"/>
        </w:rPr>
        <w:footnoteRef/>
      </w:r>
      <w:r>
        <w:t xml:space="preserve"> </w:t>
      </w:r>
      <w:r w:rsidR="00571F9A">
        <w:t>QBCC (2021), as above</w:t>
      </w:r>
      <w:r w:rsidR="00091E85">
        <w:t xml:space="preserve"> (see fn 62)</w:t>
      </w:r>
    </w:p>
  </w:footnote>
  <w:footnote w:id="100">
    <w:p w14:paraId="3348F09C" w14:textId="6A1537A6" w:rsidR="000C7D44" w:rsidRPr="002C36CE" w:rsidRDefault="000C7D44" w:rsidP="00FE76E0">
      <w:pPr>
        <w:pStyle w:val="FootnoteText"/>
        <w:jc w:val="left"/>
      </w:pPr>
      <w:r>
        <w:rPr>
          <w:rStyle w:val="FootnoteReference"/>
        </w:rPr>
        <w:footnoteRef/>
      </w:r>
      <w:r>
        <w:t xml:space="preserve"> QBCC (2021</w:t>
      </w:r>
      <w:r w:rsidRPr="0082093B">
        <w:t>)</w:t>
      </w:r>
      <w:r w:rsidR="0082093B">
        <w:t>, as above (See fn 20)</w:t>
      </w:r>
      <w:r w:rsidR="001C532E">
        <w:t>,</w:t>
      </w:r>
      <w:r>
        <w:t xml:space="preserve"> p. 10, p. 31, p. 90 </w:t>
      </w:r>
    </w:p>
  </w:footnote>
  <w:footnote w:id="101">
    <w:p w14:paraId="104354DC" w14:textId="11803D45" w:rsidR="000C7D44" w:rsidRDefault="000C7D44" w:rsidP="00FE76E0">
      <w:pPr>
        <w:pStyle w:val="FootnoteText"/>
        <w:jc w:val="left"/>
      </w:pPr>
      <w:r>
        <w:rPr>
          <w:rStyle w:val="FootnoteReference"/>
        </w:rPr>
        <w:footnoteRef/>
      </w:r>
      <w:r>
        <w:t xml:space="preserve"> QBCC (2021) </w:t>
      </w:r>
      <w:r>
        <w:rPr>
          <w:i/>
          <w:iCs/>
        </w:rPr>
        <w:t>Reporting on the Queensland Government’s Regulator Performance Framework 2020-21</w:t>
      </w:r>
      <w:r>
        <w:t>. Available h</w:t>
      </w:r>
      <w:r w:rsidR="00034E9A" w:rsidRPr="006F3604">
        <w:t xml:space="preserve">ere: </w:t>
      </w:r>
      <w:r w:rsidR="00034E9A">
        <w:t>&lt;</w:t>
      </w:r>
      <w:r w:rsidR="001C532E" w:rsidRPr="006F3604">
        <w:t>https://www.qbcc.qld.gov.au/sites/default/files/report-regulator-performance-framework-2020-2021.pdf</w:t>
      </w:r>
      <w:r w:rsidR="00034E9A">
        <w:t>&gt;</w:t>
      </w:r>
      <w:r w:rsidR="001C532E">
        <w:t xml:space="preserve"> (accessed 5 April 2022)</w:t>
      </w:r>
      <w:r>
        <w:t xml:space="preserve"> </w:t>
      </w:r>
    </w:p>
    <w:p w14:paraId="021B3AA4" w14:textId="77777777" w:rsidR="000C7D44" w:rsidRDefault="000C7D44" w:rsidP="00FE76E0">
      <w:pPr>
        <w:pStyle w:val="FootnoteText"/>
        <w:jc w:val="left"/>
      </w:pPr>
      <w:r>
        <w:t xml:space="preserve">The 2018-19 and 2019-20 reports are included in QBCC’s annual reports for those years. </w:t>
      </w:r>
    </w:p>
    <w:p w14:paraId="69A55A53" w14:textId="7FBB2826" w:rsidR="000C7D44" w:rsidRDefault="000C7D44" w:rsidP="00FE76E0">
      <w:pPr>
        <w:pStyle w:val="FootnoteText"/>
        <w:jc w:val="left"/>
      </w:pPr>
      <w:r>
        <w:t xml:space="preserve">2018-19: </w:t>
      </w:r>
      <w:r w:rsidR="00034E9A">
        <w:t>&lt;</w:t>
      </w:r>
      <w:r w:rsidR="00034E9A" w:rsidRPr="006F3604">
        <w:t>https://s3.treasury.qld.gov.au/files/Queensland-Building-and-Construction-Commission-2018-19.pdf</w:t>
      </w:r>
      <w:r w:rsidR="00034E9A">
        <w:t>&gt;</w:t>
      </w:r>
      <w:r>
        <w:t xml:space="preserve"> (Appendix 1)</w:t>
      </w:r>
      <w:r w:rsidR="00034E9A">
        <w:t xml:space="preserve"> (accessed 5 April 2022)</w:t>
      </w:r>
    </w:p>
    <w:p w14:paraId="07871D91" w14:textId="06C3C4C9" w:rsidR="000C7D44" w:rsidRPr="004135ED" w:rsidRDefault="000C7D44" w:rsidP="00FE76E0">
      <w:pPr>
        <w:pStyle w:val="FootnoteText"/>
        <w:jc w:val="left"/>
      </w:pPr>
      <w:r>
        <w:t>2019-20:</w:t>
      </w:r>
      <w:r w:rsidR="00C6187D">
        <w:t xml:space="preserve"> &lt;</w:t>
      </w:r>
      <w:r w:rsidR="00C6187D" w:rsidRPr="006F3604">
        <w:t>https://s3.treasury.qld.gov.au/files/Queensland-Building-and-Construction-Commission-2019-20.pdf</w:t>
      </w:r>
      <w:r w:rsidR="00C6187D">
        <w:t>&gt;</w:t>
      </w:r>
      <w:r>
        <w:t xml:space="preserve"> (Appendix 1)</w:t>
      </w:r>
      <w:r w:rsidR="00C6187D">
        <w:t xml:space="preserve"> (accessed 5 April 2022)</w:t>
      </w:r>
    </w:p>
  </w:footnote>
  <w:footnote w:id="102">
    <w:p w14:paraId="6585EE02" w14:textId="1F60F63D" w:rsidR="000C7D44" w:rsidRDefault="000C7D44" w:rsidP="00FE76E0">
      <w:pPr>
        <w:pStyle w:val="FootnoteText"/>
        <w:jc w:val="left"/>
      </w:pPr>
      <w:r>
        <w:rPr>
          <w:rStyle w:val="FootnoteReference"/>
        </w:rPr>
        <w:footnoteRef/>
      </w:r>
      <w:r>
        <w:t xml:space="preserve"> </w:t>
      </w:r>
      <w:r w:rsidR="00C6187D">
        <w:t>Queensland Treasury (2019), as above,</w:t>
      </w:r>
      <w:r>
        <w:t xml:space="preserve"> p. 27</w:t>
      </w:r>
    </w:p>
  </w:footnote>
  <w:footnote w:id="103">
    <w:p w14:paraId="5E08B49E" w14:textId="242B2DF8" w:rsidR="000C7D44" w:rsidRDefault="000C7D44" w:rsidP="00FE76E0">
      <w:pPr>
        <w:pStyle w:val="FootnoteText"/>
        <w:jc w:val="left"/>
      </w:pPr>
      <w:r>
        <w:rPr>
          <w:rStyle w:val="FootnoteReference"/>
        </w:rPr>
        <w:footnoteRef/>
      </w:r>
      <w:r>
        <w:t xml:space="preserve"> Arie </w:t>
      </w:r>
      <w:r w:rsidRPr="00DB4AC8">
        <w:t>Fr</w:t>
      </w:r>
      <w:r w:rsidR="005D1B5B">
        <w:t>e</w:t>
      </w:r>
      <w:r w:rsidRPr="00DB4AC8">
        <w:t xml:space="preserve">iberg (2017) </w:t>
      </w:r>
      <w:r w:rsidRPr="00DB4AC8">
        <w:rPr>
          <w:i/>
          <w:iCs/>
        </w:rPr>
        <w:t>Regulation in Australia</w:t>
      </w:r>
      <w:r w:rsidRPr="00DB4AC8">
        <w:t>, Sydney</w:t>
      </w:r>
      <w:r>
        <w:t>:</w:t>
      </w:r>
      <w:r w:rsidRPr="00DB4AC8">
        <w:t xml:space="preserve"> The Federation Press, p</w:t>
      </w:r>
      <w:r w:rsidR="002668B8">
        <w:t xml:space="preserve">. </w:t>
      </w:r>
      <w:r w:rsidRPr="00DB4AC8">
        <w:t>455</w:t>
      </w:r>
    </w:p>
  </w:footnote>
  <w:footnote w:id="104">
    <w:p w14:paraId="0F05EED6" w14:textId="3B2D7FE5" w:rsidR="000C7D44" w:rsidRDefault="000C7D44" w:rsidP="00A27038">
      <w:pPr>
        <w:pStyle w:val="FootnoteText"/>
        <w:jc w:val="left"/>
      </w:pPr>
      <w:r>
        <w:rPr>
          <w:rStyle w:val="FootnoteReference"/>
        </w:rPr>
        <w:footnoteRef/>
      </w:r>
      <w:r>
        <w:t xml:space="preserve"> </w:t>
      </w:r>
      <w:r w:rsidRPr="00A575B3">
        <w:t xml:space="preserve">See: </w:t>
      </w:r>
      <w:r>
        <w:t xml:space="preserve">Robert </w:t>
      </w:r>
      <w:r w:rsidRPr="00A575B3">
        <w:t xml:space="preserve">Baldwin, </w:t>
      </w:r>
      <w:r>
        <w:t>Martin</w:t>
      </w:r>
      <w:r w:rsidRPr="00A575B3">
        <w:t xml:space="preserve"> Cave, and </w:t>
      </w:r>
      <w:r>
        <w:t xml:space="preserve">Martin </w:t>
      </w:r>
      <w:r w:rsidRPr="00A575B3">
        <w:t>Lodge (2011)</w:t>
      </w:r>
      <w:r>
        <w:t>,</w:t>
      </w:r>
      <w:r w:rsidRPr="00A575B3">
        <w:t xml:space="preserve"> 'Risk-based Regulation'</w:t>
      </w:r>
      <w:r w:rsidR="005D1B5B">
        <w:t xml:space="preserve"> in</w:t>
      </w:r>
      <w:r w:rsidRPr="00A575B3">
        <w:t xml:space="preserve"> </w:t>
      </w:r>
      <w:r w:rsidRPr="006F3604">
        <w:rPr>
          <w:i/>
          <w:iCs/>
        </w:rPr>
        <w:t>Understanding Regulation: Theory, Strategy, and Practice, 2nd ed</w:t>
      </w:r>
      <w:r w:rsidR="00E0758C">
        <w:t>,</w:t>
      </w:r>
      <w:r w:rsidR="00E0758C">
        <w:rPr>
          <w:i/>
          <w:iCs/>
        </w:rPr>
        <w:t xml:space="preserve"> </w:t>
      </w:r>
      <w:r w:rsidR="003929FE">
        <w:t>O</w:t>
      </w:r>
      <w:r w:rsidR="00163D82">
        <w:t>xford</w:t>
      </w:r>
      <w:r w:rsidR="004B5A2F">
        <w:t xml:space="preserve"> University Press</w:t>
      </w:r>
      <w:r w:rsidRPr="00A575B3">
        <w:t xml:space="preserve">; </w:t>
      </w:r>
      <w:r w:rsidR="00D45F54">
        <w:t xml:space="preserve">Fiona </w:t>
      </w:r>
      <w:r w:rsidRPr="00A575B3">
        <w:t>Haines (2017)</w:t>
      </w:r>
      <w:r w:rsidR="00D45F54">
        <w:t>,</w:t>
      </w:r>
      <w:r w:rsidRPr="00A575B3">
        <w:t xml:space="preserve"> </w:t>
      </w:r>
      <w:r w:rsidR="00D45F54">
        <w:t>“</w:t>
      </w:r>
      <w:r w:rsidRPr="00A575B3">
        <w:t>Regulation and risk</w:t>
      </w:r>
      <w:r w:rsidR="00581BF4">
        <w:t>” i</w:t>
      </w:r>
      <w:r w:rsidRPr="00A575B3">
        <w:t xml:space="preserve">n </w:t>
      </w:r>
      <w:r w:rsidR="00967E72">
        <w:t xml:space="preserve">Peter Drahos (ed.), </w:t>
      </w:r>
      <w:r w:rsidRPr="006F3604">
        <w:rPr>
          <w:i/>
          <w:iCs/>
        </w:rPr>
        <w:t>Regulatory theory: Foundations and applications</w:t>
      </w:r>
      <w:r w:rsidRPr="00A575B3">
        <w:t>,</w:t>
      </w:r>
      <w:r w:rsidR="00967E72">
        <w:t xml:space="preserve"> Canberra: ANU Press,</w:t>
      </w:r>
      <w:r w:rsidRPr="00A575B3">
        <w:t xml:space="preserve"> 181-196</w:t>
      </w:r>
      <w:r w:rsidR="00967E72">
        <w:t xml:space="preserve">; </w:t>
      </w:r>
      <w:r w:rsidRPr="00A575B3">
        <w:t>OECD (201</w:t>
      </w:r>
      <w:r w:rsidR="0017476C">
        <w:t>0</w:t>
      </w:r>
      <w:r w:rsidRPr="00A575B3">
        <w:t>)</w:t>
      </w:r>
      <w:r w:rsidR="00967E72">
        <w:t>,</w:t>
      </w:r>
      <w:r w:rsidRPr="00A575B3">
        <w:t xml:space="preserve"> </w:t>
      </w:r>
      <w:r w:rsidRPr="006F3604">
        <w:rPr>
          <w:i/>
          <w:iCs/>
        </w:rPr>
        <w:t>Risk and Regulatory Policy</w:t>
      </w:r>
      <w:r w:rsidR="002351E4">
        <w:rPr>
          <w:i/>
          <w:iCs/>
        </w:rPr>
        <w:t>:</w:t>
      </w:r>
      <w:r w:rsidRPr="006F3604">
        <w:rPr>
          <w:i/>
          <w:iCs/>
        </w:rPr>
        <w:t xml:space="preserve"> Improving the </w:t>
      </w:r>
      <w:r w:rsidR="002351E4">
        <w:rPr>
          <w:i/>
          <w:iCs/>
        </w:rPr>
        <w:t>g</w:t>
      </w:r>
      <w:r w:rsidRPr="006F3604">
        <w:rPr>
          <w:i/>
          <w:iCs/>
        </w:rPr>
        <w:t xml:space="preserve">overnance of </w:t>
      </w:r>
      <w:r w:rsidR="002351E4">
        <w:rPr>
          <w:i/>
          <w:iCs/>
        </w:rPr>
        <w:t>r</w:t>
      </w:r>
      <w:r w:rsidRPr="006F3604">
        <w:rPr>
          <w:i/>
          <w:iCs/>
        </w:rPr>
        <w:t>isk</w:t>
      </w:r>
      <w:r w:rsidRPr="00A575B3">
        <w:t>,</w:t>
      </w:r>
      <w:r w:rsidR="00A44E6B">
        <w:t xml:space="preserve"> Paris: OECD. Available here:</w:t>
      </w:r>
      <w:r w:rsidRPr="00A575B3">
        <w:t xml:space="preserve"> </w:t>
      </w:r>
      <w:r w:rsidR="006841FA" w:rsidRPr="006F3604">
        <w:t>https://read.oecd-ilibrary.org/governance/risk-and-regulatory-policy_9789264082939-en#page</w:t>
      </w:r>
      <w:r w:rsidR="006841FA">
        <w:t>1</w:t>
      </w:r>
      <w:r>
        <w:t xml:space="preserve"> </w:t>
      </w:r>
      <w:r w:rsidR="00A44E6B">
        <w:t>(accessed 5 April 2022)</w:t>
      </w:r>
    </w:p>
  </w:footnote>
  <w:footnote w:id="105">
    <w:p w14:paraId="71A84E9F" w14:textId="4A0E5A94" w:rsidR="000C7D44" w:rsidRDefault="000C7D44" w:rsidP="00A27038">
      <w:pPr>
        <w:pStyle w:val="FootnoteText"/>
        <w:jc w:val="left"/>
      </w:pPr>
      <w:r>
        <w:rPr>
          <w:rStyle w:val="FootnoteReference"/>
        </w:rPr>
        <w:footnoteRef/>
      </w:r>
      <w:r>
        <w:t xml:space="preserve"> </w:t>
      </w:r>
      <w:r w:rsidRPr="00DE19B0">
        <w:t xml:space="preserve">Productivity Commission (2014), </w:t>
      </w:r>
      <w:r w:rsidRPr="006F3604">
        <w:rPr>
          <w:i/>
          <w:iCs/>
        </w:rPr>
        <w:t>Regulator Audit Framework</w:t>
      </w:r>
      <w:r w:rsidRPr="00DE19B0">
        <w:t>,</w:t>
      </w:r>
      <w:r w:rsidR="00487A09">
        <w:t xml:space="preserve"> Commonwealth of Australia, Box 1</w:t>
      </w:r>
      <w:r w:rsidR="003263AA">
        <w:t xml:space="preserve"> on p. 23.</w:t>
      </w:r>
      <w:r w:rsidR="00487A09">
        <w:t xml:space="preserve"> Available here:</w:t>
      </w:r>
      <w:r w:rsidRPr="00DE19B0">
        <w:t xml:space="preserve"> </w:t>
      </w:r>
      <w:r w:rsidR="00487A09">
        <w:t>&lt;</w:t>
      </w:r>
      <w:r w:rsidR="003263AA" w:rsidRPr="006F3604">
        <w:t>https://www.pc.gov.au/research/supporting/regulator-audit-framework/regulator-audit-framework.pdf</w:t>
      </w:r>
      <w:r w:rsidR="003263AA">
        <w:t>&gt;</w:t>
      </w:r>
      <w:r>
        <w:t xml:space="preserve"> </w:t>
      </w:r>
      <w:r w:rsidR="003263AA">
        <w:t>(accessed 5 April 2022)</w:t>
      </w:r>
      <w:r w:rsidRPr="00DE19B0">
        <w:t xml:space="preserve"> </w:t>
      </w:r>
    </w:p>
  </w:footnote>
  <w:footnote w:id="106">
    <w:p w14:paraId="60DD2385" w14:textId="75893B3A" w:rsidR="000C7D44" w:rsidRPr="00F3430A" w:rsidRDefault="000C7D44" w:rsidP="00A27038">
      <w:pPr>
        <w:pStyle w:val="FootnoteText"/>
        <w:jc w:val="left"/>
      </w:pPr>
      <w:r>
        <w:rPr>
          <w:rStyle w:val="FootnoteReference"/>
        </w:rPr>
        <w:footnoteRef/>
      </w:r>
      <w:r>
        <w:t xml:space="preserve"> OECD (201</w:t>
      </w:r>
      <w:r w:rsidR="0017476C">
        <w:t>0</w:t>
      </w:r>
      <w:r>
        <w:t>)</w:t>
      </w:r>
      <w:r w:rsidR="0017476C">
        <w:t>,</w:t>
      </w:r>
      <w:r>
        <w:t xml:space="preserve"> </w:t>
      </w:r>
      <w:r w:rsidR="0017476C" w:rsidRPr="006F3604">
        <w:t>as above</w:t>
      </w:r>
      <w:r>
        <w:t>, pp. 17-18, p. 25, p. 28</w:t>
      </w:r>
    </w:p>
  </w:footnote>
  <w:footnote w:id="107">
    <w:p w14:paraId="1EA8859A" w14:textId="6924FC73" w:rsidR="000C7D44" w:rsidRPr="004D5DAD" w:rsidRDefault="000C7D44" w:rsidP="000C7D44">
      <w:pPr>
        <w:pStyle w:val="FootnoteText"/>
      </w:pPr>
      <w:r>
        <w:rPr>
          <w:rStyle w:val="FootnoteReference"/>
        </w:rPr>
        <w:footnoteRef/>
      </w:r>
      <w:r>
        <w:t xml:space="preserve"> Rothstein</w:t>
      </w:r>
      <w:r>
        <w:rPr>
          <w:i/>
          <w:iCs/>
        </w:rPr>
        <w:t xml:space="preserve"> </w:t>
      </w:r>
      <w:r w:rsidRPr="006F3604">
        <w:t>et al</w:t>
      </w:r>
      <w:r>
        <w:t xml:space="preserve"> (2006)</w:t>
      </w:r>
      <w:r w:rsidR="00A25F2F">
        <w:t>,</w:t>
      </w:r>
      <w:r>
        <w:t xml:space="preserve"> “The risks of risk-based regulation: insights from the environmental policy domain”, </w:t>
      </w:r>
      <w:r>
        <w:rPr>
          <w:i/>
          <w:iCs/>
        </w:rPr>
        <w:t xml:space="preserve">Environment international </w:t>
      </w:r>
      <w:r>
        <w:t>32, pp. 1056-1065</w:t>
      </w:r>
    </w:p>
  </w:footnote>
  <w:footnote w:id="108">
    <w:p w14:paraId="421A2815" w14:textId="77777777" w:rsidR="000C7D44" w:rsidRDefault="000C7D44" w:rsidP="000C7D44">
      <w:pPr>
        <w:pStyle w:val="FootnoteText"/>
      </w:pPr>
      <w:r>
        <w:rPr>
          <w:rStyle w:val="FootnoteReference"/>
        </w:rPr>
        <w:footnoteRef/>
      </w:r>
      <w:r>
        <w:t xml:space="preserve"> OECD (2010) as above pp. 20-1</w:t>
      </w:r>
    </w:p>
  </w:footnote>
  <w:footnote w:id="109">
    <w:p w14:paraId="00807DE2" w14:textId="082C5B7A" w:rsidR="000C7D44" w:rsidRDefault="000C7D44" w:rsidP="000C7D44">
      <w:pPr>
        <w:pStyle w:val="FootnoteText"/>
      </w:pPr>
      <w:r>
        <w:rPr>
          <w:rStyle w:val="FootnoteReference"/>
        </w:rPr>
        <w:footnoteRef/>
      </w:r>
      <w:r>
        <w:t xml:space="preserve"> Freib</w:t>
      </w:r>
      <w:r w:rsidR="002668B8">
        <w:t>e</w:t>
      </w:r>
      <w:r>
        <w:t>rg,</w:t>
      </w:r>
      <w:r w:rsidR="003B56B6">
        <w:t xml:space="preserve"> (2017), as above,</w:t>
      </w:r>
      <w:r>
        <w:t xml:space="preserve"> p. 463</w:t>
      </w:r>
    </w:p>
  </w:footnote>
  <w:footnote w:id="110">
    <w:p w14:paraId="5C69E8D1" w14:textId="4679272D" w:rsidR="000C7D44" w:rsidRDefault="000C7D44" w:rsidP="000C7D44">
      <w:pPr>
        <w:pStyle w:val="FootnoteText"/>
      </w:pPr>
      <w:r>
        <w:rPr>
          <w:rStyle w:val="FootnoteReference"/>
        </w:rPr>
        <w:footnoteRef/>
      </w:r>
      <w:r>
        <w:t xml:space="preserve"> </w:t>
      </w:r>
      <w:r w:rsidR="00EF1054" w:rsidRPr="006F3604">
        <w:rPr>
          <w:i/>
          <w:iCs/>
        </w:rPr>
        <w:t>Ibid</w:t>
      </w:r>
      <w:r>
        <w:t xml:space="preserve"> pp. 235-239</w:t>
      </w:r>
    </w:p>
  </w:footnote>
  <w:footnote w:id="111">
    <w:p w14:paraId="66159016" w14:textId="40D9CEFD" w:rsidR="000C7D44" w:rsidRDefault="000C7D44" w:rsidP="000C7D44">
      <w:pPr>
        <w:pStyle w:val="FootnoteText"/>
      </w:pPr>
      <w:r>
        <w:rPr>
          <w:rStyle w:val="FootnoteReference"/>
        </w:rPr>
        <w:footnoteRef/>
      </w:r>
      <w:r>
        <w:t xml:space="preserve"> </w:t>
      </w:r>
      <w:r w:rsidR="00EF1054" w:rsidRPr="006F3604">
        <w:rPr>
          <w:i/>
          <w:iCs/>
        </w:rPr>
        <w:t>Ibid</w:t>
      </w:r>
      <w:r>
        <w:t xml:space="preserve"> p. 464; Rothstein as above; OECD (2010) p. 30</w:t>
      </w:r>
    </w:p>
  </w:footnote>
  <w:footnote w:id="112">
    <w:p w14:paraId="64459274" w14:textId="77777777" w:rsidR="000C7D44" w:rsidRPr="003B6643" w:rsidRDefault="000C7D44" w:rsidP="000C7D44">
      <w:pPr>
        <w:pStyle w:val="FootnoteText"/>
      </w:pPr>
      <w:r>
        <w:rPr>
          <w:rStyle w:val="FootnoteReference"/>
        </w:rPr>
        <w:footnoteRef/>
      </w:r>
      <w:r>
        <w:t xml:space="preserve"> Robert Baldwin and Julia Black (2016), “Driving priorities in risk-based regulation: what’s the problem?”, </w:t>
      </w:r>
      <w:r>
        <w:rPr>
          <w:i/>
          <w:iCs/>
        </w:rPr>
        <w:t xml:space="preserve">Journal of law and society </w:t>
      </w:r>
      <w:r>
        <w:t>43(4) pp. 565-595</w:t>
      </w:r>
    </w:p>
  </w:footnote>
  <w:footnote w:id="113">
    <w:p w14:paraId="5C104CA6" w14:textId="7FB0527B" w:rsidR="000C7D44" w:rsidRDefault="000C7D44" w:rsidP="000C7D44">
      <w:pPr>
        <w:pStyle w:val="FootnoteText"/>
      </w:pPr>
      <w:r>
        <w:rPr>
          <w:rStyle w:val="FootnoteReference"/>
        </w:rPr>
        <w:footnoteRef/>
      </w:r>
      <w:r>
        <w:t xml:space="preserve"> Baldwin, Cave and Lodge (2011)</w:t>
      </w:r>
      <w:r w:rsidR="00B048D0">
        <w:t>, as above,</w:t>
      </w:r>
      <w:r>
        <w:t xml:space="preserve"> p. 288</w:t>
      </w:r>
    </w:p>
  </w:footnote>
  <w:footnote w:id="114">
    <w:p w14:paraId="78595458" w14:textId="7EE692DA" w:rsidR="000C7D44" w:rsidRPr="006F3604" w:rsidRDefault="000C7D44" w:rsidP="000C7D44">
      <w:pPr>
        <w:pStyle w:val="FootnoteText"/>
      </w:pPr>
      <w:r>
        <w:rPr>
          <w:rStyle w:val="FootnoteReference"/>
        </w:rPr>
        <w:footnoteRef/>
      </w:r>
      <w:r>
        <w:t xml:space="preserve"> </w:t>
      </w:r>
      <w:r w:rsidR="005A3745">
        <w:t>Maria Joao Ribe</w:t>
      </w:r>
      <w:r w:rsidR="00CF365F">
        <w:t>irinho et al (2020),</w:t>
      </w:r>
      <w:r>
        <w:t xml:space="preserve"> </w:t>
      </w:r>
      <w:r>
        <w:rPr>
          <w:i/>
          <w:iCs/>
        </w:rPr>
        <w:t>The next normal in construction</w:t>
      </w:r>
      <w:r w:rsidR="00CF365F">
        <w:rPr>
          <w:i/>
          <w:iCs/>
        </w:rPr>
        <w:t>: how disruption is reshaping the world’s largest ecosystem</w:t>
      </w:r>
      <w:r w:rsidR="00CE184E">
        <w:t>, McKinsey &amp; Company</w:t>
      </w:r>
    </w:p>
  </w:footnote>
  <w:footnote w:id="115">
    <w:p w14:paraId="4A07307F" w14:textId="231D13BB" w:rsidR="4E420294" w:rsidRPr="00DE27B8" w:rsidRDefault="4E420294" w:rsidP="4E420294">
      <w:pPr>
        <w:pStyle w:val="FootnoteText"/>
        <w:rPr>
          <w:rFonts w:eastAsia="Arial" w:cstheme="minorHAnsi"/>
          <w:sz w:val="18"/>
          <w:szCs w:val="18"/>
          <w:lang w:val="en-AU"/>
        </w:rPr>
      </w:pPr>
      <w:r w:rsidRPr="006F3604">
        <w:rPr>
          <w:rStyle w:val="FootnoteReference"/>
          <w:rFonts w:eastAsia="Arial" w:cstheme="minorHAnsi"/>
        </w:rPr>
        <w:footnoteRef/>
      </w:r>
      <w:r w:rsidRPr="006F3604">
        <w:rPr>
          <w:rFonts w:eastAsia="Arial" w:cstheme="minorHAnsi"/>
        </w:rPr>
        <w:t xml:space="preserve"> ANZSOG, with </w:t>
      </w:r>
      <w:r w:rsidR="00E46025">
        <w:rPr>
          <w:rFonts w:eastAsia="Arial" w:cstheme="minorHAnsi"/>
        </w:rPr>
        <w:t xml:space="preserve">Adam </w:t>
      </w:r>
      <w:r w:rsidRPr="006F3604">
        <w:rPr>
          <w:rFonts w:eastAsia="Arial" w:cstheme="minorHAnsi"/>
        </w:rPr>
        <w:t>Beaumont</w:t>
      </w:r>
      <w:r w:rsidR="00E46025">
        <w:rPr>
          <w:rFonts w:eastAsia="Arial" w:cstheme="minorHAnsi"/>
        </w:rPr>
        <w:t xml:space="preserve"> </w:t>
      </w:r>
      <w:r w:rsidRPr="006F3604">
        <w:rPr>
          <w:rFonts w:eastAsia="Arial" w:cstheme="minorHAnsi"/>
        </w:rPr>
        <w:t xml:space="preserve">and </w:t>
      </w:r>
      <w:r w:rsidR="00E46025">
        <w:rPr>
          <w:rFonts w:eastAsia="Arial" w:cstheme="minorHAnsi"/>
        </w:rPr>
        <w:t xml:space="preserve">Grant </w:t>
      </w:r>
      <w:r w:rsidRPr="006F3604">
        <w:rPr>
          <w:rFonts w:eastAsia="Arial" w:cstheme="minorHAnsi"/>
        </w:rPr>
        <w:t>Pink</w:t>
      </w:r>
      <w:r w:rsidR="00E46025">
        <w:rPr>
          <w:rFonts w:eastAsia="Arial" w:cstheme="minorHAnsi"/>
        </w:rPr>
        <w:t xml:space="preserve"> </w:t>
      </w:r>
      <w:r w:rsidRPr="006F3604">
        <w:rPr>
          <w:rFonts w:eastAsia="Arial" w:cstheme="minorHAnsi"/>
        </w:rPr>
        <w:t>(2021)</w:t>
      </w:r>
      <w:r w:rsidR="00E46025">
        <w:rPr>
          <w:rFonts w:eastAsia="Arial" w:cstheme="minorHAnsi"/>
        </w:rPr>
        <w:t>,</w:t>
      </w:r>
      <w:r w:rsidRPr="006F3604">
        <w:rPr>
          <w:rFonts w:eastAsia="Arial" w:cstheme="minorHAnsi"/>
        </w:rPr>
        <w:t xml:space="preserve"> </w:t>
      </w:r>
      <w:r w:rsidRPr="006F3604">
        <w:rPr>
          <w:rFonts w:eastAsia="Arial" w:cstheme="minorHAnsi"/>
          <w:i/>
          <w:iCs/>
          <w:lang w:val="en-AU"/>
        </w:rPr>
        <w:t>Key capability areas of senior executives who shape regulatory organisations and cultures</w:t>
      </w:r>
      <w:r w:rsidR="00E46025">
        <w:rPr>
          <w:rFonts w:eastAsia="Arial" w:cstheme="minorHAnsi"/>
          <w:i/>
          <w:iCs/>
          <w:lang w:val="en-AU"/>
        </w:rPr>
        <w:t>:</w:t>
      </w:r>
      <w:r w:rsidRPr="006F3604">
        <w:rPr>
          <w:rFonts w:eastAsia="Arial" w:cstheme="minorHAnsi"/>
          <w:i/>
          <w:iCs/>
          <w:lang w:val="en-AU"/>
        </w:rPr>
        <w:t xml:space="preserve"> A </w:t>
      </w:r>
      <w:r w:rsidR="00E46025">
        <w:rPr>
          <w:rFonts w:eastAsia="Arial" w:cstheme="minorHAnsi"/>
          <w:i/>
          <w:iCs/>
          <w:lang w:val="en-AU"/>
        </w:rPr>
        <w:t>r</w:t>
      </w:r>
      <w:r w:rsidRPr="006F3604">
        <w:rPr>
          <w:rFonts w:eastAsia="Arial" w:cstheme="minorHAnsi"/>
          <w:i/>
          <w:iCs/>
          <w:lang w:val="en-AU"/>
        </w:rPr>
        <w:t>eport to the Australian Public Service Academy</w:t>
      </w:r>
      <w:r w:rsidR="00E46025">
        <w:rPr>
          <w:rFonts w:eastAsia="Arial" w:cstheme="minorHAnsi"/>
          <w:lang w:val="en-AU"/>
        </w:rPr>
        <w:t>,</w:t>
      </w:r>
      <w:r w:rsidRPr="006F3604">
        <w:rPr>
          <w:rFonts w:eastAsia="Arial" w:cstheme="minorHAnsi"/>
          <w:lang w:val="en-AU"/>
        </w:rPr>
        <w:t xml:space="preserve"> </w:t>
      </w:r>
      <w:r w:rsidR="00E46025">
        <w:rPr>
          <w:rFonts w:eastAsia="Arial" w:cstheme="minorHAnsi"/>
          <w:lang w:val="en-AU"/>
        </w:rPr>
        <w:t xml:space="preserve">Melbourne: </w:t>
      </w:r>
      <w:r w:rsidRPr="006F3604">
        <w:rPr>
          <w:rFonts w:eastAsia="Arial" w:cstheme="minorHAnsi"/>
          <w:lang w:val="en-AU"/>
        </w:rPr>
        <w:t>ANZSOG</w:t>
      </w:r>
      <w:r w:rsidR="00943B2C">
        <w:rPr>
          <w:rFonts w:eastAsia="Arial" w:cstheme="minorHAnsi"/>
          <w:lang w:val="en-AU"/>
        </w:rPr>
        <w:t xml:space="preserve">, </w:t>
      </w:r>
      <w:r w:rsidRPr="006F3604">
        <w:rPr>
          <w:rFonts w:eastAsia="Arial" w:cstheme="minorHAnsi"/>
          <w:lang w:val="en-AU"/>
        </w:rPr>
        <w:t>p.3</w:t>
      </w:r>
    </w:p>
  </w:footnote>
  <w:footnote w:id="116">
    <w:p w14:paraId="206D038B" w14:textId="5DFC33F0" w:rsidR="00542B8A" w:rsidRPr="00DE27B8" w:rsidRDefault="00542B8A">
      <w:pPr>
        <w:pStyle w:val="FootnoteText"/>
        <w:rPr>
          <w:rFonts w:cstheme="minorHAnsi"/>
          <w:sz w:val="18"/>
          <w:szCs w:val="18"/>
          <w:lang w:val="en-AU"/>
        </w:rPr>
      </w:pPr>
      <w:r w:rsidRPr="006F3604">
        <w:rPr>
          <w:rStyle w:val="FootnoteReference"/>
          <w:rFonts w:cstheme="minorHAnsi"/>
        </w:rPr>
        <w:footnoteRef/>
      </w:r>
      <w:r w:rsidRPr="006F3604">
        <w:rPr>
          <w:rFonts w:cstheme="minorHAnsi"/>
        </w:rPr>
        <w:t xml:space="preserve"> </w:t>
      </w:r>
      <w:r w:rsidR="00943B2C">
        <w:rPr>
          <w:rFonts w:cstheme="minorHAnsi"/>
          <w:i/>
          <w:iCs/>
        </w:rPr>
        <w:t>Ibid</w:t>
      </w:r>
      <w:r w:rsidR="00943B2C">
        <w:rPr>
          <w:rFonts w:cstheme="minorHAnsi"/>
          <w:lang w:val="en-AU"/>
        </w:rPr>
        <w:t xml:space="preserve"> </w:t>
      </w:r>
      <w:r w:rsidRPr="006F3604">
        <w:rPr>
          <w:rFonts w:cstheme="minorHAnsi"/>
          <w:lang w:val="en-AU"/>
        </w:rPr>
        <w:t>p.8</w:t>
      </w:r>
    </w:p>
  </w:footnote>
  <w:footnote w:id="117">
    <w:p w14:paraId="65A8296A" w14:textId="2D81CA23" w:rsidR="4341A428" w:rsidRPr="006F3604" w:rsidRDefault="4341A428" w:rsidP="00A27038">
      <w:pPr>
        <w:pStyle w:val="FootnoteText"/>
        <w:jc w:val="left"/>
        <w:rPr>
          <w:color w:val="333333"/>
          <w:sz w:val="22"/>
          <w:szCs w:val="22"/>
        </w:rPr>
      </w:pPr>
      <w:r w:rsidRPr="006F3604">
        <w:rPr>
          <w:rStyle w:val="FootnoteReference"/>
          <w:sz w:val="22"/>
          <w:szCs w:val="22"/>
        </w:rPr>
        <w:footnoteRef/>
      </w:r>
      <w:r w:rsidRPr="006F3604">
        <w:rPr>
          <w:sz w:val="22"/>
          <w:szCs w:val="22"/>
        </w:rPr>
        <w:t xml:space="preserve"> </w:t>
      </w:r>
      <w:r w:rsidR="00943B2C">
        <w:rPr>
          <w:sz w:val="22"/>
          <w:szCs w:val="22"/>
        </w:rPr>
        <w:t xml:space="preserve">A. </w:t>
      </w:r>
      <w:r w:rsidRPr="006F3604">
        <w:rPr>
          <w:color w:val="333333"/>
        </w:rPr>
        <w:t>Lindgreen</w:t>
      </w:r>
      <w:r w:rsidR="00731EC9">
        <w:rPr>
          <w:color w:val="333333"/>
        </w:rPr>
        <w:t xml:space="preserve"> et al</w:t>
      </w:r>
      <w:r w:rsidRPr="006F3604">
        <w:rPr>
          <w:color w:val="333333"/>
        </w:rPr>
        <w:t xml:space="preserve"> </w:t>
      </w:r>
      <w:r w:rsidR="00731EC9">
        <w:rPr>
          <w:color w:val="333333"/>
        </w:rPr>
        <w:t>(</w:t>
      </w:r>
      <w:r w:rsidRPr="006F3604">
        <w:rPr>
          <w:color w:val="333333"/>
        </w:rPr>
        <w:t>eds.</w:t>
      </w:r>
      <w:r w:rsidR="00731EC9">
        <w:rPr>
          <w:color w:val="333333"/>
        </w:rPr>
        <w:t>)</w:t>
      </w:r>
      <w:r w:rsidRPr="006F3604">
        <w:rPr>
          <w:color w:val="333333"/>
        </w:rPr>
        <w:t xml:space="preserve"> (2019)</w:t>
      </w:r>
      <w:r w:rsidR="00731EC9">
        <w:rPr>
          <w:color w:val="333333"/>
        </w:rPr>
        <w:t>,</w:t>
      </w:r>
      <w:r w:rsidRPr="006F3604">
        <w:rPr>
          <w:color w:val="333333"/>
        </w:rPr>
        <w:t xml:space="preserve"> </w:t>
      </w:r>
      <w:r w:rsidRPr="006F3604">
        <w:rPr>
          <w:i/>
          <w:iCs/>
          <w:color w:val="333333"/>
        </w:rPr>
        <w:t xml:space="preserve">Public Value: Deepening, </w:t>
      </w:r>
      <w:r w:rsidR="00731EC9">
        <w:rPr>
          <w:i/>
          <w:iCs/>
          <w:color w:val="333333"/>
        </w:rPr>
        <w:t>e</w:t>
      </w:r>
      <w:r w:rsidRPr="006F3604">
        <w:rPr>
          <w:i/>
          <w:iCs/>
          <w:color w:val="333333"/>
        </w:rPr>
        <w:t xml:space="preserve">nriching, and </w:t>
      </w:r>
      <w:r w:rsidR="00731EC9">
        <w:rPr>
          <w:i/>
          <w:iCs/>
          <w:color w:val="333333"/>
        </w:rPr>
        <w:t>b</w:t>
      </w:r>
      <w:r w:rsidRPr="006F3604">
        <w:rPr>
          <w:i/>
          <w:iCs/>
          <w:color w:val="333333"/>
        </w:rPr>
        <w:t xml:space="preserve">roadening the </w:t>
      </w:r>
      <w:r w:rsidR="00731EC9">
        <w:rPr>
          <w:i/>
          <w:iCs/>
          <w:color w:val="333333"/>
        </w:rPr>
        <w:t>t</w:t>
      </w:r>
      <w:r w:rsidRPr="006F3604">
        <w:rPr>
          <w:i/>
          <w:iCs/>
          <w:color w:val="333333"/>
        </w:rPr>
        <w:t xml:space="preserve">heory and </w:t>
      </w:r>
      <w:r w:rsidR="00731EC9">
        <w:rPr>
          <w:i/>
          <w:iCs/>
          <w:color w:val="333333"/>
        </w:rPr>
        <w:t>p</w:t>
      </w:r>
      <w:r w:rsidRPr="006F3604">
        <w:rPr>
          <w:i/>
          <w:iCs/>
          <w:color w:val="333333"/>
        </w:rPr>
        <w:t>ractice</w:t>
      </w:r>
      <w:r w:rsidR="00731EC9" w:rsidRPr="006F3604">
        <w:rPr>
          <w:color w:val="333333"/>
        </w:rPr>
        <w:t>,</w:t>
      </w:r>
      <w:r w:rsidRPr="006F3604">
        <w:rPr>
          <w:color w:val="333333"/>
        </w:rPr>
        <w:t xml:space="preserve"> CRC Press</w:t>
      </w:r>
    </w:p>
  </w:footnote>
  <w:footnote w:id="118">
    <w:p w14:paraId="2CC53916" w14:textId="168074DC" w:rsidR="006D0CDE" w:rsidRPr="00DE27B8" w:rsidRDefault="006D0CDE" w:rsidP="00A27038">
      <w:pPr>
        <w:pStyle w:val="FootnoteText"/>
        <w:jc w:val="left"/>
        <w:rPr>
          <w:rFonts w:cstheme="minorHAnsi"/>
          <w:sz w:val="18"/>
          <w:szCs w:val="18"/>
          <w:lang w:val="en-AU"/>
        </w:rPr>
      </w:pPr>
      <w:r w:rsidRPr="006F3604">
        <w:rPr>
          <w:rStyle w:val="FootnoteReference"/>
          <w:rFonts w:cstheme="minorHAnsi"/>
        </w:rPr>
        <w:footnoteRef/>
      </w:r>
      <w:r w:rsidRPr="006F3604">
        <w:rPr>
          <w:rFonts w:cstheme="minorHAnsi"/>
        </w:rPr>
        <w:t xml:space="preserve"> </w:t>
      </w:r>
      <w:r w:rsidR="005F72DC">
        <w:rPr>
          <w:rFonts w:cstheme="minorHAnsi"/>
        </w:rPr>
        <w:t>Government of Canada (2016), “Key leadership competency profile and examples of effective and ineffective behaviours</w:t>
      </w:r>
      <w:r w:rsidR="00D37733">
        <w:rPr>
          <w:rFonts w:cstheme="minorHAnsi"/>
        </w:rPr>
        <w:t>,” accessed 5 April 2022.</w:t>
      </w:r>
      <w:r w:rsidR="005F72DC">
        <w:rPr>
          <w:rFonts w:cstheme="minorHAnsi"/>
        </w:rPr>
        <w:t xml:space="preserve"> </w:t>
      </w:r>
      <w:r w:rsidR="00D37733">
        <w:rPr>
          <w:rFonts w:cstheme="minorHAnsi"/>
        </w:rPr>
        <w:t>&lt;</w:t>
      </w:r>
      <w:r w:rsidR="00D37733" w:rsidRPr="006F3604">
        <w:t>https://www.canada.ca/en/treasury-board-secretariat/services/professional-development/key-leadership-competency-profile/examples-effective-ineffective-behaviours.html</w:t>
      </w:r>
      <w:r w:rsidR="00D37733">
        <w:rPr>
          <w:rFonts w:cstheme="minorHAnsi"/>
        </w:rPr>
        <w:t>&gt;</w:t>
      </w:r>
      <w:r w:rsidRPr="006F3604">
        <w:rPr>
          <w:rStyle w:val="Hyperlink"/>
          <w:rFonts w:cstheme="minorHAnsi"/>
        </w:rPr>
        <w:t xml:space="preserve"> </w:t>
      </w:r>
    </w:p>
  </w:footnote>
  <w:footnote w:id="119">
    <w:p w14:paraId="19E98C8E" w14:textId="590FD29E" w:rsidR="00AA3D72" w:rsidRPr="00AA3D72" w:rsidRDefault="00AA3D72" w:rsidP="00A27038">
      <w:pPr>
        <w:pStyle w:val="FootnoteText"/>
        <w:jc w:val="left"/>
        <w:rPr>
          <w:lang w:val="en-AU"/>
        </w:rPr>
      </w:pPr>
      <w:r>
        <w:rPr>
          <w:rStyle w:val="FootnoteReference"/>
        </w:rPr>
        <w:footnoteRef/>
      </w:r>
      <w:r>
        <w:t xml:space="preserve"> </w:t>
      </w:r>
      <w:r w:rsidRPr="00854B7B">
        <w:t>See, e.g., Appendix A in ANZSOG (2021), as above, which surveys capability frameworks from across the different parts of this new profession</w:t>
      </w:r>
      <w:r w:rsidR="00D37733">
        <w:t>.</w:t>
      </w:r>
    </w:p>
  </w:footnote>
  <w:footnote w:id="120">
    <w:p w14:paraId="6CCEBB90" w14:textId="35B00532" w:rsidR="00893DF8" w:rsidRPr="00832824" w:rsidRDefault="00893DF8" w:rsidP="006F3604">
      <w:pPr>
        <w:pStyle w:val="FootnoteText"/>
        <w:jc w:val="left"/>
      </w:pPr>
      <w:r>
        <w:rPr>
          <w:rStyle w:val="FootnoteReference"/>
        </w:rPr>
        <w:footnoteRef/>
      </w:r>
      <w:r>
        <w:t xml:space="preserve"> Lorraine Cherney (2021)</w:t>
      </w:r>
      <w:r w:rsidR="00D37733">
        <w:t>,</w:t>
      </w:r>
      <w:r>
        <w:t xml:space="preserve"> </w:t>
      </w:r>
      <w:r w:rsidRPr="00832824">
        <w:rPr>
          <w:i/>
          <w:iCs/>
        </w:rPr>
        <w:t>Professional development training for regulators</w:t>
      </w:r>
      <w:r w:rsidR="00E8555B">
        <w:t>, National Regulators Community of Practice,</w:t>
      </w:r>
      <w:r>
        <w:rPr>
          <w:i/>
          <w:iCs/>
        </w:rPr>
        <w:t xml:space="preserve"> </w:t>
      </w:r>
      <w:r>
        <w:t>p. 5</w:t>
      </w:r>
      <w:r w:rsidR="00E8555B">
        <w:t>. Available here:</w:t>
      </w:r>
      <w:r w:rsidR="003E266B">
        <w:t xml:space="preserve"> &lt;</w:t>
      </w:r>
      <w:r w:rsidR="00D37733" w:rsidRPr="006F3604">
        <w:t>https://www.anzsog.edu.au/preview-documents/publications-and-brochures/5623-nrcop-regulator-professional-development-march-2021-regulatory-professional-development/file</w:t>
      </w:r>
      <w:r w:rsidR="003E266B">
        <w:t>&gt;</w:t>
      </w:r>
      <w:r w:rsidR="00E8555B">
        <w:t xml:space="preserve"> </w:t>
      </w:r>
      <w:r w:rsidR="003E266B">
        <w:t>(accessed 5 April 2022)</w:t>
      </w:r>
    </w:p>
  </w:footnote>
  <w:footnote w:id="121">
    <w:p w14:paraId="5D652F05" w14:textId="3CC41D3D" w:rsidR="002B7EAC" w:rsidRPr="00553CCE" w:rsidRDefault="002B7EAC" w:rsidP="006F3604">
      <w:pPr>
        <w:pStyle w:val="FootnoteText"/>
        <w:jc w:val="left"/>
        <w:rPr>
          <w:i/>
          <w:iCs/>
        </w:rPr>
      </w:pPr>
      <w:r>
        <w:rPr>
          <w:rStyle w:val="FootnoteReference"/>
        </w:rPr>
        <w:footnoteRef/>
      </w:r>
      <w:r>
        <w:t xml:space="preserve"> Table 11 is adapted from ANZSOG</w:t>
      </w:r>
      <w:r w:rsidR="003E266B">
        <w:t xml:space="preserve"> et al</w:t>
      </w:r>
      <w:r>
        <w:t xml:space="preserve"> (2021)</w:t>
      </w:r>
      <w:r w:rsidR="003E266B">
        <w:t>, as above</w:t>
      </w:r>
      <w:r>
        <w:t xml:space="preserve"> </w:t>
      </w:r>
    </w:p>
  </w:footnote>
  <w:footnote w:id="122">
    <w:p w14:paraId="6803DBD2" w14:textId="59AE8AD3" w:rsidR="001A370A" w:rsidRDefault="001A370A" w:rsidP="006F3604">
      <w:pPr>
        <w:pStyle w:val="FootnoteText"/>
        <w:jc w:val="left"/>
      </w:pPr>
      <w:r w:rsidRPr="781DC728">
        <w:rPr>
          <w:rStyle w:val="FootnoteReference"/>
        </w:rPr>
        <w:footnoteRef/>
      </w:r>
      <w:r w:rsidRPr="781DC728">
        <w:t xml:space="preserve"> </w:t>
      </w:r>
      <w:r w:rsidR="003E266B">
        <w:t xml:space="preserve">QBCC (2021), as above, </w:t>
      </w:r>
      <w:r w:rsidRPr="781DC728">
        <w:t>p29</w:t>
      </w:r>
    </w:p>
  </w:footnote>
  <w:footnote w:id="123">
    <w:p w14:paraId="4F4A1870" w14:textId="1810A0CA" w:rsidR="005704E0" w:rsidRPr="003E266B" w:rsidRDefault="005704E0">
      <w:pPr>
        <w:pStyle w:val="FootnoteText"/>
        <w:rPr>
          <w:lang w:val="en-AU"/>
        </w:rPr>
      </w:pPr>
      <w:r w:rsidRPr="003E266B">
        <w:rPr>
          <w:rStyle w:val="FootnoteReference"/>
        </w:rPr>
        <w:footnoteRef/>
      </w:r>
      <w:r w:rsidRPr="003E266B">
        <w:t xml:space="preserve"> </w:t>
      </w:r>
      <w:r w:rsidRPr="006F3604">
        <w:rPr>
          <w:rFonts w:cstheme="minorHAnsi"/>
          <w:lang w:val="en-AU"/>
        </w:rPr>
        <w:t>ANZSOG et</w:t>
      </w:r>
      <w:r w:rsidR="003E266B" w:rsidRPr="006F3604">
        <w:rPr>
          <w:rFonts w:cstheme="minorHAnsi"/>
          <w:lang w:val="en-AU"/>
        </w:rPr>
        <w:t xml:space="preserve"> </w:t>
      </w:r>
      <w:r w:rsidRPr="006F3604">
        <w:rPr>
          <w:rFonts w:cstheme="minorHAnsi"/>
          <w:lang w:val="en-AU"/>
        </w:rPr>
        <w:t>al (2021)</w:t>
      </w:r>
      <w:r w:rsidR="003E266B">
        <w:rPr>
          <w:rFonts w:cstheme="minorHAnsi"/>
          <w:lang w:val="en-AU"/>
        </w:rPr>
        <w:t>, as above,</w:t>
      </w:r>
      <w:r w:rsidRPr="006F3604">
        <w:rPr>
          <w:rFonts w:cstheme="minorHAnsi"/>
          <w:lang w:val="en-AU"/>
        </w:rPr>
        <w:t xml:space="preserve"> p3</w:t>
      </w:r>
    </w:p>
  </w:footnote>
  <w:footnote w:id="124">
    <w:p w14:paraId="71EB09DE" w14:textId="48DE95B7" w:rsidR="00DD37E5" w:rsidRPr="00830763" w:rsidRDefault="00DD37E5" w:rsidP="006F3604">
      <w:pPr>
        <w:pStyle w:val="FootnoteText"/>
        <w:jc w:val="left"/>
      </w:pPr>
      <w:r>
        <w:rPr>
          <w:rStyle w:val="FootnoteReference"/>
        </w:rPr>
        <w:footnoteRef/>
      </w:r>
      <w:r>
        <w:t xml:space="preserve"> Queensland Public Service Commission (</w:t>
      </w:r>
      <w:r w:rsidR="00935DF8">
        <w:t xml:space="preserve">2022), </w:t>
      </w:r>
      <w:r w:rsidR="00935DF8">
        <w:rPr>
          <w:i/>
          <w:iCs/>
        </w:rPr>
        <w:t>Leadership competencies for Queensland</w:t>
      </w:r>
      <w:r w:rsidR="00830763">
        <w:t>, Queensland Government. Available here: &lt;h</w:t>
      </w:r>
      <w:r w:rsidR="00830763" w:rsidRPr="006F3604">
        <w:t>ttps://www.forgov.qld.gov.au/__data/assets/pdf_file/0025/182527/leadership-competencies-for-queensland-brochure.pdf</w:t>
      </w:r>
      <w:r w:rsidR="00830763">
        <w:t xml:space="preserve">&gt; (accessed 5 April 2022) </w:t>
      </w:r>
    </w:p>
  </w:footnote>
  <w:footnote w:id="125">
    <w:p w14:paraId="382DB654" w14:textId="24964C8B" w:rsidR="00490D5C" w:rsidRPr="006F3604" w:rsidRDefault="00490D5C" w:rsidP="00490D5C">
      <w:pPr>
        <w:pStyle w:val="FootnoteText"/>
        <w:rPr>
          <w:rFonts w:cstheme="minorHAnsi"/>
          <w:lang w:val="en-AU"/>
        </w:rPr>
      </w:pPr>
      <w:r w:rsidRPr="006F3604">
        <w:rPr>
          <w:rStyle w:val="FootnoteReference"/>
          <w:rFonts w:eastAsia="Arial" w:cstheme="minorHAnsi"/>
        </w:rPr>
        <w:footnoteRef/>
      </w:r>
      <w:r w:rsidRPr="006F3604">
        <w:rPr>
          <w:rFonts w:eastAsia="Arial" w:cstheme="minorHAnsi"/>
        </w:rPr>
        <w:t xml:space="preserve"> </w:t>
      </w:r>
      <w:r w:rsidR="00344E0F" w:rsidRPr="006F3604">
        <w:rPr>
          <w:rFonts w:eastAsia="Arial" w:cstheme="minorHAnsi"/>
        </w:rPr>
        <w:t xml:space="preserve">D. John </w:t>
      </w:r>
      <w:r w:rsidRPr="006F3604">
        <w:rPr>
          <w:rFonts w:cstheme="minorHAnsi"/>
          <w:lang w:val="en-AU"/>
        </w:rPr>
        <w:t>Graham (2010), "Why Governments Need Guidelines for Risk Assessment and Management", in</w:t>
      </w:r>
      <w:r w:rsidR="00AC614E">
        <w:rPr>
          <w:lang w:val="en-AU"/>
        </w:rPr>
        <w:t xml:space="preserve"> OECD (2010), as above</w:t>
      </w:r>
    </w:p>
  </w:footnote>
  <w:footnote w:id="126">
    <w:p w14:paraId="7C2F85DB" w14:textId="5684A23D" w:rsidR="00F046F9" w:rsidRDefault="00F046F9" w:rsidP="00F046F9">
      <w:pPr>
        <w:pStyle w:val="FootnoteText"/>
      </w:pPr>
      <w:r>
        <w:rPr>
          <w:rStyle w:val="FootnoteReference"/>
        </w:rPr>
        <w:footnoteRef/>
      </w:r>
      <w:r>
        <w:t xml:space="preserve"> </w:t>
      </w:r>
      <w:r w:rsidRPr="00B81F64">
        <w:t>Cherney (2021),</w:t>
      </w:r>
      <w:r w:rsidR="00AC614E">
        <w:t xml:space="preserve"> as above</w:t>
      </w:r>
    </w:p>
  </w:footnote>
  <w:footnote w:id="127">
    <w:p w14:paraId="480FF38A" w14:textId="781584F3" w:rsidR="008317D7" w:rsidRPr="006F3604" w:rsidRDefault="008317D7" w:rsidP="006F3604">
      <w:pPr>
        <w:spacing w:after="0" w:line="240" w:lineRule="auto"/>
        <w:jc w:val="left"/>
        <w:rPr>
          <w:sz w:val="20"/>
          <w:szCs w:val="20"/>
        </w:rPr>
      </w:pPr>
      <w:r w:rsidRPr="00C77331">
        <w:rPr>
          <w:rStyle w:val="FootnoteReference"/>
          <w:sz w:val="20"/>
          <w:szCs w:val="20"/>
        </w:rPr>
        <w:footnoteRef/>
      </w:r>
      <w:r w:rsidR="00C77331">
        <w:rPr>
          <w:sz w:val="20"/>
          <w:szCs w:val="20"/>
        </w:rPr>
        <w:t xml:space="preserve"> </w:t>
      </w:r>
      <w:r w:rsidR="006202EB">
        <w:rPr>
          <w:sz w:val="20"/>
          <w:szCs w:val="20"/>
        </w:rPr>
        <w:t xml:space="preserve">Queensland Audit Office (2021), </w:t>
      </w:r>
      <w:r w:rsidR="00C513EE">
        <w:rPr>
          <w:i/>
          <w:iCs/>
          <w:sz w:val="20"/>
          <w:szCs w:val="20"/>
        </w:rPr>
        <w:t>Better practice guide – insights for regulators</w:t>
      </w:r>
      <w:r w:rsidR="00C513EE">
        <w:rPr>
          <w:sz w:val="20"/>
          <w:szCs w:val="20"/>
        </w:rPr>
        <w:t xml:space="preserve">, Queensland Government. Available here: </w:t>
      </w:r>
      <w:r w:rsidR="00C77331">
        <w:rPr>
          <w:sz w:val="20"/>
          <w:szCs w:val="20"/>
        </w:rPr>
        <w:t xml:space="preserve"> </w:t>
      </w:r>
      <w:r w:rsidR="00C513EE" w:rsidRPr="006F3604">
        <w:rPr>
          <w:sz w:val="20"/>
          <w:szCs w:val="20"/>
        </w:rPr>
        <w:t>https://www.qao.qld.gov.au/sites/default/files/2021-11/Better%20practice%20guide%E2%80%94Insights%20for%20regulators.pdf</w:t>
      </w:r>
      <w:r w:rsidR="00C513EE">
        <w:rPr>
          <w:sz w:val="20"/>
          <w:szCs w:val="20"/>
        </w:rPr>
        <w:t xml:space="preserve"> (accessed 5 April 2022)</w:t>
      </w:r>
    </w:p>
  </w:footnote>
  <w:footnote w:id="128">
    <w:p w14:paraId="26FEC47C" w14:textId="3950D707" w:rsidR="008317D7" w:rsidRPr="00B13B28" w:rsidRDefault="008317D7" w:rsidP="006F3604">
      <w:pPr>
        <w:pStyle w:val="FootnoteText"/>
        <w:jc w:val="left"/>
        <w:rPr>
          <w:lang w:val="en-AU"/>
        </w:rPr>
      </w:pPr>
      <w:r w:rsidRPr="00C77331">
        <w:rPr>
          <w:rStyle w:val="FootnoteReference"/>
        </w:rPr>
        <w:footnoteRef/>
      </w:r>
      <w:r w:rsidRPr="00C77331">
        <w:t xml:space="preserve"> Cherney (2021)</w:t>
      </w:r>
      <w:r w:rsidR="00C513EE">
        <w:t>, as above, and as</w:t>
      </w:r>
      <w:r w:rsidRPr="00C77331">
        <w:t xml:space="preserve"> cited in </w:t>
      </w:r>
      <w:r w:rsidRPr="006F3604">
        <w:rPr>
          <w:rFonts w:cstheme="minorHAnsi"/>
          <w:lang w:val="en-AU"/>
        </w:rPr>
        <w:t>ANZSOG et</w:t>
      </w:r>
      <w:r w:rsidR="00C513EE">
        <w:rPr>
          <w:rFonts w:cstheme="minorHAnsi"/>
          <w:lang w:val="en-AU"/>
        </w:rPr>
        <w:t xml:space="preserve"> </w:t>
      </w:r>
      <w:r w:rsidRPr="006F3604">
        <w:rPr>
          <w:rFonts w:cstheme="minorHAnsi"/>
          <w:lang w:val="en-AU"/>
        </w:rPr>
        <w:t>al (2021)</w:t>
      </w:r>
      <w:r w:rsidR="00C513EE">
        <w:rPr>
          <w:rFonts w:cstheme="minorHAnsi"/>
          <w:lang w:val="en-AU"/>
        </w:rPr>
        <w:t>, as above,</w:t>
      </w:r>
      <w:r w:rsidRPr="006F3604">
        <w:rPr>
          <w:rFonts w:cstheme="minorHAnsi"/>
          <w:lang w:val="en-AU"/>
        </w:rPr>
        <w:t xml:space="preserve"> p45</w:t>
      </w:r>
    </w:p>
  </w:footnote>
  <w:footnote w:id="129">
    <w:p w14:paraId="20432167" w14:textId="28BE18BC" w:rsidR="00067578" w:rsidRPr="00310042" w:rsidRDefault="00067578" w:rsidP="006F3604">
      <w:pPr>
        <w:pStyle w:val="FootnoteText"/>
        <w:jc w:val="left"/>
      </w:pPr>
      <w:r>
        <w:rPr>
          <w:rStyle w:val="FootnoteReference"/>
        </w:rPr>
        <w:footnoteRef/>
      </w:r>
      <w:r>
        <w:t xml:space="preserve"> Arie Freib</w:t>
      </w:r>
      <w:r w:rsidR="001B424A">
        <w:t>e</w:t>
      </w:r>
      <w:r>
        <w:t xml:space="preserve">rg (2015) </w:t>
      </w:r>
      <w:r>
        <w:rPr>
          <w:i/>
          <w:iCs/>
        </w:rPr>
        <w:t>The tools of regulation</w:t>
      </w:r>
      <w:r w:rsidR="004A4B33">
        <w:t>, Sydney: The Federation Press,</w:t>
      </w:r>
      <w:r>
        <w:rPr>
          <w:i/>
          <w:iCs/>
        </w:rPr>
        <w:t xml:space="preserve"> </w:t>
      </w:r>
      <w:r>
        <w:t>p. 203</w:t>
      </w:r>
    </w:p>
  </w:footnote>
  <w:footnote w:id="130">
    <w:p w14:paraId="4A6525E3" w14:textId="6D55EB5A" w:rsidR="00067578" w:rsidRPr="002001A3" w:rsidRDefault="00067578">
      <w:pPr>
        <w:pStyle w:val="FootnoteText"/>
        <w:jc w:val="left"/>
      </w:pPr>
      <w:r>
        <w:rPr>
          <w:rStyle w:val="FootnoteReference"/>
        </w:rPr>
        <w:footnoteRef/>
      </w:r>
      <w:r>
        <w:t xml:space="preserve"> OECD (2016</w:t>
      </w:r>
      <w:r w:rsidR="003C66F3">
        <w:t>b</w:t>
      </w:r>
      <w:r>
        <w:t>)</w:t>
      </w:r>
      <w:r w:rsidR="003C66F3">
        <w:t>, as above,</w:t>
      </w:r>
      <w:r>
        <w:t xml:space="preserve"> pp. 29-30; p. 68</w:t>
      </w:r>
    </w:p>
  </w:footnote>
  <w:footnote w:id="131">
    <w:p w14:paraId="256B5B85" w14:textId="7AA160F6" w:rsidR="00067578" w:rsidRDefault="00067578">
      <w:pPr>
        <w:pStyle w:val="FootnoteText"/>
        <w:jc w:val="left"/>
      </w:pPr>
      <w:r>
        <w:rPr>
          <w:rStyle w:val="FootnoteReference"/>
        </w:rPr>
        <w:footnoteRef/>
      </w:r>
      <w:r w:rsidR="00036418">
        <w:t xml:space="preserve"> QBCC (2022), “Our mandate, purpose, vision and behaviours,” accessed 5 April 2022.</w:t>
      </w:r>
      <w:r>
        <w:t xml:space="preserve"> </w:t>
      </w:r>
      <w:r w:rsidR="00036418">
        <w:t>&lt;</w:t>
      </w:r>
      <w:r w:rsidR="00036418" w:rsidRPr="006F3604">
        <w:t>https://www.qbcc.qld.gov.au/about-us/our-mandate-purpose-vision-behaviours</w:t>
      </w:r>
      <w:r w:rsidR="00036418">
        <w:t>&gt;</w:t>
      </w:r>
    </w:p>
  </w:footnote>
  <w:footnote w:id="132">
    <w:p w14:paraId="22A2BFEE" w14:textId="1C11B6E7" w:rsidR="00067578" w:rsidRDefault="00067578" w:rsidP="006F3604">
      <w:pPr>
        <w:pStyle w:val="FootnoteText"/>
        <w:jc w:val="left"/>
      </w:pPr>
      <w:r>
        <w:rPr>
          <w:rStyle w:val="FootnoteReference"/>
        </w:rPr>
        <w:footnoteRef/>
      </w:r>
      <w:r w:rsidR="00826863">
        <w:t xml:space="preserve"> </w:t>
      </w:r>
      <w:r w:rsidR="37E9939D" w:rsidRPr="37E9939D">
        <w:t xml:space="preserve"> </w:t>
      </w:r>
      <w:r w:rsidR="00826863">
        <w:t>Queensland Government (</w:t>
      </w:r>
      <w:r w:rsidR="0069636E">
        <w:t>2022), “Public service values,” accessed 5 April 2022. &lt;</w:t>
      </w:r>
      <w:r w:rsidRPr="00606B6D">
        <w:t>https://www.forgov.qld.gov.au/employment-policy-career-and-wellbeing/public-service-values-and-conduct/public-service-values</w:t>
      </w:r>
      <w:r w:rsidR="0069636E">
        <w:t>&gt;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CB32" w14:textId="7FD52158" w:rsidR="000A516C" w:rsidRDefault="00C51339" w:rsidP="00C51339">
    <w:pPr>
      <w:pStyle w:val="Header"/>
      <w:tabs>
        <w:tab w:val="clear" w:pos="4513"/>
        <w:tab w:val="clear" w:pos="9026"/>
        <w:tab w:val="left" w:pos="796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C9CD" w14:textId="5CED24B3" w:rsidR="00581423" w:rsidRDefault="009B1DAD" w:rsidP="00C51339">
    <w:pPr>
      <w:pStyle w:val="Header"/>
      <w:tabs>
        <w:tab w:val="clear" w:pos="4513"/>
        <w:tab w:val="clear" w:pos="9026"/>
        <w:tab w:val="left" w:pos="7967"/>
      </w:tabs>
    </w:pPr>
    <w:r>
      <w:rPr>
        <w:noProof/>
      </w:rPr>
      <mc:AlternateContent>
        <mc:Choice Requires="wpg">
          <w:drawing>
            <wp:anchor distT="0" distB="0" distL="114300" distR="114300" simplePos="0" relativeHeight="251658240" behindDoc="0" locked="0" layoutInCell="1" allowOverlap="1" wp14:anchorId="10A5CD75" wp14:editId="7D8A2BC8">
              <wp:simplePos x="0" y="0"/>
              <wp:positionH relativeFrom="column">
                <wp:posOffset>-13063538</wp:posOffset>
              </wp:positionH>
              <wp:positionV relativeFrom="paragraph">
                <wp:posOffset>-507683</wp:posOffset>
              </wp:positionV>
              <wp:extent cx="18777584" cy="1083310"/>
              <wp:effectExtent l="19050" t="0" r="25400" b="2540"/>
              <wp:wrapNone/>
              <wp:docPr id="15" name="Group 15"/>
              <wp:cNvGraphicFramePr/>
              <a:graphic xmlns:a="http://schemas.openxmlformats.org/drawingml/2006/main">
                <a:graphicData uri="http://schemas.microsoft.com/office/word/2010/wordprocessingGroup">
                  <wpg:wgp>
                    <wpg:cNvGrpSpPr/>
                    <wpg:grpSpPr>
                      <a:xfrm>
                        <a:off x="0" y="0"/>
                        <a:ext cx="18777584" cy="1083310"/>
                        <a:chOff x="0" y="0"/>
                        <a:chExt cx="18777584" cy="1083310"/>
                      </a:xfrm>
                    </wpg:grpSpPr>
                    <wps:wsp>
                      <wps:cNvPr id="31" name="Line 5"/>
                      <wps:cNvCnPr/>
                      <wps:spPr bwMode="auto">
                        <a:xfrm flipH="1">
                          <a:off x="0" y="804863"/>
                          <a:ext cx="18777584"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1" name="Freeform 6"/>
                      <wps:cNvSpPr>
                        <a:spLocks/>
                      </wps:cNvSpPr>
                      <wps:spPr bwMode="auto">
                        <a:xfrm>
                          <a:off x="17811751" y="390526"/>
                          <a:ext cx="144880" cy="18861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7"/>
                      <wps:cNvSpPr>
                        <a:spLocks/>
                      </wps:cNvSpPr>
                      <wps:spPr bwMode="auto">
                        <a:xfrm>
                          <a:off x="18021301" y="390526"/>
                          <a:ext cx="124664" cy="186927"/>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8"/>
                      <wps:cNvSpPr>
                        <a:spLocks/>
                      </wps:cNvSpPr>
                      <wps:spPr bwMode="auto">
                        <a:xfrm>
                          <a:off x="18211801" y="385763"/>
                          <a:ext cx="116241" cy="191978"/>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9"/>
                      <wps:cNvSpPr>
                        <a:spLocks noEditPoints="1"/>
                      </wps:cNvSpPr>
                      <wps:spPr bwMode="auto">
                        <a:xfrm>
                          <a:off x="18397538" y="385763"/>
                          <a:ext cx="168465" cy="1936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10"/>
                      <wps:cNvSpPr>
                        <a:spLocks/>
                      </wps:cNvSpPr>
                      <wps:spPr bwMode="auto">
                        <a:xfrm>
                          <a:off x="18630901" y="385763"/>
                          <a:ext cx="144880" cy="191978"/>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11"/>
                      <wps:cNvSpPr>
                        <a:spLocks/>
                      </wps:cNvSpPr>
                      <wps:spPr bwMode="auto">
                        <a:xfrm>
                          <a:off x="17578388" y="390526"/>
                          <a:ext cx="154988" cy="18861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Rectangle 268"/>
                      <wps:cNvSpPr/>
                      <wps:spPr>
                        <a:xfrm>
                          <a:off x="11963400" y="0"/>
                          <a:ext cx="1090613" cy="108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B75219" id="Group 15" o:spid="_x0000_s1026" style="position:absolute;margin-left:-1028.65pt;margin-top:-40pt;width:1478.55pt;height:85.3pt;z-index:251658240" coordsize="187775,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">
              <v:line id="Line 5" o:spid="_x0000_s1027" style="position:absolute;flip:x;visibility:visible;mso-wrap-style:square" from="0,8048" to="187775,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" strokeweight="4pt">
                <v:stroke joinstyle="miter"/>
              </v:line>
              <v:shape id="Freeform 6" o:spid="_x0000_s1028" style="position:absolute;left:178117;top:3905;width:1449;height:1886;visibility:visible;mso-wrap-style:square;v-text-anchor:top" coordsize="43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" path="m83,527v,24,-13,37,-41,37c14,564,,551,,527,,51,,51,,51,,17,20,,57,v42,,61,20,75,46c346,429,346,429,346,429v,-391,,-391,,-391c346,13,361,,389,v28,,41,13,41,38c430,514,430,514,430,514v,34,-18,50,-52,50c342,564,323,546,308,517,83,126,83,126,83,126r,401xe" fillcolor="black" stroked="f">
                <v:path arrowok="t" o:connecttype="custom" o:connectlocs="27965,176237;14151,188610;0,176237;0,17055;19205,0;44475,15383;116578,143464;116578,12708;131066,0;144880,12708;144880,171889;127360,188610;103775,172893;27965,42136;27965,176237" o:connectangles="0,0,0,0,0,0,0,0,0,0,0,0,0,0,0"/>
              </v:shape>
              <v:shape id="Freeform 7" o:spid="_x0000_s1029" style="position:absolute;left:180213;top:3905;width:1246;height:1869;visibility:visible;mso-wrap-style:square;v-text-anchor:top" coordsize="3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" path="m333,472v23,,35,14,35,41c368,542,356,555,333,555v-293,,-293,,-293,c13,555,,542,,517,,494,10,477,23,455,255,83,255,83,255,83,39,83,39,83,39,83,16,83,4,69,4,41,4,13,16,,39,,322,,322,,322,v27,,40,13,40,38c362,61,352,78,339,100,106,472,106,472,106,472r227,xe" fillcolor="black" stroked="f">
                <v:path arrowok="t" o:connecttype="custom" o:connectlocs="112807,158972;124664,172781;112807,186927;13550,186927;0,174128;7792,153246;86384,27955;13212,27955;1355,13809;13212,0;109081,0;122631,12799;114840,33681;35909,158972;112807,158972" o:connectangles="0,0,0,0,0,0,0,0,0,0,0,0,0,0,0"/>
              </v:shape>
              <v:shape id="Freeform 8" o:spid="_x0000_s1030" style="position:absolute;left:182118;top:3857;width:1162;height:1920;visibility:visible;mso-wrap-style:square;v-text-anchor:top" coordsize="3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" path="m8,154c8,61,78,,181,v41,,85,9,125,37c326,50,334,61,334,76v,21,-16,47,-36,47c290,123,282,118,266,109,238,92,212,81,181,81v-55,,-86,29,-86,68c95,251,345,229,345,411v,103,-78,163,-180,163c110,574,60,556,29,532,11,517,,504,,489,,467,19,442,39,442v9,,17,6,33,17c99,478,127,493,165,493v55,,94,-30,94,-77c259,302,8,327,8,154e" fillcolor="black" stroked="f">
                <v:path arrowok="t" o:connecttype="custom" o:connectlocs="2695,51506;60984,0;103101,12375;112535,25419;100405,41138;89623,36456;60984,27091;32008,49834;116241,137462;55594,191978;9771,177931;0,163549;13140,147830;24259,153516;55594,164887;87265,139134;2695,51506" o:connectangles="0,0,0,0,0,0,0,0,0,0,0,0,0,0,0,0,0"/>
              </v:shape>
              <v:shape id="Freeform 9" o:spid="_x0000_s1031" style="position:absolute;left:183975;top:3857;width:1685;height:1937;visibility:visible;mso-wrap-style:square;v-text-anchor:top" coordsize="5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" path="m252,495v97,,162,-79,162,-207c414,160,349,81,252,81,155,81,90,160,90,288v,128,65,207,162,207m252,c404,,504,112,504,288v,176,-100,288,-252,288c100,576,,464,,288,,112,100,,252,e" fillcolor="black" stroked="f">
                <v:path arrowok="t" o:connecttype="custom" o:connectlocs="84233,166429;138382,96832;84233,27234;30083,96832;84233,166429;84233,0;168465,96832;84233,193663;0,96832;84233,0" o:connectangles="0,0,0,0,0,0,0,0,0,0"/>
                <o:lock v:ext="edit" verticies="t"/>
              </v:shape>
              <v:shape id="Freeform 10" o:spid="_x0000_s1032" style="position:absolute;left:186309;top:3857;width:1448;height:1920;visibility:visible;mso-wrap-style:square;v-text-anchor:top" coordsize="4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" path="m270,359v-23,,-35,-13,-35,-42c235,289,247,276,270,276v117,,117,,117,c418,276,431,290,431,323v,164,,164,,164c431,516,423,531,391,546v-31,14,-82,25,-132,25c109,571,,470,,286,,103,108,,256,v50,,96,12,133,36c415,53,427,67,427,83v,20,-19,45,-39,45c377,128,368,119,350,108,324,92,292,82,256,82,156,82,90,154,90,283v,133,70,207,172,207c293,490,324,483,345,475v,-116,,-116,,-116l270,359xe" fillcolor="black" stroked="f">
                <v:path arrowok="t" o:connecttype="custom" o:connectlocs="90760,120701;78995,106580;90760,92795;130089,92795;144880,108597;144880,163736;131434,183573;87062,191978;0,96157;86054,0;130762,12104;143535,27906;130426,43035;117652,36311;86054,27570;30253,95148;88071,164745;115971,159701;115971,120701;90760,120701" o:connectangles="0,0,0,0,0,0,0,0,0,0,0,0,0,0,0,0,0,0,0,0"/>
              </v:shape>
              <v:shape id="Freeform 11" o:spid="_x0000_s1033" style="position:absolute;left:175783;top:3905;width:1550;height:1886;visibility:visible;mso-wrap-style:square;v-text-anchor:top" coordsize="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" path="m453,506c292,49,292,49,292,49,280,12,267,,231,,195,,183,12,170,49,7,506,7,506,7,506,4,515,,528,,538v,15,10,26,40,26c70,564,81,553,88,531,229,116,229,116,229,116,368,531,368,531,368,531v7,21,17,33,50,33c450,564,460,553,460,538v,-10,-4,-23,-7,-32e" fillcolor="black" stroked="f">
                <v:path arrowok="t" o:connecttype="custom" o:connectlocs="152629,169214;98384,16386;77831,0;57278,16386;2359,169214;0,179915;13477,188610;29650,177574;77157,38792;123990,177574;140837,188610;154988,179915;152629,169214" o:connectangles="0,0,0,0,0,0,0,0,0,0,0,0,0"/>
              </v:shape>
              <v:rect id="Rectangle 268" o:spid="_x0000_s1034" style="position:absolute;left:119634;width:10906;height:10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" fillcolor="white [3212]" stroked="f" strokeweight="1pt"/>
            </v:group>
          </w:pict>
        </mc:Fallback>
      </mc:AlternateContent>
    </w:r>
    <w:r w:rsidR="0058142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50E5" w14:textId="2760B66D" w:rsidR="009B1DAD" w:rsidRDefault="009B1DAD" w:rsidP="00C51339">
    <w:pPr>
      <w:pStyle w:val="Header"/>
      <w:tabs>
        <w:tab w:val="clear" w:pos="4513"/>
        <w:tab w:val="clear" w:pos="9026"/>
        <w:tab w:val="left" w:pos="7967"/>
      </w:tabs>
    </w:pPr>
    <w:r>
      <w:rPr>
        <w:noProof/>
      </w:rPr>
      <mc:AlternateContent>
        <mc:Choice Requires="wpg">
          <w:drawing>
            <wp:anchor distT="0" distB="0" distL="114300" distR="114300" simplePos="0" relativeHeight="251667456" behindDoc="0" locked="0" layoutInCell="1" allowOverlap="1" wp14:anchorId="444333A9" wp14:editId="5DD1DA38">
              <wp:simplePos x="0" y="0"/>
              <wp:positionH relativeFrom="column">
                <wp:posOffset>-9596120</wp:posOffset>
              </wp:positionH>
              <wp:positionV relativeFrom="paragraph">
                <wp:posOffset>-111125</wp:posOffset>
              </wp:positionV>
              <wp:extent cx="18777584" cy="419100"/>
              <wp:effectExtent l="19050" t="0" r="25400" b="38100"/>
              <wp:wrapNone/>
              <wp:docPr id="14" name="Group 14"/>
              <wp:cNvGraphicFramePr/>
              <a:graphic xmlns:a="http://schemas.openxmlformats.org/drawingml/2006/main">
                <a:graphicData uri="http://schemas.microsoft.com/office/word/2010/wordprocessingGroup">
                  <wpg:wgp>
                    <wpg:cNvGrpSpPr/>
                    <wpg:grpSpPr>
                      <a:xfrm>
                        <a:off x="0" y="0"/>
                        <a:ext cx="18777584" cy="419100"/>
                        <a:chOff x="0" y="0"/>
                        <a:chExt cx="18777584" cy="419100"/>
                      </a:xfrm>
                    </wpg:grpSpPr>
                    <wps:wsp>
                      <wps:cNvPr id="6" name="Line 5"/>
                      <wps:cNvCnPr/>
                      <wps:spPr bwMode="auto">
                        <a:xfrm flipH="1">
                          <a:off x="0" y="419100"/>
                          <a:ext cx="18777584"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 name="Freeform 6"/>
                      <wps:cNvSpPr>
                        <a:spLocks/>
                      </wps:cNvSpPr>
                      <wps:spPr bwMode="auto">
                        <a:xfrm>
                          <a:off x="17811751" y="4762"/>
                          <a:ext cx="144880" cy="18861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7"/>
                      <wps:cNvSpPr>
                        <a:spLocks/>
                      </wps:cNvSpPr>
                      <wps:spPr bwMode="auto">
                        <a:xfrm>
                          <a:off x="18021301" y="4762"/>
                          <a:ext cx="124664" cy="186927"/>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8"/>
                      <wps:cNvSpPr>
                        <a:spLocks/>
                      </wps:cNvSpPr>
                      <wps:spPr bwMode="auto">
                        <a:xfrm>
                          <a:off x="18211801" y="0"/>
                          <a:ext cx="116241" cy="191978"/>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9"/>
                      <wps:cNvSpPr>
                        <a:spLocks noEditPoints="1"/>
                      </wps:cNvSpPr>
                      <wps:spPr bwMode="auto">
                        <a:xfrm>
                          <a:off x="18397538" y="0"/>
                          <a:ext cx="168465" cy="1936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
                      <wps:cNvSpPr>
                        <a:spLocks/>
                      </wps:cNvSpPr>
                      <wps:spPr bwMode="auto">
                        <a:xfrm>
                          <a:off x="18630901" y="0"/>
                          <a:ext cx="144880" cy="191978"/>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wps:cNvSpPr>
                      <wps:spPr bwMode="auto">
                        <a:xfrm>
                          <a:off x="17578388" y="4762"/>
                          <a:ext cx="154988" cy="18861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18351011" id="Group 14" o:spid="_x0000_s1026" style="position:absolute;margin-left:-755.6pt;margin-top:-8.75pt;width:1478.55pt;height:33pt;z-index:251667456" coordsize="18777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">
              <v:line id="Line 5" o:spid="_x0000_s1027" style="position:absolute;flip:x;visibility:visible;mso-wrap-style:square" from="0,4191" to="187775,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" strokeweight="4pt">
                <v:stroke joinstyle="miter"/>
              </v:line>
              <v:shape id="Freeform 6" o:spid="_x0000_s1028" style="position:absolute;left:178117;top:47;width:1449;height:1886;visibility:visible;mso-wrap-style:square;v-text-anchor:top" coordsize="43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" path="m83,527v,24,-13,37,-41,37c14,564,,551,,527,,51,,51,,51,,17,20,,57,v42,,61,20,75,46c346,429,346,429,346,429v,-391,,-391,,-391c346,13,361,,389,v28,,41,13,41,38c430,514,430,514,430,514v,34,-18,50,-52,50c342,564,323,546,308,517,83,126,83,126,83,126r,401xe" fillcolor="black" stroked="f">
                <v:path arrowok="t" o:connecttype="custom" o:connectlocs="27965,176237;14151,188610;0,176237;0,17055;19205,0;44475,15383;116578,143464;116578,12708;131066,0;144880,12708;144880,171889;127360,188610;103775,172893;27965,42136;27965,176237" o:connectangles="0,0,0,0,0,0,0,0,0,0,0,0,0,0,0"/>
              </v:shape>
              <v:shape id="Freeform 7" o:spid="_x0000_s1029" style="position:absolute;left:180213;top:47;width:1246;height:1869;visibility:visible;mso-wrap-style:square;v-text-anchor:top" coordsize="3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" path="m333,472v23,,35,14,35,41c368,542,356,555,333,555v-293,,-293,,-293,c13,555,,542,,517,,494,10,477,23,455,255,83,255,83,255,83,39,83,39,83,39,83,16,83,4,69,4,41,4,13,16,,39,,322,,322,,322,v27,,40,13,40,38c362,61,352,78,339,100,106,472,106,472,106,472r227,xe" fillcolor="black" stroked="f">
                <v:path arrowok="t" o:connecttype="custom" o:connectlocs="112807,158972;124664,172781;112807,186927;13550,186927;0,174128;7792,153246;86384,27955;13212,27955;1355,13809;13212,0;109081,0;122631,12799;114840,33681;35909,158972;112807,158972" o:connectangles="0,0,0,0,0,0,0,0,0,0,0,0,0,0,0"/>
              </v:shape>
              <v:shape id="Freeform 8" o:spid="_x0000_s1030" style="position:absolute;left:182118;width:1162;height:1919;visibility:visible;mso-wrap-style:square;v-text-anchor:top" coordsize="3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" path="m8,154c8,61,78,,181,v41,,85,9,125,37c326,50,334,61,334,76v,21,-16,47,-36,47c290,123,282,118,266,109,238,92,212,81,181,81v-55,,-86,29,-86,68c95,251,345,229,345,411v,103,-78,163,-180,163c110,574,60,556,29,532,11,517,,504,,489,,467,19,442,39,442v9,,17,6,33,17c99,478,127,493,165,493v55,,94,-30,94,-77c259,302,8,327,8,154e" fillcolor="black" stroked="f">
                <v:path arrowok="t" o:connecttype="custom" o:connectlocs="2695,51506;60984,0;103101,12375;112535,25419;100405,41138;89623,36456;60984,27091;32008,49834;116241,137462;55594,191978;9771,177931;0,163549;13140,147830;24259,153516;55594,164887;87265,139134;2695,51506" o:connectangles="0,0,0,0,0,0,0,0,0,0,0,0,0,0,0,0,0"/>
              </v:shape>
              <v:shape id="Freeform 9" o:spid="_x0000_s1031" style="position:absolute;left:183975;width:1685;height:1936;visibility:visible;mso-wrap-style:square;v-text-anchor:top" coordsize="5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" path="m252,495v97,,162,-79,162,-207c414,160,349,81,252,81,155,81,90,160,90,288v,128,65,207,162,207m252,c404,,504,112,504,288v,176,-100,288,-252,288c100,576,,464,,288,,112,100,,252,e" fillcolor="black" stroked="f">
                <v:path arrowok="t" o:connecttype="custom" o:connectlocs="84233,166429;138382,96832;84233,27234;30083,96832;84233,166429;84233,0;168465,96832;84233,193663;0,96832;84233,0" o:connectangles="0,0,0,0,0,0,0,0,0,0"/>
                <o:lock v:ext="edit" verticies="t"/>
              </v:shape>
              <v:shape id="Freeform 10" o:spid="_x0000_s1032" style="position:absolute;left:186309;width:1448;height:1919;visibility:visible;mso-wrap-style:square;v-text-anchor:top" coordsize="4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" path="m270,359v-23,,-35,-13,-35,-42c235,289,247,276,270,276v117,,117,,117,c418,276,431,290,431,323v,164,,164,,164c431,516,423,531,391,546v-31,14,-82,25,-132,25c109,571,,470,,286,,103,108,,256,v50,,96,12,133,36c415,53,427,67,427,83v,20,-19,45,-39,45c377,128,368,119,350,108,324,92,292,82,256,82,156,82,90,154,90,283v,133,70,207,172,207c293,490,324,483,345,475v,-116,,-116,,-116l270,359xe" fillcolor="black" stroked="f">
                <v:path arrowok="t" o:connecttype="custom" o:connectlocs="90760,120701;78995,106580;90760,92795;130089,92795;144880,108597;144880,163736;131434,183573;87062,191978;0,96157;86054,0;130762,12104;143535,27906;130426,43035;117652,36311;86054,27570;30253,95148;88071,164745;115971,159701;115971,120701;90760,120701" o:connectangles="0,0,0,0,0,0,0,0,0,0,0,0,0,0,0,0,0,0,0,0"/>
              </v:shape>
              <v:shape id="Freeform 11" o:spid="_x0000_s1033" style="position:absolute;left:175783;top:47;width:1550;height:1886;visibility:visible;mso-wrap-style:square;v-text-anchor:top" coordsize="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" path="m453,506c292,49,292,49,292,49,280,12,267,,231,,195,,183,12,170,49,7,506,7,506,7,506,4,515,,528,,538v,15,10,26,40,26c70,564,81,553,88,531,229,116,229,116,229,116,368,531,368,531,368,531v7,21,17,33,50,33c450,564,460,553,460,538v,-10,-4,-23,-7,-32e" fillcolor="black" stroked="f">
                <v:path arrowok="t" o:connecttype="custom" o:connectlocs="152629,169214;98384,16386;77831,0;57278,16386;2359,169214;0,179915;13477,188610;29650,177574;77157,38792;123990,177574;140837,188610;154988,179915;152629,169214" o:connectangles="0,0,0,0,0,0,0,0,0,0,0,0,0"/>
              </v:shape>
            </v:group>
          </w:pict>
        </mc:Fallback>
      </mc:AlternateContent>
    </w:r>
    <w:r>
      <w:rPr>
        <w:noProof/>
      </w:rPr>
      <mc:AlternateContent>
        <mc:Choice Requires="wps">
          <w:drawing>
            <wp:anchor distT="0" distB="0" distL="114300" distR="114300" simplePos="0" relativeHeight="251668480" behindDoc="0" locked="0" layoutInCell="1" allowOverlap="1" wp14:anchorId="74F56151" wp14:editId="08AF92C1">
              <wp:simplePos x="0" y="0"/>
              <wp:positionH relativeFrom="column">
                <wp:posOffset>-1100138</wp:posOffset>
              </wp:positionH>
              <wp:positionV relativeFrom="paragraph">
                <wp:posOffset>-507683</wp:posOffset>
              </wp:positionV>
              <wp:extent cx="1090613" cy="1083310"/>
              <wp:effectExtent l="0" t="0" r="0" b="2540"/>
              <wp:wrapNone/>
              <wp:docPr id="4" name="Rectangle 4"/>
              <wp:cNvGraphicFramePr/>
              <a:graphic xmlns:a="http://schemas.openxmlformats.org/drawingml/2006/main">
                <a:graphicData uri="http://schemas.microsoft.com/office/word/2010/wordprocessingShape">
                  <wps:wsp>
                    <wps:cNvSpPr/>
                    <wps:spPr>
                      <a:xfrm>
                        <a:off x="0" y="0"/>
                        <a:ext cx="1090613" cy="108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123C7" id="Rectangle 4" o:spid="_x0000_s1026" style="position:absolute;margin-left:-86.65pt;margin-top:-40pt;width:85.9pt;height:85.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" fillcolor="white [3212]" stroked="f" strokeweight="1pt"/>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13E1FD" w14:paraId="5E08398D" w14:textId="77777777" w:rsidTr="6713E1FD">
      <w:tc>
        <w:tcPr>
          <w:tcW w:w="3005" w:type="dxa"/>
        </w:tcPr>
        <w:p w14:paraId="7AFCE060" w14:textId="6EC49794" w:rsidR="6713E1FD" w:rsidRDefault="6713E1FD" w:rsidP="6713E1FD">
          <w:pPr>
            <w:pStyle w:val="Header"/>
            <w:ind w:left="-115"/>
            <w:jc w:val="left"/>
          </w:pPr>
        </w:p>
      </w:tc>
      <w:tc>
        <w:tcPr>
          <w:tcW w:w="3005" w:type="dxa"/>
        </w:tcPr>
        <w:p w14:paraId="2086DB67" w14:textId="508E2A11" w:rsidR="6713E1FD" w:rsidRDefault="6713E1FD" w:rsidP="6713E1FD">
          <w:pPr>
            <w:pStyle w:val="Header"/>
            <w:jc w:val="center"/>
          </w:pPr>
        </w:p>
      </w:tc>
      <w:tc>
        <w:tcPr>
          <w:tcW w:w="3005" w:type="dxa"/>
        </w:tcPr>
        <w:p w14:paraId="68821688" w14:textId="30472AA8" w:rsidR="6713E1FD" w:rsidRDefault="6713E1FD" w:rsidP="6713E1FD">
          <w:pPr>
            <w:pStyle w:val="Header"/>
            <w:ind w:right="-115"/>
            <w:jc w:val="right"/>
          </w:pPr>
        </w:p>
      </w:tc>
    </w:tr>
  </w:tbl>
  <w:p w14:paraId="18C4F17B" w14:textId="78F0C04A" w:rsidR="000A516C" w:rsidRDefault="009B1DAD">
    <w:pPr>
      <w:pStyle w:val="Header"/>
    </w:pPr>
    <w:r>
      <w:rPr>
        <w:noProof/>
      </w:rPr>
      <mc:AlternateContent>
        <mc:Choice Requires="wpg">
          <w:drawing>
            <wp:anchor distT="0" distB="0" distL="114300" distR="114300" simplePos="0" relativeHeight="251670528" behindDoc="0" locked="0" layoutInCell="1" allowOverlap="1" wp14:anchorId="1A226C36" wp14:editId="5389B61C">
              <wp:simplePos x="0" y="0"/>
              <wp:positionH relativeFrom="column">
                <wp:posOffset>-13046710</wp:posOffset>
              </wp:positionH>
              <wp:positionV relativeFrom="paragraph">
                <wp:posOffset>-761683</wp:posOffset>
              </wp:positionV>
              <wp:extent cx="18777584" cy="1083310"/>
              <wp:effectExtent l="19050" t="0" r="25400" b="2540"/>
              <wp:wrapNone/>
              <wp:docPr id="16" name="Group 16"/>
              <wp:cNvGraphicFramePr/>
              <a:graphic xmlns:a="http://schemas.openxmlformats.org/drawingml/2006/main">
                <a:graphicData uri="http://schemas.microsoft.com/office/word/2010/wordprocessingGroup">
                  <wpg:wgp>
                    <wpg:cNvGrpSpPr/>
                    <wpg:grpSpPr>
                      <a:xfrm>
                        <a:off x="0" y="0"/>
                        <a:ext cx="18777584" cy="1083310"/>
                        <a:chOff x="0" y="0"/>
                        <a:chExt cx="18777584" cy="1083310"/>
                      </a:xfrm>
                    </wpg:grpSpPr>
                    <wps:wsp>
                      <wps:cNvPr id="17" name="Line 5"/>
                      <wps:cNvCnPr/>
                      <wps:spPr bwMode="auto">
                        <a:xfrm flipH="1">
                          <a:off x="0" y="804863"/>
                          <a:ext cx="18777584"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8" name="Freeform 6"/>
                      <wps:cNvSpPr>
                        <a:spLocks/>
                      </wps:cNvSpPr>
                      <wps:spPr bwMode="auto">
                        <a:xfrm>
                          <a:off x="17811751" y="390526"/>
                          <a:ext cx="144880" cy="18861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7"/>
                      <wps:cNvSpPr>
                        <a:spLocks/>
                      </wps:cNvSpPr>
                      <wps:spPr bwMode="auto">
                        <a:xfrm>
                          <a:off x="18021301" y="390526"/>
                          <a:ext cx="124664" cy="186927"/>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8"/>
                      <wps:cNvSpPr>
                        <a:spLocks/>
                      </wps:cNvSpPr>
                      <wps:spPr bwMode="auto">
                        <a:xfrm>
                          <a:off x="18211801" y="385763"/>
                          <a:ext cx="116241" cy="191978"/>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9"/>
                      <wps:cNvSpPr>
                        <a:spLocks noEditPoints="1"/>
                      </wps:cNvSpPr>
                      <wps:spPr bwMode="auto">
                        <a:xfrm>
                          <a:off x="18397538" y="385763"/>
                          <a:ext cx="168465" cy="1936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0"/>
                      <wps:cNvSpPr>
                        <a:spLocks/>
                      </wps:cNvSpPr>
                      <wps:spPr bwMode="auto">
                        <a:xfrm>
                          <a:off x="18630901" y="385763"/>
                          <a:ext cx="144880" cy="191978"/>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1"/>
                      <wps:cNvSpPr>
                        <a:spLocks/>
                      </wps:cNvSpPr>
                      <wps:spPr bwMode="auto">
                        <a:xfrm>
                          <a:off x="17578388" y="390526"/>
                          <a:ext cx="154988" cy="18861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Rectangle 24"/>
                      <wps:cNvSpPr/>
                      <wps:spPr>
                        <a:xfrm>
                          <a:off x="11963400" y="0"/>
                          <a:ext cx="1090613" cy="108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CD1774" id="Group 16" o:spid="_x0000_s1026" style="position:absolute;margin-left:-1027.3pt;margin-top:-60pt;width:1478.55pt;height:85.3pt;z-index:251670528" coordsize="187775,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">
              <v:line id="Line 5" o:spid="_x0000_s1027" style="position:absolute;flip:x;visibility:visible;mso-wrap-style:square" from="0,8048" to="187775,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" strokeweight="4pt">
                <v:stroke joinstyle="miter"/>
              </v:line>
              <v:shape id="Freeform 6" o:spid="_x0000_s1028" style="position:absolute;left:178117;top:3905;width:1449;height:1886;visibility:visible;mso-wrap-style:square;v-text-anchor:top" coordsize="43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" path="m83,527v,24,-13,37,-41,37c14,564,,551,,527,,51,,51,,51,,17,20,,57,v42,,61,20,75,46c346,429,346,429,346,429v,-391,,-391,,-391c346,13,361,,389,v28,,41,13,41,38c430,514,430,514,430,514v,34,-18,50,-52,50c342,564,323,546,308,517,83,126,83,126,83,126r,401xe" fillcolor="black" stroked="f">
                <v:path arrowok="t" o:connecttype="custom" o:connectlocs="27965,176237;14151,188610;0,176237;0,17055;19205,0;44475,15383;116578,143464;116578,12708;131066,0;144880,12708;144880,171889;127360,188610;103775,172893;27965,42136;27965,176237" o:connectangles="0,0,0,0,0,0,0,0,0,0,0,0,0,0,0"/>
              </v:shape>
              <v:shape id="Freeform 7" o:spid="_x0000_s1029" style="position:absolute;left:180213;top:3905;width:1246;height:1869;visibility:visible;mso-wrap-style:square;v-text-anchor:top" coordsize="3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" path="m333,472v23,,35,14,35,41c368,542,356,555,333,555v-293,,-293,,-293,c13,555,,542,,517,,494,10,477,23,455,255,83,255,83,255,83,39,83,39,83,39,83,16,83,4,69,4,41,4,13,16,,39,,322,,322,,322,v27,,40,13,40,38c362,61,352,78,339,100,106,472,106,472,106,472r227,xe" fillcolor="black" stroked="f">
                <v:path arrowok="t" o:connecttype="custom" o:connectlocs="112807,158972;124664,172781;112807,186927;13550,186927;0,174128;7792,153246;86384,27955;13212,27955;1355,13809;13212,0;109081,0;122631,12799;114840,33681;35909,158972;112807,158972" o:connectangles="0,0,0,0,0,0,0,0,0,0,0,0,0,0,0"/>
              </v:shape>
              <v:shape id="Freeform 8" o:spid="_x0000_s1030" style="position:absolute;left:182118;top:3857;width:1162;height:1920;visibility:visible;mso-wrap-style:square;v-text-anchor:top" coordsize="3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" path="m8,154c8,61,78,,181,v41,,85,9,125,37c326,50,334,61,334,76v,21,-16,47,-36,47c290,123,282,118,266,109,238,92,212,81,181,81v-55,,-86,29,-86,68c95,251,345,229,345,411v,103,-78,163,-180,163c110,574,60,556,29,532,11,517,,504,,489,,467,19,442,39,442v9,,17,6,33,17c99,478,127,493,165,493v55,,94,-30,94,-77c259,302,8,327,8,154e" fillcolor="black" stroked="f">
                <v:path arrowok="t" o:connecttype="custom" o:connectlocs="2695,51506;60984,0;103101,12375;112535,25419;100405,41138;89623,36456;60984,27091;32008,49834;116241,137462;55594,191978;9771,177931;0,163549;13140,147830;24259,153516;55594,164887;87265,139134;2695,51506" o:connectangles="0,0,0,0,0,0,0,0,0,0,0,0,0,0,0,0,0"/>
              </v:shape>
              <v:shape id="Freeform 9" o:spid="_x0000_s1031" style="position:absolute;left:183975;top:3857;width:1685;height:1937;visibility:visible;mso-wrap-style:square;v-text-anchor:top" coordsize="5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" path="m252,495v97,,162,-79,162,-207c414,160,349,81,252,81,155,81,90,160,90,288v,128,65,207,162,207m252,c404,,504,112,504,288v,176,-100,288,-252,288c100,576,,464,,288,,112,100,,252,e" fillcolor="black" stroked="f">
                <v:path arrowok="t" o:connecttype="custom" o:connectlocs="84233,166429;138382,96832;84233,27234;30083,96832;84233,166429;84233,0;168465,96832;84233,193663;0,96832;84233,0" o:connectangles="0,0,0,0,0,0,0,0,0,0"/>
                <o:lock v:ext="edit" verticies="t"/>
              </v:shape>
              <v:shape id="Freeform 10" o:spid="_x0000_s1032" style="position:absolute;left:186309;top:3857;width:1448;height:1920;visibility:visible;mso-wrap-style:square;v-text-anchor:top" coordsize="4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" path="m270,359v-23,,-35,-13,-35,-42c235,289,247,276,270,276v117,,117,,117,c418,276,431,290,431,323v,164,,164,,164c431,516,423,531,391,546v-31,14,-82,25,-132,25c109,571,,470,,286,,103,108,,256,v50,,96,12,133,36c415,53,427,67,427,83v,20,-19,45,-39,45c377,128,368,119,350,108,324,92,292,82,256,82,156,82,90,154,90,283v,133,70,207,172,207c293,490,324,483,345,475v,-116,,-116,,-116l270,359xe" fillcolor="black" stroked="f">
                <v:path arrowok="t" o:connecttype="custom" o:connectlocs="90760,120701;78995,106580;90760,92795;130089,92795;144880,108597;144880,163736;131434,183573;87062,191978;0,96157;86054,0;130762,12104;143535,27906;130426,43035;117652,36311;86054,27570;30253,95148;88071,164745;115971,159701;115971,120701;90760,120701" o:connectangles="0,0,0,0,0,0,0,0,0,0,0,0,0,0,0,0,0,0,0,0"/>
              </v:shape>
              <v:shape id="Freeform 11" o:spid="_x0000_s1033" style="position:absolute;left:175783;top:3905;width:1550;height:1886;visibility:visible;mso-wrap-style:square;v-text-anchor:top" coordsize="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" path="m453,506c292,49,292,49,292,49,280,12,267,,231,,195,,183,12,170,49,7,506,7,506,7,506,4,515,,528,,538v,15,10,26,40,26c70,564,81,553,88,531,229,116,229,116,229,116,368,531,368,531,368,531v7,21,17,33,50,33c450,564,460,553,460,538v,-10,-4,-23,-7,-32e" fillcolor="black" stroked="f">
                <v:path arrowok="t" o:connecttype="custom" o:connectlocs="152629,169214;98384,16386;77831,0;57278,16386;2359,169214;0,179915;13477,188610;29650,177574;77157,38792;123990,177574;140837,188610;154988,179915;152629,169214" o:connectangles="0,0,0,0,0,0,0,0,0,0,0,0,0"/>
              </v:shape>
              <v:rect id="Rectangle 24" o:spid="_x0000_s1034" style="position:absolute;left:119634;width:10906;height:10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" fillcolor="white [3212]" stroked="f" strokeweight="1pt"/>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713E1FD" w14:paraId="74F1AADD" w14:textId="77777777" w:rsidTr="6713E1FD">
      <w:tc>
        <w:tcPr>
          <w:tcW w:w="4650" w:type="dxa"/>
        </w:tcPr>
        <w:p w14:paraId="110E7E16" w14:textId="3EDF95FD" w:rsidR="6713E1FD" w:rsidRDefault="6713E1FD" w:rsidP="6713E1FD">
          <w:pPr>
            <w:pStyle w:val="Header"/>
            <w:ind w:left="-115"/>
            <w:jc w:val="left"/>
          </w:pPr>
        </w:p>
      </w:tc>
      <w:tc>
        <w:tcPr>
          <w:tcW w:w="4650" w:type="dxa"/>
        </w:tcPr>
        <w:p w14:paraId="09F83842" w14:textId="46BD4392" w:rsidR="6713E1FD" w:rsidRDefault="6713E1FD" w:rsidP="6713E1FD">
          <w:pPr>
            <w:pStyle w:val="Header"/>
            <w:jc w:val="center"/>
          </w:pPr>
        </w:p>
      </w:tc>
      <w:tc>
        <w:tcPr>
          <w:tcW w:w="4650" w:type="dxa"/>
        </w:tcPr>
        <w:p w14:paraId="2F04E48A" w14:textId="16A64491" w:rsidR="6713E1FD" w:rsidRDefault="6713E1FD" w:rsidP="6713E1FD">
          <w:pPr>
            <w:pStyle w:val="Header"/>
            <w:ind w:right="-115"/>
            <w:jc w:val="right"/>
          </w:pPr>
        </w:p>
      </w:tc>
    </w:tr>
  </w:tbl>
  <w:p w14:paraId="6B712096" w14:textId="03A133FD" w:rsidR="000A516C" w:rsidRDefault="009B1DAD">
    <w:pPr>
      <w:pStyle w:val="Header"/>
    </w:pPr>
    <w:r>
      <w:rPr>
        <w:noProof/>
      </w:rPr>
      <mc:AlternateContent>
        <mc:Choice Requires="wpg">
          <w:drawing>
            <wp:anchor distT="0" distB="0" distL="114300" distR="114300" simplePos="0" relativeHeight="251672576" behindDoc="0" locked="0" layoutInCell="1" allowOverlap="1" wp14:anchorId="68BD78B6" wp14:editId="16C93AE2">
              <wp:simplePos x="0" y="0"/>
              <wp:positionH relativeFrom="margin">
                <wp:posOffset>-9939338</wp:posOffset>
              </wp:positionH>
              <wp:positionV relativeFrom="paragraph">
                <wp:posOffset>-377507</wp:posOffset>
              </wp:positionV>
              <wp:extent cx="18777584" cy="1350010"/>
              <wp:effectExtent l="19050" t="0" r="25400" b="2540"/>
              <wp:wrapNone/>
              <wp:docPr id="25" name="Group 25"/>
              <wp:cNvGraphicFramePr/>
              <a:graphic xmlns:a="http://schemas.openxmlformats.org/drawingml/2006/main">
                <a:graphicData uri="http://schemas.microsoft.com/office/word/2010/wordprocessingGroup">
                  <wpg:wgp>
                    <wpg:cNvGrpSpPr/>
                    <wpg:grpSpPr>
                      <a:xfrm>
                        <a:off x="0" y="0"/>
                        <a:ext cx="18777584" cy="1350010"/>
                        <a:chOff x="0" y="385763"/>
                        <a:chExt cx="18777584" cy="1350010"/>
                      </a:xfrm>
                    </wpg:grpSpPr>
                    <wps:wsp>
                      <wps:cNvPr id="26" name="Line 5"/>
                      <wps:cNvCnPr/>
                      <wps:spPr bwMode="auto">
                        <a:xfrm flipH="1">
                          <a:off x="0" y="804863"/>
                          <a:ext cx="18777584"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7" name="Freeform 6"/>
                      <wps:cNvSpPr>
                        <a:spLocks/>
                      </wps:cNvSpPr>
                      <wps:spPr bwMode="auto">
                        <a:xfrm>
                          <a:off x="17811751" y="390526"/>
                          <a:ext cx="144880" cy="18861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7"/>
                      <wps:cNvSpPr>
                        <a:spLocks/>
                      </wps:cNvSpPr>
                      <wps:spPr bwMode="auto">
                        <a:xfrm>
                          <a:off x="18021301" y="390526"/>
                          <a:ext cx="124664" cy="186927"/>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8"/>
                      <wps:cNvSpPr>
                        <a:spLocks/>
                      </wps:cNvSpPr>
                      <wps:spPr bwMode="auto">
                        <a:xfrm>
                          <a:off x="18211801" y="385763"/>
                          <a:ext cx="116241" cy="191978"/>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9"/>
                      <wps:cNvSpPr>
                        <a:spLocks noEditPoints="1"/>
                      </wps:cNvSpPr>
                      <wps:spPr bwMode="auto">
                        <a:xfrm>
                          <a:off x="18397538" y="385763"/>
                          <a:ext cx="168465" cy="1936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10"/>
                      <wps:cNvSpPr>
                        <a:spLocks/>
                      </wps:cNvSpPr>
                      <wps:spPr bwMode="auto">
                        <a:xfrm>
                          <a:off x="18630901" y="385763"/>
                          <a:ext cx="144880" cy="191978"/>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11"/>
                      <wps:cNvSpPr>
                        <a:spLocks/>
                      </wps:cNvSpPr>
                      <wps:spPr bwMode="auto">
                        <a:xfrm>
                          <a:off x="17578388" y="390526"/>
                          <a:ext cx="154988" cy="18861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Rectangle 35"/>
                      <wps:cNvSpPr/>
                      <wps:spPr>
                        <a:xfrm>
                          <a:off x="8824912" y="652463"/>
                          <a:ext cx="1090613" cy="108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327B8D" id="Group 25" o:spid="_x0000_s1026" style="position:absolute;margin-left:-782.65pt;margin-top:-29.7pt;width:1478.55pt;height:106.3pt;z-index:251672576;mso-position-horizontal-relative:margin;mso-height-relative:margin" coordorigin=",3857" coordsize="187775,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">
              <v:line id="Line 5" o:spid="_x0000_s1027" style="position:absolute;flip:x;visibility:visible;mso-wrap-style:square" from="0,8048" to="187775,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" strokeweight="4pt">
                <v:stroke joinstyle="miter"/>
              </v:line>
              <v:shape id="Freeform 6" o:spid="_x0000_s1028" style="position:absolute;left:178117;top:3905;width:1449;height:1886;visibility:visible;mso-wrap-style:square;v-text-anchor:top" coordsize="43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" path="m83,527v,24,-13,37,-41,37c14,564,,551,,527,,51,,51,,51,,17,20,,57,v42,,61,20,75,46c346,429,346,429,346,429v,-391,,-391,,-391c346,13,361,,389,v28,,41,13,41,38c430,514,430,514,430,514v,34,-18,50,-52,50c342,564,323,546,308,517,83,126,83,126,83,126r,401xe" fillcolor="black" stroked="f">
                <v:path arrowok="t" o:connecttype="custom" o:connectlocs="27965,176237;14151,188610;0,176237;0,17055;19205,0;44475,15383;116578,143464;116578,12708;131066,0;144880,12708;144880,171889;127360,188610;103775,172893;27965,42136;27965,176237" o:connectangles="0,0,0,0,0,0,0,0,0,0,0,0,0,0,0"/>
              </v:shape>
              <v:shape id="Freeform 7" o:spid="_x0000_s1029" style="position:absolute;left:180213;top:3905;width:1246;height:1869;visibility:visible;mso-wrap-style:square;v-text-anchor:top" coordsize="3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" path="m333,472v23,,35,14,35,41c368,542,356,555,333,555v-293,,-293,,-293,c13,555,,542,,517,,494,10,477,23,455,255,83,255,83,255,83,39,83,39,83,39,83,16,83,4,69,4,41,4,13,16,,39,,322,,322,,322,v27,,40,13,40,38c362,61,352,78,339,100,106,472,106,472,106,472r227,xe" fillcolor="black" stroked="f">
                <v:path arrowok="t" o:connecttype="custom" o:connectlocs="112807,158972;124664,172781;112807,186927;13550,186927;0,174128;7792,153246;86384,27955;13212,27955;1355,13809;13212,0;109081,0;122631,12799;114840,33681;35909,158972;112807,158972" o:connectangles="0,0,0,0,0,0,0,0,0,0,0,0,0,0,0"/>
              </v:shape>
              <v:shape id="Freeform 8" o:spid="_x0000_s1030" style="position:absolute;left:182118;top:3857;width:1162;height:1920;visibility:visible;mso-wrap-style:square;v-text-anchor:top" coordsize="34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" path="m8,154c8,61,78,,181,v41,,85,9,125,37c326,50,334,61,334,76v,21,-16,47,-36,47c290,123,282,118,266,109,238,92,212,81,181,81v-55,,-86,29,-86,68c95,251,345,229,345,411v,103,-78,163,-180,163c110,574,60,556,29,532,11,517,,504,,489,,467,19,442,39,442v9,,17,6,33,17c99,478,127,493,165,493v55,,94,-30,94,-77c259,302,8,327,8,154e" fillcolor="black" stroked="f">
                <v:path arrowok="t" o:connecttype="custom" o:connectlocs="2695,51506;60984,0;103101,12375;112535,25419;100405,41138;89623,36456;60984,27091;32008,49834;116241,137462;55594,191978;9771,177931;0,163549;13140,147830;24259,153516;55594,164887;87265,139134;2695,51506" o:connectangles="0,0,0,0,0,0,0,0,0,0,0,0,0,0,0,0,0"/>
              </v:shape>
              <v:shape id="Freeform 9" o:spid="_x0000_s1031" style="position:absolute;left:183975;top:3857;width:1685;height:1937;visibility:visible;mso-wrap-style:square;v-text-anchor:top" coordsize="5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" path="m252,495v97,,162,-79,162,-207c414,160,349,81,252,81,155,81,90,160,90,288v,128,65,207,162,207m252,c404,,504,112,504,288v,176,-100,288,-252,288c100,576,,464,,288,,112,100,,252,e" fillcolor="black" stroked="f">
                <v:path arrowok="t" o:connecttype="custom" o:connectlocs="84233,166429;138382,96832;84233,27234;30083,96832;84233,166429;84233,0;168465,96832;84233,193663;0,96832;84233,0" o:connectangles="0,0,0,0,0,0,0,0,0,0"/>
                <o:lock v:ext="edit" verticies="t"/>
              </v:shape>
              <v:shape id="Freeform 10" o:spid="_x0000_s1032" style="position:absolute;left:186309;top:3857;width:1448;height:1920;visibility:visible;mso-wrap-style:square;v-text-anchor:top" coordsize="4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" path="m270,359v-23,,-35,-13,-35,-42c235,289,247,276,270,276v117,,117,,117,c418,276,431,290,431,323v,164,,164,,164c431,516,423,531,391,546v-31,14,-82,25,-132,25c109,571,,470,,286,,103,108,,256,v50,,96,12,133,36c415,53,427,67,427,83v,20,-19,45,-39,45c377,128,368,119,350,108,324,92,292,82,256,82,156,82,90,154,90,283v,133,70,207,172,207c293,490,324,483,345,475v,-116,,-116,,-116l270,359xe" fillcolor="black" stroked="f">
                <v:path arrowok="t" o:connecttype="custom" o:connectlocs="90760,120701;78995,106580;90760,92795;130089,92795;144880,108597;144880,163736;131434,183573;87062,191978;0,96157;86054,0;130762,12104;143535,27906;130426,43035;117652,36311;86054,27570;30253,95148;88071,164745;115971,159701;115971,120701;90760,120701" o:connectangles="0,0,0,0,0,0,0,0,0,0,0,0,0,0,0,0,0,0,0,0"/>
              </v:shape>
              <v:shape id="Freeform 11" o:spid="_x0000_s1033" style="position:absolute;left:175783;top:3905;width:1550;height:1886;visibility:visible;mso-wrap-style:square;v-text-anchor:top" coordsize="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" path="m453,506c292,49,292,49,292,49,280,12,267,,231,,195,,183,12,170,49,7,506,7,506,7,506,4,515,,528,,538v,15,10,26,40,26c70,564,81,553,88,531,229,116,229,116,229,116,368,531,368,531,368,531v7,21,17,33,50,33c450,564,460,553,460,538v,-10,-4,-23,-7,-32e" fillcolor="black" stroked="f">
                <v:path arrowok="t" o:connecttype="custom" o:connectlocs="152629,169214;98384,16386;77831,0;57278,16386;2359,169214;0,179915;13477,188610;29650,177574;77157,38792;123990,177574;140837,188610;154988,179915;152629,169214" o:connectangles="0,0,0,0,0,0,0,0,0,0,0,0,0"/>
              </v:shape>
              <v:rect id="Rectangle 35" o:spid="_x0000_s1034" style="position:absolute;left:88249;top:6524;width:10906;height:10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" fillcolor="white [3212]"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F5"/>
    <w:multiLevelType w:val="hybridMultilevel"/>
    <w:tmpl w:val="E9AC17A4"/>
    <w:lvl w:ilvl="0" w:tplc="BE24F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20B6"/>
    <w:multiLevelType w:val="hybridMultilevel"/>
    <w:tmpl w:val="686EAFC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2"/>
      <w:numFmt w:val="bullet"/>
      <w:lvlText w:val="-"/>
      <w:lvlJc w:val="left"/>
      <w:pPr>
        <w:ind w:left="2520" w:hanging="360"/>
      </w:pPr>
      <w:rPr>
        <w:rFonts w:ascii="Calibri" w:eastAsiaTheme="minorHAnsi" w:hAnsi="Calibri" w:cs="Calibri" w:hint="default"/>
      </w:rPr>
    </w:lvl>
    <w:lvl w:ilvl="4" w:tplc="248C6A64">
      <w:start w:val="2"/>
      <w:numFmt w:val="bullet"/>
      <w:lvlText w:val="-"/>
      <w:lvlJc w:val="left"/>
      <w:pPr>
        <w:ind w:left="3240" w:hanging="360"/>
      </w:pPr>
      <w:rPr>
        <w:rFonts w:ascii="Calibri" w:eastAsiaTheme="minorHAnsi" w:hAnsi="Calibri" w:cs="Calibri"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7446B5B"/>
    <w:multiLevelType w:val="hybridMultilevel"/>
    <w:tmpl w:val="6D8631D4"/>
    <w:lvl w:ilvl="0" w:tplc="BB3C746E">
      <w:start w:val="1"/>
      <w:numFmt w:val="bullet"/>
      <w:lvlText w:val="o"/>
      <w:lvlJc w:val="left"/>
      <w:pPr>
        <w:ind w:left="360" w:hanging="360"/>
      </w:pPr>
      <w:rPr>
        <w:rFonts w:ascii="Courier New" w:hAnsi="Courier New" w:cs="Courier New" w:hint="default"/>
        <w:sz w:val="16"/>
        <w:szCs w:val="16"/>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80877AD"/>
    <w:multiLevelType w:val="hybridMultilevel"/>
    <w:tmpl w:val="EEA61A1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248C6A64">
      <w:start w:val="2"/>
      <w:numFmt w:val="bullet"/>
      <w:lvlText w:val="-"/>
      <w:lvlJc w:val="left"/>
      <w:pPr>
        <w:ind w:left="2520" w:hanging="360"/>
      </w:pPr>
      <w:rPr>
        <w:rFonts w:ascii="Calibri" w:eastAsiaTheme="minorHAnsi" w:hAnsi="Calibri" w:cs="Calibri"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C987CFC"/>
    <w:multiLevelType w:val="hybridMultilevel"/>
    <w:tmpl w:val="6A42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567D4"/>
    <w:multiLevelType w:val="hybridMultilevel"/>
    <w:tmpl w:val="B8E26416"/>
    <w:lvl w:ilvl="0" w:tplc="08090005">
      <w:start w:val="1"/>
      <w:numFmt w:val="bullet"/>
      <w:lvlText w:val=""/>
      <w:lvlJc w:val="left"/>
      <w:pPr>
        <w:ind w:left="360" w:hanging="360"/>
      </w:pPr>
      <w:rPr>
        <w:rFonts w:ascii="Wingdings" w:hAnsi="Wingdings" w:hint="default"/>
      </w:rPr>
    </w:lvl>
    <w:lvl w:ilvl="1" w:tplc="3292982A">
      <w:numFmt w:val="bullet"/>
      <w:lvlText w:val="–"/>
      <w:lvlJc w:val="left"/>
      <w:pPr>
        <w:ind w:left="501"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D1541"/>
    <w:multiLevelType w:val="hybridMultilevel"/>
    <w:tmpl w:val="4A68C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D8591C"/>
    <w:multiLevelType w:val="multilevel"/>
    <w:tmpl w:val="DD8AA86E"/>
    <w:lvl w:ilvl="0">
      <w:start w:val="1"/>
      <w:numFmt w:val="decimal"/>
      <w:lvlText w:val="%1."/>
      <w:lvlJc w:val="left"/>
      <w:pPr>
        <w:ind w:left="360" w:hanging="360"/>
      </w:pPr>
      <w:rPr>
        <w:rFonts w:asciiTheme="minorHAnsi" w:hAnsiTheme="minorHAnsi" w:cstheme="minorHAnsi" w:hint="default"/>
        <w:b w:val="0"/>
        <w:bCs/>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3312E4"/>
    <w:multiLevelType w:val="multilevel"/>
    <w:tmpl w:val="0D805D5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09497130">
    <w:abstractNumId w:val="2"/>
  </w:num>
  <w:num w:numId="2" w16cid:durableId="2105877066">
    <w:abstractNumId w:val="7"/>
  </w:num>
  <w:num w:numId="3" w16cid:durableId="831260082">
    <w:abstractNumId w:val="6"/>
  </w:num>
  <w:num w:numId="4" w16cid:durableId="223948873">
    <w:abstractNumId w:val="3"/>
  </w:num>
  <w:num w:numId="5" w16cid:durableId="1824882103">
    <w:abstractNumId w:val="1"/>
  </w:num>
  <w:num w:numId="6" w16cid:durableId="1368724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432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114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1753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7841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4758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1289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8968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9720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32786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167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991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7443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9693895">
    <w:abstractNumId w:val="8"/>
  </w:num>
  <w:num w:numId="20" w16cid:durableId="1157184061">
    <w:abstractNumId w:val="4"/>
  </w:num>
  <w:num w:numId="21" w16cid:durableId="1223754888">
    <w:abstractNumId w:val="5"/>
  </w:num>
  <w:num w:numId="22" w16cid:durableId="45182399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12"/>
    <w:rsid w:val="000022C9"/>
    <w:rsid w:val="0000474E"/>
    <w:rsid w:val="00006846"/>
    <w:rsid w:val="00006F3A"/>
    <w:rsid w:val="000070C5"/>
    <w:rsid w:val="000079D8"/>
    <w:rsid w:val="00007A21"/>
    <w:rsid w:val="00010108"/>
    <w:rsid w:val="00010253"/>
    <w:rsid w:val="00010A17"/>
    <w:rsid w:val="00010A94"/>
    <w:rsid w:val="00010D99"/>
    <w:rsid w:val="00011637"/>
    <w:rsid w:val="00011D5B"/>
    <w:rsid w:val="00012E20"/>
    <w:rsid w:val="0001464A"/>
    <w:rsid w:val="00014B27"/>
    <w:rsid w:val="00014B89"/>
    <w:rsid w:val="00015B6B"/>
    <w:rsid w:val="00015E74"/>
    <w:rsid w:val="00016643"/>
    <w:rsid w:val="00017545"/>
    <w:rsid w:val="000203F5"/>
    <w:rsid w:val="0002064B"/>
    <w:rsid w:val="0002071F"/>
    <w:rsid w:val="00021380"/>
    <w:rsid w:val="00021C44"/>
    <w:rsid w:val="00021F31"/>
    <w:rsid w:val="0002288D"/>
    <w:rsid w:val="000229D4"/>
    <w:rsid w:val="00024657"/>
    <w:rsid w:val="00026606"/>
    <w:rsid w:val="000269C6"/>
    <w:rsid w:val="00026F33"/>
    <w:rsid w:val="00026F46"/>
    <w:rsid w:val="00026FFB"/>
    <w:rsid w:val="00027549"/>
    <w:rsid w:val="000301D3"/>
    <w:rsid w:val="00030B64"/>
    <w:rsid w:val="00031935"/>
    <w:rsid w:val="00031FCA"/>
    <w:rsid w:val="000331CE"/>
    <w:rsid w:val="000343BA"/>
    <w:rsid w:val="000344F5"/>
    <w:rsid w:val="00034E67"/>
    <w:rsid w:val="00034E9A"/>
    <w:rsid w:val="0003551D"/>
    <w:rsid w:val="00036418"/>
    <w:rsid w:val="0003692B"/>
    <w:rsid w:val="00037051"/>
    <w:rsid w:val="00037CD3"/>
    <w:rsid w:val="00040BD2"/>
    <w:rsid w:val="00041F5A"/>
    <w:rsid w:val="00044426"/>
    <w:rsid w:val="00044508"/>
    <w:rsid w:val="00045354"/>
    <w:rsid w:val="000455B9"/>
    <w:rsid w:val="0004598B"/>
    <w:rsid w:val="00045C9F"/>
    <w:rsid w:val="00047BC7"/>
    <w:rsid w:val="000500CF"/>
    <w:rsid w:val="0005031A"/>
    <w:rsid w:val="000504F9"/>
    <w:rsid w:val="000509C8"/>
    <w:rsid w:val="00050C85"/>
    <w:rsid w:val="00051D5C"/>
    <w:rsid w:val="00051F51"/>
    <w:rsid w:val="00052269"/>
    <w:rsid w:val="0005234C"/>
    <w:rsid w:val="000523C2"/>
    <w:rsid w:val="00053127"/>
    <w:rsid w:val="000534AC"/>
    <w:rsid w:val="00054740"/>
    <w:rsid w:val="00054833"/>
    <w:rsid w:val="00055A41"/>
    <w:rsid w:val="00056022"/>
    <w:rsid w:val="000575CC"/>
    <w:rsid w:val="00057652"/>
    <w:rsid w:val="00057695"/>
    <w:rsid w:val="0005797C"/>
    <w:rsid w:val="00057C3C"/>
    <w:rsid w:val="00060073"/>
    <w:rsid w:val="00060483"/>
    <w:rsid w:val="00060AF3"/>
    <w:rsid w:val="00061480"/>
    <w:rsid w:val="00061598"/>
    <w:rsid w:val="000615BD"/>
    <w:rsid w:val="00061D37"/>
    <w:rsid w:val="000632E5"/>
    <w:rsid w:val="000637D5"/>
    <w:rsid w:val="000640C1"/>
    <w:rsid w:val="00064B89"/>
    <w:rsid w:val="000656AE"/>
    <w:rsid w:val="00066204"/>
    <w:rsid w:val="00066934"/>
    <w:rsid w:val="00066B77"/>
    <w:rsid w:val="00066BEF"/>
    <w:rsid w:val="00066D3F"/>
    <w:rsid w:val="00066FC5"/>
    <w:rsid w:val="000672AB"/>
    <w:rsid w:val="00067578"/>
    <w:rsid w:val="00067F47"/>
    <w:rsid w:val="0007115C"/>
    <w:rsid w:val="0007139D"/>
    <w:rsid w:val="000714D6"/>
    <w:rsid w:val="0007162E"/>
    <w:rsid w:val="00071EB1"/>
    <w:rsid w:val="00072A8C"/>
    <w:rsid w:val="00073E11"/>
    <w:rsid w:val="00074446"/>
    <w:rsid w:val="000756FB"/>
    <w:rsid w:val="0007764E"/>
    <w:rsid w:val="00080613"/>
    <w:rsid w:val="00080BDC"/>
    <w:rsid w:val="0008124E"/>
    <w:rsid w:val="000816A1"/>
    <w:rsid w:val="000817AA"/>
    <w:rsid w:val="00081EAA"/>
    <w:rsid w:val="000825CF"/>
    <w:rsid w:val="00082CA9"/>
    <w:rsid w:val="00084273"/>
    <w:rsid w:val="00084C41"/>
    <w:rsid w:val="00084CB5"/>
    <w:rsid w:val="00085097"/>
    <w:rsid w:val="00085409"/>
    <w:rsid w:val="000859F6"/>
    <w:rsid w:val="00087C3C"/>
    <w:rsid w:val="000909CB"/>
    <w:rsid w:val="00090E95"/>
    <w:rsid w:val="000914CE"/>
    <w:rsid w:val="00091E85"/>
    <w:rsid w:val="0009235C"/>
    <w:rsid w:val="000927C7"/>
    <w:rsid w:val="0009282F"/>
    <w:rsid w:val="00092924"/>
    <w:rsid w:val="00093043"/>
    <w:rsid w:val="000938DE"/>
    <w:rsid w:val="00093BB5"/>
    <w:rsid w:val="00093CF2"/>
    <w:rsid w:val="00094C00"/>
    <w:rsid w:val="00095258"/>
    <w:rsid w:val="000962DB"/>
    <w:rsid w:val="00096D06"/>
    <w:rsid w:val="00096EF7"/>
    <w:rsid w:val="00097069"/>
    <w:rsid w:val="00097D34"/>
    <w:rsid w:val="000A0D93"/>
    <w:rsid w:val="000A1458"/>
    <w:rsid w:val="000A2420"/>
    <w:rsid w:val="000A2DBF"/>
    <w:rsid w:val="000A4787"/>
    <w:rsid w:val="000A4A8F"/>
    <w:rsid w:val="000A4D93"/>
    <w:rsid w:val="000A516C"/>
    <w:rsid w:val="000A55C4"/>
    <w:rsid w:val="000A58F8"/>
    <w:rsid w:val="000A5E42"/>
    <w:rsid w:val="000A600C"/>
    <w:rsid w:val="000A666B"/>
    <w:rsid w:val="000A68DE"/>
    <w:rsid w:val="000A77D0"/>
    <w:rsid w:val="000B05AA"/>
    <w:rsid w:val="000B0827"/>
    <w:rsid w:val="000B0E69"/>
    <w:rsid w:val="000B22DF"/>
    <w:rsid w:val="000B32BB"/>
    <w:rsid w:val="000B3454"/>
    <w:rsid w:val="000B3993"/>
    <w:rsid w:val="000B4186"/>
    <w:rsid w:val="000B41C9"/>
    <w:rsid w:val="000B57D4"/>
    <w:rsid w:val="000B589E"/>
    <w:rsid w:val="000B677B"/>
    <w:rsid w:val="000B6C04"/>
    <w:rsid w:val="000B7896"/>
    <w:rsid w:val="000C01B6"/>
    <w:rsid w:val="000C096C"/>
    <w:rsid w:val="000C15C0"/>
    <w:rsid w:val="000C1A04"/>
    <w:rsid w:val="000C1DA4"/>
    <w:rsid w:val="000C20AE"/>
    <w:rsid w:val="000C2B8A"/>
    <w:rsid w:val="000C2C79"/>
    <w:rsid w:val="000C3AB7"/>
    <w:rsid w:val="000C3F4B"/>
    <w:rsid w:val="000C4046"/>
    <w:rsid w:val="000C4455"/>
    <w:rsid w:val="000C4ACE"/>
    <w:rsid w:val="000C4D47"/>
    <w:rsid w:val="000C65A7"/>
    <w:rsid w:val="000C7D44"/>
    <w:rsid w:val="000D0836"/>
    <w:rsid w:val="000D1DEE"/>
    <w:rsid w:val="000D1E05"/>
    <w:rsid w:val="000D1E4D"/>
    <w:rsid w:val="000D3609"/>
    <w:rsid w:val="000D3630"/>
    <w:rsid w:val="000D3A59"/>
    <w:rsid w:val="000D3C5B"/>
    <w:rsid w:val="000D40FA"/>
    <w:rsid w:val="000D4615"/>
    <w:rsid w:val="000D4D4F"/>
    <w:rsid w:val="000D537E"/>
    <w:rsid w:val="000D5769"/>
    <w:rsid w:val="000D6026"/>
    <w:rsid w:val="000D62D1"/>
    <w:rsid w:val="000D6602"/>
    <w:rsid w:val="000D6E5E"/>
    <w:rsid w:val="000D732C"/>
    <w:rsid w:val="000D7F62"/>
    <w:rsid w:val="000E0AFB"/>
    <w:rsid w:val="000E3800"/>
    <w:rsid w:val="000E6154"/>
    <w:rsid w:val="000E620D"/>
    <w:rsid w:val="000E694E"/>
    <w:rsid w:val="000E75AE"/>
    <w:rsid w:val="000E779A"/>
    <w:rsid w:val="000F19FE"/>
    <w:rsid w:val="000F1BCC"/>
    <w:rsid w:val="000F2318"/>
    <w:rsid w:val="000F24CB"/>
    <w:rsid w:val="000F353D"/>
    <w:rsid w:val="000F41BC"/>
    <w:rsid w:val="000F495B"/>
    <w:rsid w:val="000F57C7"/>
    <w:rsid w:val="000F6FEE"/>
    <w:rsid w:val="000F70AD"/>
    <w:rsid w:val="000F716A"/>
    <w:rsid w:val="000F7604"/>
    <w:rsid w:val="001017A0"/>
    <w:rsid w:val="00102180"/>
    <w:rsid w:val="00102965"/>
    <w:rsid w:val="0010298D"/>
    <w:rsid w:val="00102ADE"/>
    <w:rsid w:val="00103115"/>
    <w:rsid w:val="00103F88"/>
    <w:rsid w:val="001043FD"/>
    <w:rsid w:val="00104DED"/>
    <w:rsid w:val="00104EF1"/>
    <w:rsid w:val="00104FF4"/>
    <w:rsid w:val="001062AC"/>
    <w:rsid w:val="001066C7"/>
    <w:rsid w:val="00106973"/>
    <w:rsid w:val="00106FAB"/>
    <w:rsid w:val="00107302"/>
    <w:rsid w:val="00107E94"/>
    <w:rsid w:val="0011042C"/>
    <w:rsid w:val="001124FA"/>
    <w:rsid w:val="001125B4"/>
    <w:rsid w:val="00112D86"/>
    <w:rsid w:val="00112E21"/>
    <w:rsid w:val="00112F3D"/>
    <w:rsid w:val="00113296"/>
    <w:rsid w:val="00113647"/>
    <w:rsid w:val="001145D9"/>
    <w:rsid w:val="00114BEF"/>
    <w:rsid w:val="00114D83"/>
    <w:rsid w:val="00115456"/>
    <w:rsid w:val="001159B5"/>
    <w:rsid w:val="00115B74"/>
    <w:rsid w:val="00115EAB"/>
    <w:rsid w:val="0011710B"/>
    <w:rsid w:val="00117C47"/>
    <w:rsid w:val="00117C86"/>
    <w:rsid w:val="00120006"/>
    <w:rsid w:val="001200E6"/>
    <w:rsid w:val="00120359"/>
    <w:rsid w:val="00121194"/>
    <w:rsid w:val="001212C0"/>
    <w:rsid w:val="00121BA8"/>
    <w:rsid w:val="001220B4"/>
    <w:rsid w:val="00122A75"/>
    <w:rsid w:val="00122C9E"/>
    <w:rsid w:val="0012330A"/>
    <w:rsid w:val="0012356E"/>
    <w:rsid w:val="00123808"/>
    <w:rsid w:val="00123A8B"/>
    <w:rsid w:val="00123B82"/>
    <w:rsid w:val="00124346"/>
    <w:rsid w:val="00124F94"/>
    <w:rsid w:val="00124FB6"/>
    <w:rsid w:val="001254EB"/>
    <w:rsid w:val="00125AAE"/>
    <w:rsid w:val="0012636F"/>
    <w:rsid w:val="001264E0"/>
    <w:rsid w:val="001268B9"/>
    <w:rsid w:val="00126FED"/>
    <w:rsid w:val="00127046"/>
    <w:rsid w:val="001273ED"/>
    <w:rsid w:val="001277F3"/>
    <w:rsid w:val="0013076D"/>
    <w:rsid w:val="00130D51"/>
    <w:rsid w:val="00131C29"/>
    <w:rsid w:val="001326B3"/>
    <w:rsid w:val="00132A0C"/>
    <w:rsid w:val="00132EE8"/>
    <w:rsid w:val="00134B69"/>
    <w:rsid w:val="00134DF2"/>
    <w:rsid w:val="00135A5D"/>
    <w:rsid w:val="0013607E"/>
    <w:rsid w:val="001360A6"/>
    <w:rsid w:val="0013752F"/>
    <w:rsid w:val="00141216"/>
    <w:rsid w:val="0014160F"/>
    <w:rsid w:val="00141D87"/>
    <w:rsid w:val="00142A17"/>
    <w:rsid w:val="00142A89"/>
    <w:rsid w:val="00144A30"/>
    <w:rsid w:val="00144C7B"/>
    <w:rsid w:val="00145D5C"/>
    <w:rsid w:val="00146105"/>
    <w:rsid w:val="00146852"/>
    <w:rsid w:val="00150460"/>
    <w:rsid w:val="0015137D"/>
    <w:rsid w:val="00152CF5"/>
    <w:rsid w:val="00154075"/>
    <w:rsid w:val="001548D7"/>
    <w:rsid w:val="00155880"/>
    <w:rsid w:val="00155D2D"/>
    <w:rsid w:val="00156249"/>
    <w:rsid w:val="00156AF6"/>
    <w:rsid w:val="00157B29"/>
    <w:rsid w:val="00160ACD"/>
    <w:rsid w:val="00161A72"/>
    <w:rsid w:val="00161BB4"/>
    <w:rsid w:val="00161C89"/>
    <w:rsid w:val="00161D6D"/>
    <w:rsid w:val="001631F2"/>
    <w:rsid w:val="00163A00"/>
    <w:rsid w:val="00163D53"/>
    <w:rsid w:val="00163D82"/>
    <w:rsid w:val="001649EB"/>
    <w:rsid w:val="00164CF2"/>
    <w:rsid w:val="00164D7A"/>
    <w:rsid w:val="0016508A"/>
    <w:rsid w:val="00165A71"/>
    <w:rsid w:val="00166D90"/>
    <w:rsid w:val="00166FD4"/>
    <w:rsid w:val="00170A06"/>
    <w:rsid w:val="00171857"/>
    <w:rsid w:val="00173446"/>
    <w:rsid w:val="0017476C"/>
    <w:rsid w:val="0017530E"/>
    <w:rsid w:val="001754E5"/>
    <w:rsid w:val="00175AF5"/>
    <w:rsid w:val="001760A2"/>
    <w:rsid w:val="00180842"/>
    <w:rsid w:val="00180B07"/>
    <w:rsid w:val="00180B70"/>
    <w:rsid w:val="00180BC0"/>
    <w:rsid w:val="001822DE"/>
    <w:rsid w:val="001823EF"/>
    <w:rsid w:val="0018323F"/>
    <w:rsid w:val="001833E7"/>
    <w:rsid w:val="00183FBF"/>
    <w:rsid w:val="00184A57"/>
    <w:rsid w:val="00184DE0"/>
    <w:rsid w:val="00185003"/>
    <w:rsid w:val="00185D57"/>
    <w:rsid w:val="00187142"/>
    <w:rsid w:val="00187CEE"/>
    <w:rsid w:val="00187F34"/>
    <w:rsid w:val="0018AD67"/>
    <w:rsid w:val="00190464"/>
    <w:rsid w:val="00190CEA"/>
    <w:rsid w:val="00190CF0"/>
    <w:rsid w:val="001914F4"/>
    <w:rsid w:val="0019152C"/>
    <w:rsid w:val="00191B20"/>
    <w:rsid w:val="00191FA4"/>
    <w:rsid w:val="00192BF9"/>
    <w:rsid w:val="001931C1"/>
    <w:rsid w:val="00194F54"/>
    <w:rsid w:val="00195CB8"/>
    <w:rsid w:val="0019618B"/>
    <w:rsid w:val="00196450"/>
    <w:rsid w:val="001A0E96"/>
    <w:rsid w:val="001A1385"/>
    <w:rsid w:val="001A2453"/>
    <w:rsid w:val="001A370A"/>
    <w:rsid w:val="001A3AE2"/>
    <w:rsid w:val="001A3BF8"/>
    <w:rsid w:val="001A4B2E"/>
    <w:rsid w:val="001A4C87"/>
    <w:rsid w:val="001A6050"/>
    <w:rsid w:val="001A6272"/>
    <w:rsid w:val="001A6476"/>
    <w:rsid w:val="001A6D83"/>
    <w:rsid w:val="001A6E79"/>
    <w:rsid w:val="001A6FFA"/>
    <w:rsid w:val="001A7092"/>
    <w:rsid w:val="001A7ADA"/>
    <w:rsid w:val="001A7CC9"/>
    <w:rsid w:val="001B0BBA"/>
    <w:rsid w:val="001B1146"/>
    <w:rsid w:val="001B21C6"/>
    <w:rsid w:val="001B2CFC"/>
    <w:rsid w:val="001B424A"/>
    <w:rsid w:val="001B4AD1"/>
    <w:rsid w:val="001B602A"/>
    <w:rsid w:val="001B63B1"/>
    <w:rsid w:val="001B681F"/>
    <w:rsid w:val="001B6E9B"/>
    <w:rsid w:val="001B76C8"/>
    <w:rsid w:val="001C1A30"/>
    <w:rsid w:val="001C1D1B"/>
    <w:rsid w:val="001C2452"/>
    <w:rsid w:val="001C292F"/>
    <w:rsid w:val="001C2940"/>
    <w:rsid w:val="001C299C"/>
    <w:rsid w:val="001C2BDD"/>
    <w:rsid w:val="001C3353"/>
    <w:rsid w:val="001C4EBB"/>
    <w:rsid w:val="001C4FC8"/>
    <w:rsid w:val="001C532E"/>
    <w:rsid w:val="001C5FA1"/>
    <w:rsid w:val="001C66D1"/>
    <w:rsid w:val="001C6D1B"/>
    <w:rsid w:val="001C7C7B"/>
    <w:rsid w:val="001D10E7"/>
    <w:rsid w:val="001D157D"/>
    <w:rsid w:val="001D177D"/>
    <w:rsid w:val="001D2425"/>
    <w:rsid w:val="001D2C8D"/>
    <w:rsid w:val="001D338A"/>
    <w:rsid w:val="001D460E"/>
    <w:rsid w:val="001D55CD"/>
    <w:rsid w:val="001D582C"/>
    <w:rsid w:val="001D738F"/>
    <w:rsid w:val="001E0F75"/>
    <w:rsid w:val="001E10DB"/>
    <w:rsid w:val="001E144A"/>
    <w:rsid w:val="001E17BA"/>
    <w:rsid w:val="001E1B7E"/>
    <w:rsid w:val="001E1B93"/>
    <w:rsid w:val="001E25A2"/>
    <w:rsid w:val="001E3DE3"/>
    <w:rsid w:val="001E4599"/>
    <w:rsid w:val="001E5A79"/>
    <w:rsid w:val="001E607C"/>
    <w:rsid w:val="001E6335"/>
    <w:rsid w:val="001E6816"/>
    <w:rsid w:val="001E714C"/>
    <w:rsid w:val="001E71F0"/>
    <w:rsid w:val="001E747D"/>
    <w:rsid w:val="001E77DB"/>
    <w:rsid w:val="001E79D9"/>
    <w:rsid w:val="001E7B62"/>
    <w:rsid w:val="001F27FB"/>
    <w:rsid w:val="001F4A0F"/>
    <w:rsid w:val="001F5573"/>
    <w:rsid w:val="001F6B84"/>
    <w:rsid w:val="001F7166"/>
    <w:rsid w:val="001F7848"/>
    <w:rsid w:val="001F7B0A"/>
    <w:rsid w:val="00201D45"/>
    <w:rsid w:val="00201E32"/>
    <w:rsid w:val="00202ECD"/>
    <w:rsid w:val="002044CC"/>
    <w:rsid w:val="00205C25"/>
    <w:rsid w:val="00206A5F"/>
    <w:rsid w:val="002071D3"/>
    <w:rsid w:val="00207332"/>
    <w:rsid w:val="00207F43"/>
    <w:rsid w:val="00210601"/>
    <w:rsid w:val="002109C1"/>
    <w:rsid w:val="00210CDF"/>
    <w:rsid w:val="00210DBF"/>
    <w:rsid w:val="00210E5A"/>
    <w:rsid w:val="002119FF"/>
    <w:rsid w:val="00211A1E"/>
    <w:rsid w:val="00211C06"/>
    <w:rsid w:val="0021241C"/>
    <w:rsid w:val="00212628"/>
    <w:rsid w:val="002126FF"/>
    <w:rsid w:val="00212B0C"/>
    <w:rsid w:val="00213188"/>
    <w:rsid w:val="00213190"/>
    <w:rsid w:val="0021333D"/>
    <w:rsid w:val="0021383D"/>
    <w:rsid w:val="00214193"/>
    <w:rsid w:val="00214AE4"/>
    <w:rsid w:val="00215180"/>
    <w:rsid w:val="002152E7"/>
    <w:rsid w:val="00216CC0"/>
    <w:rsid w:val="00216DEF"/>
    <w:rsid w:val="002174C5"/>
    <w:rsid w:val="0022179F"/>
    <w:rsid w:val="00222AD5"/>
    <w:rsid w:val="00223552"/>
    <w:rsid w:val="0022381D"/>
    <w:rsid w:val="00224616"/>
    <w:rsid w:val="002269FF"/>
    <w:rsid w:val="0022783A"/>
    <w:rsid w:val="00227959"/>
    <w:rsid w:val="00227EB8"/>
    <w:rsid w:val="0023019F"/>
    <w:rsid w:val="0023032B"/>
    <w:rsid w:val="002307D6"/>
    <w:rsid w:val="00231E3C"/>
    <w:rsid w:val="0023241F"/>
    <w:rsid w:val="00232516"/>
    <w:rsid w:val="00232BEA"/>
    <w:rsid w:val="0023300C"/>
    <w:rsid w:val="002337E8"/>
    <w:rsid w:val="002351B7"/>
    <w:rsid w:val="002351E4"/>
    <w:rsid w:val="0023594A"/>
    <w:rsid w:val="00235A4F"/>
    <w:rsid w:val="002364A9"/>
    <w:rsid w:val="00236FF3"/>
    <w:rsid w:val="00237068"/>
    <w:rsid w:val="002371D9"/>
    <w:rsid w:val="00237AFB"/>
    <w:rsid w:val="0023BD4A"/>
    <w:rsid w:val="00240156"/>
    <w:rsid w:val="0024023D"/>
    <w:rsid w:val="00243B8F"/>
    <w:rsid w:val="002441F1"/>
    <w:rsid w:val="00244346"/>
    <w:rsid w:val="0024496A"/>
    <w:rsid w:val="00245444"/>
    <w:rsid w:val="002455CF"/>
    <w:rsid w:val="00246613"/>
    <w:rsid w:val="002469F7"/>
    <w:rsid w:val="002475AB"/>
    <w:rsid w:val="00247D11"/>
    <w:rsid w:val="00247ED7"/>
    <w:rsid w:val="00251827"/>
    <w:rsid w:val="002531AA"/>
    <w:rsid w:val="00253244"/>
    <w:rsid w:val="00253D68"/>
    <w:rsid w:val="00253E16"/>
    <w:rsid w:val="00254487"/>
    <w:rsid w:val="0026030A"/>
    <w:rsid w:val="002618CC"/>
    <w:rsid w:val="002632EA"/>
    <w:rsid w:val="00263385"/>
    <w:rsid w:val="00263687"/>
    <w:rsid w:val="00263967"/>
    <w:rsid w:val="002640F0"/>
    <w:rsid w:val="002640FC"/>
    <w:rsid w:val="00264266"/>
    <w:rsid w:val="00264841"/>
    <w:rsid w:val="00264D29"/>
    <w:rsid w:val="00264EE9"/>
    <w:rsid w:val="002653A5"/>
    <w:rsid w:val="0026540E"/>
    <w:rsid w:val="002657C7"/>
    <w:rsid w:val="002657D3"/>
    <w:rsid w:val="002659BE"/>
    <w:rsid w:val="00266426"/>
    <w:rsid w:val="00266844"/>
    <w:rsid w:val="002668B8"/>
    <w:rsid w:val="00266CC2"/>
    <w:rsid w:val="002674C6"/>
    <w:rsid w:val="00270674"/>
    <w:rsid w:val="00270684"/>
    <w:rsid w:val="002718C0"/>
    <w:rsid w:val="00272180"/>
    <w:rsid w:val="00272815"/>
    <w:rsid w:val="00273A79"/>
    <w:rsid w:val="00274532"/>
    <w:rsid w:val="00274F8F"/>
    <w:rsid w:val="0027541E"/>
    <w:rsid w:val="00276456"/>
    <w:rsid w:val="0027742F"/>
    <w:rsid w:val="00277DE8"/>
    <w:rsid w:val="002807EE"/>
    <w:rsid w:val="00281363"/>
    <w:rsid w:val="002817DE"/>
    <w:rsid w:val="00281DF8"/>
    <w:rsid w:val="002827CC"/>
    <w:rsid w:val="00283158"/>
    <w:rsid w:val="002831ED"/>
    <w:rsid w:val="00284A3D"/>
    <w:rsid w:val="00284A83"/>
    <w:rsid w:val="002857BE"/>
    <w:rsid w:val="00286725"/>
    <w:rsid w:val="00286A63"/>
    <w:rsid w:val="00286C68"/>
    <w:rsid w:val="00287787"/>
    <w:rsid w:val="0028E1E0"/>
    <w:rsid w:val="00290C09"/>
    <w:rsid w:val="00291ADC"/>
    <w:rsid w:val="00292445"/>
    <w:rsid w:val="0029253A"/>
    <w:rsid w:val="00293CA0"/>
    <w:rsid w:val="0029489E"/>
    <w:rsid w:val="00294C59"/>
    <w:rsid w:val="002950BD"/>
    <w:rsid w:val="00295301"/>
    <w:rsid w:val="00295E46"/>
    <w:rsid w:val="00295ED1"/>
    <w:rsid w:val="00296B82"/>
    <w:rsid w:val="00296C9D"/>
    <w:rsid w:val="0029700D"/>
    <w:rsid w:val="002975AE"/>
    <w:rsid w:val="002A01C9"/>
    <w:rsid w:val="002A0679"/>
    <w:rsid w:val="002A12DB"/>
    <w:rsid w:val="002A2066"/>
    <w:rsid w:val="002A21E0"/>
    <w:rsid w:val="002A28C1"/>
    <w:rsid w:val="002A37C8"/>
    <w:rsid w:val="002A3940"/>
    <w:rsid w:val="002A56BE"/>
    <w:rsid w:val="002A5B11"/>
    <w:rsid w:val="002A5CFE"/>
    <w:rsid w:val="002A670B"/>
    <w:rsid w:val="002A6F03"/>
    <w:rsid w:val="002B090D"/>
    <w:rsid w:val="002B09DA"/>
    <w:rsid w:val="002B0A3F"/>
    <w:rsid w:val="002B13E7"/>
    <w:rsid w:val="002B1694"/>
    <w:rsid w:val="002B1B1C"/>
    <w:rsid w:val="002B1E9E"/>
    <w:rsid w:val="002B2F30"/>
    <w:rsid w:val="002B3DFD"/>
    <w:rsid w:val="002B585B"/>
    <w:rsid w:val="002B77B7"/>
    <w:rsid w:val="002B7EAC"/>
    <w:rsid w:val="002C00B7"/>
    <w:rsid w:val="002C06C0"/>
    <w:rsid w:val="002C1532"/>
    <w:rsid w:val="002C20A2"/>
    <w:rsid w:val="002C26CD"/>
    <w:rsid w:val="002C30EC"/>
    <w:rsid w:val="002C4749"/>
    <w:rsid w:val="002C4B49"/>
    <w:rsid w:val="002C6045"/>
    <w:rsid w:val="002C725D"/>
    <w:rsid w:val="002D06C9"/>
    <w:rsid w:val="002D086C"/>
    <w:rsid w:val="002D0CC7"/>
    <w:rsid w:val="002D10AB"/>
    <w:rsid w:val="002D11BB"/>
    <w:rsid w:val="002D13CE"/>
    <w:rsid w:val="002D1469"/>
    <w:rsid w:val="002D297D"/>
    <w:rsid w:val="002D2A5F"/>
    <w:rsid w:val="002D2C2E"/>
    <w:rsid w:val="002D2CAF"/>
    <w:rsid w:val="002D2FB4"/>
    <w:rsid w:val="002D46D9"/>
    <w:rsid w:val="002D4D51"/>
    <w:rsid w:val="002D4F04"/>
    <w:rsid w:val="002D500E"/>
    <w:rsid w:val="002D529E"/>
    <w:rsid w:val="002D5308"/>
    <w:rsid w:val="002D55E7"/>
    <w:rsid w:val="002D603B"/>
    <w:rsid w:val="002D6304"/>
    <w:rsid w:val="002D690F"/>
    <w:rsid w:val="002D6C67"/>
    <w:rsid w:val="002D74AF"/>
    <w:rsid w:val="002D79C0"/>
    <w:rsid w:val="002E103F"/>
    <w:rsid w:val="002E186C"/>
    <w:rsid w:val="002E1C0B"/>
    <w:rsid w:val="002E2DA9"/>
    <w:rsid w:val="002E3159"/>
    <w:rsid w:val="002E4933"/>
    <w:rsid w:val="002E50D7"/>
    <w:rsid w:val="002E5161"/>
    <w:rsid w:val="002E5339"/>
    <w:rsid w:val="002E624B"/>
    <w:rsid w:val="002E657F"/>
    <w:rsid w:val="002E7F89"/>
    <w:rsid w:val="002F01FC"/>
    <w:rsid w:val="002F0B31"/>
    <w:rsid w:val="002F1270"/>
    <w:rsid w:val="002F1B98"/>
    <w:rsid w:val="002F1D65"/>
    <w:rsid w:val="002F1E06"/>
    <w:rsid w:val="002F2970"/>
    <w:rsid w:val="002F3AA3"/>
    <w:rsid w:val="002F3D10"/>
    <w:rsid w:val="002F4287"/>
    <w:rsid w:val="002F4294"/>
    <w:rsid w:val="002F6085"/>
    <w:rsid w:val="002F67EE"/>
    <w:rsid w:val="002F724B"/>
    <w:rsid w:val="002F75FF"/>
    <w:rsid w:val="00301DF8"/>
    <w:rsid w:val="00302302"/>
    <w:rsid w:val="00302E64"/>
    <w:rsid w:val="00303116"/>
    <w:rsid w:val="0030425E"/>
    <w:rsid w:val="0030426A"/>
    <w:rsid w:val="00304E51"/>
    <w:rsid w:val="00305A52"/>
    <w:rsid w:val="003068F5"/>
    <w:rsid w:val="00306A27"/>
    <w:rsid w:val="00307281"/>
    <w:rsid w:val="00310051"/>
    <w:rsid w:val="00311913"/>
    <w:rsid w:val="0031227B"/>
    <w:rsid w:val="0031249D"/>
    <w:rsid w:val="00313584"/>
    <w:rsid w:val="0031522A"/>
    <w:rsid w:val="0031537D"/>
    <w:rsid w:val="00315D63"/>
    <w:rsid w:val="00315F07"/>
    <w:rsid w:val="003163D4"/>
    <w:rsid w:val="00317351"/>
    <w:rsid w:val="00317587"/>
    <w:rsid w:val="00317635"/>
    <w:rsid w:val="00317EC3"/>
    <w:rsid w:val="00320158"/>
    <w:rsid w:val="0032030A"/>
    <w:rsid w:val="00320325"/>
    <w:rsid w:val="00320376"/>
    <w:rsid w:val="00320ED7"/>
    <w:rsid w:val="00321A74"/>
    <w:rsid w:val="00321C9B"/>
    <w:rsid w:val="00322506"/>
    <w:rsid w:val="003227B9"/>
    <w:rsid w:val="00322C93"/>
    <w:rsid w:val="00322E93"/>
    <w:rsid w:val="003245C9"/>
    <w:rsid w:val="00325509"/>
    <w:rsid w:val="00325640"/>
    <w:rsid w:val="0032611F"/>
    <w:rsid w:val="003263AA"/>
    <w:rsid w:val="003265D4"/>
    <w:rsid w:val="00326CF5"/>
    <w:rsid w:val="003300D0"/>
    <w:rsid w:val="003303F1"/>
    <w:rsid w:val="00330420"/>
    <w:rsid w:val="00330E4B"/>
    <w:rsid w:val="00330E8B"/>
    <w:rsid w:val="00331291"/>
    <w:rsid w:val="003314ED"/>
    <w:rsid w:val="0033192D"/>
    <w:rsid w:val="00331D02"/>
    <w:rsid w:val="0033241A"/>
    <w:rsid w:val="0033331C"/>
    <w:rsid w:val="00333D74"/>
    <w:rsid w:val="00333DF1"/>
    <w:rsid w:val="00333E0A"/>
    <w:rsid w:val="0033405A"/>
    <w:rsid w:val="00334602"/>
    <w:rsid w:val="0033465D"/>
    <w:rsid w:val="00335231"/>
    <w:rsid w:val="003357F3"/>
    <w:rsid w:val="00335F76"/>
    <w:rsid w:val="00336E7E"/>
    <w:rsid w:val="0033720A"/>
    <w:rsid w:val="0033736B"/>
    <w:rsid w:val="00341150"/>
    <w:rsid w:val="00341318"/>
    <w:rsid w:val="003436A1"/>
    <w:rsid w:val="00343A35"/>
    <w:rsid w:val="00344146"/>
    <w:rsid w:val="003445F2"/>
    <w:rsid w:val="00344711"/>
    <w:rsid w:val="00344C5C"/>
    <w:rsid w:val="00344E0F"/>
    <w:rsid w:val="00344E33"/>
    <w:rsid w:val="003455B4"/>
    <w:rsid w:val="0034591A"/>
    <w:rsid w:val="00345DBA"/>
    <w:rsid w:val="00346892"/>
    <w:rsid w:val="003470E9"/>
    <w:rsid w:val="003471D5"/>
    <w:rsid w:val="0034730A"/>
    <w:rsid w:val="00347879"/>
    <w:rsid w:val="00350114"/>
    <w:rsid w:val="003515B6"/>
    <w:rsid w:val="00352182"/>
    <w:rsid w:val="00353246"/>
    <w:rsid w:val="00353F77"/>
    <w:rsid w:val="0035408E"/>
    <w:rsid w:val="003547E6"/>
    <w:rsid w:val="00354A64"/>
    <w:rsid w:val="00354B8A"/>
    <w:rsid w:val="00355D08"/>
    <w:rsid w:val="00357A07"/>
    <w:rsid w:val="00360F66"/>
    <w:rsid w:val="00362026"/>
    <w:rsid w:val="00362113"/>
    <w:rsid w:val="003624AC"/>
    <w:rsid w:val="0036390B"/>
    <w:rsid w:val="00363EBF"/>
    <w:rsid w:val="00363F75"/>
    <w:rsid w:val="0036488E"/>
    <w:rsid w:val="003652DA"/>
    <w:rsid w:val="0036691C"/>
    <w:rsid w:val="00366A0E"/>
    <w:rsid w:val="0036709D"/>
    <w:rsid w:val="00370EF0"/>
    <w:rsid w:val="0037264D"/>
    <w:rsid w:val="003737A6"/>
    <w:rsid w:val="0037402B"/>
    <w:rsid w:val="00377C0B"/>
    <w:rsid w:val="0038017E"/>
    <w:rsid w:val="00381379"/>
    <w:rsid w:val="003815D0"/>
    <w:rsid w:val="003837BE"/>
    <w:rsid w:val="0038397C"/>
    <w:rsid w:val="00383DAC"/>
    <w:rsid w:val="0038413B"/>
    <w:rsid w:val="00385437"/>
    <w:rsid w:val="00385F98"/>
    <w:rsid w:val="00386856"/>
    <w:rsid w:val="00387025"/>
    <w:rsid w:val="00387B4A"/>
    <w:rsid w:val="00387C01"/>
    <w:rsid w:val="00390138"/>
    <w:rsid w:val="003911CA"/>
    <w:rsid w:val="003916BD"/>
    <w:rsid w:val="003929FE"/>
    <w:rsid w:val="003937D7"/>
    <w:rsid w:val="003946A7"/>
    <w:rsid w:val="00394B58"/>
    <w:rsid w:val="0039591A"/>
    <w:rsid w:val="00395AAB"/>
    <w:rsid w:val="00395B62"/>
    <w:rsid w:val="00395C4C"/>
    <w:rsid w:val="00395DED"/>
    <w:rsid w:val="0039637A"/>
    <w:rsid w:val="003977A7"/>
    <w:rsid w:val="003A16E0"/>
    <w:rsid w:val="003A2A58"/>
    <w:rsid w:val="003A41C0"/>
    <w:rsid w:val="003A4978"/>
    <w:rsid w:val="003A4AA5"/>
    <w:rsid w:val="003A5554"/>
    <w:rsid w:val="003A67A4"/>
    <w:rsid w:val="003A7C18"/>
    <w:rsid w:val="003A7FDC"/>
    <w:rsid w:val="003B0D56"/>
    <w:rsid w:val="003B0DA3"/>
    <w:rsid w:val="003B1014"/>
    <w:rsid w:val="003B167B"/>
    <w:rsid w:val="003B1B32"/>
    <w:rsid w:val="003B2BF6"/>
    <w:rsid w:val="003B3A9A"/>
    <w:rsid w:val="003B4468"/>
    <w:rsid w:val="003B534D"/>
    <w:rsid w:val="003B56B6"/>
    <w:rsid w:val="003B58D6"/>
    <w:rsid w:val="003B5BCB"/>
    <w:rsid w:val="003B6327"/>
    <w:rsid w:val="003C0148"/>
    <w:rsid w:val="003C0622"/>
    <w:rsid w:val="003C0AC9"/>
    <w:rsid w:val="003C17E5"/>
    <w:rsid w:val="003C1C8B"/>
    <w:rsid w:val="003C32A4"/>
    <w:rsid w:val="003C3D13"/>
    <w:rsid w:val="003C6546"/>
    <w:rsid w:val="003C66F3"/>
    <w:rsid w:val="003C6AAF"/>
    <w:rsid w:val="003C6FB7"/>
    <w:rsid w:val="003C7821"/>
    <w:rsid w:val="003C7B2D"/>
    <w:rsid w:val="003C7BCA"/>
    <w:rsid w:val="003D1A3F"/>
    <w:rsid w:val="003D24C6"/>
    <w:rsid w:val="003D5859"/>
    <w:rsid w:val="003D5ECE"/>
    <w:rsid w:val="003D63AA"/>
    <w:rsid w:val="003D67EF"/>
    <w:rsid w:val="003D705A"/>
    <w:rsid w:val="003E0080"/>
    <w:rsid w:val="003E1361"/>
    <w:rsid w:val="003E266B"/>
    <w:rsid w:val="003E286C"/>
    <w:rsid w:val="003E2A84"/>
    <w:rsid w:val="003E357B"/>
    <w:rsid w:val="003E3A19"/>
    <w:rsid w:val="003E3F32"/>
    <w:rsid w:val="003E454B"/>
    <w:rsid w:val="003E4605"/>
    <w:rsid w:val="003E67C8"/>
    <w:rsid w:val="003E690E"/>
    <w:rsid w:val="003E6FD4"/>
    <w:rsid w:val="003E74BF"/>
    <w:rsid w:val="003E766B"/>
    <w:rsid w:val="003F179A"/>
    <w:rsid w:val="003F1BEF"/>
    <w:rsid w:val="003F2254"/>
    <w:rsid w:val="003F275C"/>
    <w:rsid w:val="003F3C23"/>
    <w:rsid w:val="003F4AF2"/>
    <w:rsid w:val="003F4B92"/>
    <w:rsid w:val="003F4FE3"/>
    <w:rsid w:val="003F57F0"/>
    <w:rsid w:val="003F6F92"/>
    <w:rsid w:val="003F76C2"/>
    <w:rsid w:val="0040077F"/>
    <w:rsid w:val="004010F6"/>
    <w:rsid w:val="004018B2"/>
    <w:rsid w:val="00401AE6"/>
    <w:rsid w:val="00401E37"/>
    <w:rsid w:val="00402277"/>
    <w:rsid w:val="00403F87"/>
    <w:rsid w:val="00404FA3"/>
    <w:rsid w:val="0040624D"/>
    <w:rsid w:val="004063B8"/>
    <w:rsid w:val="004067FB"/>
    <w:rsid w:val="00406D77"/>
    <w:rsid w:val="0040753D"/>
    <w:rsid w:val="00407683"/>
    <w:rsid w:val="00407A41"/>
    <w:rsid w:val="00407BEE"/>
    <w:rsid w:val="00410CDB"/>
    <w:rsid w:val="00412076"/>
    <w:rsid w:val="00413147"/>
    <w:rsid w:val="00413345"/>
    <w:rsid w:val="0041478D"/>
    <w:rsid w:val="00414B68"/>
    <w:rsid w:val="00417486"/>
    <w:rsid w:val="00420770"/>
    <w:rsid w:val="004208B7"/>
    <w:rsid w:val="004236A7"/>
    <w:rsid w:val="00424255"/>
    <w:rsid w:val="00427033"/>
    <w:rsid w:val="00427147"/>
    <w:rsid w:val="004274D5"/>
    <w:rsid w:val="0042AFA5"/>
    <w:rsid w:val="0043053F"/>
    <w:rsid w:val="004306B1"/>
    <w:rsid w:val="00430B86"/>
    <w:rsid w:val="00430E7C"/>
    <w:rsid w:val="00430F08"/>
    <w:rsid w:val="00431A2D"/>
    <w:rsid w:val="00431BCE"/>
    <w:rsid w:val="004320AD"/>
    <w:rsid w:val="004325FB"/>
    <w:rsid w:val="00432CBD"/>
    <w:rsid w:val="004330CD"/>
    <w:rsid w:val="0043466F"/>
    <w:rsid w:val="00434DAC"/>
    <w:rsid w:val="00434E3D"/>
    <w:rsid w:val="00435BCE"/>
    <w:rsid w:val="004372AC"/>
    <w:rsid w:val="004379E2"/>
    <w:rsid w:val="00437C9C"/>
    <w:rsid w:val="00440B0C"/>
    <w:rsid w:val="00441381"/>
    <w:rsid w:val="00441C5E"/>
    <w:rsid w:val="004423E7"/>
    <w:rsid w:val="00442A77"/>
    <w:rsid w:val="004430B5"/>
    <w:rsid w:val="00443271"/>
    <w:rsid w:val="00443320"/>
    <w:rsid w:val="00446070"/>
    <w:rsid w:val="0044621B"/>
    <w:rsid w:val="0044644B"/>
    <w:rsid w:val="004477E4"/>
    <w:rsid w:val="004479B6"/>
    <w:rsid w:val="0045060E"/>
    <w:rsid w:val="004507EB"/>
    <w:rsid w:val="00451B1A"/>
    <w:rsid w:val="004526F4"/>
    <w:rsid w:val="00452FA8"/>
    <w:rsid w:val="004534D9"/>
    <w:rsid w:val="004547D1"/>
    <w:rsid w:val="00454B1D"/>
    <w:rsid w:val="00454DBC"/>
    <w:rsid w:val="00456387"/>
    <w:rsid w:val="004565C5"/>
    <w:rsid w:val="0045703F"/>
    <w:rsid w:val="00457D1F"/>
    <w:rsid w:val="00462B69"/>
    <w:rsid w:val="00462DF2"/>
    <w:rsid w:val="004635AB"/>
    <w:rsid w:val="00463D22"/>
    <w:rsid w:val="0046470D"/>
    <w:rsid w:val="004648DC"/>
    <w:rsid w:val="00464DEF"/>
    <w:rsid w:val="004654BE"/>
    <w:rsid w:val="004667EB"/>
    <w:rsid w:val="00466EAF"/>
    <w:rsid w:val="004675A6"/>
    <w:rsid w:val="004675C9"/>
    <w:rsid w:val="0047085F"/>
    <w:rsid w:val="00470DB1"/>
    <w:rsid w:val="00471B49"/>
    <w:rsid w:val="00472BA7"/>
    <w:rsid w:val="00472E48"/>
    <w:rsid w:val="00473426"/>
    <w:rsid w:val="00473501"/>
    <w:rsid w:val="0047583F"/>
    <w:rsid w:val="004758DA"/>
    <w:rsid w:val="00475EEE"/>
    <w:rsid w:val="004762D0"/>
    <w:rsid w:val="004777F6"/>
    <w:rsid w:val="004800EB"/>
    <w:rsid w:val="00481B2A"/>
    <w:rsid w:val="004820B4"/>
    <w:rsid w:val="004824C6"/>
    <w:rsid w:val="00482C84"/>
    <w:rsid w:val="00483E7D"/>
    <w:rsid w:val="00484718"/>
    <w:rsid w:val="0048542F"/>
    <w:rsid w:val="00485475"/>
    <w:rsid w:val="004863B6"/>
    <w:rsid w:val="004866BE"/>
    <w:rsid w:val="00486916"/>
    <w:rsid w:val="00487A09"/>
    <w:rsid w:val="00487B2D"/>
    <w:rsid w:val="00490597"/>
    <w:rsid w:val="00490D5C"/>
    <w:rsid w:val="00490FB6"/>
    <w:rsid w:val="004913AB"/>
    <w:rsid w:val="00491446"/>
    <w:rsid w:val="0049265F"/>
    <w:rsid w:val="0049385A"/>
    <w:rsid w:val="00494953"/>
    <w:rsid w:val="004953BE"/>
    <w:rsid w:val="00495A57"/>
    <w:rsid w:val="00497272"/>
    <w:rsid w:val="00497E54"/>
    <w:rsid w:val="004A0B40"/>
    <w:rsid w:val="004A10A2"/>
    <w:rsid w:val="004A1A74"/>
    <w:rsid w:val="004A297A"/>
    <w:rsid w:val="004A3223"/>
    <w:rsid w:val="004A3C2D"/>
    <w:rsid w:val="004A3DA5"/>
    <w:rsid w:val="004A4559"/>
    <w:rsid w:val="004A4B33"/>
    <w:rsid w:val="004A4CCA"/>
    <w:rsid w:val="004A55EB"/>
    <w:rsid w:val="004A59AD"/>
    <w:rsid w:val="004A6083"/>
    <w:rsid w:val="004A698A"/>
    <w:rsid w:val="004AD18F"/>
    <w:rsid w:val="004B1115"/>
    <w:rsid w:val="004B1756"/>
    <w:rsid w:val="004B1D4C"/>
    <w:rsid w:val="004B2340"/>
    <w:rsid w:val="004B31A5"/>
    <w:rsid w:val="004B40B7"/>
    <w:rsid w:val="004B4B7F"/>
    <w:rsid w:val="004B5528"/>
    <w:rsid w:val="004B5A2F"/>
    <w:rsid w:val="004B5D85"/>
    <w:rsid w:val="004B5F24"/>
    <w:rsid w:val="004B60A8"/>
    <w:rsid w:val="004B647D"/>
    <w:rsid w:val="004B6527"/>
    <w:rsid w:val="004C0259"/>
    <w:rsid w:val="004C0437"/>
    <w:rsid w:val="004C112E"/>
    <w:rsid w:val="004C27C3"/>
    <w:rsid w:val="004C2EFB"/>
    <w:rsid w:val="004C34CD"/>
    <w:rsid w:val="004C35DA"/>
    <w:rsid w:val="004C3CD3"/>
    <w:rsid w:val="004C4CA7"/>
    <w:rsid w:val="004C5472"/>
    <w:rsid w:val="004C561B"/>
    <w:rsid w:val="004C5733"/>
    <w:rsid w:val="004C74F3"/>
    <w:rsid w:val="004C7E88"/>
    <w:rsid w:val="004C7FC0"/>
    <w:rsid w:val="004D1750"/>
    <w:rsid w:val="004D1B1A"/>
    <w:rsid w:val="004D2352"/>
    <w:rsid w:val="004D2C88"/>
    <w:rsid w:val="004D3E8B"/>
    <w:rsid w:val="004D47AF"/>
    <w:rsid w:val="004D48BF"/>
    <w:rsid w:val="004D5853"/>
    <w:rsid w:val="004D626D"/>
    <w:rsid w:val="004D7DFF"/>
    <w:rsid w:val="004E1D08"/>
    <w:rsid w:val="004E221D"/>
    <w:rsid w:val="004E2B9A"/>
    <w:rsid w:val="004E2E8B"/>
    <w:rsid w:val="004E3B32"/>
    <w:rsid w:val="004E4B9B"/>
    <w:rsid w:val="004E56E9"/>
    <w:rsid w:val="004E7AA1"/>
    <w:rsid w:val="004F12E5"/>
    <w:rsid w:val="004F2329"/>
    <w:rsid w:val="004F2616"/>
    <w:rsid w:val="004F3E6A"/>
    <w:rsid w:val="004F452C"/>
    <w:rsid w:val="004F5068"/>
    <w:rsid w:val="004F584C"/>
    <w:rsid w:val="004F6158"/>
    <w:rsid w:val="004F6F03"/>
    <w:rsid w:val="004F7331"/>
    <w:rsid w:val="004F7363"/>
    <w:rsid w:val="005003C2"/>
    <w:rsid w:val="00501F57"/>
    <w:rsid w:val="00502C6E"/>
    <w:rsid w:val="005032CF"/>
    <w:rsid w:val="00503A29"/>
    <w:rsid w:val="00503A65"/>
    <w:rsid w:val="00503ECC"/>
    <w:rsid w:val="00504367"/>
    <w:rsid w:val="0050437B"/>
    <w:rsid w:val="005044C4"/>
    <w:rsid w:val="00504BA8"/>
    <w:rsid w:val="00504E94"/>
    <w:rsid w:val="00504F94"/>
    <w:rsid w:val="00505DC3"/>
    <w:rsid w:val="0050604C"/>
    <w:rsid w:val="00507D79"/>
    <w:rsid w:val="005101D3"/>
    <w:rsid w:val="00510278"/>
    <w:rsid w:val="00510858"/>
    <w:rsid w:val="005109A0"/>
    <w:rsid w:val="00510BDA"/>
    <w:rsid w:val="00510FCD"/>
    <w:rsid w:val="005114A4"/>
    <w:rsid w:val="00512664"/>
    <w:rsid w:val="005146FB"/>
    <w:rsid w:val="00514A63"/>
    <w:rsid w:val="0051582E"/>
    <w:rsid w:val="00516312"/>
    <w:rsid w:val="00521435"/>
    <w:rsid w:val="00522325"/>
    <w:rsid w:val="00522C8C"/>
    <w:rsid w:val="0052455E"/>
    <w:rsid w:val="005247F1"/>
    <w:rsid w:val="005255C7"/>
    <w:rsid w:val="005257F1"/>
    <w:rsid w:val="00525CFF"/>
    <w:rsid w:val="00526946"/>
    <w:rsid w:val="00527DBE"/>
    <w:rsid w:val="00530987"/>
    <w:rsid w:val="00531C89"/>
    <w:rsid w:val="00532B83"/>
    <w:rsid w:val="00532DB2"/>
    <w:rsid w:val="00533159"/>
    <w:rsid w:val="00534669"/>
    <w:rsid w:val="005347E0"/>
    <w:rsid w:val="0053489A"/>
    <w:rsid w:val="00534BC9"/>
    <w:rsid w:val="005369E7"/>
    <w:rsid w:val="005369F1"/>
    <w:rsid w:val="00536C05"/>
    <w:rsid w:val="00540074"/>
    <w:rsid w:val="00540171"/>
    <w:rsid w:val="00540CD7"/>
    <w:rsid w:val="005411E4"/>
    <w:rsid w:val="005413D9"/>
    <w:rsid w:val="00541B49"/>
    <w:rsid w:val="00542B8A"/>
    <w:rsid w:val="00542E16"/>
    <w:rsid w:val="00542F24"/>
    <w:rsid w:val="00543F33"/>
    <w:rsid w:val="00544469"/>
    <w:rsid w:val="00544DDD"/>
    <w:rsid w:val="00545650"/>
    <w:rsid w:val="005460CC"/>
    <w:rsid w:val="00546714"/>
    <w:rsid w:val="00546C55"/>
    <w:rsid w:val="0054799C"/>
    <w:rsid w:val="00550449"/>
    <w:rsid w:val="005504C7"/>
    <w:rsid w:val="005504F3"/>
    <w:rsid w:val="00551230"/>
    <w:rsid w:val="00551F6B"/>
    <w:rsid w:val="005528CA"/>
    <w:rsid w:val="005549BF"/>
    <w:rsid w:val="00554CE9"/>
    <w:rsid w:val="00555263"/>
    <w:rsid w:val="005554C0"/>
    <w:rsid w:val="005555F6"/>
    <w:rsid w:val="00556522"/>
    <w:rsid w:val="00560140"/>
    <w:rsid w:val="00560A03"/>
    <w:rsid w:val="00560E0E"/>
    <w:rsid w:val="00562C64"/>
    <w:rsid w:val="00562EE9"/>
    <w:rsid w:val="005635AE"/>
    <w:rsid w:val="005648A6"/>
    <w:rsid w:val="00565289"/>
    <w:rsid w:val="00565F0A"/>
    <w:rsid w:val="00565FF3"/>
    <w:rsid w:val="005662E3"/>
    <w:rsid w:val="00566A34"/>
    <w:rsid w:val="00567DAE"/>
    <w:rsid w:val="005700C0"/>
    <w:rsid w:val="00570256"/>
    <w:rsid w:val="005704E0"/>
    <w:rsid w:val="00570820"/>
    <w:rsid w:val="00571F9A"/>
    <w:rsid w:val="0057237F"/>
    <w:rsid w:val="00572590"/>
    <w:rsid w:val="005727B0"/>
    <w:rsid w:val="005746AF"/>
    <w:rsid w:val="00575C29"/>
    <w:rsid w:val="0057619C"/>
    <w:rsid w:val="005762C0"/>
    <w:rsid w:val="00576F0E"/>
    <w:rsid w:val="00577741"/>
    <w:rsid w:val="005809DC"/>
    <w:rsid w:val="00580B2F"/>
    <w:rsid w:val="00581269"/>
    <w:rsid w:val="00581423"/>
    <w:rsid w:val="0058189C"/>
    <w:rsid w:val="00581BF4"/>
    <w:rsid w:val="00581FEC"/>
    <w:rsid w:val="00582120"/>
    <w:rsid w:val="00582F5D"/>
    <w:rsid w:val="00584C5F"/>
    <w:rsid w:val="0058514D"/>
    <w:rsid w:val="00585A7A"/>
    <w:rsid w:val="00585C2E"/>
    <w:rsid w:val="00587119"/>
    <w:rsid w:val="00587AAF"/>
    <w:rsid w:val="00590580"/>
    <w:rsid w:val="00590CC7"/>
    <w:rsid w:val="005911FE"/>
    <w:rsid w:val="00591344"/>
    <w:rsid w:val="005918E3"/>
    <w:rsid w:val="00592844"/>
    <w:rsid w:val="00592B9E"/>
    <w:rsid w:val="00592D3C"/>
    <w:rsid w:val="0059347E"/>
    <w:rsid w:val="005936AF"/>
    <w:rsid w:val="00593CB1"/>
    <w:rsid w:val="0059464E"/>
    <w:rsid w:val="0059495E"/>
    <w:rsid w:val="00594AAE"/>
    <w:rsid w:val="00595EB1"/>
    <w:rsid w:val="00596D49"/>
    <w:rsid w:val="00596F64"/>
    <w:rsid w:val="00597367"/>
    <w:rsid w:val="00597D4A"/>
    <w:rsid w:val="005A0F72"/>
    <w:rsid w:val="005A11AF"/>
    <w:rsid w:val="005A1454"/>
    <w:rsid w:val="005A2FC6"/>
    <w:rsid w:val="005A3745"/>
    <w:rsid w:val="005A3B2D"/>
    <w:rsid w:val="005A3F05"/>
    <w:rsid w:val="005A51D8"/>
    <w:rsid w:val="005A5D51"/>
    <w:rsid w:val="005A6C5F"/>
    <w:rsid w:val="005A7C72"/>
    <w:rsid w:val="005B1A83"/>
    <w:rsid w:val="005B42E7"/>
    <w:rsid w:val="005B532F"/>
    <w:rsid w:val="005B553C"/>
    <w:rsid w:val="005B57A9"/>
    <w:rsid w:val="005B7DCB"/>
    <w:rsid w:val="005B7E0D"/>
    <w:rsid w:val="005C0E7F"/>
    <w:rsid w:val="005C218F"/>
    <w:rsid w:val="005C3080"/>
    <w:rsid w:val="005C3649"/>
    <w:rsid w:val="005C745D"/>
    <w:rsid w:val="005C7690"/>
    <w:rsid w:val="005C7DFA"/>
    <w:rsid w:val="005D1B5B"/>
    <w:rsid w:val="005D3B88"/>
    <w:rsid w:val="005D484D"/>
    <w:rsid w:val="005D4D6B"/>
    <w:rsid w:val="005D56E3"/>
    <w:rsid w:val="005D5F23"/>
    <w:rsid w:val="005D6555"/>
    <w:rsid w:val="005D6780"/>
    <w:rsid w:val="005D698B"/>
    <w:rsid w:val="005D6E44"/>
    <w:rsid w:val="005D7B1E"/>
    <w:rsid w:val="005D7B4A"/>
    <w:rsid w:val="005E0DFB"/>
    <w:rsid w:val="005E11E4"/>
    <w:rsid w:val="005E174F"/>
    <w:rsid w:val="005E24DC"/>
    <w:rsid w:val="005E25C7"/>
    <w:rsid w:val="005E360F"/>
    <w:rsid w:val="005E3958"/>
    <w:rsid w:val="005E3AFE"/>
    <w:rsid w:val="005E4648"/>
    <w:rsid w:val="005E5490"/>
    <w:rsid w:val="005E5B94"/>
    <w:rsid w:val="005E6ABA"/>
    <w:rsid w:val="005E75C8"/>
    <w:rsid w:val="005E7611"/>
    <w:rsid w:val="005F0A70"/>
    <w:rsid w:val="005F0B47"/>
    <w:rsid w:val="005F12A1"/>
    <w:rsid w:val="005F1453"/>
    <w:rsid w:val="005F1946"/>
    <w:rsid w:val="005F1F27"/>
    <w:rsid w:val="005F370B"/>
    <w:rsid w:val="005F3A1E"/>
    <w:rsid w:val="005F54F6"/>
    <w:rsid w:val="005F5697"/>
    <w:rsid w:val="005F5D65"/>
    <w:rsid w:val="005F5FD9"/>
    <w:rsid w:val="005F72DC"/>
    <w:rsid w:val="00601519"/>
    <w:rsid w:val="00601F5E"/>
    <w:rsid w:val="006023D6"/>
    <w:rsid w:val="00602653"/>
    <w:rsid w:val="00602B62"/>
    <w:rsid w:val="00603870"/>
    <w:rsid w:val="00603B15"/>
    <w:rsid w:val="00603E7C"/>
    <w:rsid w:val="00604C7C"/>
    <w:rsid w:val="006050D7"/>
    <w:rsid w:val="006064B1"/>
    <w:rsid w:val="00606654"/>
    <w:rsid w:val="00610700"/>
    <w:rsid w:val="00610F36"/>
    <w:rsid w:val="0061209E"/>
    <w:rsid w:val="00613E01"/>
    <w:rsid w:val="00614885"/>
    <w:rsid w:val="00614ACF"/>
    <w:rsid w:val="00614CB5"/>
    <w:rsid w:val="00614CC2"/>
    <w:rsid w:val="00615087"/>
    <w:rsid w:val="00615EC7"/>
    <w:rsid w:val="0061677F"/>
    <w:rsid w:val="006202EB"/>
    <w:rsid w:val="00621749"/>
    <w:rsid w:val="00621878"/>
    <w:rsid w:val="006224B9"/>
    <w:rsid w:val="006227C8"/>
    <w:rsid w:val="00623DA8"/>
    <w:rsid w:val="00624865"/>
    <w:rsid w:val="00624AE2"/>
    <w:rsid w:val="00624E0B"/>
    <w:rsid w:val="006259F0"/>
    <w:rsid w:val="00625E31"/>
    <w:rsid w:val="00630A72"/>
    <w:rsid w:val="00631A0F"/>
    <w:rsid w:val="00631D7D"/>
    <w:rsid w:val="0063418A"/>
    <w:rsid w:val="006345EC"/>
    <w:rsid w:val="0063497D"/>
    <w:rsid w:val="00634C7E"/>
    <w:rsid w:val="006351E7"/>
    <w:rsid w:val="00636DA8"/>
    <w:rsid w:val="00636F5F"/>
    <w:rsid w:val="00640BF3"/>
    <w:rsid w:val="00641179"/>
    <w:rsid w:val="00641C75"/>
    <w:rsid w:val="00641DF0"/>
    <w:rsid w:val="0064243F"/>
    <w:rsid w:val="00642B2E"/>
    <w:rsid w:val="00642FA1"/>
    <w:rsid w:val="00644E2A"/>
    <w:rsid w:val="00644F01"/>
    <w:rsid w:val="00645775"/>
    <w:rsid w:val="00646F3E"/>
    <w:rsid w:val="006475F8"/>
    <w:rsid w:val="006504ED"/>
    <w:rsid w:val="00651C51"/>
    <w:rsid w:val="00651FF5"/>
    <w:rsid w:val="0065232D"/>
    <w:rsid w:val="00652D84"/>
    <w:rsid w:val="006531EE"/>
    <w:rsid w:val="00653339"/>
    <w:rsid w:val="006546EC"/>
    <w:rsid w:val="006548CD"/>
    <w:rsid w:val="00654D80"/>
    <w:rsid w:val="0065603F"/>
    <w:rsid w:val="00657169"/>
    <w:rsid w:val="006576CE"/>
    <w:rsid w:val="006611DE"/>
    <w:rsid w:val="006613FB"/>
    <w:rsid w:val="006614B0"/>
    <w:rsid w:val="00661AC7"/>
    <w:rsid w:val="0066223C"/>
    <w:rsid w:val="0066225F"/>
    <w:rsid w:val="00662A5E"/>
    <w:rsid w:val="0066495B"/>
    <w:rsid w:val="006655E1"/>
    <w:rsid w:val="00671728"/>
    <w:rsid w:val="006719A0"/>
    <w:rsid w:val="00671AB8"/>
    <w:rsid w:val="006723DA"/>
    <w:rsid w:val="0067291F"/>
    <w:rsid w:val="006729DB"/>
    <w:rsid w:val="00673A53"/>
    <w:rsid w:val="00675015"/>
    <w:rsid w:val="00675BA0"/>
    <w:rsid w:val="00675FCE"/>
    <w:rsid w:val="00676ABD"/>
    <w:rsid w:val="00677E06"/>
    <w:rsid w:val="0068124F"/>
    <w:rsid w:val="0068142E"/>
    <w:rsid w:val="006814D2"/>
    <w:rsid w:val="00681A9A"/>
    <w:rsid w:val="00681B96"/>
    <w:rsid w:val="006837A9"/>
    <w:rsid w:val="00683B5F"/>
    <w:rsid w:val="006841FA"/>
    <w:rsid w:val="00684721"/>
    <w:rsid w:val="00684CFD"/>
    <w:rsid w:val="006855CB"/>
    <w:rsid w:val="00685ABA"/>
    <w:rsid w:val="006907B8"/>
    <w:rsid w:val="00691CC1"/>
    <w:rsid w:val="00691F61"/>
    <w:rsid w:val="00692E3C"/>
    <w:rsid w:val="00692FAE"/>
    <w:rsid w:val="00693B80"/>
    <w:rsid w:val="00694927"/>
    <w:rsid w:val="00695A0F"/>
    <w:rsid w:val="00695CC8"/>
    <w:rsid w:val="0069636E"/>
    <w:rsid w:val="00696FF1"/>
    <w:rsid w:val="00697734"/>
    <w:rsid w:val="00697860"/>
    <w:rsid w:val="00697F60"/>
    <w:rsid w:val="006A09F3"/>
    <w:rsid w:val="006A105A"/>
    <w:rsid w:val="006A15FF"/>
    <w:rsid w:val="006A1ED9"/>
    <w:rsid w:val="006A208B"/>
    <w:rsid w:val="006A236F"/>
    <w:rsid w:val="006A38B4"/>
    <w:rsid w:val="006A39A0"/>
    <w:rsid w:val="006A462C"/>
    <w:rsid w:val="006A5C16"/>
    <w:rsid w:val="006A61B5"/>
    <w:rsid w:val="006A6382"/>
    <w:rsid w:val="006A6918"/>
    <w:rsid w:val="006A79DB"/>
    <w:rsid w:val="006A7D6B"/>
    <w:rsid w:val="006B10D0"/>
    <w:rsid w:val="006B141A"/>
    <w:rsid w:val="006B17EB"/>
    <w:rsid w:val="006B1E38"/>
    <w:rsid w:val="006B2EA1"/>
    <w:rsid w:val="006B3FD1"/>
    <w:rsid w:val="006B4ACA"/>
    <w:rsid w:val="006B5076"/>
    <w:rsid w:val="006B5205"/>
    <w:rsid w:val="006B5ECB"/>
    <w:rsid w:val="006C4E78"/>
    <w:rsid w:val="006C53F2"/>
    <w:rsid w:val="006C6ABE"/>
    <w:rsid w:val="006C6B12"/>
    <w:rsid w:val="006C6D48"/>
    <w:rsid w:val="006C734C"/>
    <w:rsid w:val="006D0CDE"/>
    <w:rsid w:val="006D104A"/>
    <w:rsid w:val="006D2872"/>
    <w:rsid w:val="006D2A63"/>
    <w:rsid w:val="006D2CD5"/>
    <w:rsid w:val="006D44BD"/>
    <w:rsid w:val="006D48DC"/>
    <w:rsid w:val="006D4B76"/>
    <w:rsid w:val="006D5EDC"/>
    <w:rsid w:val="006D5FC6"/>
    <w:rsid w:val="006D76ED"/>
    <w:rsid w:val="006D7E89"/>
    <w:rsid w:val="006E2524"/>
    <w:rsid w:val="006E615D"/>
    <w:rsid w:val="006E7BC1"/>
    <w:rsid w:val="006E7DAA"/>
    <w:rsid w:val="006F1851"/>
    <w:rsid w:val="006F1C8D"/>
    <w:rsid w:val="006F20C2"/>
    <w:rsid w:val="006F2AB4"/>
    <w:rsid w:val="006F3604"/>
    <w:rsid w:val="006F3B9D"/>
    <w:rsid w:val="006F4219"/>
    <w:rsid w:val="006F48C7"/>
    <w:rsid w:val="006F58DA"/>
    <w:rsid w:val="006F5E9D"/>
    <w:rsid w:val="006F6DBE"/>
    <w:rsid w:val="006F7461"/>
    <w:rsid w:val="00700F91"/>
    <w:rsid w:val="007018BF"/>
    <w:rsid w:val="007018D1"/>
    <w:rsid w:val="0070215F"/>
    <w:rsid w:val="00704526"/>
    <w:rsid w:val="0070778E"/>
    <w:rsid w:val="007106C0"/>
    <w:rsid w:val="00710872"/>
    <w:rsid w:val="00710D29"/>
    <w:rsid w:val="007110BC"/>
    <w:rsid w:val="007113A0"/>
    <w:rsid w:val="00711AB8"/>
    <w:rsid w:val="0071221A"/>
    <w:rsid w:val="007129DE"/>
    <w:rsid w:val="00712A14"/>
    <w:rsid w:val="00713AA8"/>
    <w:rsid w:val="007154C1"/>
    <w:rsid w:val="0071605C"/>
    <w:rsid w:val="0071648C"/>
    <w:rsid w:val="00716655"/>
    <w:rsid w:val="007179E3"/>
    <w:rsid w:val="00717F2A"/>
    <w:rsid w:val="00720155"/>
    <w:rsid w:val="00720A3A"/>
    <w:rsid w:val="00720F1E"/>
    <w:rsid w:val="007216D4"/>
    <w:rsid w:val="00721D16"/>
    <w:rsid w:val="007230C6"/>
    <w:rsid w:val="00724752"/>
    <w:rsid w:val="007249FF"/>
    <w:rsid w:val="00725646"/>
    <w:rsid w:val="00725B47"/>
    <w:rsid w:val="00726687"/>
    <w:rsid w:val="00726B06"/>
    <w:rsid w:val="00727B11"/>
    <w:rsid w:val="00731E05"/>
    <w:rsid w:val="00731EC9"/>
    <w:rsid w:val="00733530"/>
    <w:rsid w:val="00733D34"/>
    <w:rsid w:val="0073483B"/>
    <w:rsid w:val="00734B97"/>
    <w:rsid w:val="00734E18"/>
    <w:rsid w:val="00735E9C"/>
    <w:rsid w:val="007365DF"/>
    <w:rsid w:val="00736D15"/>
    <w:rsid w:val="00736F28"/>
    <w:rsid w:val="00737371"/>
    <w:rsid w:val="00737636"/>
    <w:rsid w:val="00737DAB"/>
    <w:rsid w:val="0074012E"/>
    <w:rsid w:val="00740274"/>
    <w:rsid w:val="007408B4"/>
    <w:rsid w:val="00740BBE"/>
    <w:rsid w:val="00740DF6"/>
    <w:rsid w:val="007417A8"/>
    <w:rsid w:val="00742145"/>
    <w:rsid w:val="007439C0"/>
    <w:rsid w:val="00745605"/>
    <w:rsid w:val="007456E1"/>
    <w:rsid w:val="00745D55"/>
    <w:rsid w:val="00746094"/>
    <w:rsid w:val="00747424"/>
    <w:rsid w:val="00747550"/>
    <w:rsid w:val="00747981"/>
    <w:rsid w:val="00750764"/>
    <w:rsid w:val="00750F86"/>
    <w:rsid w:val="00751457"/>
    <w:rsid w:val="00751833"/>
    <w:rsid w:val="00752A15"/>
    <w:rsid w:val="007534C1"/>
    <w:rsid w:val="007542FC"/>
    <w:rsid w:val="00754594"/>
    <w:rsid w:val="00754794"/>
    <w:rsid w:val="0075518A"/>
    <w:rsid w:val="0075762E"/>
    <w:rsid w:val="00757884"/>
    <w:rsid w:val="0076001D"/>
    <w:rsid w:val="007612F0"/>
    <w:rsid w:val="0076222A"/>
    <w:rsid w:val="00763069"/>
    <w:rsid w:val="0076309D"/>
    <w:rsid w:val="00763917"/>
    <w:rsid w:val="007640D7"/>
    <w:rsid w:val="007650FC"/>
    <w:rsid w:val="007653A9"/>
    <w:rsid w:val="00765983"/>
    <w:rsid w:val="007661E2"/>
    <w:rsid w:val="007665C6"/>
    <w:rsid w:val="0076790F"/>
    <w:rsid w:val="0077091E"/>
    <w:rsid w:val="00773B56"/>
    <w:rsid w:val="00774458"/>
    <w:rsid w:val="0077503A"/>
    <w:rsid w:val="007750C6"/>
    <w:rsid w:val="00775680"/>
    <w:rsid w:val="007756F4"/>
    <w:rsid w:val="00775DC5"/>
    <w:rsid w:val="0077608A"/>
    <w:rsid w:val="00776206"/>
    <w:rsid w:val="007768F0"/>
    <w:rsid w:val="007779D3"/>
    <w:rsid w:val="00777A48"/>
    <w:rsid w:val="00780211"/>
    <w:rsid w:val="00780215"/>
    <w:rsid w:val="00780648"/>
    <w:rsid w:val="007809FE"/>
    <w:rsid w:val="00780A2E"/>
    <w:rsid w:val="007817D1"/>
    <w:rsid w:val="00781FD9"/>
    <w:rsid w:val="00783214"/>
    <w:rsid w:val="0078378B"/>
    <w:rsid w:val="00783930"/>
    <w:rsid w:val="007839F7"/>
    <w:rsid w:val="00784323"/>
    <w:rsid w:val="00784A40"/>
    <w:rsid w:val="00784E13"/>
    <w:rsid w:val="00785CD0"/>
    <w:rsid w:val="007875EE"/>
    <w:rsid w:val="00790118"/>
    <w:rsid w:val="007906DE"/>
    <w:rsid w:val="0079126F"/>
    <w:rsid w:val="0079182A"/>
    <w:rsid w:val="00791CB9"/>
    <w:rsid w:val="00791D3C"/>
    <w:rsid w:val="007933FC"/>
    <w:rsid w:val="00793555"/>
    <w:rsid w:val="00794D61"/>
    <w:rsid w:val="007951C5"/>
    <w:rsid w:val="0079540E"/>
    <w:rsid w:val="00795670"/>
    <w:rsid w:val="00795BEB"/>
    <w:rsid w:val="007964A3"/>
    <w:rsid w:val="007967DE"/>
    <w:rsid w:val="0079696B"/>
    <w:rsid w:val="007A086B"/>
    <w:rsid w:val="007A0B05"/>
    <w:rsid w:val="007A1F1B"/>
    <w:rsid w:val="007A2477"/>
    <w:rsid w:val="007A3CB0"/>
    <w:rsid w:val="007A621B"/>
    <w:rsid w:val="007A6517"/>
    <w:rsid w:val="007A735C"/>
    <w:rsid w:val="007A77A0"/>
    <w:rsid w:val="007A7D7B"/>
    <w:rsid w:val="007B0160"/>
    <w:rsid w:val="007B257A"/>
    <w:rsid w:val="007B2803"/>
    <w:rsid w:val="007B2879"/>
    <w:rsid w:val="007B2F51"/>
    <w:rsid w:val="007B3FD9"/>
    <w:rsid w:val="007B45E0"/>
    <w:rsid w:val="007B47AB"/>
    <w:rsid w:val="007B5A0C"/>
    <w:rsid w:val="007B5FA3"/>
    <w:rsid w:val="007B6670"/>
    <w:rsid w:val="007B78AA"/>
    <w:rsid w:val="007C0854"/>
    <w:rsid w:val="007C36B7"/>
    <w:rsid w:val="007C3C45"/>
    <w:rsid w:val="007C4B71"/>
    <w:rsid w:val="007C56B5"/>
    <w:rsid w:val="007C6AC3"/>
    <w:rsid w:val="007C7DF7"/>
    <w:rsid w:val="007C7F42"/>
    <w:rsid w:val="007D021F"/>
    <w:rsid w:val="007D0B16"/>
    <w:rsid w:val="007D1025"/>
    <w:rsid w:val="007D116C"/>
    <w:rsid w:val="007D20F1"/>
    <w:rsid w:val="007D27BE"/>
    <w:rsid w:val="007D301D"/>
    <w:rsid w:val="007D40F2"/>
    <w:rsid w:val="007D4DCE"/>
    <w:rsid w:val="007D50E8"/>
    <w:rsid w:val="007D5F74"/>
    <w:rsid w:val="007D6277"/>
    <w:rsid w:val="007D6CCB"/>
    <w:rsid w:val="007D73E9"/>
    <w:rsid w:val="007E132F"/>
    <w:rsid w:val="007E2334"/>
    <w:rsid w:val="007E34FB"/>
    <w:rsid w:val="007E3D16"/>
    <w:rsid w:val="007E4251"/>
    <w:rsid w:val="007E55A1"/>
    <w:rsid w:val="007E5EE8"/>
    <w:rsid w:val="007E6FBB"/>
    <w:rsid w:val="007E7D51"/>
    <w:rsid w:val="007F02FA"/>
    <w:rsid w:val="007F0A5B"/>
    <w:rsid w:val="007F0B45"/>
    <w:rsid w:val="007F1F2B"/>
    <w:rsid w:val="007F2D1D"/>
    <w:rsid w:val="007F3F96"/>
    <w:rsid w:val="007F51CF"/>
    <w:rsid w:val="007F5D01"/>
    <w:rsid w:val="007F5DF3"/>
    <w:rsid w:val="007F6C26"/>
    <w:rsid w:val="007F75CB"/>
    <w:rsid w:val="007F75FC"/>
    <w:rsid w:val="007F7A7C"/>
    <w:rsid w:val="00802073"/>
    <w:rsid w:val="0080210A"/>
    <w:rsid w:val="00804D2C"/>
    <w:rsid w:val="00805C16"/>
    <w:rsid w:val="0080642F"/>
    <w:rsid w:val="008076C0"/>
    <w:rsid w:val="00807DE9"/>
    <w:rsid w:val="00810E5F"/>
    <w:rsid w:val="008124E4"/>
    <w:rsid w:val="008126E5"/>
    <w:rsid w:val="00812D9E"/>
    <w:rsid w:val="008139EA"/>
    <w:rsid w:val="00814449"/>
    <w:rsid w:val="00814536"/>
    <w:rsid w:val="008145E7"/>
    <w:rsid w:val="0081468E"/>
    <w:rsid w:val="0081486B"/>
    <w:rsid w:val="00814DFD"/>
    <w:rsid w:val="008157C2"/>
    <w:rsid w:val="00815E1A"/>
    <w:rsid w:val="00816181"/>
    <w:rsid w:val="008166E7"/>
    <w:rsid w:val="00817094"/>
    <w:rsid w:val="00817502"/>
    <w:rsid w:val="00817645"/>
    <w:rsid w:val="0081A547"/>
    <w:rsid w:val="0082093B"/>
    <w:rsid w:val="00820DB8"/>
    <w:rsid w:val="008217C2"/>
    <w:rsid w:val="00821EBD"/>
    <w:rsid w:val="00822D9F"/>
    <w:rsid w:val="008234C3"/>
    <w:rsid w:val="00825C67"/>
    <w:rsid w:val="0082624B"/>
    <w:rsid w:val="00826863"/>
    <w:rsid w:val="008272E9"/>
    <w:rsid w:val="008306EB"/>
    <w:rsid w:val="00830763"/>
    <w:rsid w:val="008317D7"/>
    <w:rsid w:val="008319CF"/>
    <w:rsid w:val="00831D19"/>
    <w:rsid w:val="00832795"/>
    <w:rsid w:val="00835298"/>
    <w:rsid w:val="00835DED"/>
    <w:rsid w:val="00836467"/>
    <w:rsid w:val="0083736D"/>
    <w:rsid w:val="00837A1A"/>
    <w:rsid w:val="008402C4"/>
    <w:rsid w:val="00840717"/>
    <w:rsid w:val="0084097A"/>
    <w:rsid w:val="00840C6D"/>
    <w:rsid w:val="00841AF5"/>
    <w:rsid w:val="00842503"/>
    <w:rsid w:val="008433F8"/>
    <w:rsid w:val="008433FF"/>
    <w:rsid w:val="008437F9"/>
    <w:rsid w:val="00846160"/>
    <w:rsid w:val="00847177"/>
    <w:rsid w:val="00847CA6"/>
    <w:rsid w:val="00852599"/>
    <w:rsid w:val="00852E6D"/>
    <w:rsid w:val="00853485"/>
    <w:rsid w:val="00853517"/>
    <w:rsid w:val="008556B1"/>
    <w:rsid w:val="00855D78"/>
    <w:rsid w:val="008571F6"/>
    <w:rsid w:val="00857AAA"/>
    <w:rsid w:val="00857F1D"/>
    <w:rsid w:val="00860EDD"/>
    <w:rsid w:val="00860F04"/>
    <w:rsid w:val="00861799"/>
    <w:rsid w:val="00861A8C"/>
    <w:rsid w:val="00861E13"/>
    <w:rsid w:val="00861E84"/>
    <w:rsid w:val="008620FD"/>
    <w:rsid w:val="008632F7"/>
    <w:rsid w:val="008635F6"/>
    <w:rsid w:val="00863AE5"/>
    <w:rsid w:val="00863C37"/>
    <w:rsid w:val="00864D45"/>
    <w:rsid w:val="00864DB0"/>
    <w:rsid w:val="008652E2"/>
    <w:rsid w:val="008657DE"/>
    <w:rsid w:val="008662A6"/>
    <w:rsid w:val="00866563"/>
    <w:rsid w:val="00866B15"/>
    <w:rsid w:val="008671E3"/>
    <w:rsid w:val="008675C3"/>
    <w:rsid w:val="008702AA"/>
    <w:rsid w:val="00870C23"/>
    <w:rsid w:val="00870DD3"/>
    <w:rsid w:val="00871E6C"/>
    <w:rsid w:val="00872D32"/>
    <w:rsid w:val="0087307D"/>
    <w:rsid w:val="00875424"/>
    <w:rsid w:val="00875F66"/>
    <w:rsid w:val="008768D7"/>
    <w:rsid w:val="00876908"/>
    <w:rsid w:val="00876923"/>
    <w:rsid w:val="00877A0B"/>
    <w:rsid w:val="0088036B"/>
    <w:rsid w:val="00880DF2"/>
    <w:rsid w:val="00882D86"/>
    <w:rsid w:val="00882F91"/>
    <w:rsid w:val="00885AF2"/>
    <w:rsid w:val="0088618E"/>
    <w:rsid w:val="008862C3"/>
    <w:rsid w:val="008866F8"/>
    <w:rsid w:val="00890EBE"/>
    <w:rsid w:val="0089121C"/>
    <w:rsid w:val="00891394"/>
    <w:rsid w:val="00892154"/>
    <w:rsid w:val="00892562"/>
    <w:rsid w:val="00892F03"/>
    <w:rsid w:val="00893624"/>
    <w:rsid w:val="00893D8E"/>
    <w:rsid w:val="00893DF8"/>
    <w:rsid w:val="00894D31"/>
    <w:rsid w:val="00894FC3"/>
    <w:rsid w:val="00895693"/>
    <w:rsid w:val="00896925"/>
    <w:rsid w:val="00897219"/>
    <w:rsid w:val="008A020D"/>
    <w:rsid w:val="008A1AAA"/>
    <w:rsid w:val="008A1E30"/>
    <w:rsid w:val="008A1E7D"/>
    <w:rsid w:val="008A236E"/>
    <w:rsid w:val="008A2927"/>
    <w:rsid w:val="008A306E"/>
    <w:rsid w:val="008A3385"/>
    <w:rsid w:val="008A388A"/>
    <w:rsid w:val="008A43EC"/>
    <w:rsid w:val="008A4A1B"/>
    <w:rsid w:val="008A4C6B"/>
    <w:rsid w:val="008A4E0A"/>
    <w:rsid w:val="008A5895"/>
    <w:rsid w:val="008A7B4D"/>
    <w:rsid w:val="008B06CC"/>
    <w:rsid w:val="008B1538"/>
    <w:rsid w:val="008B1B66"/>
    <w:rsid w:val="008B1D3A"/>
    <w:rsid w:val="008B25E4"/>
    <w:rsid w:val="008B3E87"/>
    <w:rsid w:val="008B4292"/>
    <w:rsid w:val="008B5C57"/>
    <w:rsid w:val="008B6151"/>
    <w:rsid w:val="008B705A"/>
    <w:rsid w:val="008B735A"/>
    <w:rsid w:val="008B783A"/>
    <w:rsid w:val="008B7AFC"/>
    <w:rsid w:val="008C1504"/>
    <w:rsid w:val="008C1A06"/>
    <w:rsid w:val="008C1B6E"/>
    <w:rsid w:val="008C346F"/>
    <w:rsid w:val="008C4B85"/>
    <w:rsid w:val="008C5542"/>
    <w:rsid w:val="008C5A1A"/>
    <w:rsid w:val="008C6CF8"/>
    <w:rsid w:val="008C7703"/>
    <w:rsid w:val="008D0749"/>
    <w:rsid w:val="008D0B5A"/>
    <w:rsid w:val="008D16D7"/>
    <w:rsid w:val="008D2218"/>
    <w:rsid w:val="008D2C75"/>
    <w:rsid w:val="008D38A1"/>
    <w:rsid w:val="008D4365"/>
    <w:rsid w:val="008D4B95"/>
    <w:rsid w:val="008D4D79"/>
    <w:rsid w:val="008D5004"/>
    <w:rsid w:val="008D50FE"/>
    <w:rsid w:val="008D5FD5"/>
    <w:rsid w:val="008D60F4"/>
    <w:rsid w:val="008D7495"/>
    <w:rsid w:val="008D7CE7"/>
    <w:rsid w:val="008E1B32"/>
    <w:rsid w:val="008E255C"/>
    <w:rsid w:val="008E2858"/>
    <w:rsid w:val="008E3352"/>
    <w:rsid w:val="008E3F71"/>
    <w:rsid w:val="008E4D2A"/>
    <w:rsid w:val="008E4E95"/>
    <w:rsid w:val="008E63AD"/>
    <w:rsid w:val="008E63F7"/>
    <w:rsid w:val="008E6BAE"/>
    <w:rsid w:val="008E6F36"/>
    <w:rsid w:val="008E7D3F"/>
    <w:rsid w:val="008E7FB4"/>
    <w:rsid w:val="008F2797"/>
    <w:rsid w:val="008F27BF"/>
    <w:rsid w:val="008F382E"/>
    <w:rsid w:val="008F4526"/>
    <w:rsid w:val="008F4CD5"/>
    <w:rsid w:val="008F5412"/>
    <w:rsid w:val="008F5EA2"/>
    <w:rsid w:val="008F6D68"/>
    <w:rsid w:val="008F7942"/>
    <w:rsid w:val="008F7B84"/>
    <w:rsid w:val="008F7D58"/>
    <w:rsid w:val="009002E1"/>
    <w:rsid w:val="00900C46"/>
    <w:rsid w:val="009029E6"/>
    <w:rsid w:val="009031CA"/>
    <w:rsid w:val="009034F6"/>
    <w:rsid w:val="009036B6"/>
    <w:rsid w:val="009038CD"/>
    <w:rsid w:val="00904BA5"/>
    <w:rsid w:val="00905FCA"/>
    <w:rsid w:val="009061EE"/>
    <w:rsid w:val="00906939"/>
    <w:rsid w:val="009076FE"/>
    <w:rsid w:val="00907E9F"/>
    <w:rsid w:val="00910624"/>
    <w:rsid w:val="00912089"/>
    <w:rsid w:val="0091476F"/>
    <w:rsid w:val="00914C6D"/>
    <w:rsid w:val="009151C1"/>
    <w:rsid w:val="00915D61"/>
    <w:rsid w:val="00915E5B"/>
    <w:rsid w:val="00916087"/>
    <w:rsid w:val="00916353"/>
    <w:rsid w:val="00916F73"/>
    <w:rsid w:val="00917063"/>
    <w:rsid w:val="0091723A"/>
    <w:rsid w:val="009173DC"/>
    <w:rsid w:val="009178A0"/>
    <w:rsid w:val="00917A14"/>
    <w:rsid w:val="009214E2"/>
    <w:rsid w:val="00921F43"/>
    <w:rsid w:val="00922409"/>
    <w:rsid w:val="00922F00"/>
    <w:rsid w:val="00922F90"/>
    <w:rsid w:val="0092312A"/>
    <w:rsid w:val="0092353E"/>
    <w:rsid w:val="009236E5"/>
    <w:rsid w:val="00924700"/>
    <w:rsid w:val="00924896"/>
    <w:rsid w:val="00924D56"/>
    <w:rsid w:val="00924E4C"/>
    <w:rsid w:val="00924FFE"/>
    <w:rsid w:val="00925CEC"/>
    <w:rsid w:val="009266D6"/>
    <w:rsid w:val="00927378"/>
    <w:rsid w:val="009273B2"/>
    <w:rsid w:val="0092746B"/>
    <w:rsid w:val="00927B21"/>
    <w:rsid w:val="00930166"/>
    <w:rsid w:val="0093245F"/>
    <w:rsid w:val="009325F9"/>
    <w:rsid w:val="00933500"/>
    <w:rsid w:val="00933C54"/>
    <w:rsid w:val="0093508A"/>
    <w:rsid w:val="00935463"/>
    <w:rsid w:val="00935DF8"/>
    <w:rsid w:val="00935FB9"/>
    <w:rsid w:val="009367E5"/>
    <w:rsid w:val="00936B65"/>
    <w:rsid w:val="009374B7"/>
    <w:rsid w:val="00937C36"/>
    <w:rsid w:val="00937E90"/>
    <w:rsid w:val="009409B8"/>
    <w:rsid w:val="00940AFE"/>
    <w:rsid w:val="009413B9"/>
    <w:rsid w:val="00941FAA"/>
    <w:rsid w:val="00942534"/>
    <w:rsid w:val="009425F4"/>
    <w:rsid w:val="0094271F"/>
    <w:rsid w:val="00943B1A"/>
    <w:rsid w:val="00943B2C"/>
    <w:rsid w:val="00944638"/>
    <w:rsid w:val="009447DF"/>
    <w:rsid w:val="00944867"/>
    <w:rsid w:val="00945B3E"/>
    <w:rsid w:val="00946666"/>
    <w:rsid w:val="00946AE7"/>
    <w:rsid w:val="00947E67"/>
    <w:rsid w:val="0095256E"/>
    <w:rsid w:val="009543B1"/>
    <w:rsid w:val="00954604"/>
    <w:rsid w:val="00954DA9"/>
    <w:rsid w:val="0095510D"/>
    <w:rsid w:val="00956467"/>
    <w:rsid w:val="00957480"/>
    <w:rsid w:val="0095798C"/>
    <w:rsid w:val="0096017E"/>
    <w:rsid w:val="00962961"/>
    <w:rsid w:val="0096299F"/>
    <w:rsid w:val="009629FA"/>
    <w:rsid w:val="009631CD"/>
    <w:rsid w:val="009632C9"/>
    <w:rsid w:val="009643E0"/>
    <w:rsid w:val="00964F84"/>
    <w:rsid w:val="00965B20"/>
    <w:rsid w:val="00966052"/>
    <w:rsid w:val="009662C3"/>
    <w:rsid w:val="00967077"/>
    <w:rsid w:val="00967E72"/>
    <w:rsid w:val="00970A04"/>
    <w:rsid w:val="0097145C"/>
    <w:rsid w:val="00971770"/>
    <w:rsid w:val="00972D0B"/>
    <w:rsid w:val="00973B67"/>
    <w:rsid w:val="0097416D"/>
    <w:rsid w:val="00974595"/>
    <w:rsid w:val="00974C55"/>
    <w:rsid w:val="00975466"/>
    <w:rsid w:val="00975972"/>
    <w:rsid w:val="009766BB"/>
    <w:rsid w:val="00977086"/>
    <w:rsid w:val="009770E9"/>
    <w:rsid w:val="00977CDD"/>
    <w:rsid w:val="00977DFE"/>
    <w:rsid w:val="009802C5"/>
    <w:rsid w:val="00981544"/>
    <w:rsid w:val="00981C4E"/>
    <w:rsid w:val="00981F3E"/>
    <w:rsid w:val="009822AB"/>
    <w:rsid w:val="009835F7"/>
    <w:rsid w:val="009849F3"/>
    <w:rsid w:val="009856C8"/>
    <w:rsid w:val="0098573D"/>
    <w:rsid w:val="009875F6"/>
    <w:rsid w:val="00987F87"/>
    <w:rsid w:val="0099084A"/>
    <w:rsid w:val="00990B05"/>
    <w:rsid w:val="009914FF"/>
    <w:rsid w:val="00991CA0"/>
    <w:rsid w:val="00993D26"/>
    <w:rsid w:val="009940F5"/>
    <w:rsid w:val="009944D7"/>
    <w:rsid w:val="0099465F"/>
    <w:rsid w:val="0099688C"/>
    <w:rsid w:val="00996FFC"/>
    <w:rsid w:val="009A0535"/>
    <w:rsid w:val="009A1407"/>
    <w:rsid w:val="009A1877"/>
    <w:rsid w:val="009A2D57"/>
    <w:rsid w:val="009A2F09"/>
    <w:rsid w:val="009A40A2"/>
    <w:rsid w:val="009A523F"/>
    <w:rsid w:val="009A5680"/>
    <w:rsid w:val="009A5958"/>
    <w:rsid w:val="009A7323"/>
    <w:rsid w:val="009A7621"/>
    <w:rsid w:val="009AAA8A"/>
    <w:rsid w:val="009B08C1"/>
    <w:rsid w:val="009B098A"/>
    <w:rsid w:val="009B0A01"/>
    <w:rsid w:val="009B18FC"/>
    <w:rsid w:val="009B1B03"/>
    <w:rsid w:val="009B1DAD"/>
    <w:rsid w:val="009B1E1C"/>
    <w:rsid w:val="009B273B"/>
    <w:rsid w:val="009B2927"/>
    <w:rsid w:val="009B313C"/>
    <w:rsid w:val="009B37DB"/>
    <w:rsid w:val="009B43A0"/>
    <w:rsid w:val="009B4911"/>
    <w:rsid w:val="009B4F2E"/>
    <w:rsid w:val="009B6E2F"/>
    <w:rsid w:val="009B7060"/>
    <w:rsid w:val="009B71CF"/>
    <w:rsid w:val="009B728F"/>
    <w:rsid w:val="009B76FD"/>
    <w:rsid w:val="009BFB39"/>
    <w:rsid w:val="009C02DA"/>
    <w:rsid w:val="009C26BB"/>
    <w:rsid w:val="009C3993"/>
    <w:rsid w:val="009C404E"/>
    <w:rsid w:val="009C541A"/>
    <w:rsid w:val="009C611A"/>
    <w:rsid w:val="009C6985"/>
    <w:rsid w:val="009C7341"/>
    <w:rsid w:val="009C737D"/>
    <w:rsid w:val="009C7CE5"/>
    <w:rsid w:val="009D0993"/>
    <w:rsid w:val="009D0A69"/>
    <w:rsid w:val="009D0F81"/>
    <w:rsid w:val="009D1B86"/>
    <w:rsid w:val="009D2C6E"/>
    <w:rsid w:val="009D3471"/>
    <w:rsid w:val="009D3523"/>
    <w:rsid w:val="009D3DE4"/>
    <w:rsid w:val="009D4AD3"/>
    <w:rsid w:val="009D4CFB"/>
    <w:rsid w:val="009D5118"/>
    <w:rsid w:val="009D5289"/>
    <w:rsid w:val="009D539E"/>
    <w:rsid w:val="009D5512"/>
    <w:rsid w:val="009D5828"/>
    <w:rsid w:val="009D7818"/>
    <w:rsid w:val="009E05CF"/>
    <w:rsid w:val="009E061B"/>
    <w:rsid w:val="009E1199"/>
    <w:rsid w:val="009E1259"/>
    <w:rsid w:val="009E1659"/>
    <w:rsid w:val="009E1A73"/>
    <w:rsid w:val="009E1D60"/>
    <w:rsid w:val="009E235C"/>
    <w:rsid w:val="009E2A07"/>
    <w:rsid w:val="009E2A36"/>
    <w:rsid w:val="009E3098"/>
    <w:rsid w:val="009E3151"/>
    <w:rsid w:val="009E36A5"/>
    <w:rsid w:val="009E3A2A"/>
    <w:rsid w:val="009E43D4"/>
    <w:rsid w:val="009E676A"/>
    <w:rsid w:val="009E7685"/>
    <w:rsid w:val="009E7754"/>
    <w:rsid w:val="009F096B"/>
    <w:rsid w:val="009F3E1B"/>
    <w:rsid w:val="009F4012"/>
    <w:rsid w:val="009F4549"/>
    <w:rsid w:val="009F4E27"/>
    <w:rsid w:val="009F4F5B"/>
    <w:rsid w:val="009F72D1"/>
    <w:rsid w:val="009F7549"/>
    <w:rsid w:val="00A0031F"/>
    <w:rsid w:val="00A0147D"/>
    <w:rsid w:val="00A01960"/>
    <w:rsid w:val="00A02092"/>
    <w:rsid w:val="00A02EA8"/>
    <w:rsid w:val="00A03039"/>
    <w:rsid w:val="00A03471"/>
    <w:rsid w:val="00A06521"/>
    <w:rsid w:val="00A07952"/>
    <w:rsid w:val="00A07C28"/>
    <w:rsid w:val="00A101E8"/>
    <w:rsid w:val="00A104A3"/>
    <w:rsid w:val="00A10C9E"/>
    <w:rsid w:val="00A11262"/>
    <w:rsid w:val="00A132E3"/>
    <w:rsid w:val="00A15C63"/>
    <w:rsid w:val="00A17066"/>
    <w:rsid w:val="00A171CA"/>
    <w:rsid w:val="00A20341"/>
    <w:rsid w:val="00A2070E"/>
    <w:rsid w:val="00A20F78"/>
    <w:rsid w:val="00A2158D"/>
    <w:rsid w:val="00A2244C"/>
    <w:rsid w:val="00A23041"/>
    <w:rsid w:val="00A23696"/>
    <w:rsid w:val="00A23890"/>
    <w:rsid w:val="00A24380"/>
    <w:rsid w:val="00A24CB2"/>
    <w:rsid w:val="00A25797"/>
    <w:rsid w:val="00A2583A"/>
    <w:rsid w:val="00A25D4A"/>
    <w:rsid w:val="00A25F2F"/>
    <w:rsid w:val="00A2620D"/>
    <w:rsid w:val="00A269F0"/>
    <w:rsid w:val="00A26CF9"/>
    <w:rsid w:val="00A26D18"/>
    <w:rsid w:val="00A27038"/>
    <w:rsid w:val="00A30B64"/>
    <w:rsid w:val="00A30C9D"/>
    <w:rsid w:val="00A3227B"/>
    <w:rsid w:val="00A333A0"/>
    <w:rsid w:val="00A338A5"/>
    <w:rsid w:val="00A3466F"/>
    <w:rsid w:val="00A34779"/>
    <w:rsid w:val="00A34E7E"/>
    <w:rsid w:val="00A35E5E"/>
    <w:rsid w:val="00A3608B"/>
    <w:rsid w:val="00A3643B"/>
    <w:rsid w:val="00A36525"/>
    <w:rsid w:val="00A373CE"/>
    <w:rsid w:val="00A37675"/>
    <w:rsid w:val="00A404C2"/>
    <w:rsid w:val="00A40777"/>
    <w:rsid w:val="00A41974"/>
    <w:rsid w:val="00A429A5"/>
    <w:rsid w:val="00A436DE"/>
    <w:rsid w:val="00A43CBC"/>
    <w:rsid w:val="00A43EA2"/>
    <w:rsid w:val="00A44167"/>
    <w:rsid w:val="00A4483D"/>
    <w:rsid w:val="00A44E6B"/>
    <w:rsid w:val="00A452B3"/>
    <w:rsid w:val="00A45360"/>
    <w:rsid w:val="00A46776"/>
    <w:rsid w:val="00A469FC"/>
    <w:rsid w:val="00A46B9B"/>
    <w:rsid w:val="00A46E92"/>
    <w:rsid w:val="00A47E1E"/>
    <w:rsid w:val="00A50802"/>
    <w:rsid w:val="00A51B23"/>
    <w:rsid w:val="00A51F99"/>
    <w:rsid w:val="00A5243D"/>
    <w:rsid w:val="00A52AEA"/>
    <w:rsid w:val="00A530F6"/>
    <w:rsid w:val="00A53581"/>
    <w:rsid w:val="00A55DDD"/>
    <w:rsid w:val="00A56187"/>
    <w:rsid w:val="00A56427"/>
    <w:rsid w:val="00A56CC3"/>
    <w:rsid w:val="00A56D3C"/>
    <w:rsid w:val="00A56FF7"/>
    <w:rsid w:val="00A6122C"/>
    <w:rsid w:val="00A62448"/>
    <w:rsid w:val="00A62771"/>
    <w:rsid w:val="00A62F21"/>
    <w:rsid w:val="00A62F8F"/>
    <w:rsid w:val="00A63383"/>
    <w:rsid w:val="00A63B71"/>
    <w:rsid w:val="00A64A42"/>
    <w:rsid w:val="00A65857"/>
    <w:rsid w:val="00A66405"/>
    <w:rsid w:val="00A66542"/>
    <w:rsid w:val="00A666B1"/>
    <w:rsid w:val="00A6783C"/>
    <w:rsid w:val="00A67BE9"/>
    <w:rsid w:val="00A70891"/>
    <w:rsid w:val="00A71153"/>
    <w:rsid w:val="00A71C36"/>
    <w:rsid w:val="00A71DCC"/>
    <w:rsid w:val="00A71F3C"/>
    <w:rsid w:val="00A720C2"/>
    <w:rsid w:val="00A7250A"/>
    <w:rsid w:val="00A72B12"/>
    <w:rsid w:val="00A73046"/>
    <w:rsid w:val="00A731AB"/>
    <w:rsid w:val="00A7415D"/>
    <w:rsid w:val="00A749BE"/>
    <w:rsid w:val="00A74F86"/>
    <w:rsid w:val="00A75486"/>
    <w:rsid w:val="00A760EC"/>
    <w:rsid w:val="00A76101"/>
    <w:rsid w:val="00A76B32"/>
    <w:rsid w:val="00A77CEA"/>
    <w:rsid w:val="00A80D8A"/>
    <w:rsid w:val="00A81F58"/>
    <w:rsid w:val="00A81F5C"/>
    <w:rsid w:val="00A8252A"/>
    <w:rsid w:val="00A82FC0"/>
    <w:rsid w:val="00A84570"/>
    <w:rsid w:val="00A856B0"/>
    <w:rsid w:val="00A85B9A"/>
    <w:rsid w:val="00A864D7"/>
    <w:rsid w:val="00A86FB0"/>
    <w:rsid w:val="00A872A5"/>
    <w:rsid w:val="00A87528"/>
    <w:rsid w:val="00A87CE1"/>
    <w:rsid w:val="00A9060F"/>
    <w:rsid w:val="00A90DAA"/>
    <w:rsid w:val="00A912EF"/>
    <w:rsid w:val="00A91CAA"/>
    <w:rsid w:val="00A923C7"/>
    <w:rsid w:val="00A92434"/>
    <w:rsid w:val="00A9367C"/>
    <w:rsid w:val="00A939FD"/>
    <w:rsid w:val="00A93BEC"/>
    <w:rsid w:val="00A94608"/>
    <w:rsid w:val="00A94786"/>
    <w:rsid w:val="00A94CFF"/>
    <w:rsid w:val="00A95A18"/>
    <w:rsid w:val="00A95E1A"/>
    <w:rsid w:val="00A961DA"/>
    <w:rsid w:val="00A96498"/>
    <w:rsid w:val="00A9661D"/>
    <w:rsid w:val="00A96667"/>
    <w:rsid w:val="00AA1674"/>
    <w:rsid w:val="00AA22A7"/>
    <w:rsid w:val="00AA3075"/>
    <w:rsid w:val="00AA3206"/>
    <w:rsid w:val="00AA377A"/>
    <w:rsid w:val="00AA3D72"/>
    <w:rsid w:val="00AA3D95"/>
    <w:rsid w:val="00AA4985"/>
    <w:rsid w:val="00AA4AEE"/>
    <w:rsid w:val="00AA4CDB"/>
    <w:rsid w:val="00AA61A8"/>
    <w:rsid w:val="00AA6249"/>
    <w:rsid w:val="00AA629B"/>
    <w:rsid w:val="00AA677D"/>
    <w:rsid w:val="00AA697D"/>
    <w:rsid w:val="00AA6A8E"/>
    <w:rsid w:val="00AA6C26"/>
    <w:rsid w:val="00AA6DB1"/>
    <w:rsid w:val="00AA78FA"/>
    <w:rsid w:val="00AB0C7D"/>
    <w:rsid w:val="00AB1219"/>
    <w:rsid w:val="00AB18FB"/>
    <w:rsid w:val="00AB1FD6"/>
    <w:rsid w:val="00AB2158"/>
    <w:rsid w:val="00AB2FDF"/>
    <w:rsid w:val="00AB329D"/>
    <w:rsid w:val="00AB36AA"/>
    <w:rsid w:val="00AB42EC"/>
    <w:rsid w:val="00AB4B31"/>
    <w:rsid w:val="00AB4F8C"/>
    <w:rsid w:val="00AB510D"/>
    <w:rsid w:val="00AB63ED"/>
    <w:rsid w:val="00AB7511"/>
    <w:rsid w:val="00ABA2C4"/>
    <w:rsid w:val="00AC05FF"/>
    <w:rsid w:val="00AC1E14"/>
    <w:rsid w:val="00AC24ED"/>
    <w:rsid w:val="00AC2DF4"/>
    <w:rsid w:val="00AC31CF"/>
    <w:rsid w:val="00AC3540"/>
    <w:rsid w:val="00AC3CD5"/>
    <w:rsid w:val="00AC4306"/>
    <w:rsid w:val="00AC5303"/>
    <w:rsid w:val="00AC6136"/>
    <w:rsid w:val="00AC6141"/>
    <w:rsid w:val="00AC614E"/>
    <w:rsid w:val="00AC74FA"/>
    <w:rsid w:val="00AC7E8A"/>
    <w:rsid w:val="00AD0892"/>
    <w:rsid w:val="00AD1012"/>
    <w:rsid w:val="00AD1055"/>
    <w:rsid w:val="00AD10C1"/>
    <w:rsid w:val="00AD290E"/>
    <w:rsid w:val="00AD4FC6"/>
    <w:rsid w:val="00AD5500"/>
    <w:rsid w:val="00AD5931"/>
    <w:rsid w:val="00AD6758"/>
    <w:rsid w:val="00AD6A2D"/>
    <w:rsid w:val="00AD7EC2"/>
    <w:rsid w:val="00AE06E8"/>
    <w:rsid w:val="00AE0BBC"/>
    <w:rsid w:val="00AE0D0B"/>
    <w:rsid w:val="00AE15D1"/>
    <w:rsid w:val="00AE1729"/>
    <w:rsid w:val="00AE1C37"/>
    <w:rsid w:val="00AE1C43"/>
    <w:rsid w:val="00AE2437"/>
    <w:rsid w:val="00AE2875"/>
    <w:rsid w:val="00AE2DEF"/>
    <w:rsid w:val="00AE33BB"/>
    <w:rsid w:val="00AE37DB"/>
    <w:rsid w:val="00AE3D9C"/>
    <w:rsid w:val="00AE4114"/>
    <w:rsid w:val="00AE441D"/>
    <w:rsid w:val="00AE4C37"/>
    <w:rsid w:val="00AE4C80"/>
    <w:rsid w:val="00AE5E66"/>
    <w:rsid w:val="00AE5F82"/>
    <w:rsid w:val="00AE6C10"/>
    <w:rsid w:val="00AF02A2"/>
    <w:rsid w:val="00AF03CD"/>
    <w:rsid w:val="00AF0805"/>
    <w:rsid w:val="00AF0F5A"/>
    <w:rsid w:val="00AF0FAE"/>
    <w:rsid w:val="00AF1D60"/>
    <w:rsid w:val="00AF212B"/>
    <w:rsid w:val="00AF3834"/>
    <w:rsid w:val="00AF39CC"/>
    <w:rsid w:val="00AF3B46"/>
    <w:rsid w:val="00AF4266"/>
    <w:rsid w:val="00AF448B"/>
    <w:rsid w:val="00AF4686"/>
    <w:rsid w:val="00AF4965"/>
    <w:rsid w:val="00AF4BF2"/>
    <w:rsid w:val="00AF5ABC"/>
    <w:rsid w:val="00AF7ED0"/>
    <w:rsid w:val="00AF7EF4"/>
    <w:rsid w:val="00B002FA"/>
    <w:rsid w:val="00B007EB"/>
    <w:rsid w:val="00B00CF5"/>
    <w:rsid w:val="00B0288D"/>
    <w:rsid w:val="00B02C18"/>
    <w:rsid w:val="00B02C7E"/>
    <w:rsid w:val="00B03427"/>
    <w:rsid w:val="00B036A7"/>
    <w:rsid w:val="00B044FA"/>
    <w:rsid w:val="00B0462D"/>
    <w:rsid w:val="00B0474C"/>
    <w:rsid w:val="00B048D0"/>
    <w:rsid w:val="00B05956"/>
    <w:rsid w:val="00B06168"/>
    <w:rsid w:val="00B063CF"/>
    <w:rsid w:val="00B1036A"/>
    <w:rsid w:val="00B10C63"/>
    <w:rsid w:val="00B110AA"/>
    <w:rsid w:val="00B11596"/>
    <w:rsid w:val="00B12610"/>
    <w:rsid w:val="00B1264B"/>
    <w:rsid w:val="00B136AB"/>
    <w:rsid w:val="00B1370C"/>
    <w:rsid w:val="00B1376D"/>
    <w:rsid w:val="00B13AB9"/>
    <w:rsid w:val="00B13B28"/>
    <w:rsid w:val="00B14013"/>
    <w:rsid w:val="00B1402C"/>
    <w:rsid w:val="00B149BB"/>
    <w:rsid w:val="00B14EA2"/>
    <w:rsid w:val="00B14ECB"/>
    <w:rsid w:val="00B16AD3"/>
    <w:rsid w:val="00B203DF"/>
    <w:rsid w:val="00B20655"/>
    <w:rsid w:val="00B212FC"/>
    <w:rsid w:val="00B21BD7"/>
    <w:rsid w:val="00B21F22"/>
    <w:rsid w:val="00B22803"/>
    <w:rsid w:val="00B22C93"/>
    <w:rsid w:val="00B22FFD"/>
    <w:rsid w:val="00B233D6"/>
    <w:rsid w:val="00B240E2"/>
    <w:rsid w:val="00B24364"/>
    <w:rsid w:val="00B25081"/>
    <w:rsid w:val="00B251E1"/>
    <w:rsid w:val="00B25B42"/>
    <w:rsid w:val="00B25BBD"/>
    <w:rsid w:val="00B26259"/>
    <w:rsid w:val="00B2647F"/>
    <w:rsid w:val="00B27824"/>
    <w:rsid w:val="00B279A9"/>
    <w:rsid w:val="00B30832"/>
    <w:rsid w:val="00B314D8"/>
    <w:rsid w:val="00B315FD"/>
    <w:rsid w:val="00B31AB7"/>
    <w:rsid w:val="00B3241E"/>
    <w:rsid w:val="00B3242A"/>
    <w:rsid w:val="00B32523"/>
    <w:rsid w:val="00B3275B"/>
    <w:rsid w:val="00B343E9"/>
    <w:rsid w:val="00B3450B"/>
    <w:rsid w:val="00B36AAC"/>
    <w:rsid w:val="00B36F20"/>
    <w:rsid w:val="00B37518"/>
    <w:rsid w:val="00B375A0"/>
    <w:rsid w:val="00B401C4"/>
    <w:rsid w:val="00B40767"/>
    <w:rsid w:val="00B40B81"/>
    <w:rsid w:val="00B40DF2"/>
    <w:rsid w:val="00B41B34"/>
    <w:rsid w:val="00B427EA"/>
    <w:rsid w:val="00B439C0"/>
    <w:rsid w:val="00B455D7"/>
    <w:rsid w:val="00B45B24"/>
    <w:rsid w:val="00B46327"/>
    <w:rsid w:val="00B479AD"/>
    <w:rsid w:val="00B50C7F"/>
    <w:rsid w:val="00B51C11"/>
    <w:rsid w:val="00B51FE4"/>
    <w:rsid w:val="00B52D29"/>
    <w:rsid w:val="00B52DED"/>
    <w:rsid w:val="00B55679"/>
    <w:rsid w:val="00B55861"/>
    <w:rsid w:val="00B56838"/>
    <w:rsid w:val="00B57B72"/>
    <w:rsid w:val="00B57C4F"/>
    <w:rsid w:val="00B616FD"/>
    <w:rsid w:val="00B61AB0"/>
    <w:rsid w:val="00B61C06"/>
    <w:rsid w:val="00B6298D"/>
    <w:rsid w:val="00B635B2"/>
    <w:rsid w:val="00B64846"/>
    <w:rsid w:val="00B6498A"/>
    <w:rsid w:val="00B64C04"/>
    <w:rsid w:val="00B64E8F"/>
    <w:rsid w:val="00B65725"/>
    <w:rsid w:val="00B678B9"/>
    <w:rsid w:val="00B67CA9"/>
    <w:rsid w:val="00B709BC"/>
    <w:rsid w:val="00B72CFC"/>
    <w:rsid w:val="00B72F25"/>
    <w:rsid w:val="00B7313D"/>
    <w:rsid w:val="00B73865"/>
    <w:rsid w:val="00B74D5B"/>
    <w:rsid w:val="00B75FCA"/>
    <w:rsid w:val="00B760CF"/>
    <w:rsid w:val="00B76168"/>
    <w:rsid w:val="00B762D6"/>
    <w:rsid w:val="00B76E7A"/>
    <w:rsid w:val="00B81C4C"/>
    <w:rsid w:val="00B81D37"/>
    <w:rsid w:val="00B81F64"/>
    <w:rsid w:val="00B820C3"/>
    <w:rsid w:val="00B82488"/>
    <w:rsid w:val="00B835DF"/>
    <w:rsid w:val="00B83E25"/>
    <w:rsid w:val="00B84DC3"/>
    <w:rsid w:val="00B859DD"/>
    <w:rsid w:val="00B85AA2"/>
    <w:rsid w:val="00B85F3C"/>
    <w:rsid w:val="00B861A7"/>
    <w:rsid w:val="00B861CE"/>
    <w:rsid w:val="00B86490"/>
    <w:rsid w:val="00B87133"/>
    <w:rsid w:val="00B8748D"/>
    <w:rsid w:val="00B874E8"/>
    <w:rsid w:val="00B87C0D"/>
    <w:rsid w:val="00B87EF1"/>
    <w:rsid w:val="00B90A4D"/>
    <w:rsid w:val="00B90A9F"/>
    <w:rsid w:val="00B90E5F"/>
    <w:rsid w:val="00B910E4"/>
    <w:rsid w:val="00B911F0"/>
    <w:rsid w:val="00B91C7D"/>
    <w:rsid w:val="00B92C48"/>
    <w:rsid w:val="00B931D3"/>
    <w:rsid w:val="00B933FE"/>
    <w:rsid w:val="00B93511"/>
    <w:rsid w:val="00B94C8C"/>
    <w:rsid w:val="00B9543C"/>
    <w:rsid w:val="00B95784"/>
    <w:rsid w:val="00B96017"/>
    <w:rsid w:val="00B9671C"/>
    <w:rsid w:val="00B9799E"/>
    <w:rsid w:val="00B97A2A"/>
    <w:rsid w:val="00BA0415"/>
    <w:rsid w:val="00BA0904"/>
    <w:rsid w:val="00BA2149"/>
    <w:rsid w:val="00BA30E8"/>
    <w:rsid w:val="00BA30ED"/>
    <w:rsid w:val="00BA3248"/>
    <w:rsid w:val="00BA47AF"/>
    <w:rsid w:val="00BA4D78"/>
    <w:rsid w:val="00BA58A1"/>
    <w:rsid w:val="00BA5E7F"/>
    <w:rsid w:val="00BA6020"/>
    <w:rsid w:val="00BA68EF"/>
    <w:rsid w:val="00BA6997"/>
    <w:rsid w:val="00BA6C6F"/>
    <w:rsid w:val="00BA799D"/>
    <w:rsid w:val="00BA7B05"/>
    <w:rsid w:val="00BB0108"/>
    <w:rsid w:val="00BB0C52"/>
    <w:rsid w:val="00BB1195"/>
    <w:rsid w:val="00BB1E3D"/>
    <w:rsid w:val="00BB23A8"/>
    <w:rsid w:val="00BB24BF"/>
    <w:rsid w:val="00BB4879"/>
    <w:rsid w:val="00BB586D"/>
    <w:rsid w:val="00BB744D"/>
    <w:rsid w:val="00BB7D96"/>
    <w:rsid w:val="00BC007A"/>
    <w:rsid w:val="00BC0339"/>
    <w:rsid w:val="00BC0511"/>
    <w:rsid w:val="00BC1326"/>
    <w:rsid w:val="00BC1389"/>
    <w:rsid w:val="00BC27B8"/>
    <w:rsid w:val="00BC2981"/>
    <w:rsid w:val="00BC3985"/>
    <w:rsid w:val="00BC47D6"/>
    <w:rsid w:val="00BC66F9"/>
    <w:rsid w:val="00BC6C5D"/>
    <w:rsid w:val="00BC7138"/>
    <w:rsid w:val="00BC7167"/>
    <w:rsid w:val="00BC749E"/>
    <w:rsid w:val="00BC76EA"/>
    <w:rsid w:val="00BC7DD7"/>
    <w:rsid w:val="00BC7FC9"/>
    <w:rsid w:val="00BD0EE9"/>
    <w:rsid w:val="00BD137A"/>
    <w:rsid w:val="00BD59B5"/>
    <w:rsid w:val="00BD694F"/>
    <w:rsid w:val="00BD7FAC"/>
    <w:rsid w:val="00BE00A3"/>
    <w:rsid w:val="00BE123D"/>
    <w:rsid w:val="00BE1696"/>
    <w:rsid w:val="00BE178B"/>
    <w:rsid w:val="00BE1FB1"/>
    <w:rsid w:val="00BE1FE5"/>
    <w:rsid w:val="00BE2030"/>
    <w:rsid w:val="00BE366E"/>
    <w:rsid w:val="00BE38AE"/>
    <w:rsid w:val="00BE5A44"/>
    <w:rsid w:val="00BE5B30"/>
    <w:rsid w:val="00BE5FEC"/>
    <w:rsid w:val="00BE63A2"/>
    <w:rsid w:val="00BE6541"/>
    <w:rsid w:val="00BE71C8"/>
    <w:rsid w:val="00BE74BD"/>
    <w:rsid w:val="00BE789F"/>
    <w:rsid w:val="00BE7EB0"/>
    <w:rsid w:val="00BF079E"/>
    <w:rsid w:val="00BF1F5C"/>
    <w:rsid w:val="00BF247D"/>
    <w:rsid w:val="00BF2622"/>
    <w:rsid w:val="00BF26B2"/>
    <w:rsid w:val="00BF3CA6"/>
    <w:rsid w:val="00BF5033"/>
    <w:rsid w:val="00BF570E"/>
    <w:rsid w:val="00BF59F3"/>
    <w:rsid w:val="00BF6C2D"/>
    <w:rsid w:val="00BF70FB"/>
    <w:rsid w:val="00BF7A87"/>
    <w:rsid w:val="00C0044A"/>
    <w:rsid w:val="00C00522"/>
    <w:rsid w:val="00C01E87"/>
    <w:rsid w:val="00C028A0"/>
    <w:rsid w:val="00C0427E"/>
    <w:rsid w:val="00C05039"/>
    <w:rsid w:val="00C0556D"/>
    <w:rsid w:val="00C055CF"/>
    <w:rsid w:val="00C0567C"/>
    <w:rsid w:val="00C06CE7"/>
    <w:rsid w:val="00C07188"/>
    <w:rsid w:val="00C100F1"/>
    <w:rsid w:val="00C1187E"/>
    <w:rsid w:val="00C11A72"/>
    <w:rsid w:val="00C1277D"/>
    <w:rsid w:val="00C12D12"/>
    <w:rsid w:val="00C13135"/>
    <w:rsid w:val="00C134DE"/>
    <w:rsid w:val="00C14473"/>
    <w:rsid w:val="00C145B2"/>
    <w:rsid w:val="00C14946"/>
    <w:rsid w:val="00C161C8"/>
    <w:rsid w:val="00C17AAD"/>
    <w:rsid w:val="00C17AFE"/>
    <w:rsid w:val="00C20A50"/>
    <w:rsid w:val="00C21107"/>
    <w:rsid w:val="00C213ED"/>
    <w:rsid w:val="00C21FFD"/>
    <w:rsid w:val="00C2212D"/>
    <w:rsid w:val="00C229B0"/>
    <w:rsid w:val="00C22D64"/>
    <w:rsid w:val="00C236FC"/>
    <w:rsid w:val="00C24226"/>
    <w:rsid w:val="00C249F7"/>
    <w:rsid w:val="00C24CF7"/>
    <w:rsid w:val="00C257EE"/>
    <w:rsid w:val="00C25D87"/>
    <w:rsid w:val="00C25DAE"/>
    <w:rsid w:val="00C2752B"/>
    <w:rsid w:val="00C2769A"/>
    <w:rsid w:val="00C30529"/>
    <w:rsid w:val="00C30986"/>
    <w:rsid w:val="00C30B52"/>
    <w:rsid w:val="00C30DD7"/>
    <w:rsid w:val="00C313D8"/>
    <w:rsid w:val="00C315DF"/>
    <w:rsid w:val="00C31FA7"/>
    <w:rsid w:val="00C33F29"/>
    <w:rsid w:val="00C348A6"/>
    <w:rsid w:val="00C34E9A"/>
    <w:rsid w:val="00C3671B"/>
    <w:rsid w:val="00C36F49"/>
    <w:rsid w:val="00C37B9E"/>
    <w:rsid w:val="00C40D12"/>
    <w:rsid w:val="00C416DA"/>
    <w:rsid w:val="00C41938"/>
    <w:rsid w:val="00C41FE5"/>
    <w:rsid w:val="00C431A0"/>
    <w:rsid w:val="00C43BA4"/>
    <w:rsid w:val="00C44DBE"/>
    <w:rsid w:val="00C44F44"/>
    <w:rsid w:val="00C458CD"/>
    <w:rsid w:val="00C47952"/>
    <w:rsid w:val="00C51339"/>
    <w:rsid w:val="00C513EE"/>
    <w:rsid w:val="00C53A9D"/>
    <w:rsid w:val="00C558A6"/>
    <w:rsid w:val="00C55AC7"/>
    <w:rsid w:val="00C55AFD"/>
    <w:rsid w:val="00C56C4C"/>
    <w:rsid w:val="00C57019"/>
    <w:rsid w:val="00C573CF"/>
    <w:rsid w:val="00C5756B"/>
    <w:rsid w:val="00C609BD"/>
    <w:rsid w:val="00C61351"/>
    <w:rsid w:val="00C6187D"/>
    <w:rsid w:val="00C6269C"/>
    <w:rsid w:val="00C628EB"/>
    <w:rsid w:val="00C63B0E"/>
    <w:rsid w:val="00C64563"/>
    <w:rsid w:val="00C646C2"/>
    <w:rsid w:val="00C64E97"/>
    <w:rsid w:val="00C667BF"/>
    <w:rsid w:val="00C66976"/>
    <w:rsid w:val="00C66E51"/>
    <w:rsid w:val="00C70190"/>
    <w:rsid w:val="00C70A2C"/>
    <w:rsid w:val="00C71799"/>
    <w:rsid w:val="00C73691"/>
    <w:rsid w:val="00C736B3"/>
    <w:rsid w:val="00C73BD8"/>
    <w:rsid w:val="00C73D9A"/>
    <w:rsid w:val="00C758D8"/>
    <w:rsid w:val="00C75F41"/>
    <w:rsid w:val="00C7600D"/>
    <w:rsid w:val="00C76EAD"/>
    <w:rsid w:val="00C77103"/>
    <w:rsid w:val="00C77331"/>
    <w:rsid w:val="00C778AE"/>
    <w:rsid w:val="00C80182"/>
    <w:rsid w:val="00C82E86"/>
    <w:rsid w:val="00C83007"/>
    <w:rsid w:val="00C84981"/>
    <w:rsid w:val="00C84C93"/>
    <w:rsid w:val="00C86192"/>
    <w:rsid w:val="00C861A4"/>
    <w:rsid w:val="00C86389"/>
    <w:rsid w:val="00C873F1"/>
    <w:rsid w:val="00C8773D"/>
    <w:rsid w:val="00C920A0"/>
    <w:rsid w:val="00C92175"/>
    <w:rsid w:val="00C92C3A"/>
    <w:rsid w:val="00C92E37"/>
    <w:rsid w:val="00C930E6"/>
    <w:rsid w:val="00C9360C"/>
    <w:rsid w:val="00C951BF"/>
    <w:rsid w:val="00C95799"/>
    <w:rsid w:val="00C961EF"/>
    <w:rsid w:val="00C96A8F"/>
    <w:rsid w:val="00C97636"/>
    <w:rsid w:val="00CA10F0"/>
    <w:rsid w:val="00CA131E"/>
    <w:rsid w:val="00CA146B"/>
    <w:rsid w:val="00CA24EC"/>
    <w:rsid w:val="00CA2734"/>
    <w:rsid w:val="00CA275B"/>
    <w:rsid w:val="00CA54B7"/>
    <w:rsid w:val="00CA55F5"/>
    <w:rsid w:val="00CA73FB"/>
    <w:rsid w:val="00CA763D"/>
    <w:rsid w:val="00CB04FF"/>
    <w:rsid w:val="00CB0AC2"/>
    <w:rsid w:val="00CB0B26"/>
    <w:rsid w:val="00CB11B6"/>
    <w:rsid w:val="00CB36FC"/>
    <w:rsid w:val="00CB3E56"/>
    <w:rsid w:val="00CB3F9C"/>
    <w:rsid w:val="00CB428A"/>
    <w:rsid w:val="00CB4AB3"/>
    <w:rsid w:val="00CB4BB9"/>
    <w:rsid w:val="00CB4F1F"/>
    <w:rsid w:val="00CB5424"/>
    <w:rsid w:val="00CB5A42"/>
    <w:rsid w:val="00CB724C"/>
    <w:rsid w:val="00CB7DF3"/>
    <w:rsid w:val="00CC0135"/>
    <w:rsid w:val="00CC01F9"/>
    <w:rsid w:val="00CC095E"/>
    <w:rsid w:val="00CC1BEE"/>
    <w:rsid w:val="00CC264B"/>
    <w:rsid w:val="00CC2A3F"/>
    <w:rsid w:val="00CC40C2"/>
    <w:rsid w:val="00CC42B5"/>
    <w:rsid w:val="00CC6040"/>
    <w:rsid w:val="00CC683C"/>
    <w:rsid w:val="00CC6CB7"/>
    <w:rsid w:val="00CC7E5F"/>
    <w:rsid w:val="00CC7EDF"/>
    <w:rsid w:val="00CD1DB8"/>
    <w:rsid w:val="00CD2DE0"/>
    <w:rsid w:val="00CD35D7"/>
    <w:rsid w:val="00CD3DB3"/>
    <w:rsid w:val="00CD6D07"/>
    <w:rsid w:val="00CE1070"/>
    <w:rsid w:val="00CE1242"/>
    <w:rsid w:val="00CE184E"/>
    <w:rsid w:val="00CE204C"/>
    <w:rsid w:val="00CE350C"/>
    <w:rsid w:val="00CE53FD"/>
    <w:rsid w:val="00CE54D4"/>
    <w:rsid w:val="00CE5686"/>
    <w:rsid w:val="00CE6F7C"/>
    <w:rsid w:val="00CF0A86"/>
    <w:rsid w:val="00CF1994"/>
    <w:rsid w:val="00CF1FF6"/>
    <w:rsid w:val="00CF365F"/>
    <w:rsid w:val="00CF4693"/>
    <w:rsid w:val="00CF50C8"/>
    <w:rsid w:val="00CF5148"/>
    <w:rsid w:val="00CF55A1"/>
    <w:rsid w:val="00CF5D87"/>
    <w:rsid w:val="00CF65AE"/>
    <w:rsid w:val="00CF66D8"/>
    <w:rsid w:val="00CF74BD"/>
    <w:rsid w:val="00D0140E"/>
    <w:rsid w:val="00D01CD3"/>
    <w:rsid w:val="00D021B2"/>
    <w:rsid w:val="00D02404"/>
    <w:rsid w:val="00D02AEB"/>
    <w:rsid w:val="00D03241"/>
    <w:rsid w:val="00D03BBF"/>
    <w:rsid w:val="00D0463F"/>
    <w:rsid w:val="00D05795"/>
    <w:rsid w:val="00D05E2C"/>
    <w:rsid w:val="00D06C1B"/>
    <w:rsid w:val="00D074BB"/>
    <w:rsid w:val="00D07AC0"/>
    <w:rsid w:val="00D07CC3"/>
    <w:rsid w:val="00D10108"/>
    <w:rsid w:val="00D10984"/>
    <w:rsid w:val="00D109AB"/>
    <w:rsid w:val="00D10DAB"/>
    <w:rsid w:val="00D12C56"/>
    <w:rsid w:val="00D1423B"/>
    <w:rsid w:val="00D14361"/>
    <w:rsid w:val="00D145AE"/>
    <w:rsid w:val="00D14863"/>
    <w:rsid w:val="00D150C7"/>
    <w:rsid w:val="00D158A1"/>
    <w:rsid w:val="00D16FBA"/>
    <w:rsid w:val="00D17398"/>
    <w:rsid w:val="00D1772F"/>
    <w:rsid w:val="00D17C5A"/>
    <w:rsid w:val="00D17FF2"/>
    <w:rsid w:val="00D204E4"/>
    <w:rsid w:val="00D206DE"/>
    <w:rsid w:val="00D24D02"/>
    <w:rsid w:val="00D24F27"/>
    <w:rsid w:val="00D24FEC"/>
    <w:rsid w:val="00D25626"/>
    <w:rsid w:val="00D25ADF"/>
    <w:rsid w:val="00D26358"/>
    <w:rsid w:val="00D26FD4"/>
    <w:rsid w:val="00D2729A"/>
    <w:rsid w:val="00D27DB6"/>
    <w:rsid w:val="00D27DBD"/>
    <w:rsid w:val="00D3094D"/>
    <w:rsid w:val="00D30FB4"/>
    <w:rsid w:val="00D32481"/>
    <w:rsid w:val="00D32817"/>
    <w:rsid w:val="00D32ABE"/>
    <w:rsid w:val="00D332A7"/>
    <w:rsid w:val="00D34813"/>
    <w:rsid w:val="00D34E02"/>
    <w:rsid w:val="00D34FCD"/>
    <w:rsid w:val="00D37733"/>
    <w:rsid w:val="00D37744"/>
    <w:rsid w:val="00D401D1"/>
    <w:rsid w:val="00D41AAC"/>
    <w:rsid w:val="00D42315"/>
    <w:rsid w:val="00D4264F"/>
    <w:rsid w:val="00D4338B"/>
    <w:rsid w:val="00D4415C"/>
    <w:rsid w:val="00D44213"/>
    <w:rsid w:val="00D445F5"/>
    <w:rsid w:val="00D45105"/>
    <w:rsid w:val="00D45ED5"/>
    <w:rsid w:val="00D45F54"/>
    <w:rsid w:val="00D46AB0"/>
    <w:rsid w:val="00D47197"/>
    <w:rsid w:val="00D47379"/>
    <w:rsid w:val="00D47B92"/>
    <w:rsid w:val="00D50254"/>
    <w:rsid w:val="00D50DEE"/>
    <w:rsid w:val="00D51090"/>
    <w:rsid w:val="00D51E33"/>
    <w:rsid w:val="00D52448"/>
    <w:rsid w:val="00D5256E"/>
    <w:rsid w:val="00D52787"/>
    <w:rsid w:val="00D53D6B"/>
    <w:rsid w:val="00D54AE7"/>
    <w:rsid w:val="00D60B15"/>
    <w:rsid w:val="00D60EBD"/>
    <w:rsid w:val="00D63DA2"/>
    <w:rsid w:val="00D64408"/>
    <w:rsid w:val="00D64B60"/>
    <w:rsid w:val="00D6597A"/>
    <w:rsid w:val="00D67443"/>
    <w:rsid w:val="00D67835"/>
    <w:rsid w:val="00D7108D"/>
    <w:rsid w:val="00D71B27"/>
    <w:rsid w:val="00D71E80"/>
    <w:rsid w:val="00D72066"/>
    <w:rsid w:val="00D7232B"/>
    <w:rsid w:val="00D73754"/>
    <w:rsid w:val="00D75D54"/>
    <w:rsid w:val="00D76771"/>
    <w:rsid w:val="00D7687D"/>
    <w:rsid w:val="00D76A63"/>
    <w:rsid w:val="00D76D9B"/>
    <w:rsid w:val="00D771E2"/>
    <w:rsid w:val="00D77537"/>
    <w:rsid w:val="00D77BE4"/>
    <w:rsid w:val="00D810AE"/>
    <w:rsid w:val="00D820BD"/>
    <w:rsid w:val="00D820C5"/>
    <w:rsid w:val="00D822BF"/>
    <w:rsid w:val="00D834BA"/>
    <w:rsid w:val="00D83E70"/>
    <w:rsid w:val="00D84008"/>
    <w:rsid w:val="00D84803"/>
    <w:rsid w:val="00D84DE4"/>
    <w:rsid w:val="00D84E84"/>
    <w:rsid w:val="00D86E86"/>
    <w:rsid w:val="00D8750B"/>
    <w:rsid w:val="00D8785A"/>
    <w:rsid w:val="00D90381"/>
    <w:rsid w:val="00D904AF"/>
    <w:rsid w:val="00D93C26"/>
    <w:rsid w:val="00D94447"/>
    <w:rsid w:val="00D95139"/>
    <w:rsid w:val="00D9617D"/>
    <w:rsid w:val="00D967CD"/>
    <w:rsid w:val="00D976A7"/>
    <w:rsid w:val="00DA0107"/>
    <w:rsid w:val="00DA0377"/>
    <w:rsid w:val="00DA07BE"/>
    <w:rsid w:val="00DA0BCA"/>
    <w:rsid w:val="00DA0E60"/>
    <w:rsid w:val="00DA174B"/>
    <w:rsid w:val="00DA2344"/>
    <w:rsid w:val="00DA2578"/>
    <w:rsid w:val="00DA3A8C"/>
    <w:rsid w:val="00DA433A"/>
    <w:rsid w:val="00DA4C60"/>
    <w:rsid w:val="00DA5DE0"/>
    <w:rsid w:val="00DA60EF"/>
    <w:rsid w:val="00DA7754"/>
    <w:rsid w:val="00DB06CA"/>
    <w:rsid w:val="00DB29D3"/>
    <w:rsid w:val="00DB3747"/>
    <w:rsid w:val="00DB3A41"/>
    <w:rsid w:val="00DB4684"/>
    <w:rsid w:val="00DB48A8"/>
    <w:rsid w:val="00DB4BA9"/>
    <w:rsid w:val="00DB5387"/>
    <w:rsid w:val="00DB6D9E"/>
    <w:rsid w:val="00DB7C37"/>
    <w:rsid w:val="00DC0079"/>
    <w:rsid w:val="00DC11AB"/>
    <w:rsid w:val="00DC2183"/>
    <w:rsid w:val="00DC4AF1"/>
    <w:rsid w:val="00DC4B9F"/>
    <w:rsid w:val="00DC612E"/>
    <w:rsid w:val="00DC6660"/>
    <w:rsid w:val="00DC7031"/>
    <w:rsid w:val="00DC70AD"/>
    <w:rsid w:val="00DD0A23"/>
    <w:rsid w:val="00DD0A66"/>
    <w:rsid w:val="00DD0B34"/>
    <w:rsid w:val="00DD0D32"/>
    <w:rsid w:val="00DD0E7C"/>
    <w:rsid w:val="00DD1947"/>
    <w:rsid w:val="00DD2259"/>
    <w:rsid w:val="00DD372B"/>
    <w:rsid w:val="00DD37E5"/>
    <w:rsid w:val="00DD3B57"/>
    <w:rsid w:val="00DD49CA"/>
    <w:rsid w:val="00DD5092"/>
    <w:rsid w:val="00DD571E"/>
    <w:rsid w:val="00DD63D7"/>
    <w:rsid w:val="00DD6510"/>
    <w:rsid w:val="00DD6680"/>
    <w:rsid w:val="00DD6BAE"/>
    <w:rsid w:val="00DD7715"/>
    <w:rsid w:val="00DD7F6A"/>
    <w:rsid w:val="00DE02EE"/>
    <w:rsid w:val="00DE0752"/>
    <w:rsid w:val="00DE09ED"/>
    <w:rsid w:val="00DE18BB"/>
    <w:rsid w:val="00DE1C68"/>
    <w:rsid w:val="00DE23F4"/>
    <w:rsid w:val="00DE2447"/>
    <w:rsid w:val="00DE27B8"/>
    <w:rsid w:val="00DE282B"/>
    <w:rsid w:val="00DE3669"/>
    <w:rsid w:val="00DE370C"/>
    <w:rsid w:val="00DE4BBF"/>
    <w:rsid w:val="00DE5596"/>
    <w:rsid w:val="00DE5B4F"/>
    <w:rsid w:val="00DE5E8E"/>
    <w:rsid w:val="00DE6022"/>
    <w:rsid w:val="00DE6030"/>
    <w:rsid w:val="00DE6686"/>
    <w:rsid w:val="00DE7755"/>
    <w:rsid w:val="00DE7DBA"/>
    <w:rsid w:val="00DE7FB0"/>
    <w:rsid w:val="00DF0C5F"/>
    <w:rsid w:val="00DF2277"/>
    <w:rsid w:val="00DF26CD"/>
    <w:rsid w:val="00DF2C8B"/>
    <w:rsid w:val="00DF461E"/>
    <w:rsid w:val="00DF4F0F"/>
    <w:rsid w:val="00DF5A3D"/>
    <w:rsid w:val="00DF5A62"/>
    <w:rsid w:val="00DF5C53"/>
    <w:rsid w:val="00DF6376"/>
    <w:rsid w:val="00DF7591"/>
    <w:rsid w:val="00DF791B"/>
    <w:rsid w:val="00DF7CF7"/>
    <w:rsid w:val="00E00C27"/>
    <w:rsid w:val="00E00C88"/>
    <w:rsid w:val="00E03648"/>
    <w:rsid w:val="00E05F16"/>
    <w:rsid w:val="00E06320"/>
    <w:rsid w:val="00E06722"/>
    <w:rsid w:val="00E06E2F"/>
    <w:rsid w:val="00E0741C"/>
    <w:rsid w:val="00E0758C"/>
    <w:rsid w:val="00E0766C"/>
    <w:rsid w:val="00E07F2F"/>
    <w:rsid w:val="00E10F9C"/>
    <w:rsid w:val="00E110B3"/>
    <w:rsid w:val="00E114DC"/>
    <w:rsid w:val="00E122AF"/>
    <w:rsid w:val="00E133C2"/>
    <w:rsid w:val="00E1400E"/>
    <w:rsid w:val="00E15002"/>
    <w:rsid w:val="00E154FF"/>
    <w:rsid w:val="00E15598"/>
    <w:rsid w:val="00E15ACE"/>
    <w:rsid w:val="00E168A0"/>
    <w:rsid w:val="00E20323"/>
    <w:rsid w:val="00E2044A"/>
    <w:rsid w:val="00E21DEF"/>
    <w:rsid w:val="00E22A95"/>
    <w:rsid w:val="00E23B8E"/>
    <w:rsid w:val="00E248A7"/>
    <w:rsid w:val="00E250CF"/>
    <w:rsid w:val="00E25DBE"/>
    <w:rsid w:val="00E26B0A"/>
    <w:rsid w:val="00E26D25"/>
    <w:rsid w:val="00E26DD5"/>
    <w:rsid w:val="00E278AF"/>
    <w:rsid w:val="00E2796A"/>
    <w:rsid w:val="00E30163"/>
    <w:rsid w:val="00E30E8B"/>
    <w:rsid w:val="00E31706"/>
    <w:rsid w:val="00E3222A"/>
    <w:rsid w:val="00E3267F"/>
    <w:rsid w:val="00E33BB5"/>
    <w:rsid w:val="00E3406E"/>
    <w:rsid w:val="00E342E5"/>
    <w:rsid w:val="00E35267"/>
    <w:rsid w:val="00E35591"/>
    <w:rsid w:val="00E37915"/>
    <w:rsid w:val="00E401C7"/>
    <w:rsid w:val="00E406B1"/>
    <w:rsid w:val="00E412CA"/>
    <w:rsid w:val="00E434AE"/>
    <w:rsid w:val="00E44284"/>
    <w:rsid w:val="00E44400"/>
    <w:rsid w:val="00E46025"/>
    <w:rsid w:val="00E4664C"/>
    <w:rsid w:val="00E46A5C"/>
    <w:rsid w:val="00E46B08"/>
    <w:rsid w:val="00E471BB"/>
    <w:rsid w:val="00E472E4"/>
    <w:rsid w:val="00E47781"/>
    <w:rsid w:val="00E47934"/>
    <w:rsid w:val="00E501EC"/>
    <w:rsid w:val="00E50B8F"/>
    <w:rsid w:val="00E53A4B"/>
    <w:rsid w:val="00E542A7"/>
    <w:rsid w:val="00E543F1"/>
    <w:rsid w:val="00E551C0"/>
    <w:rsid w:val="00E55F7C"/>
    <w:rsid w:val="00E569D5"/>
    <w:rsid w:val="00E56E8C"/>
    <w:rsid w:val="00E56F4C"/>
    <w:rsid w:val="00E5704B"/>
    <w:rsid w:val="00E615B8"/>
    <w:rsid w:val="00E628EE"/>
    <w:rsid w:val="00E62BAA"/>
    <w:rsid w:val="00E641B2"/>
    <w:rsid w:val="00E641BA"/>
    <w:rsid w:val="00E645AC"/>
    <w:rsid w:val="00E6619F"/>
    <w:rsid w:val="00E6677B"/>
    <w:rsid w:val="00E66CAC"/>
    <w:rsid w:val="00E66E9D"/>
    <w:rsid w:val="00E67053"/>
    <w:rsid w:val="00E67300"/>
    <w:rsid w:val="00E678A7"/>
    <w:rsid w:val="00E67E04"/>
    <w:rsid w:val="00E67EC4"/>
    <w:rsid w:val="00E70414"/>
    <w:rsid w:val="00E7159A"/>
    <w:rsid w:val="00E729E7"/>
    <w:rsid w:val="00E731D6"/>
    <w:rsid w:val="00E75A8E"/>
    <w:rsid w:val="00E762FD"/>
    <w:rsid w:val="00E76436"/>
    <w:rsid w:val="00E76BDA"/>
    <w:rsid w:val="00E76EF6"/>
    <w:rsid w:val="00E77319"/>
    <w:rsid w:val="00E77B7C"/>
    <w:rsid w:val="00E80692"/>
    <w:rsid w:val="00E80932"/>
    <w:rsid w:val="00E809B5"/>
    <w:rsid w:val="00E80FE7"/>
    <w:rsid w:val="00E816A3"/>
    <w:rsid w:val="00E8174D"/>
    <w:rsid w:val="00E817D4"/>
    <w:rsid w:val="00E81F51"/>
    <w:rsid w:val="00E8319A"/>
    <w:rsid w:val="00E83742"/>
    <w:rsid w:val="00E8413D"/>
    <w:rsid w:val="00E8555B"/>
    <w:rsid w:val="00E859BA"/>
    <w:rsid w:val="00E85AD1"/>
    <w:rsid w:val="00E87195"/>
    <w:rsid w:val="00E90163"/>
    <w:rsid w:val="00E90A90"/>
    <w:rsid w:val="00E91A30"/>
    <w:rsid w:val="00E91E96"/>
    <w:rsid w:val="00E92F3E"/>
    <w:rsid w:val="00E93557"/>
    <w:rsid w:val="00E947E1"/>
    <w:rsid w:val="00E94808"/>
    <w:rsid w:val="00E9527B"/>
    <w:rsid w:val="00E95DA9"/>
    <w:rsid w:val="00E9697F"/>
    <w:rsid w:val="00E9706B"/>
    <w:rsid w:val="00EA0513"/>
    <w:rsid w:val="00EA1717"/>
    <w:rsid w:val="00EA1A0B"/>
    <w:rsid w:val="00EA2032"/>
    <w:rsid w:val="00EA218E"/>
    <w:rsid w:val="00EA25B6"/>
    <w:rsid w:val="00EA3442"/>
    <w:rsid w:val="00EA3886"/>
    <w:rsid w:val="00EA422D"/>
    <w:rsid w:val="00EA49EB"/>
    <w:rsid w:val="00EA5016"/>
    <w:rsid w:val="00EA634A"/>
    <w:rsid w:val="00EA6E25"/>
    <w:rsid w:val="00EA75A6"/>
    <w:rsid w:val="00EB00FB"/>
    <w:rsid w:val="00EB0D07"/>
    <w:rsid w:val="00EB1452"/>
    <w:rsid w:val="00EB17C2"/>
    <w:rsid w:val="00EB2079"/>
    <w:rsid w:val="00EB4473"/>
    <w:rsid w:val="00EB5B1B"/>
    <w:rsid w:val="00EB5C34"/>
    <w:rsid w:val="00EC0B49"/>
    <w:rsid w:val="00EC29B7"/>
    <w:rsid w:val="00EC3D6A"/>
    <w:rsid w:val="00EC4AF9"/>
    <w:rsid w:val="00EC4D97"/>
    <w:rsid w:val="00EC5265"/>
    <w:rsid w:val="00EC56D7"/>
    <w:rsid w:val="00EC59FA"/>
    <w:rsid w:val="00EC61C5"/>
    <w:rsid w:val="00EC627B"/>
    <w:rsid w:val="00EC687B"/>
    <w:rsid w:val="00EC6B0A"/>
    <w:rsid w:val="00EC7147"/>
    <w:rsid w:val="00EC7EBD"/>
    <w:rsid w:val="00EC7EC8"/>
    <w:rsid w:val="00ED031C"/>
    <w:rsid w:val="00ED0562"/>
    <w:rsid w:val="00ED17D1"/>
    <w:rsid w:val="00ED2CC2"/>
    <w:rsid w:val="00ED396C"/>
    <w:rsid w:val="00ED3A40"/>
    <w:rsid w:val="00ED4392"/>
    <w:rsid w:val="00ED4BB6"/>
    <w:rsid w:val="00ED598F"/>
    <w:rsid w:val="00ED6359"/>
    <w:rsid w:val="00ED6A5D"/>
    <w:rsid w:val="00ED6BDE"/>
    <w:rsid w:val="00ED7785"/>
    <w:rsid w:val="00EE16BF"/>
    <w:rsid w:val="00EE1A92"/>
    <w:rsid w:val="00EE1C51"/>
    <w:rsid w:val="00EE1E94"/>
    <w:rsid w:val="00EE1F5F"/>
    <w:rsid w:val="00EE2FDE"/>
    <w:rsid w:val="00EE3116"/>
    <w:rsid w:val="00EE365D"/>
    <w:rsid w:val="00EE3724"/>
    <w:rsid w:val="00EE377D"/>
    <w:rsid w:val="00EE3A35"/>
    <w:rsid w:val="00EF00A5"/>
    <w:rsid w:val="00EF1054"/>
    <w:rsid w:val="00EF1071"/>
    <w:rsid w:val="00EF1FE2"/>
    <w:rsid w:val="00EF2AD0"/>
    <w:rsid w:val="00EF2C53"/>
    <w:rsid w:val="00EF300B"/>
    <w:rsid w:val="00EF3225"/>
    <w:rsid w:val="00EF38E7"/>
    <w:rsid w:val="00EF495C"/>
    <w:rsid w:val="00EF4FEE"/>
    <w:rsid w:val="00EF566F"/>
    <w:rsid w:val="00EF586E"/>
    <w:rsid w:val="00EF7BDD"/>
    <w:rsid w:val="00EF7D1F"/>
    <w:rsid w:val="00F0085A"/>
    <w:rsid w:val="00F00E09"/>
    <w:rsid w:val="00F01B70"/>
    <w:rsid w:val="00F0215E"/>
    <w:rsid w:val="00F03E21"/>
    <w:rsid w:val="00F041F1"/>
    <w:rsid w:val="00F045B9"/>
    <w:rsid w:val="00F046F9"/>
    <w:rsid w:val="00F0485B"/>
    <w:rsid w:val="00F10CEF"/>
    <w:rsid w:val="00F143C4"/>
    <w:rsid w:val="00F14CF4"/>
    <w:rsid w:val="00F14FE9"/>
    <w:rsid w:val="00F15144"/>
    <w:rsid w:val="00F15805"/>
    <w:rsid w:val="00F165ED"/>
    <w:rsid w:val="00F16E1A"/>
    <w:rsid w:val="00F2085C"/>
    <w:rsid w:val="00F20E59"/>
    <w:rsid w:val="00F21A9D"/>
    <w:rsid w:val="00F21C0F"/>
    <w:rsid w:val="00F21D3D"/>
    <w:rsid w:val="00F22675"/>
    <w:rsid w:val="00F229CE"/>
    <w:rsid w:val="00F22A7D"/>
    <w:rsid w:val="00F22C73"/>
    <w:rsid w:val="00F231DA"/>
    <w:rsid w:val="00F23207"/>
    <w:rsid w:val="00F234C1"/>
    <w:rsid w:val="00F23982"/>
    <w:rsid w:val="00F23D42"/>
    <w:rsid w:val="00F23E5A"/>
    <w:rsid w:val="00F241A1"/>
    <w:rsid w:val="00F24BFD"/>
    <w:rsid w:val="00F260DC"/>
    <w:rsid w:val="00F26336"/>
    <w:rsid w:val="00F26977"/>
    <w:rsid w:val="00F27D5A"/>
    <w:rsid w:val="00F30D4E"/>
    <w:rsid w:val="00F3102E"/>
    <w:rsid w:val="00F31218"/>
    <w:rsid w:val="00F315AA"/>
    <w:rsid w:val="00F31F13"/>
    <w:rsid w:val="00F323AD"/>
    <w:rsid w:val="00F32493"/>
    <w:rsid w:val="00F32FB1"/>
    <w:rsid w:val="00F33530"/>
    <w:rsid w:val="00F338D1"/>
    <w:rsid w:val="00F33C59"/>
    <w:rsid w:val="00F343B3"/>
    <w:rsid w:val="00F34F22"/>
    <w:rsid w:val="00F35809"/>
    <w:rsid w:val="00F35A50"/>
    <w:rsid w:val="00F36F50"/>
    <w:rsid w:val="00F4068F"/>
    <w:rsid w:val="00F413DF"/>
    <w:rsid w:val="00F42400"/>
    <w:rsid w:val="00F425C5"/>
    <w:rsid w:val="00F427F8"/>
    <w:rsid w:val="00F42F27"/>
    <w:rsid w:val="00F43F4D"/>
    <w:rsid w:val="00F4425A"/>
    <w:rsid w:val="00F44B08"/>
    <w:rsid w:val="00F45304"/>
    <w:rsid w:val="00F46862"/>
    <w:rsid w:val="00F46A16"/>
    <w:rsid w:val="00F46C18"/>
    <w:rsid w:val="00F47308"/>
    <w:rsid w:val="00F474FD"/>
    <w:rsid w:val="00F47D4D"/>
    <w:rsid w:val="00F50121"/>
    <w:rsid w:val="00F504F1"/>
    <w:rsid w:val="00F50DE4"/>
    <w:rsid w:val="00F51387"/>
    <w:rsid w:val="00F514D6"/>
    <w:rsid w:val="00F5267D"/>
    <w:rsid w:val="00F52F7D"/>
    <w:rsid w:val="00F53C01"/>
    <w:rsid w:val="00F5499B"/>
    <w:rsid w:val="00F54BEA"/>
    <w:rsid w:val="00F55BCB"/>
    <w:rsid w:val="00F55EEC"/>
    <w:rsid w:val="00F56D99"/>
    <w:rsid w:val="00F56DE3"/>
    <w:rsid w:val="00F5703E"/>
    <w:rsid w:val="00F57131"/>
    <w:rsid w:val="00F57735"/>
    <w:rsid w:val="00F57F30"/>
    <w:rsid w:val="00F606E9"/>
    <w:rsid w:val="00F61085"/>
    <w:rsid w:val="00F61A01"/>
    <w:rsid w:val="00F63536"/>
    <w:rsid w:val="00F6393C"/>
    <w:rsid w:val="00F641B1"/>
    <w:rsid w:val="00F64FC1"/>
    <w:rsid w:val="00F65894"/>
    <w:rsid w:val="00F65C87"/>
    <w:rsid w:val="00F65C94"/>
    <w:rsid w:val="00F65DFB"/>
    <w:rsid w:val="00F66214"/>
    <w:rsid w:val="00F67C08"/>
    <w:rsid w:val="00F710A6"/>
    <w:rsid w:val="00F71163"/>
    <w:rsid w:val="00F71EDD"/>
    <w:rsid w:val="00F7242C"/>
    <w:rsid w:val="00F73399"/>
    <w:rsid w:val="00F73590"/>
    <w:rsid w:val="00F73A8E"/>
    <w:rsid w:val="00F73C60"/>
    <w:rsid w:val="00F73E7C"/>
    <w:rsid w:val="00F73FE9"/>
    <w:rsid w:val="00F758BE"/>
    <w:rsid w:val="00F75B09"/>
    <w:rsid w:val="00F76255"/>
    <w:rsid w:val="00F76325"/>
    <w:rsid w:val="00F76C31"/>
    <w:rsid w:val="00F76D3A"/>
    <w:rsid w:val="00F77221"/>
    <w:rsid w:val="00F774C8"/>
    <w:rsid w:val="00F77CBF"/>
    <w:rsid w:val="00F801A1"/>
    <w:rsid w:val="00F80804"/>
    <w:rsid w:val="00F82353"/>
    <w:rsid w:val="00F8279E"/>
    <w:rsid w:val="00F833E6"/>
    <w:rsid w:val="00F836C5"/>
    <w:rsid w:val="00F841EA"/>
    <w:rsid w:val="00F846C5"/>
    <w:rsid w:val="00F84715"/>
    <w:rsid w:val="00F84BC4"/>
    <w:rsid w:val="00F8593E"/>
    <w:rsid w:val="00F867BB"/>
    <w:rsid w:val="00F86FF6"/>
    <w:rsid w:val="00F87290"/>
    <w:rsid w:val="00F87F7D"/>
    <w:rsid w:val="00F904DC"/>
    <w:rsid w:val="00F90AC8"/>
    <w:rsid w:val="00F918FE"/>
    <w:rsid w:val="00F91FC3"/>
    <w:rsid w:val="00F928FE"/>
    <w:rsid w:val="00F92A78"/>
    <w:rsid w:val="00F93CD2"/>
    <w:rsid w:val="00F93CED"/>
    <w:rsid w:val="00F94517"/>
    <w:rsid w:val="00F94660"/>
    <w:rsid w:val="00F95777"/>
    <w:rsid w:val="00F96507"/>
    <w:rsid w:val="00F97069"/>
    <w:rsid w:val="00F97962"/>
    <w:rsid w:val="00F97D92"/>
    <w:rsid w:val="00FA0441"/>
    <w:rsid w:val="00FA0AB6"/>
    <w:rsid w:val="00FA0D94"/>
    <w:rsid w:val="00FA24C8"/>
    <w:rsid w:val="00FA2819"/>
    <w:rsid w:val="00FA2E89"/>
    <w:rsid w:val="00FA3277"/>
    <w:rsid w:val="00FA34A8"/>
    <w:rsid w:val="00FA3AFB"/>
    <w:rsid w:val="00FA3CA2"/>
    <w:rsid w:val="00FA3D06"/>
    <w:rsid w:val="00FA3F23"/>
    <w:rsid w:val="00FA4693"/>
    <w:rsid w:val="00FA5119"/>
    <w:rsid w:val="00FA5302"/>
    <w:rsid w:val="00FA583A"/>
    <w:rsid w:val="00FA60F5"/>
    <w:rsid w:val="00FA75F2"/>
    <w:rsid w:val="00FB0A25"/>
    <w:rsid w:val="00FB1149"/>
    <w:rsid w:val="00FB16AB"/>
    <w:rsid w:val="00FB3FC0"/>
    <w:rsid w:val="00FB4D14"/>
    <w:rsid w:val="00FB5AE2"/>
    <w:rsid w:val="00FB5D4A"/>
    <w:rsid w:val="00FB68F7"/>
    <w:rsid w:val="00FB780B"/>
    <w:rsid w:val="00FC072E"/>
    <w:rsid w:val="00FC1B01"/>
    <w:rsid w:val="00FC1D09"/>
    <w:rsid w:val="00FC244F"/>
    <w:rsid w:val="00FC6928"/>
    <w:rsid w:val="00FC6F42"/>
    <w:rsid w:val="00FC76E2"/>
    <w:rsid w:val="00FD0BA9"/>
    <w:rsid w:val="00FD195A"/>
    <w:rsid w:val="00FD2CBE"/>
    <w:rsid w:val="00FD324F"/>
    <w:rsid w:val="00FD3A4C"/>
    <w:rsid w:val="00FD40C3"/>
    <w:rsid w:val="00FD44B5"/>
    <w:rsid w:val="00FD4A9E"/>
    <w:rsid w:val="00FD4EBC"/>
    <w:rsid w:val="00FD51B8"/>
    <w:rsid w:val="00FD5550"/>
    <w:rsid w:val="00FD5BA2"/>
    <w:rsid w:val="00FD5ED8"/>
    <w:rsid w:val="00FD692F"/>
    <w:rsid w:val="00FD78ED"/>
    <w:rsid w:val="00FE03D7"/>
    <w:rsid w:val="00FE0602"/>
    <w:rsid w:val="00FE07AB"/>
    <w:rsid w:val="00FE0F30"/>
    <w:rsid w:val="00FE1EEA"/>
    <w:rsid w:val="00FE2F22"/>
    <w:rsid w:val="00FE4C89"/>
    <w:rsid w:val="00FE55A0"/>
    <w:rsid w:val="00FE6BFD"/>
    <w:rsid w:val="00FE76E0"/>
    <w:rsid w:val="00FF06FA"/>
    <w:rsid w:val="00FF1B40"/>
    <w:rsid w:val="00FF2053"/>
    <w:rsid w:val="00FF2D0F"/>
    <w:rsid w:val="00FF2D95"/>
    <w:rsid w:val="00FF3038"/>
    <w:rsid w:val="00FF3AAB"/>
    <w:rsid w:val="00FF3E78"/>
    <w:rsid w:val="00FF5EF5"/>
    <w:rsid w:val="00FF73C9"/>
    <w:rsid w:val="00FF7D5C"/>
    <w:rsid w:val="01061265"/>
    <w:rsid w:val="0111AFE2"/>
    <w:rsid w:val="013A9E10"/>
    <w:rsid w:val="013F1F37"/>
    <w:rsid w:val="013F7924"/>
    <w:rsid w:val="015203E6"/>
    <w:rsid w:val="0163A06E"/>
    <w:rsid w:val="0168B62D"/>
    <w:rsid w:val="016E24E3"/>
    <w:rsid w:val="018AE9B5"/>
    <w:rsid w:val="01939F04"/>
    <w:rsid w:val="01A9BD9A"/>
    <w:rsid w:val="01CBCF4D"/>
    <w:rsid w:val="01E5F6D8"/>
    <w:rsid w:val="01E8ABBA"/>
    <w:rsid w:val="0217F26F"/>
    <w:rsid w:val="0222A1FE"/>
    <w:rsid w:val="0249AFBB"/>
    <w:rsid w:val="024B1533"/>
    <w:rsid w:val="02857C25"/>
    <w:rsid w:val="0289EB78"/>
    <w:rsid w:val="029538D1"/>
    <w:rsid w:val="029D8427"/>
    <w:rsid w:val="02A311D2"/>
    <w:rsid w:val="02BCBD0D"/>
    <w:rsid w:val="02CC71EC"/>
    <w:rsid w:val="02CFDFA4"/>
    <w:rsid w:val="02D3CBF8"/>
    <w:rsid w:val="02D85A3D"/>
    <w:rsid w:val="02D952ED"/>
    <w:rsid w:val="02E22520"/>
    <w:rsid w:val="02E736C7"/>
    <w:rsid w:val="02FCD45D"/>
    <w:rsid w:val="0312C9C5"/>
    <w:rsid w:val="0316424A"/>
    <w:rsid w:val="031A3B9E"/>
    <w:rsid w:val="031A83C0"/>
    <w:rsid w:val="03264E0D"/>
    <w:rsid w:val="032719B7"/>
    <w:rsid w:val="034BF110"/>
    <w:rsid w:val="0363040F"/>
    <w:rsid w:val="0376E138"/>
    <w:rsid w:val="03B4E5F7"/>
    <w:rsid w:val="03BFC5E2"/>
    <w:rsid w:val="03C69A7D"/>
    <w:rsid w:val="03DB78EC"/>
    <w:rsid w:val="03DD8DCD"/>
    <w:rsid w:val="03FB8CF1"/>
    <w:rsid w:val="040811E5"/>
    <w:rsid w:val="0411E616"/>
    <w:rsid w:val="04191C1A"/>
    <w:rsid w:val="041DB297"/>
    <w:rsid w:val="042B0A11"/>
    <w:rsid w:val="0430E7D6"/>
    <w:rsid w:val="043F4D7C"/>
    <w:rsid w:val="04400F35"/>
    <w:rsid w:val="04580793"/>
    <w:rsid w:val="045ACA1A"/>
    <w:rsid w:val="045D5E59"/>
    <w:rsid w:val="0475F559"/>
    <w:rsid w:val="0480FD86"/>
    <w:rsid w:val="04A09C7A"/>
    <w:rsid w:val="04B3157C"/>
    <w:rsid w:val="04B3D02B"/>
    <w:rsid w:val="04B69F93"/>
    <w:rsid w:val="04C21E6E"/>
    <w:rsid w:val="04F4766B"/>
    <w:rsid w:val="04FFD569"/>
    <w:rsid w:val="050AA4CC"/>
    <w:rsid w:val="0516D0CC"/>
    <w:rsid w:val="051D7C3D"/>
    <w:rsid w:val="0522BB47"/>
    <w:rsid w:val="052A5AC5"/>
    <w:rsid w:val="052B3741"/>
    <w:rsid w:val="053B0615"/>
    <w:rsid w:val="05643285"/>
    <w:rsid w:val="0571E2F8"/>
    <w:rsid w:val="05773F50"/>
    <w:rsid w:val="0577F013"/>
    <w:rsid w:val="0583C3EA"/>
    <w:rsid w:val="05854F9A"/>
    <w:rsid w:val="0591953A"/>
    <w:rsid w:val="05AC68E9"/>
    <w:rsid w:val="05ADDC44"/>
    <w:rsid w:val="05BC8EED"/>
    <w:rsid w:val="05BF8464"/>
    <w:rsid w:val="05C61BBC"/>
    <w:rsid w:val="05D08488"/>
    <w:rsid w:val="05F38E8B"/>
    <w:rsid w:val="0602134B"/>
    <w:rsid w:val="0647D401"/>
    <w:rsid w:val="066F8E3F"/>
    <w:rsid w:val="0673AEF2"/>
    <w:rsid w:val="068BA9B9"/>
    <w:rsid w:val="06910186"/>
    <w:rsid w:val="0699A458"/>
    <w:rsid w:val="069BC136"/>
    <w:rsid w:val="06AB408D"/>
    <w:rsid w:val="06C9E012"/>
    <w:rsid w:val="06CA9C21"/>
    <w:rsid w:val="06DC7765"/>
    <w:rsid w:val="06E752FA"/>
    <w:rsid w:val="0707D8C8"/>
    <w:rsid w:val="07097F7E"/>
    <w:rsid w:val="070BE68B"/>
    <w:rsid w:val="071F8247"/>
    <w:rsid w:val="072C8A56"/>
    <w:rsid w:val="07352BA9"/>
    <w:rsid w:val="07411C69"/>
    <w:rsid w:val="0752E43C"/>
    <w:rsid w:val="0769B17E"/>
    <w:rsid w:val="07806BA8"/>
    <w:rsid w:val="079AB500"/>
    <w:rsid w:val="07A4761F"/>
    <w:rsid w:val="07AAB139"/>
    <w:rsid w:val="07C9E0B2"/>
    <w:rsid w:val="07E89591"/>
    <w:rsid w:val="080FA95A"/>
    <w:rsid w:val="081259A4"/>
    <w:rsid w:val="08154699"/>
    <w:rsid w:val="081A6444"/>
    <w:rsid w:val="08242C63"/>
    <w:rsid w:val="0825ECD4"/>
    <w:rsid w:val="082A6DFA"/>
    <w:rsid w:val="082E5320"/>
    <w:rsid w:val="0852F6F4"/>
    <w:rsid w:val="0897AABB"/>
    <w:rsid w:val="089AB54F"/>
    <w:rsid w:val="08B19B91"/>
    <w:rsid w:val="08D337BE"/>
    <w:rsid w:val="08EF888A"/>
    <w:rsid w:val="090892CE"/>
    <w:rsid w:val="09316D03"/>
    <w:rsid w:val="09464F4A"/>
    <w:rsid w:val="0947CC61"/>
    <w:rsid w:val="097698C1"/>
    <w:rsid w:val="0982FB0E"/>
    <w:rsid w:val="098BDA7E"/>
    <w:rsid w:val="09930531"/>
    <w:rsid w:val="09958F91"/>
    <w:rsid w:val="09A61696"/>
    <w:rsid w:val="09D07B11"/>
    <w:rsid w:val="09D29665"/>
    <w:rsid w:val="09F1B69F"/>
    <w:rsid w:val="09F40578"/>
    <w:rsid w:val="09F930B4"/>
    <w:rsid w:val="0A0F2EC7"/>
    <w:rsid w:val="0A2B2AB3"/>
    <w:rsid w:val="0A38214F"/>
    <w:rsid w:val="0A3DDB61"/>
    <w:rsid w:val="0A4E4809"/>
    <w:rsid w:val="0A4F1AAC"/>
    <w:rsid w:val="0A667349"/>
    <w:rsid w:val="0A8B94D8"/>
    <w:rsid w:val="0A9C9276"/>
    <w:rsid w:val="0ACE72B2"/>
    <w:rsid w:val="0AD0074E"/>
    <w:rsid w:val="0AE26E6E"/>
    <w:rsid w:val="0AE28A48"/>
    <w:rsid w:val="0B203196"/>
    <w:rsid w:val="0B315FF2"/>
    <w:rsid w:val="0B47789B"/>
    <w:rsid w:val="0B5B9A6A"/>
    <w:rsid w:val="0B6ED3FB"/>
    <w:rsid w:val="0B786D70"/>
    <w:rsid w:val="0B7A2284"/>
    <w:rsid w:val="0B7E5017"/>
    <w:rsid w:val="0B874B87"/>
    <w:rsid w:val="0B8AE627"/>
    <w:rsid w:val="0BA1D321"/>
    <w:rsid w:val="0BB11D81"/>
    <w:rsid w:val="0BC47883"/>
    <w:rsid w:val="0BC89944"/>
    <w:rsid w:val="0BD02C24"/>
    <w:rsid w:val="0BD52F8B"/>
    <w:rsid w:val="0BD8E9BF"/>
    <w:rsid w:val="0C048CDF"/>
    <w:rsid w:val="0C20AC27"/>
    <w:rsid w:val="0C27B93B"/>
    <w:rsid w:val="0C5170F6"/>
    <w:rsid w:val="0C60038F"/>
    <w:rsid w:val="0C635904"/>
    <w:rsid w:val="0C65324C"/>
    <w:rsid w:val="0C703456"/>
    <w:rsid w:val="0C75C23D"/>
    <w:rsid w:val="0C76353F"/>
    <w:rsid w:val="0C7B898C"/>
    <w:rsid w:val="0C7E66CF"/>
    <w:rsid w:val="0C93E117"/>
    <w:rsid w:val="0C9C883E"/>
    <w:rsid w:val="0CA46B6C"/>
    <w:rsid w:val="0CB9D20C"/>
    <w:rsid w:val="0CC7161D"/>
    <w:rsid w:val="0CD554A5"/>
    <w:rsid w:val="0CE1A205"/>
    <w:rsid w:val="0CE51E1F"/>
    <w:rsid w:val="0CEC9294"/>
    <w:rsid w:val="0CF6BBB4"/>
    <w:rsid w:val="0D4B54D7"/>
    <w:rsid w:val="0D5E644F"/>
    <w:rsid w:val="0D7D209C"/>
    <w:rsid w:val="0D7E15E4"/>
    <w:rsid w:val="0D9653A4"/>
    <w:rsid w:val="0DA5964A"/>
    <w:rsid w:val="0DA6A8E1"/>
    <w:rsid w:val="0DBD34D6"/>
    <w:rsid w:val="0DCBA1D2"/>
    <w:rsid w:val="0DD7DA06"/>
    <w:rsid w:val="0DE6F17B"/>
    <w:rsid w:val="0DF4CC74"/>
    <w:rsid w:val="0E0355C0"/>
    <w:rsid w:val="0E062384"/>
    <w:rsid w:val="0E065956"/>
    <w:rsid w:val="0E13F19C"/>
    <w:rsid w:val="0E2E10D8"/>
    <w:rsid w:val="0E399C80"/>
    <w:rsid w:val="0E458AB2"/>
    <w:rsid w:val="0E97AB22"/>
    <w:rsid w:val="0ED15B8A"/>
    <w:rsid w:val="0EE50FEC"/>
    <w:rsid w:val="0EEEE29B"/>
    <w:rsid w:val="0EFA5265"/>
    <w:rsid w:val="0F0B00E4"/>
    <w:rsid w:val="0F0C5D4C"/>
    <w:rsid w:val="0F2E4298"/>
    <w:rsid w:val="0F383B33"/>
    <w:rsid w:val="0F3F594F"/>
    <w:rsid w:val="0F4927F6"/>
    <w:rsid w:val="0F5186B5"/>
    <w:rsid w:val="0F685AB1"/>
    <w:rsid w:val="0F6A52B3"/>
    <w:rsid w:val="0F7912AC"/>
    <w:rsid w:val="0F8717FA"/>
    <w:rsid w:val="0F998B4A"/>
    <w:rsid w:val="0F9CD30E"/>
    <w:rsid w:val="0FA278E6"/>
    <w:rsid w:val="0FA4BBDB"/>
    <w:rsid w:val="0FC94B53"/>
    <w:rsid w:val="0FEA2CFD"/>
    <w:rsid w:val="0FF052F6"/>
    <w:rsid w:val="1004D115"/>
    <w:rsid w:val="1005861D"/>
    <w:rsid w:val="1008B735"/>
    <w:rsid w:val="100E4242"/>
    <w:rsid w:val="1020F06C"/>
    <w:rsid w:val="10293116"/>
    <w:rsid w:val="1030BA8F"/>
    <w:rsid w:val="10350887"/>
    <w:rsid w:val="10498D4A"/>
    <w:rsid w:val="1064EC92"/>
    <w:rsid w:val="106BE14B"/>
    <w:rsid w:val="10774DE4"/>
    <w:rsid w:val="107BA6B2"/>
    <w:rsid w:val="107CFA69"/>
    <w:rsid w:val="1084F480"/>
    <w:rsid w:val="1085DA52"/>
    <w:rsid w:val="10885D15"/>
    <w:rsid w:val="10957EDE"/>
    <w:rsid w:val="10AF0A1E"/>
    <w:rsid w:val="10B65806"/>
    <w:rsid w:val="10B728BE"/>
    <w:rsid w:val="10BBB2D9"/>
    <w:rsid w:val="10D52004"/>
    <w:rsid w:val="10D54DB0"/>
    <w:rsid w:val="10D8B2E5"/>
    <w:rsid w:val="10DBBAEF"/>
    <w:rsid w:val="10E463A7"/>
    <w:rsid w:val="10EB0ECC"/>
    <w:rsid w:val="11067C01"/>
    <w:rsid w:val="11070BA9"/>
    <w:rsid w:val="11257639"/>
    <w:rsid w:val="1126CF22"/>
    <w:rsid w:val="113374B2"/>
    <w:rsid w:val="1134E481"/>
    <w:rsid w:val="1139F38F"/>
    <w:rsid w:val="115A9872"/>
    <w:rsid w:val="11602A99"/>
    <w:rsid w:val="116A76F8"/>
    <w:rsid w:val="11864563"/>
    <w:rsid w:val="1189401A"/>
    <w:rsid w:val="119361BA"/>
    <w:rsid w:val="1197D666"/>
    <w:rsid w:val="119A8740"/>
    <w:rsid w:val="11A8B330"/>
    <w:rsid w:val="11CEDBCB"/>
    <w:rsid w:val="11D12B9D"/>
    <w:rsid w:val="11E27717"/>
    <w:rsid w:val="11F9002B"/>
    <w:rsid w:val="11F9A156"/>
    <w:rsid w:val="11FC9156"/>
    <w:rsid w:val="12142027"/>
    <w:rsid w:val="122EFFEB"/>
    <w:rsid w:val="122F7C64"/>
    <w:rsid w:val="1232796B"/>
    <w:rsid w:val="123497F9"/>
    <w:rsid w:val="124ADA7F"/>
    <w:rsid w:val="12535DE8"/>
    <w:rsid w:val="125455EC"/>
    <w:rsid w:val="1260F237"/>
    <w:rsid w:val="126721B3"/>
    <w:rsid w:val="1270DBEB"/>
    <w:rsid w:val="128561E1"/>
    <w:rsid w:val="12887A39"/>
    <w:rsid w:val="129428C8"/>
    <w:rsid w:val="1298A606"/>
    <w:rsid w:val="129ADA06"/>
    <w:rsid w:val="129E81E0"/>
    <w:rsid w:val="12B07363"/>
    <w:rsid w:val="12BC8DAD"/>
    <w:rsid w:val="12BED975"/>
    <w:rsid w:val="12C25024"/>
    <w:rsid w:val="12C60DBB"/>
    <w:rsid w:val="12CC4E66"/>
    <w:rsid w:val="12CCBCC0"/>
    <w:rsid w:val="12F8175C"/>
    <w:rsid w:val="130F3778"/>
    <w:rsid w:val="131A1F0A"/>
    <w:rsid w:val="1321CDBF"/>
    <w:rsid w:val="13237E6E"/>
    <w:rsid w:val="1330ED30"/>
    <w:rsid w:val="135ED890"/>
    <w:rsid w:val="1364505D"/>
    <w:rsid w:val="13706FE0"/>
    <w:rsid w:val="137F1FF4"/>
    <w:rsid w:val="138E7CDB"/>
    <w:rsid w:val="1395ED87"/>
    <w:rsid w:val="139F5F12"/>
    <w:rsid w:val="13A1E451"/>
    <w:rsid w:val="13CF0B85"/>
    <w:rsid w:val="13D4FBE2"/>
    <w:rsid w:val="13DA5271"/>
    <w:rsid w:val="13DC47CC"/>
    <w:rsid w:val="13DE4932"/>
    <w:rsid w:val="13E78995"/>
    <w:rsid w:val="13EF27A0"/>
    <w:rsid w:val="13F33246"/>
    <w:rsid w:val="13FD102A"/>
    <w:rsid w:val="1414A47C"/>
    <w:rsid w:val="141CE1D4"/>
    <w:rsid w:val="141E87F9"/>
    <w:rsid w:val="1427967F"/>
    <w:rsid w:val="143D2F73"/>
    <w:rsid w:val="144B1A21"/>
    <w:rsid w:val="14506DF6"/>
    <w:rsid w:val="146C7B8F"/>
    <w:rsid w:val="147047B0"/>
    <w:rsid w:val="1477A5AC"/>
    <w:rsid w:val="148005DE"/>
    <w:rsid w:val="14814724"/>
    <w:rsid w:val="148D117B"/>
    <w:rsid w:val="1495CB18"/>
    <w:rsid w:val="149EFC19"/>
    <w:rsid w:val="14AB07D9"/>
    <w:rsid w:val="14AFA191"/>
    <w:rsid w:val="14C8E02F"/>
    <w:rsid w:val="14CC8412"/>
    <w:rsid w:val="14D117E2"/>
    <w:rsid w:val="14D3DD25"/>
    <w:rsid w:val="14D84238"/>
    <w:rsid w:val="14F638E0"/>
    <w:rsid w:val="14FBA75E"/>
    <w:rsid w:val="150889C9"/>
    <w:rsid w:val="15122ABF"/>
    <w:rsid w:val="151A1BB9"/>
    <w:rsid w:val="1523B9CE"/>
    <w:rsid w:val="1525B6F5"/>
    <w:rsid w:val="1526AD5E"/>
    <w:rsid w:val="152DBD27"/>
    <w:rsid w:val="154A8089"/>
    <w:rsid w:val="155E3B96"/>
    <w:rsid w:val="156993E9"/>
    <w:rsid w:val="156AF8E9"/>
    <w:rsid w:val="1575A6C7"/>
    <w:rsid w:val="15816ECA"/>
    <w:rsid w:val="15896003"/>
    <w:rsid w:val="158B0CCD"/>
    <w:rsid w:val="158D5C98"/>
    <w:rsid w:val="159FE848"/>
    <w:rsid w:val="15A16589"/>
    <w:rsid w:val="15A9738D"/>
    <w:rsid w:val="15B2433F"/>
    <w:rsid w:val="15CB48C0"/>
    <w:rsid w:val="15E5385F"/>
    <w:rsid w:val="15EA463F"/>
    <w:rsid w:val="16097A2D"/>
    <w:rsid w:val="160D9846"/>
    <w:rsid w:val="16151458"/>
    <w:rsid w:val="161AAB0F"/>
    <w:rsid w:val="162A6DCD"/>
    <w:rsid w:val="1654D006"/>
    <w:rsid w:val="1664E311"/>
    <w:rsid w:val="16681624"/>
    <w:rsid w:val="166AAE44"/>
    <w:rsid w:val="167C6BE3"/>
    <w:rsid w:val="167F0C26"/>
    <w:rsid w:val="167F3083"/>
    <w:rsid w:val="1680F9A2"/>
    <w:rsid w:val="169556A3"/>
    <w:rsid w:val="169DD449"/>
    <w:rsid w:val="16B1D2BD"/>
    <w:rsid w:val="16B5B8FA"/>
    <w:rsid w:val="16C6F5F3"/>
    <w:rsid w:val="16C84D63"/>
    <w:rsid w:val="16CC0EF9"/>
    <w:rsid w:val="16D00279"/>
    <w:rsid w:val="16D9FF47"/>
    <w:rsid w:val="16E30C9D"/>
    <w:rsid w:val="16EBBA17"/>
    <w:rsid w:val="16F3FF36"/>
    <w:rsid w:val="16F94149"/>
    <w:rsid w:val="16FEB7A8"/>
    <w:rsid w:val="16FFD785"/>
    <w:rsid w:val="1718C3FF"/>
    <w:rsid w:val="1720A2C3"/>
    <w:rsid w:val="172999F6"/>
    <w:rsid w:val="173B0E85"/>
    <w:rsid w:val="1750AFB6"/>
    <w:rsid w:val="176CCF6D"/>
    <w:rsid w:val="177B7EB6"/>
    <w:rsid w:val="17806091"/>
    <w:rsid w:val="1789BA52"/>
    <w:rsid w:val="179BD5A5"/>
    <w:rsid w:val="17ADD299"/>
    <w:rsid w:val="17B8E7E6"/>
    <w:rsid w:val="17BA830F"/>
    <w:rsid w:val="17C2C191"/>
    <w:rsid w:val="17D069DA"/>
    <w:rsid w:val="17D3C5C0"/>
    <w:rsid w:val="17DCDD3B"/>
    <w:rsid w:val="17DFC68A"/>
    <w:rsid w:val="17E90340"/>
    <w:rsid w:val="1808D53C"/>
    <w:rsid w:val="182D8FD9"/>
    <w:rsid w:val="183942F4"/>
    <w:rsid w:val="1862C654"/>
    <w:rsid w:val="186CE663"/>
    <w:rsid w:val="186E6A69"/>
    <w:rsid w:val="18823533"/>
    <w:rsid w:val="18C27655"/>
    <w:rsid w:val="18D79639"/>
    <w:rsid w:val="18DEEAA8"/>
    <w:rsid w:val="18E9E50F"/>
    <w:rsid w:val="18F083FB"/>
    <w:rsid w:val="18F8F455"/>
    <w:rsid w:val="190DE661"/>
    <w:rsid w:val="190FE439"/>
    <w:rsid w:val="19130BEA"/>
    <w:rsid w:val="1916E289"/>
    <w:rsid w:val="192251D7"/>
    <w:rsid w:val="1930881E"/>
    <w:rsid w:val="1954B847"/>
    <w:rsid w:val="195756FF"/>
    <w:rsid w:val="195C9BB1"/>
    <w:rsid w:val="19620CD6"/>
    <w:rsid w:val="196B4171"/>
    <w:rsid w:val="19774F71"/>
    <w:rsid w:val="1977D06F"/>
    <w:rsid w:val="1987E46E"/>
    <w:rsid w:val="19AA0042"/>
    <w:rsid w:val="19BA01E7"/>
    <w:rsid w:val="19BF5431"/>
    <w:rsid w:val="19CE99D0"/>
    <w:rsid w:val="19D92683"/>
    <w:rsid w:val="19DD1E7B"/>
    <w:rsid w:val="19ED2F61"/>
    <w:rsid w:val="1A043EB8"/>
    <w:rsid w:val="1A0B3E43"/>
    <w:rsid w:val="1A0EBB55"/>
    <w:rsid w:val="1A182581"/>
    <w:rsid w:val="1A19212D"/>
    <w:rsid w:val="1A2339B5"/>
    <w:rsid w:val="1A26866A"/>
    <w:rsid w:val="1A2FE82A"/>
    <w:rsid w:val="1A318E0F"/>
    <w:rsid w:val="1A35C41A"/>
    <w:rsid w:val="1A4216B3"/>
    <w:rsid w:val="1A427B47"/>
    <w:rsid w:val="1A5B90C8"/>
    <w:rsid w:val="1A6192AC"/>
    <w:rsid w:val="1A74D6AC"/>
    <w:rsid w:val="1A7BE25F"/>
    <w:rsid w:val="1A8486B8"/>
    <w:rsid w:val="1AA25472"/>
    <w:rsid w:val="1AACC2DB"/>
    <w:rsid w:val="1ACC587F"/>
    <w:rsid w:val="1ACD6209"/>
    <w:rsid w:val="1AD204B7"/>
    <w:rsid w:val="1AD80D0E"/>
    <w:rsid w:val="1AF0E87D"/>
    <w:rsid w:val="1AF5FDC6"/>
    <w:rsid w:val="1AFC092B"/>
    <w:rsid w:val="1B05576F"/>
    <w:rsid w:val="1B09D171"/>
    <w:rsid w:val="1B21C003"/>
    <w:rsid w:val="1B40DDE9"/>
    <w:rsid w:val="1B43897E"/>
    <w:rsid w:val="1B4783BC"/>
    <w:rsid w:val="1B4F7142"/>
    <w:rsid w:val="1B59FE29"/>
    <w:rsid w:val="1B6B5805"/>
    <w:rsid w:val="1B6F95D9"/>
    <w:rsid w:val="1B7462AC"/>
    <w:rsid w:val="1B7A02FE"/>
    <w:rsid w:val="1B847232"/>
    <w:rsid w:val="1B874F97"/>
    <w:rsid w:val="1B878173"/>
    <w:rsid w:val="1B902D19"/>
    <w:rsid w:val="1B9886B7"/>
    <w:rsid w:val="1B9A6716"/>
    <w:rsid w:val="1B9E208E"/>
    <w:rsid w:val="1BA39D07"/>
    <w:rsid w:val="1BAB95D0"/>
    <w:rsid w:val="1BAC336D"/>
    <w:rsid w:val="1BBFAD10"/>
    <w:rsid w:val="1BC9424E"/>
    <w:rsid w:val="1BC9B1B3"/>
    <w:rsid w:val="1BCBB3AD"/>
    <w:rsid w:val="1BD14E92"/>
    <w:rsid w:val="1BD4AB5C"/>
    <w:rsid w:val="1BEF04D5"/>
    <w:rsid w:val="1BF6441F"/>
    <w:rsid w:val="1C05FC16"/>
    <w:rsid w:val="1C0BF2B4"/>
    <w:rsid w:val="1C1158BF"/>
    <w:rsid w:val="1C5388F8"/>
    <w:rsid w:val="1C59F299"/>
    <w:rsid w:val="1C5D54C3"/>
    <w:rsid w:val="1C653150"/>
    <w:rsid w:val="1C72ABCE"/>
    <w:rsid w:val="1C898CCE"/>
    <w:rsid w:val="1C947E73"/>
    <w:rsid w:val="1C9D745D"/>
    <w:rsid w:val="1CC1B6A0"/>
    <w:rsid w:val="1CCDAC43"/>
    <w:rsid w:val="1CD1E27F"/>
    <w:rsid w:val="1CD4EF21"/>
    <w:rsid w:val="1CDB6195"/>
    <w:rsid w:val="1CE20EB0"/>
    <w:rsid w:val="1CEB41A3"/>
    <w:rsid w:val="1CF287C1"/>
    <w:rsid w:val="1D016841"/>
    <w:rsid w:val="1D0315AA"/>
    <w:rsid w:val="1D3295B1"/>
    <w:rsid w:val="1D3521A1"/>
    <w:rsid w:val="1D50C1EF"/>
    <w:rsid w:val="1D51B2AD"/>
    <w:rsid w:val="1D548D7E"/>
    <w:rsid w:val="1D68A3A5"/>
    <w:rsid w:val="1D6BEADD"/>
    <w:rsid w:val="1D79B775"/>
    <w:rsid w:val="1DDB900F"/>
    <w:rsid w:val="1DDC5EAE"/>
    <w:rsid w:val="1DE667BF"/>
    <w:rsid w:val="1DE77C8F"/>
    <w:rsid w:val="1DEFE535"/>
    <w:rsid w:val="1DF8EAFC"/>
    <w:rsid w:val="1DFBB859"/>
    <w:rsid w:val="1E049A10"/>
    <w:rsid w:val="1E096D87"/>
    <w:rsid w:val="1E0D948B"/>
    <w:rsid w:val="1E0ECAFE"/>
    <w:rsid w:val="1E14C4D9"/>
    <w:rsid w:val="1E237FE3"/>
    <w:rsid w:val="1E2B98C5"/>
    <w:rsid w:val="1E3E424C"/>
    <w:rsid w:val="1E41C8C7"/>
    <w:rsid w:val="1E4F3B1F"/>
    <w:rsid w:val="1E6492CB"/>
    <w:rsid w:val="1E67242C"/>
    <w:rsid w:val="1E683BE4"/>
    <w:rsid w:val="1E6A17E2"/>
    <w:rsid w:val="1E798C72"/>
    <w:rsid w:val="1E991DA5"/>
    <w:rsid w:val="1EB72430"/>
    <w:rsid w:val="1ED207D8"/>
    <w:rsid w:val="1EE3BB60"/>
    <w:rsid w:val="1EEB7A54"/>
    <w:rsid w:val="1EEC6E06"/>
    <w:rsid w:val="1EEE8F47"/>
    <w:rsid w:val="1EEEF6B4"/>
    <w:rsid w:val="1EF74DD2"/>
    <w:rsid w:val="1F0F88FB"/>
    <w:rsid w:val="1F1143B3"/>
    <w:rsid w:val="1F1347ED"/>
    <w:rsid w:val="1F353610"/>
    <w:rsid w:val="1F55A6AC"/>
    <w:rsid w:val="1F6C5670"/>
    <w:rsid w:val="1F6C6ADF"/>
    <w:rsid w:val="1F7CF016"/>
    <w:rsid w:val="1F8033FE"/>
    <w:rsid w:val="1F8F335F"/>
    <w:rsid w:val="1F9B3FB5"/>
    <w:rsid w:val="1FBC5222"/>
    <w:rsid w:val="1FBF2DAF"/>
    <w:rsid w:val="1FC5A090"/>
    <w:rsid w:val="1FDA7166"/>
    <w:rsid w:val="1FDDC46E"/>
    <w:rsid w:val="1FDEC2E1"/>
    <w:rsid w:val="1FF441C5"/>
    <w:rsid w:val="201C9331"/>
    <w:rsid w:val="2027DBE8"/>
    <w:rsid w:val="202EAEB1"/>
    <w:rsid w:val="202EED1B"/>
    <w:rsid w:val="2041CF4C"/>
    <w:rsid w:val="204A61E2"/>
    <w:rsid w:val="205B4742"/>
    <w:rsid w:val="205FE8F4"/>
    <w:rsid w:val="2066B4DB"/>
    <w:rsid w:val="20670624"/>
    <w:rsid w:val="2083E1A2"/>
    <w:rsid w:val="20884D69"/>
    <w:rsid w:val="20895C1B"/>
    <w:rsid w:val="208C932D"/>
    <w:rsid w:val="2099613F"/>
    <w:rsid w:val="20A0C1AB"/>
    <w:rsid w:val="20A766B5"/>
    <w:rsid w:val="20AFC45C"/>
    <w:rsid w:val="20B0A111"/>
    <w:rsid w:val="20B80EFB"/>
    <w:rsid w:val="20C8672E"/>
    <w:rsid w:val="20DAB50F"/>
    <w:rsid w:val="21117C0D"/>
    <w:rsid w:val="2113D0FD"/>
    <w:rsid w:val="211AEB20"/>
    <w:rsid w:val="213463E8"/>
    <w:rsid w:val="213B9A03"/>
    <w:rsid w:val="213CA38D"/>
    <w:rsid w:val="214D70CB"/>
    <w:rsid w:val="215FCA2C"/>
    <w:rsid w:val="21669111"/>
    <w:rsid w:val="2168AD33"/>
    <w:rsid w:val="216AF1BD"/>
    <w:rsid w:val="216ECB54"/>
    <w:rsid w:val="2182EF18"/>
    <w:rsid w:val="2188592E"/>
    <w:rsid w:val="218F565B"/>
    <w:rsid w:val="2191DDFB"/>
    <w:rsid w:val="21AA8869"/>
    <w:rsid w:val="21B81711"/>
    <w:rsid w:val="21C3AC49"/>
    <w:rsid w:val="21F97503"/>
    <w:rsid w:val="21FE2F08"/>
    <w:rsid w:val="2208126E"/>
    <w:rsid w:val="22197450"/>
    <w:rsid w:val="2242F8B0"/>
    <w:rsid w:val="225EAEEA"/>
    <w:rsid w:val="227B32A1"/>
    <w:rsid w:val="227DE7A8"/>
    <w:rsid w:val="2290877C"/>
    <w:rsid w:val="22A6794D"/>
    <w:rsid w:val="22B02EA6"/>
    <w:rsid w:val="22B82745"/>
    <w:rsid w:val="22BB076D"/>
    <w:rsid w:val="22C5A17D"/>
    <w:rsid w:val="22CC4CF0"/>
    <w:rsid w:val="22D29742"/>
    <w:rsid w:val="22D76A64"/>
    <w:rsid w:val="22D9C0AD"/>
    <w:rsid w:val="22EA979A"/>
    <w:rsid w:val="22EBABF9"/>
    <w:rsid w:val="22F5DF75"/>
    <w:rsid w:val="22FB9A8D"/>
    <w:rsid w:val="230AA3B0"/>
    <w:rsid w:val="232306B4"/>
    <w:rsid w:val="23292532"/>
    <w:rsid w:val="233E17B5"/>
    <w:rsid w:val="233F6494"/>
    <w:rsid w:val="235A8327"/>
    <w:rsid w:val="236AD864"/>
    <w:rsid w:val="237F5235"/>
    <w:rsid w:val="239C0D74"/>
    <w:rsid w:val="23AD4C0D"/>
    <w:rsid w:val="23B7ED06"/>
    <w:rsid w:val="23C0F6E8"/>
    <w:rsid w:val="23C75EBC"/>
    <w:rsid w:val="23CEC98E"/>
    <w:rsid w:val="23CF19A2"/>
    <w:rsid w:val="23CF944F"/>
    <w:rsid w:val="23E708E7"/>
    <w:rsid w:val="2409B6DA"/>
    <w:rsid w:val="240E9906"/>
    <w:rsid w:val="241CA960"/>
    <w:rsid w:val="24351DBD"/>
    <w:rsid w:val="243961CC"/>
    <w:rsid w:val="243FE98D"/>
    <w:rsid w:val="244D1E31"/>
    <w:rsid w:val="2454FF12"/>
    <w:rsid w:val="2458F4A6"/>
    <w:rsid w:val="246093BF"/>
    <w:rsid w:val="2465047E"/>
    <w:rsid w:val="24681D51"/>
    <w:rsid w:val="247B284B"/>
    <w:rsid w:val="2482FF28"/>
    <w:rsid w:val="248BCBAA"/>
    <w:rsid w:val="248C0831"/>
    <w:rsid w:val="248D4BB4"/>
    <w:rsid w:val="24A9738E"/>
    <w:rsid w:val="24BB6D8D"/>
    <w:rsid w:val="24D6EE42"/>
    <w:rsid w:val="24DD42AB"/>
    <w:rsid w:val="24EB5324"/>
    <w:rsid w:val="25034241"/>
    <w:rsid w:val="251034D6"/>
    <w:rsid w:val="253CEEE3"/>
    <w:rsid w:val="255E77B6"/>
    <w:rsid w:val="2565D5A2"/>
    <w:rsid w:val="2592455D"/>
    <w:rsid w:val="25C6E679"/>
    <w:rsid w:val="25C84E68"/>
    <w:rsid w:val="25DA9ED6"/>
    <w:rsid w:val="25DE9F7A"/>
    <w:rsid w:val="25DF2316"/>
    <w:rsid w:val="25E2E371"/>
    <w:rsid w:val="25F47AFA"/>
    <w:rsid w:val="25F677FF"/>
    <w:rsid w:val="2603EDB2"/>
    <w:rsid w:val="260C81AA"/>
    <w:rsid w:val="262FCC0D"/>
    <w:rsid w:val="26333B4F"/>
    <w:rsid w:val="2633D9D1"/>
    <w:rsid w:val="263E1D65"/>
    <w:rsid w:val="265B17FF"/>
    <w:rsid w:val="267B4337"/>
    <w:rsid w:val="26903AE8"/>
    <w:rsid w:val="26971D6C"/>
    <w:rsid w:val="26C4842F"/>
    <w:rsid w:val="26CACD59"/>
    <w:rsid w:val="26CAF883"/>
    <w:rsid w:val="26D5D160"/>
    <w:rsid w:val="26DE3142"/>
    <w:rsid w:val="26EFCDA3"/>
    <w:rsid w:val="26F45967"/>
    <w:rsid w:val="26FBCB5F"/>
    <w:rsid w:val="270A4D3D"/>
    <w:rsid w:val="270DD5E5"/>
    <w:rsid w:val="272F4E6B"/>
    <w:rsid w:val="273897AA"/>
    <w:rsid w:val="273D0D68"/>
    <w:rsid w:val="274708C4"/>
    <w:rsid w:val="275765CD"/>
    <w:rsid w:val="275D9EC7"/>
    <w:rsid w:val="276928F8"/>
    <w:rsid w:val="2777304B"/>
    <w:rsid w:val="277B5291"/>
    <w:rsid w:val="277D2018"/>
    <w:rsid w:val="279FE0F9"/>
    <w:rsid w:val="27B885DE"/>
    <w:rsid w:val="27BCE60F"/>
    <w:rsid w:val="27EAAE20"/>
    <w:rsid w:val="27F0EFD7"/>
    <w:rsid w:val="27F1DA64"/>
    <w:rsid w:val="27FCF207"/>
    <w:rsid w:val="280AEC26"/>
    <w:rsid w:val="282DF44A"/>
    <w:rsid w:val="282EEF24"/>
    <w:rsid w:val="28485B62"/>
    <w:rsid w:val="284B958D"/>
    <w:rsid w:val="2869F84B"/>
    <w:rsid w:val="286B6519"/>
    <w:rsid w:val="286C18AC"/>
    <w:rsid w:val="287D4509"/>
    <w:rsid w:val="2887F47D"/>
    <w:rsid w:val="28A4B619"/>
    <w:rsid w:val="28C5F0C6"/>
    <w:rsid w:val="28D8B2E2"/>
    <w:rsid w:val="28DE2933"/>
    <w:rsid w:val="28E11842"/>
    <w:rsid w:val="28F922E6"/>
    <w:rsid w:val="28FAF1D0"/>
    <w:rsid w:val="29026281"/>
    <w:rsid w:val="29059ADD"/>
    <w:rsid w:val="290CF482"/>
    <w:rsid w:val="29200B0E"/>
    <w:rsid w:val="29214364"/>
    <w:rsid w:val="2929D0F3"/>
    <w:rsid w:val="293820CF"/>
    <w:rsid w:val="293CD329"/>
    <w:rsid w:val="2946FC64"/>
    <w:rsid w:val="2948E97C"/>
    <w:rsid w:val="2957A07A"/>
    <w:rsid w:val="29610424"/>
    <w:rsid w:val="29A6007B"/>
    <w:rsid w:val="29BEFA58"/>
    <w:rsid w:val="29C6ECB3"/>
    <w:rsid w:val="29C7B1EE"/>
    <w:rsid w:val="29CE44D3"/>
    <w:rsid w:val="29DFCB18"/>
    <w:rsid w:val="29ED5F83"/>
    <w:rsid w:val="2A029945"/>
    <w:rsid w:val="2A040CC2"/>
    <w:rsid w:val="2A0F34B4"/>
    <w:rsid w:val="2A11F471"/>
    <w:rsid w:val="2A222A8D"/>
    <w:rsid w:val="2A37B821"/>
    <w:rsid w:val="2A3B5D2C"/>
    <w:rsid w:val="2A41EDFF"/>
    <w:rsid w:val="2A4CCFB9"/>
    <w:rsid w:val="2A649C42"/>
    <w:rsid w:val="2A694F74"/>
    <w:rsid w:val="2A74FA2C"/>
    <w:rsid w:val="2AA1E11E"/>
    <w:rsid w:val="2AA521CB"/>
    <w:rsid w:val="2AA7DCB5"/>
    <w:rsid w:val="2AB42962"/>
    <w:rsid w:val="2AB4E77E"/>
    <w:rsid w:val="2AB56329"/>
    <w:rsid w:val="2AFA7EA9"/>
    <w:rsid w:val="2B0B8F98"/>
    <w:rsid w:val="2B0D50C9"/>
    <w:rsid w:val="2B0E777D"/>
    <w:rsid w:val="2B3293D0"/>
    <w:rsid w:val="2B3A89D0"/>
    <w:rsid w:val="2B77CE6A"/>
    <w:rsid w:val="2B7BF201"/>
    <w:rsid w:val="2B950B5F"/>
    <w:rsid w:val="2B9C03BB"/>
    <w:rsid w:val="2BD63F3C"/>
    <w:rsid w:val="2BD99759"/>
    <w:rsid w:val="2BDAE281"/>
    <w:rsid w:val="2BDDBE60"/>
    <w:rsid w:val="2BE48450"/>
    <w:rsid w:val="2BFD29EF"/>
    <w:rsid w:val="2C0183BD"/>
    <w:rsid w:val="2C1AAF6C"/>
    <w:rsid w:val="2C1F580F"/>
    <w:rsid w:val="2C20AD50"/>
    <w:rsid w:val="2C3C5013"/>
    <w:rsid w:val="2C4DF875"/>
    <w:rsid w:val="2C5D6242"/>
    <w:rsid w:val="2C5D7724"/>
    <w:rsid w:val="2C5F16F6"/>
    <w:rsid w:val="2C62A7AF"/>
    <w:rsid w:val="2C745B65"/>
    <w:rsid w:val="2C808855"/>
    <w:rsid w:val="2CA1A7D7"/>
    <w:rsid w:val="2CC116F2"/>
    <w:rsid w:val="2CC4AEC1"/>
    <w:rsid w:val="2CC71D0A"/>
    <w:rsid w:val="2CCCEB98"/>
    <w:rsid w:val="2CEC1E97"/>
    <w:rsid w:val="2D01656D"/>
    <w:rsid w:val="2D1CFE70"/>
    <w:rsid w:val="2D26984A"/>
    <w:rsid w:val="2D30878B"/>
    <w:rsid w:val="2D4DBD5C"/>
    <w:rsid w:val="2D60636B"/>
    <w:rsid w:val="2D6AFE20"/>
    <w:rsid w:val="2D7717FE"/>
    <w:rsid w:val="2D8A6DB1"/>
    <w:rsid w:val="2DAA2F6A"/>
    <w:rsid w:val="2DAEA65A"/>
    <w:rsid w:val="2DB67FCD"/>
    <w:rsid w:val="2DBBB79A"/>
    <w:rsid w:val="2DBF2234"/>
    <w:rsid w:val="2DC680D3"/>
    <w:rsid w:val="2DCABC6F"/>
    <w:rsid w:val="2DCCE67B"/>
    <w:rsid w:val="2DE15034"/>
    <w:rsid w:val="2DE34E39"/>
    <w:rsid w:val="2DF81A72"/>
    <w:rsid w:val="2DFC5695"/>
    <w:rsid w:val="2E00E822"/>
    <w:rsid w:val="2E0CB178"/>
    <w:rsid w:val="2E1178CE"/>
    <w:rsid w:val="2E271174"/>
    <w:rsid w:val="2E2B6DD9"/>
    <w:rsid w:val="2E2FA1EC"/>
    <w:rsid w:val="2E501465"/>
    <w:rsid w:val="2E521EC2"/>
    <w:rsid w:val="2E721C88"/>
    <w:rsid w:val="2E7FC243"/>
    <w:rsid w:val="2E890FE9"/>
    <w:rsid w:val="2E9FBEF8"/>
    <w:rsid w:val="2EA8CE14"/>
    <w:rsid w:val="2EB39F93"/>
    <w:rsid w:val="2EB46467"/>
    <w:rsid w:val="2EC5F153"/>
    <w:rsid w:val="2ED318C6"/>
    <w:rsid w:val="2ED7E779"/>
    <w:rsid w:val="2EE9161A"/>
    <w:rsid w:val="2EE98DBD"/>
    <w:rsid w:val="2EEAC976"/>
    <w:rsid w:val="2EEDAB12"/>
    <w:rsid w:val="2EF480E5"/>
    <w:rsid w:val="2EF64C13"/>
    <w:rsid w:val="2F02C28A"/>
    <w:rsid w:val="2F1C352D"/>
    <w:rsid w:val="2F1E3B29"/>
    <w:rsid w:val="2F23265B"/>
    <w:rsid w:val="2F3D7FA0"/>
    <w:rsid w:val="2F4017B7"/>
    <w:rsid w:val="2F49F1E0"/>
    <w:rsid w:val="2F52502E"/>
    <w:rsid w:val="2F534A4B"/>
    <w:rsid w:val="2F641F98"/>
    <w:rsid w:val="2F66FA48"/>
    <w:rsid w:val="2F88BD19"/>
    <w:rsid w:val="2F8F67CC"/>
    <w:rsid w:val="2FB29C7C"/>
    <w:rsid w:val="2FB75A8E"/>
    <w:rsid w:val="2FBD049A"/>
    <w:rsid w:val="2FCCEC80"/>
    <w:rsid w:val="2FD74A53"/>
    <w:rsid w:val="2FF1D323"/>
    <w:rsid w:val="3001348F"/>
    <w:rsid w:val="30074F68"/>
    <w:rsid w:val="301E02C6"/>
    <w:rsid w:val="30400F25"/>
    <w:rsid w:val="304A97DD"/>
    <w:rsid w:val="3068ADCC"/>
    <w:rsid w:val="30720079"/>
    <w:rsid w:val="30739E66"/>
    <w:rsid w:val="307CBF14"/>
    <w:rsid w:val="3089B192"/>
    <w:rsid w:val="308A1ABB"/>
    <w:rsid w:val="30A3B538"/>
    <w:rsid w:val="30A7C173"/>
    <w:rsid w:val="30B07F58"/>
    <w:rsid w:val="30C1E51A"/>
    <w:rsid w:val="30CFCE1B"/>
    <w:rsid w:val="30DEE6C6"/>
    <w:rsid w:val="30EB0FB7"/>
    <w:rsid w:val="30EC4C44"/>
    <w:rsid w:val="31189A48"/>
    <w:rsid w:val="312D4107"/>
    <w:rsid w:val="31461365"/>
    <w:rsid w:val="3147AFB0"/>
    <w:rsid w:val="314D2D88"/>
    <w:rsid w:val="3159AB53"/>
    <w:rsid w:val="3161B9BC"/>
    <w:rsid w:val="3176BA1D"/>
    <w:rsid w:val="3190172C"/>
    <w:rsid w:val="319822DB"/>
    <w:rsid w:val="319A8E2D"/>
    <w:rsid w:val="31AEE64E"/>
    <w:rsid w:val="31C9F247"/>
    <w:rsid w:val="31CB7D26"/>
    <w:rsid w:val="31D4D690"/>
    <w:rsid w:val="31E4F752"/>
    <w:rsid w:val="31E8EDEB"/>
    <w:rsid w:val="31F13DF5"/>
    <w:rsid w:val="31FEA944"/>
    <w:rsid w:val="32212E7F"/>
    <w:rsid w:val="3227B9EA"/>
    <w:rsid w:val="3229557E"/>
    <w:rsid w:val="322C1C84"/>
    <w:rsid w:val="324837B4"/>
    <w:rsid w:val="325425B5"/>
    <w:rsid w:val="32655ACC"/>
    <w:rsid w:val="327666DD"/>
    <w:rsid w:val="328A513A"/>
    <w:rsid w:val="328AB47F"/>
    <w:rsid w:val="32999B3D"/>
    <w:rsid w:val="329FF878"/>
    <w:rsid w:val="32A906FE"/>
    <w:rsid w:val="32C1D970"/>
    <w:rsid w:val="32E335BE"/>
    <w:rsid w:val="32FB4347"/>
    <w:rsid w:val="330971D4"/>
    <w:rsid w:val="33159E33"/>
    <w:rsid w:val="331B615A"/>
    <w:rsid w:val="331C55E9"/>
    <w:rsid w:val="33270EDB"/>
    <w:rsid w:val="3337EA04"/>
    <w:rsid w:val="33382FD4"/>
    <w:rsid w:val="33496756"/>
    <w:rsid w:val="3357425B"/>
    <w:rsid w:val="3365704A"/>
    <w:rsid w:val="337D37E8"/>
    <w:rsid w:val="337FA22D"/>
    <w:rsid w:val="338E2226"/>
    <w:rsid w:val="338FDB3F"/>
    <w:rsid w:val="33A784DF"/>
    <w:rsid w:val="33A8DD5E"/>
    <w:rsid w:val="33AC7DF7"/>
    <w:rsid w:val="33BB3E10"/>
    <w:rsid w:val="33CB0128"/>
    <w:rsid w:val="33E03DC8"/>
    <w:rsid w:val="3404FD41"/>
    <w:rsid w:val="340E043B"/>
    <w:rsid w:val="341B8726"/>
    <w:rsid w:val="3424D87E"/>
    <w:rsid w:val="3428AFE9"/>
    <w:rsid w:val="345E8B21"/>
    <w:rsid w:val="3478ACAF"/>
    <w:rsid w:val="347E0262"/>
    <w:rsid w:val="347F573F"/>
    <w:rsid w:val="34844111"/>
    <w:rsid w:val="34938BDF"/>
    <w:rsid w:val="3496EE41"/>
    <w:rsid w:val="34AF183A"/>
    <w:rsid w:val="34BBBBE5"/>
    <w:rsid w:val="34BF5C53"/>
    <w:rsid w:val="34C1E1F3"/>
    <w:rsid w:val="34C8EB41"/>
    <w:rsid w:val="34CDFA1C"/>
    <w:rsid w:val="34D07FB6"/>
    <w:rsid w:val="34E3E3CA"/>
    <w:rsid w:val="34E55769"/>
    <w:rsid w:val="34E75F5F"/>
    <w:rsid w:val="34ECDBAC"/>
    <w:rsid w:val="35179A75"/>
    <w:rsid w:val="352DD318"/>
    <w:rsid w:val="3531DE46"/>
    <w:rsid w:val="353CFA7E"/>
    <w:rsid w:val="3543D9CA"/>
    <w:rsid w:val="3544DC93"/>
    <w:rsid w:val="354D3972"/>
    <w:rsid w:val="35507352"/>
    <w:rsid w:val="3560BCC7"/>
    <w:rsid w:val="35661900"/>
    <w:rsid w:val="3566B596"/>
    <w:rsid w:val="35830442"/>
    <w:rsid w:val="359202F9"/>
    <w:rsid w:val="35C3429C"/>
    <w:rsid w:val="35C6BE5D"/>
    <w:rsid w:val="35E28592"/>
    <w:rsid w:val="35EC0B6B"/>
    <w:rsid w:val="35F8B166"/>
    <w:rsid w:val="3600AD0E"/>
    <w:rsid w:val="3605BDD2"/>
    <w:rsid w:val="360B14D6"/>
    <w:rsid w:val="361D8F3B"/>
    <w:rsid w:val="3620D3BF"/>
    <w:rsid w:val="36427CB9"/>
    <w:rsid w:val="36439643"/>
    <w:rsid w:val="364F6370"/>
    <w:rsid w:val="36580521"/>
    <w:rsid w:val="365CEBBE"/>
    <w:rsid w:val="36B68380"/>
    <w:rsid w:val="36CB5E68"/>
    <w:rsid w:val="36CB8054"/>
    <w:rsid w:val="36D8979A"/>
    <w:rsid w:val="36DF5DDC"/>
    <w:rsid w:val="36E909D3"/>
    <w:rsid w:val="36F26C41"/>
    <w:rsid w:val="370AC548"/>
    <w:rsid w:val="37188381"/>
    <w:rsid w:val="371A841C"/>
    <w:rsid w:val="372AEE2E"/>
    <w:rsid w:val="37307FE9"/>
    <w:rsid w:val="3734CE9D"/>
    <w:rsid w:val="373DF87E"/>
    <w:rsid w:val="374ED918"/>
    <w:rsid w:val="374F136C"/>
    <w:rsid w:val="37685587"/>
    <w:rsid w:val="37778189"/>
    <w:rsid w:val="378A80AF"/>
    <w:rsid w:val="37A18E33"/>
    <w:rsid w:val="37AB0B8D"/>
    <w:rsid w:val="37AD7405"/>
    <w:rsid w:val="37B673E4"/>
    <w:rsid w:val="37C18ADC"/>
    <w:rsid w:val="37E9939D"/>
    <w:rsid w:val="37ECDF59"/>
    <w:rsid w:val="37EDEFC7"/>
    <w:rsid w:val="380408F5"/>
    <w:rsid w:val="380FDB86"/>
    <w:rsid w:val="38177414"/>
    <w:rsid w:val="38179807"/>
    <w:rsid w:val="3818466A"/>
    <w:rsid w:val="38441814"/>
    <w:rsid w:val="3854139E"/>
    <w:rsid w:val="3876B318"/>
    <w:rsid w:val="3884DA34"/>
    <w:rsid w:val="3887C4C8"/>
    <w:rsid w:val="389BAE88"/>
    <w:rsid w:val="389DEDB6"/>
    <w:rsid w:val="38AA8610"/>
    <w:rsid w:val="38AAA1FA"/>
    <w:rsid w:val="38AEC71D"/>
    <w:rsid w:val="38C2F513"/>
    <w:rsid w:val="38C762DB"/>
    <w:rsid w:val="38CED333"/>
    <w:rsid w:val="38EEE1F4"/>
    <w:rsid w:val="38FED935"/>
    <w:rsid w:val="39072FC0"/>
    <w:rsid w:val="3908043A"/>
    <w:rsid w:val="392557B1"/>
    <w:rsid w:val="392C0283"/>
    <w:rsid w:val="3953BF98"/>
    <w:rsid w:val="396ACEE6"/>
    <w:rsid w:val="396C1E40"/>
    <w:rsid w:val="397BBF63"/>
    <w:rsid w:val="39820E66"/>
    <w:rsid w:val="3998447B"/>
    <w:rsid w:val="39A32F99"/>
    <w:rsid w:val="39D1B501"/>
    <w:rsid w:val="39F28A48"/>
    <w:rsid w:val="3A30F77A"/>
    <w:rsid w:val="3A425848"/>
    <w:rsid w:val="3A483810"/>
    <w:rsid w:val="3A4D81D3"/>
    <w:rsid w:val="3A51B5A8"/>
    <w:rsid w:val="3A741E24"/>
    <w:rsid w:val="3A74F7FB"/>
    <w:rsid w:val="3A7D0BD4"/>
    <w:rsid w:val="3A8266C9"/>
    <w:rsid w:val="3A84BF84"/>
    <w:rsid w:val="3A94CBA7"/>
    <w:rsid w:val="3A99AF86"/>
    <w:rsid w:val="3AA2AAED"/>
    <w:rsid w:val="3AA3E751"/>
    <w:rsid w:val="3AB16319"/>
    <w:rsid w:val="3AB8924F"/>
    <w:rsid w:val="3ABD32AD"/>
    <w:rsid w:val="3ABFEB95"/>
    <w:rsid w:val="3AC818E3"/>
    <w:rsid w:val="3AD2D9F0"/>
    <w:rsid w:val="3ADFBE55"/>
    <w:rsid w:val="3AE0DD08"/>
    <w:rsid w:val="3AE615F6"/>
    <w:rsid w:val="3AE6B2B6"/>
    <w:rsid w:val="3AEBC964"/>
    <w:rsid w:val="3AF0018E"/>
    <w:rsid w:val="3B022C1E"/>
    <w:rsid w:val="3B034824"/>
    <w:rsid w:val="3B267897"/>
    <w:rsid w:val="3B37D970"/>
    <w:rsid w:val="3B4D766D"/>
    <w:rsid w:val="3B507A57"/>
    <w:rsid w:val="3B66497C"/>
    <w:rsid w:val="3B6AB281"/>
    <w:rsid w:val="3B723440"/>
    <w:rsid w:val="3B909943"/>
    <w:rsid w:val="3B91B0EC"/>
    <w:rsid w:val="3BB6D127"/>
    <w:rsid w:val="3BBB1BD6"/>
    <w:rsid w:val="3BC96A31"/>
    <w:rsid w:val="3BD29D5C"/>
    <w:rsid w:val="3BE14592"/>
    <w:rsid w:val="3BE3AFB5"/>
    <w:rsid w:val="3BE585A8"/>
    <w:rsid w:val="3BEB267D"/>
    <w:rsid w:val="3BEE082B"/>
    <w:rsid w:val="3BFB2ACD"/>
    <w:rsid w:val="3C0008D4"/>
    <w:rsid w:val="3C008CC0"/>
    <w:rsid w:val="3C0B36F0"/>
    <w:rsid w:val="3C0E8FD3"/>
    <w:rsid w:val="3C13E1FF"/>
    <w:rsid w:val="3C1D34F9"/>
    <w:rsid w:val="3C4A897D"/>
    <w:rsid w:val="3C4C3F38"/>
    <w:rsid w:val="3C53028F"/>
    <w:rsid w:val="3C58485C"/>
    <w:rsid w:val="3C5849BC"/>
    <w:rsid w:val="3C5A1CAE"/>
    <w:rsid w:val="3C66E5EC"/>
    <w:rsid w:val="3C6E3CE9"/>
    <w:rsid w:val="3C7B9419"/>
    <w:rsid w:val="3C7BDDE9"/>
    <w:rsid w:val="3C7CD412"/>
    <w:rsid w:val="3C880312"/>
    <w:rsid w:val="3C912D69"/>
    <w:rsid w:val="3C9182C4"/>
    <w:rsid w:val="3C97265C"/>
    <w:rsid w:val="3C9BE27B"/>
    <w:rsid w:val="3C9D9E3D"/>
    <w:rsid w:val="3CC03319"/>
    <w:rsid w:val="3CCE7031"/>
    <w:rsid w:val="3CCF399E"/>
    <w:rsid w:val="3CD219B6"/>
    <w:rsid w:val="3CE4835C"/>
    <w:rsid w:val="3CF5356F"/>
    <w:rsid w:val="3CFD379F"/>
    <w:rsid w:val="3D0B82FC"/>
    <w:rsid w:val="3D39A543"/>
    <w:rsid w:val="3D422CEC"/>
    <w:rsid w:val="3D479DD2"/>
    <w:rsid w:val="3D4A06BB"/>
    <w:rsid w:val="3D4CB60B"/>
    <w:rsid w:val="3D899636"/>
    <w:rsid w:val="3DBF9C0B"/>
    <w:rsid w:val="3DC7D969"/>
    <w:rsid w:val="3E08CCC0"/>
    <w:rsid w:val="3E1DFD17"/>
    <w:rsid w:val="3E229E2F"/>
    <w:rsid w:val="3E39F69C"/>
    <w:rsid w:val="3E3CFB3F"/>
    <w:rsid w:val="3E3DC962"/>
    <w:rsid w:val="3E475397"/>
    <w:rsid w:val="3E5F6C08"/>
    <w:rsid w:val="3E617FA8"/>
    <w:rsid w:val="3E624AAE"/>
    <w:rsid w:val="3E75D122"/>
    <w:rsid w:val="3E8CFA36"/>
    <w:rsid w:val="3E99965F"/>
    <w:rsid w:val="3E9FD043"/>
    <w:rsid w:val="3ECED982"/>
    <w:rsid w:val="3EF48BBC"/>
    <w:rsid w:val="3EF59243"/>
    <w:rsid w:val="3F065D2E"/>
    <w:rsid w:val="3F09F348"/>
    <w:rsid w:val="3F0C5BAA"/>
    <w:rsid w:val="3F1E08A1"/>
    <w:rsid w:val="3F2554E1"/>
    <w:rsid w:val="3F25F627"/>
    <w:rsid w:val="3F302DF8"/>
    <w:rsid w:val="3F309493"/>
    <w:rsid w:val="3F4B62DC"/>
    <w:rsid w:val="3F57740D"/>
    <w:rsid w:val="3F5B5220"/>
    <w:rsid w:val="3F740FAB"/>
    <w:rsid w:val="3F79C554"/>
    <w:rsid w:val="3F84C9E8"/>
    <w:rsid w:val="3F8DB9AF"/>
    <w:rsid w:val="3F9109A8"/>
    <w:rsid w:val="3FC55840"/>
    <w:rsid w:val="3FCAC6DC"/>
    <w:rsid w:val="3FF639B1"/>
    <w:rsid w:val="3FFDC0D3"/>
    <w:rsid w:val="40056006"/>
    <w:rsid w:val="40306C27"/>
    <w:rsid w:val="403DE477"/>
    <w:rsid w:val="40487C09"/>
    <w:rsid w:val="404C3A37"/>
    <w:rsid w:val="4058298A"/>
    <w:rsid w:val="4063B977"/>
    <w:rsid w:val="408E7081"/>
    <w:rsid w:val="4090B808"/>
    <w:rsid w:val="409B4231"/>
    <w:rsid w:val="40B5D25B"/>
    <w:rsid w:val="40BDF35F"/>
    <w:rsid w:val="40C42A5C"/>
    <w:rsid w:val="40C5118B"/>
    <w:rsid w:val="40C8AEDE"/>
    <w:rsid w:val="40CBFF36"/>
    <w:rsid w:val="40EF7C2C"/>
    <w:rsid w:val="40F3C6EC"/>
    <w:rsid w:val="40F52F39"/>
    <w:rsid w:val="411D8057"/>
    <w:rsid w:val="41255F7C"/>
    <w:rsid w:val="412F499D"/>
    <w:rsid w:val="4135BAEE"/>
    <w:rsid w:val="413A2D06"/>
    <w:rsid w:val="413E4B71"/>
    <w:rsid w:val="41412197"/>
    <w:rsid w:val="417E9CC8"/>
    <w:rsid w:val="418CDA0B"/>
    <w:rsid w:val="4197DF22"/>
    <w:rsid w:val="41A53BE1"/>
    <w:rsid w:val="41A5D3C7"/>
    <w:rsid w:val="41BB6C16"/>
    <w:rsid w:val="41E44C6A"/>
    <w:rsid w:val="41EB5C1F"/>
    <w:rsid w:val="41EC679A"/>
    <w:rsid w:val="41F162B0"/>
    <w:rsid w:val="41F357ED"/>
    <w:rsid w:val="41FCD6B2"/>
    <w:rsid w:val="41FCFB2F"/>
    <w:rsid w:val="420471BE"/>
    <w:rsid w:val="42274F84"/>
    <w:rsid w:val="42287EA1"/>
    <w:rsid w:val="42367C78"/>
    <w:rsid w:val="423D905B"/>
    <w:rsid w:val="424241A1"/>
    <w:rsid w:val="424A90B0"/>
    <w:rsid w:val="4251D5EE"/>
    <w:rsid w:val="4252C741"/>
    <w:rsid w:val="425AA101"/>
    <w:rsid w:val="425EE709"/>
    <w:rsid w:val="427EDCF0"/>
    <w:rsid w:val="428A7FEC"/>
    <w:rsid w:val="428D0E0A"/>
    <w:rsid w:val="428E92D6"/>
    <w:rsid w:val="42906D0B"/>
    <w:rsid w:val="429A1C5F"/>
    <w:rsid w:val="42BE0C03"/>
    <w:rsid w:val="42C625B8"/>
    <w:rsid w:val="42C62A12"/>
    <w:rsid w:val="42CF061D"/>
    <w:rsid w:val="42E440DA"/>
    <w:rsid w:val="42E97014"/>
    <w:rsid w:val="43026DBA"/>
    <w:rsid w:val="4313FD0C"/>
    <w:rsid w:val="431E7D7B"/>
    <w:rsid w:val="432016CF"/>
    <w:rsid w:val="4321FA1C"/>
    <w:rsid w:val="43267A84"/>
    <w:rsid w:val="4329EBAA"/>
    <w:rsid w:val="4331FA89"/>
    <w:rsid w:val="4335D0BE"/>
    <w:rsid w:val="4337687F"/>
    <w:rsid w:val="4341A428"/>
    <w:rsid w:val="434C3DA4"/>
    <w:rsid w:val="4355CBD2"/>
    <w:rsid w:val="4361AEA6"/>
    <w:rsid w:val="43647522"/>
    <w:rsid w:val="43649963"/>
    <w:rsid w:val="43679165"/>
    <w:rsid w:val="43799524"/>
    <w:rsid w:val="437C2D73"/>
    <w:rsid w:val="43A4801E"/>
    <w:rsid w:val="43A7ABC9"/>
    <w:rsid w:val="43B670D6"/>
    <w:rsid w:val="43B683A0"/>
    <w:rsid w:val="43C092DB"/>
    <w:rsid w:val="43C5962F"/>
    <w:rsid w:val="43CD3316"/>
    <w:rsid w:val="43DE17C4"/>
    <w:rsid w:val="43E37123"/>
    <w:rsid w:val="43E74194"/>
    <w:rsid w:val="43F53207"/>
    <w:rsid w:val="43FAA86F"/>
    <w:rsid w:val="4412B2C6"/>
    <w:rsid w:val="443C004C"/>
    <w:rsid w:val="444B0650"/>
    <w:rsid w:val="445D81E8"/>
    <w:rsid w:val="446A938A"/>
    <w:rsid w:val="44780B60"/>
    <w:rsid w:val="44B87111"/>
    <w:rsid w:val="44EB7E89"/>
    <w:rsid w:val="451170C5"/>
    <w:rsid w:val="45238588"/>
    <w:rsid w:val="4531C0F7"/>
    <w:rsid w:val="4536151F"/>
    <w:rsid w:val="453A9874"/>
    <w:rsid w:val="454E4560"/>
    <w:rsid w:val="45655430"/>
    <w:rsid w:val="4567CFCE"/>
    <w:rsid w:val="4588B2EF"/>
    <w:rsid w:val="4589F5F4"/>
    <w:rsid w:val="45985D92"/>
    <w:rsid w:val="45B533B5"/>
    <w:rsid w:val="45C10D4F"/>
    <w:rsid w:val="45C1D6B6"/>
    <w:rsid w:val="45D042C8"/>
    <w:rsid w:val="45E98414"/>
    <w:rsid w:val="45EF3B58"/>
    <w:rsid w:val="46060F67"/>
    <w:rsid w:val="460CEC96"/>
    <w:rsid w:val="460E9F11"/>
    <w:rsid w:val="460FB7D6"/>
    <w:rsid w:val="4614EC5E"/>
    <w:rsid w:val="462A4E24"/>
    <w:rsid w:val="462EB88B"/>
    <w:rsid w:val="46331693"/>
    <w:rsid w:val="463710B0"/>
    <w:rsid w:val="4638E7D0"/>
    <w:rsid w:val="463938F0"/>
    <w:rsid w:val="46458F0A"/>
    <w:rsid w:val="464BF8A6"/>
    <w:rsid w:val="465BEBBC"/>
    <w:rsid w:val="4669B4E9"/>
    <w:rsid w:val="467839FD"/>
    <w:rsid w:val="4684E97B"/>
    <w:rsid w:val="469B0F1B"/>
    <w:rsid w:val="46ADCC7B"/>
    <w:rsid w:val="46C97FE1"/>
    <w:rsid w:val="46EB590F"/>
    <w:rsid w:val="46EC0399"/>
    <w:rsid w:val="46F77AB8"/>
    <w:rsid w:val="47071A28"/>
    <w:rsid w:val="47204E8A"/>
    <w:rsid w:val="472CF177"/>
    <w:rsid w:val="47452F60"/>
    <w:rsid w:val="4756C529"/>
    <w:rsid w:val="47594A2D"/>
    <w:rsid w:val="475A0D33"/>
    <w:rsid w:val="476148DA"/>
    <w:rsid w:val="4766DACE"/>
    <w:rsid w:val="477E61FB"/>
    <w:rsid w:val="477FD30B"/>
    <w:rsid w:val="47B02C25"/>
    <w:rsid w:val="47C02DC9"/>
    <w:rsid w:val="47D2992F"/>
    <w:rsid w:val="47D50951"/>
    <w:rsid w:val="47D9B6B9"/>
    <w:rsid w:val="47DFD9BB"/>
    <w:rsid w:val="47EBE96D"/>
    <w:rsid w:val="47F2F090"/>
    <w:rsid w:val="47F497DB"/>
    <w:rsid w:val="47FDFA52"/>
    <w:rsid w:val="48351FC9"/>
    <w:rsid w:val="4837C68A"/>
    <w:rsid w:val="4844D267"/>
    <w:rsid w:val="48510F0B"/>
    <w:rsid w:val="486E9345"/>
    <w:rsid w:val="487D6012"/>
    <w:rsid w:val="48850077"/>
    <w:rsid w:val="488D0CCD"/>
    <w:rsid w:val="489DB9D4"/>
    <w:rsid w:val="489E373C"/>
    <w:rsid w:val="48A2EA89"/>
    <w:rsid w:val="48A3291E"/>
    <w:rsid w:val="48B6A8A2"/>
    <w:rsid w:val="48BDF40E"/>
    <w:rsid w:val="48D6007C"/>
    <w:rsid w:val="48DDDB60"/>
    <w:rsid w:val="48E6E9D2"/>
    <w:rsid w:val="48E9AC0D"/>
    <w:rsid w:val="48ED1479"/>
    <w:rsid w:val="48F55F3B"/>
    <w:rsid w:val="48F77C36"/>
    <w:rsid w:val="48FABC64"/>
    <w:rsid w:val="48FBD7BB"/>
    <w:rsid w:val="48FC4A26"/>
    <w:rsid w:val="4902F637"/>
    <w:rsid w:val="491BA36C"/>
    <w:rsid w:val="494E27ED"/>
    <w:rsid w:val="4956A5B5"/>
    <w:rsid w:val="495AB63A"/>
    <w:rsid w:val="4965EFB0"/>
    <w:rsid w:val="49951850"/>
    <w:rsid w:val="49A3ECB0"/>
    <w:rsid w:val="49A6C568"/>
    <w:rsid w:val="49AC4A9B"/>
    <w:rsid w:val="49B3C6F0"/>
    <w:rsid w:val="49BBE33D"/>
    <w:rsid w:val="49C207C1"/>
    <w:rsid w:val="49C313F4"/>
    <w:rsid w:val="49C3EF9C"/>
    <w:rsid w:val="49C850CA"/>
    <w:rsid w:val="49C96008"/>
    <w:rsid w:val="49F1A928"/>
    <w:rsid w:val="49F63893"/>
    <w:rsid w:val="4A34D7B3"/>
    <w:rsid w:val="4A379CAB"/>
    <w:rsid w:val="4A3B66F8"/>
    <w:rsid w:val="4A3DDC3A"/>
    <w:rsid w:val="4A40F39C"/>
    <w:rsid w:val="4A4C12B9"/>
    <w:rsid w:val="4A6498C7"/>
    <w:rsid w:val="4A658227"/>
    <w:rsid w:val="4A6E3593"/>
    <w:rsid w:val="4A7470D2"/>
    <w:rsid w:val="4A85A488"/>
    <w:rsid w:val="4A92E991"/>
    <w:rsid w:val="4A9831BD"/>
    <w:rsid w:val="4A98D535"/>
    <w:rsid w:val="4AA1E167"/>
    <w:rsid w:val="4ABA320A"/>
    <w:rsid w:val="4AFF0465"/>
    <w:rsid w:val="4B2A0BB6"/>
    <w:rsid w:val="4B40E2A3"/>
    <w:rsid w:val="4B48D029"/>
    <w:rsid w:val="4B4FD913"/>
    <w:rsid w:val="4B5AF02A"/>
    <w:rsid w:val="4B68D6E4"/>
    <w:rsid w:val="4B906BEA"/>
    <w:rsid w:val="4B97BB33"/>
    <w:rsid w:val="4B97E3D2"/>
    <w:rsid w:val="4B9F8FEE"/>
    <w:rsid w:val="4B9FB25A"/>
    <w:rsid w:val="4BA02DD9"/>
    <w:rsid w:val="4BBA6040"/>
    <w:rsid w:val="4BBAF441"/>
    <w:rsid w:val="4BD1B655"/>
    <w:rsid w:val="4BD8239C"/>
    <w:rsid w:val="4BE315B2"/>
    <w:rsid w:val="4BE62E85"/>
    <w:rsid w:val="4BEB50D2"/>
    <w:rsid w:val="4BFC53C5"/>
    <w:rsid w:val="4C11B43B"/>
    <w:rsid w:val="4C157C22"/>
    <w:rsid w:val="4C1D79CE"/>
    <w:rsid w:val="4C2ED894"/>
    <w:rsid w:val="4C2F68C3"/>
    <w:rsid w:val="4C34D26B"/>
    <w:rsid w:val="4C37C76A"/>
    <w:rsid w:val="4C3B8B27"/>
    <w:rsid w:val="4C63B072"/>
    <w:rsid w:val="4C84B9F9"/>
    <w:rsid w:val="4C883B76"/>
    <w:rsid w:val="4C9959A1"/>
    <w:rsid w:val="4C9DDBC8"/>
    <w:rsid w:val="4C9E5CF6"/>
    <w:rsid w:val="4CA1989D"/>
    <w:rsid w:val="4CB0A604"/>
    <w:rsid w:val="4CB3E54F"/>
    <w:rsid w:val="4CBD002F"/>
    <w:rsid w:val="4CBD200A"/>
    <w:rsid w:val="4CE5FC85"/>
    <w:rsid w:val="4CEE8ACC"/>
    <w:rsid w:val="4D1684B5"/>
    <w:rsid w:val="4D2A3A2E"/>
    <w:rsid w:val="4D2BC57E"/>
    <w:rsid w:val="4D2E5C2B"/>
    <w:rsid w:val="4D3E0F28"/>
    <w:rsid w:val="4D440F61"/>
    <w:rsid w:val="4D4B89E2"/>
    <w:rsid w:val="4D59203C"/>
    <w:rsid w:val="4D63E66D"/>
    <w:rsid w:val="4D7EE613"/>
    <w:rsid w:val="4D969219"/>
    <w:rsid w:val="4DA9B938"/>
    <w:rsid w:val="4DAB4A33"/>
    <w:rsid w:val="4DB784EE"/>
    <w:rsid w:val="4DCDEE0E"/>
    <w:rsid w:val="4E1C8D58"/>
    <w:rsid w:val="4E2CE949"/>
    <w:rsid w:val="4E2D2002"/>
    <w:rsid w:val="4E35E954"/>
    <w:rsid w:val="4E3C94CC"/>
    <w:rsid w:val="4E3EC5F7"/>
    <w:rsid w:val="4E420294"/>
    <w:rsid w:val="4E74EEF0"/>
    <w:rsid w:val="4E7626DA"/>
    <w:rsid w:val="4E7A14CA"/>
    <w:rsid w:val="4E7F3DE5"/>
    <w:rsid w:val="4E7F79B0"/>
    <w:rsid w:val="4E86550B"/>
    <w:rsid w:val="4E869282"/>
    <w:rsid w:val="4E9649E2"/>
    <w:rsid w:val="4EA5315C"/>
    <w:rsid w:val="4EAFAE98"/>
    <w:rsid w:val="4EBAC0A7"/>
    <w:rsid w:val="4EBAC886"/>
    <w:rsid w:val="4EDE6D57"/>
    <w:rsid w:val="4EE4BBE1"/>
    <w:rsid w:val="4EFD43BF"/>
    <w:rsid w:val="4F0FC45E"/>
    <w:rsid w:val="4F13F407"/>
    <w:rsid w:val="4F1D179C"/>
    <w:rsid w:val="4F218AC0"/>
    <w:rsid w:val="4F29AE20"/>
    <w:rsid w:val="4F2ADA61"/>
    <w:rsid w:val="4F3306F2"/>
    <w:rsid w:val="4F33F487"/>
    <w:rsid w:val="4F38D30A"/>
    <w:rsid w:val="4F57C589"/>
    <w:rsid w:val="4F673078"/>
    <w:rsid w:val="4F6F256D"/>
    <w:rsid w:val="4F7273CE"/>
    <w:rsid w:val="4F84D565"/>
    <w:rsid w:val="4FA12A13"/>
    <w:rsid w:val="4FA23B06"/>
    <w:rsid w:val="4FAB8269"/>
    <w:rsid w:val="4FABEC71"/>
    <w:rsid w:val="4FAC02DD"/>
    <w:rsid w:val="4FB12581"/>
    <w:rsid w:val="4FB6554E"/>
    <w:rsid w:val="4FC13092"/>
    <w:rsid w:val="4FCD0481"/>
    <w:rsid w:val="500E3981"/>
    <w:rsid w:val="5015E52B"/>
    <w:rsid w:val="50175E3A"/>
    <w:rsid w:val="501774FE"/>
    <w:rsid w:val="5027DB7B"/>
    <w:rsid w:val="502F8547"/>
    <w:rsid w:val="50504772"/>
    <w:rsid w:val="5083AC11"/>
    <w:rsid w:val="50876278"/>
    <w:rsid w:val="50ABF7FC"/>
    <w:rsid w:val="50AFA4B4"/>
    <w:rsid w:val="50C9F879"/>
    <w:rsid w:val="50D60D76"/>
    <w:rsid w:val="50DCD53C"/>
    <w:rsid w:val="50EA12BD"/>
    <w:rsid w:val="5101A20F"/>
    <w:rsid w:val="510F55EE"/>
    <w:rsid w:val="511B7AF3"/>
    <w:rsid w:val="5133969B"/>
    <w:rsid w:val="51574246"/>
    <w:rsid w:val="5168C81A"/>
    <w:rsid w:val="517D01FC"/>
    <w:rsid w:val="518251C4"/>
    <w:rsid w:val="5189EDF2"/>
    <w:rsid w:val="519893B7"/>
    <w:rsid w:val="51B1CB1D"/>
    <w:rsid w:val="51B78AED"/>
    <w:rsid w:val="51C0A23B"/>
    <w:rsid w:val="51D2FCAF"/>
    <w:rsid w:val="51E24663"/>
    <w:rsid w:val="51E80105"/>
    <w:rsid w:val="51EC43B8"/>
    <w:rsid w:val="51F6C3F2"/>
    <w:rsid w:val="52025DBA"/>
    <w:rsid w:val="52204F28"/>
    <w:rsid w:val="52265323"/>
    <w:rsid w:val="522F7018"/>
    <w:rsid w:val="523927A9"/>
    <w:rsid w:val="52608D7D"/>
    <w:rsid w:val="526948BC"/>
    <w:rsid w:val="5273BAB3"/>
    <w:rsid w:val="5277FAD3"/>
    <w:rsid w:val="5288A154"/>
    <w:rsid w:val="52A3E71A"/>
    <w:rsid w:val="52B0EEE8"/>
    <w:rsid w:val="52BDB739"/>
    <w:rsid w:val="52C155CC"/>
    <w:rsid w:val="52C52845"/>
    <w:rsid w:val="52DF45DB"/>
    <w:rsid w:val="52DF5293"/>
    <w:rsid w:val="52F8E913"/>
    <w:rsid w:val="52FF9C16"/>
    <w:rsid w:val="530B32ED"/>
    <w:rsid w:val="530EF2E1"/>
    <w:rsid w:val="531CE79C"/>
    <w:rsid w:val="531E803D"/>
    <w:rsid w:val="5320942D"/>
    <w:rsid w:val="53212CEB"/>
    <w:rsid w:val="5331170B"/>
    <w:rsid w:val="533B6E65"/>
    <w:rsid w:val="533FD423"/>
    <w:rsid w:val="534C92CE"/>
    <w:rsid w:val="5353E20E"/>
    <w:rsid w:val="5355D6CF"/>
    <w:rsid w:val="536F5B21"/>
    <w:rsid w:val="5377F9AE"/>
    <w:rsid w:val="53941D1C"/>
    <w:rsid w:val="53B1C14A"/>
    <w:rsid w:val="53C7A2F2"/>
    <w:rsid w:val="53D4FF3A"/>
    <w:rsid w:val="53F15090"/>
    <w:rsid w:val="53FFC655"/>
    <w:rsid w:val="54026AE2"/>
    <w:rsid w:val="54400781"/>
    <w:rsid w:val="544A4EBC"/>
    <w:rsid w:val="544BCCEE"/>
    <w:rsid w:val="5453E399"/>
    <w:rsid w:val="5463F199"/>
    <w:rsid w:val="546BD875"/>
    <w:rsid w:val="547C4EE3"/>
    <w:rsid w:val="547EB3C7"/>
    <w:rsid w:val="547F316C"/>
    <w:rsid w:val="54A569B4"/>
    <w:rsid w:val="54BDBCFF"/>
    <w:rsid w:val="54C7CDE5"/>
    <w:rsid w:val="54CC9FFA"/>
    <w:rsid w:val="54CED108"/>
    <w:rsid w:val="54D01640"/>
    <w:rsid w:val="54D62D49"/>
    <w:rsid w:val="54E9564E"/>
    <w:rsid w:val="54EA25AA"/>
    <w:rsid w:val="54ED56DE"/>
    <w:rsid w:val="54F0455D"/>
    <w:rsid w:val="55059A91"/>
    <w:rsid w:val="5514D2D8"/>
    <w:rsid w:val="551D1FE5"/>
    <w:rsid w:val="551DAD3B"/>
    <w:rsid w:val="552B2E92"/>
    <w:rsid w:val="553A4B93"/>
    <w:rsid w:val="553DE672"/>
    <w:rsid w:val="554381F4"/>
    <w:rsid w:val="5573B923"/>
    <w:rsid w:val="55800F6C"/>
    <w:rsid w:val="558D10CB"/>
    <w:rsid w:val="55977052"/>
    <w:rsid w:val="55984343"/>
    <w:rsid w:val="559DF186"/>
    <w:rsid w:val="55A3360B"/>
    <w:rsid w:val="55B23F2E"/>
    <w:rsid w:val="55BCC843"/>
    <w:rsid w:val="55C72EC9"/>
    <w:rsid w:val="55DE4FDC"/>
    <w:rsid w:val="55DF2DB6"/>
    <w:rsid w:val="55DFD858"/>
    <w:rsid w:val="55EEC200"/>
    <w:rsid w:val="5600E3A2"/>
    <w:rsid w:val="5604A5C4"/>
    <w:rsid w:val="561F38EA"/>
    <w:rsid w:val="562901DB"/>
    <w:rsid w:val="5632E9BB"/>
    <w:rsid w:val="56347D7C"/>
    <w:rsid w:val="56367D49"/>
    <w:rsid w:val="564D6925"/>
    <w:rsid w:val="56536138"/>
    <w:rsid w:val="56541B9C"/>
    <w:rsid w:val="565EC443"/>
    <w:rsid w:val="5666D6C0"/>
    <w:rsid w:val="567E969D"/>
    <w:rsid w:val="568526AF"/>
    <w:rsid w:val="568B82D0"/>
    <w:rsid w:val="5693ACFB"/>
    <w:rsid w:val="56963A36"/>
    <w:rsid w:val="56A2FAC8"/>
    <w:rsid w:val="56AAE4E1"/>
    <w:rsid w:val="56AE1D1B"/>
    <w:rsid w:val="56B4C3CB"/>
    <w:rsid w:val="56C92940"/>
    <w:rsid w:val="56D8E9DF"/>
    <w:rsid w:val="56DE2424"/>
    <w:rsid w:val="56F3C68A"/>
    <w:rsid w:val="56F4A2B8"/>
    <w:rsid w:val="56F67487"/>
    <w:rsid w:val="56FEED23"/>
    <w:rsid w:val="570D6523"/>
    <w:rsid w:val="5713077A"/>
    <w:rsid w:val="571E0ADC"/>
    <w:rsid w:val="572358FF"/>
    <w:rsid w:val="5728E12C"/>
    <w:rsid w:val="572D3686"/>
    <w:rsid w:val="57528C2E"/>
    <w:rsid w:val="57578BA9"/>
    <w:rsid w:val="575A900B"/>
    <w:rsid w:val="575B49DE"/>
    <w:rsid w:val="57785BC7"/>
    <w:rsid w:val="578FAA0D"/>
    <w:rsid w:val="579B35A7"/>
    <w:rsid w:val="57A7FF77"/>
    <w:rsid w:val="57A87BED"/>
    <w:rsid w:val="57EAD6B9"/>
    <w:rsid w:val="57F8B940"/>
    <w:rsid w:val="58036F52"/>
    <w:rsid w:val="5808B0D2"/>
    <w:rsid w:val="582C2E2C"/>
    <w:rsid w:val="5848B185"/>
    <w:rsid w:val="5849ED7C"/>
    <w:rsid w:val="58517A24"/>
    <w:rsid w:val="5851F2D3"/>
    <w:rsid w:val="585C852B"/>
    <w:rsid w:val="586771A6"/>
    <w:rsid w:val="58730685"/>
    <w:rsid w:val="588C4534"/>
    <w:rsid w:val="588E454C"/>
    <w:rsid w:val="58A02DE8"/>
    <w:rsid w:val="58A7B796"/>
    <w:rsid w:val="58AC3CEF"/>
    <w:rsid w:val="58B6A6A4"/>
    <w:rsid w:val="58B7C739"/>
    <w:rsid w:val="58BABC4A"/>
    <w:rsid w:val="58DB629D"/>
    <w:rsid w:val="58ED500C"/>
    <w:rsid w:val="5902E3EA"/>
    <w:rsid w:val="590309BA"/>
    <w:rsid w:val="590F785E"/>
    <w:rsid w:val="59157361"/>
    <w:rsid w:val="594C3B06"/>
    <w:rsid w:val="5965F5A9"/>
    <w:rsid w:val="598BBC5E"/>
    <w:rsid w:val="599F3FB3"/>
    <w:rsid w:val="59A81922"/>
    <w:rsid w:val="59AC088F"/>
    <w:rsid w:val="59B0E732"/>
    <w:rsid w:val="59B7C83E"/>
    <w:rsid w:val="59B7F697"/>
    <w:rsid w:val="59B8F695"/>
    <w:rsid w:val="59BB0CF6"/>
    <w:rsid w:val="59CCFBAE"/>
    <w:rsid w:val="59D27392"/>
    <w:rsid w:val="59D4F596"/>
    <w:rsid w:val="59E21BAA"/>
    <w:rsid w:val="59F96E01"/>
    <w:rsid w:val="59FB9CB6"/>
    <w:rsid w:val="59FF014B"/>
    <w:rsid w:val="5A09956A"/>
    <w:rsid w:val="5A17F784"/>
    <w:rsid w:val="5A3DCB3E"/>
    <w:rsid w:val="5A4B3B9C"/>
    <w:rsid w:val="5A5AFEA1"/>
    <w:rsid w:val="5A6556B3"/>
    <w:rsid w:val="5A6E2AB5"/>
    <w:rsid w:val="5A897186"/>
    <w:rsid w:val="5A9A8AAE"/>
    <w:rsid w:val="5AAA0551"/>
    <w:rsid w:val="5AD58FC8"/>
    <w:rsid w:val="5AEE4DD4"/>
    <w:rsid w:val="5AF2B970"/>
    <w:rsid w:val="5AFFCAA7"/>
    <w:rsid w:val="5B14385B"/>
    <w:rsid w:val="5B14B0B1"/>
    <w:rsid w:val="5B177D6E"/>
    <w:rsid w:val="5B411B55"/>
    <w:rsid w:val="5B4166CF"/>
    <w:rsid w:val="5B4A702B"/>
    <w:rsid w:val="5B4B7E98"/>
    <w:rsid w:val="5B4D1C5F"/>
    <w:rsid w:val="5B5141C4"/>
    <w:rsid w:val="5B532E5A"/>
    <w:rsid w:val="5B5EF3F3"/>
    <w:rsid w:val="5B6F3A12"/>
    <w:rsid w:val="5B7B79E8"/>
    <w:rsid w:val="5B808B2B"/>
    <w:rsid w:val="5BB6B561"/>
    <w:rsid w:val="5BC7BF63"/>
    <w:rsid w:val="5BE3A843"/>
    <w:rsid w:val="5C055D1E"/>
    <w:rsid w:val="5C091760"/>
    <w:rsid w:val="5C1FAC49"/>
    <w:rsid w:val="5C24A1D2"/>
    <w:rsid w:val="5C2F7FC8"/>
    <w:rsid w:val="5C33C22A"/>
    <w:rsid w:val="5C3AB2C9"/>
    <w:rsid w:val="5C3DCA1F"/>
    <w:rsid w:val="5C40CCEA"/>
    <w:rsid w:val="5C5DA5EE"/>
    <w:rsid w:val="5C6820A1"/>
    <w:rsid w:val="5C6E70CE"/>
    <w:rsid w:val="5C7544AE"/>
    <w:rsid w:val="5C914621"/>
    <w:rsid w:val="5C9B13E0"/>
    <w:rsid w:val="5C9FD6B4"/>
    <w:rsid w:val="5CA94CD5"/>
    <w:rsid w:val="5CAAF822"/>
    <w:rsid w:val="5CBFF0F0"/>
    <w:rsid w:val="5CCAB022"/>
    <w:rsid w:val="5CE45166"/>
    <w:rsid w:val="5CF25620"/>
    <w:rsid w:val="5CFAC454"/>
    <w:rsid w:val="5D080C6C"/>
    <w:rsid w:val="5D08DF57"/>
    <w:rsid w:val="5D133784"/>
    <w:rsid w:val="5D14984A"/>
    <w:rsid w:val="5D20C511"/>
    <w:rsid w:val="5D573F04"/>
    <w:rsid w:val="5D69ABB0"/>
    <w:rsid w:val="5D69BBB6"/>
    <w:rsid w:val="5D8C8108"/>
    <w:rsid w:val="5DAE47F0"/>
    <w:rsid w:val="5DAEC372"/>
    <w:rsid w:val="5DAF8B87"/>
    <w:rsid w:val="5DD51448"/>
    <w:rsid w:val="5DE67C0C"/>
    <w:rsid w:val="5E287AF7"/>
    <w:rsid w:val="5E40B171"/>
    <w:rsid w:val="5E483323"/>
    <w:rsid w:val="5E4F399D"/>
    <w:rsid w:val="5E5F0219"/>
    <w:rsid w:val="5E5FF970"/>
    <w:rsid w:val="5E65BBE7"/>
    <w:rsid w:val="5E6662C7"/>
    <w:rsid w:val="5E77F1CE"/>
    <w:rsid w:val="5E7D9B3A"/>
    <w:rsid w:val="5E82073B"/>
    <w:rsid w:val="5E8AE272"/>
    <w:rsid w:val="5E91C2B4"/>
    <w:rsid w:val="5E92CDA9"/>
    <w:rsid w:val="5E9694B5"/>
    <w:rsid w:val="5E9A95EF"/>
    <w:rsid w:val="5EA87749"/>
    <w:rsid w:val="5EAA364E"/>
    <w:rsid w:val="5EB94A11"/>
    <w:rsid w:val="5EC82EE3"/>
    <w:rsid w:val="5EE02AFC"/>
    <w:rsid w:val="5EE3274D"/>
    <w:rsid w:val="5EE5BEC5"/>
    <w:rsid w:val="5F096790"/>
    <w:rsid w:val="5F27FAA7"/>
    <w:rsid w:val="5F291CC1"/>
    <w:rsid w:val="5F354079"/>
    <w:rsid w:val="5F420CBA"/>
    <w:rsid w:val="5F6E94B3"/>
    <w:rsid w:val="5F7C7052"/>
    <w:rsid w:val="5F8C1B75"/>
    <w:rsid w:val="5F8C7B07"/>
    <w:rsid w:val="5F8F694F"/>
    <w:rsid w:val="5FA2C9C1"/>
    <w:rsid w:val="5FB8DD2E"/>
    <w:rsid w:val="5FC052F0"/>
    <w:rsid w:val="5FDA3E91"/>
    <w:rsid w:val="5FEF4376"/>
    <w:rsid w:val="5FF67C60"/>
    <w:rsid w:val="5FFA1577"/>
    <w:rsid w:val="60018C48"/>
    <w:rsid w:val="60178C48"/>
    <w:rsid w:val="601ECC1D"/>
    <w:rsid w:val="601FF7F7"/>
    <w:rsid w:val="602CD851"/>
    <w:rsid w:val="602E46D9"/>
    <w:rsid w:val="60302D6A"/>
    <w:rsid w:val="6067A492"/>
    <w:rsid w:val="608393EF"/>
    <w:rsid w:val="609DC783"/>
    <w:rsid w:val="60A66726"/>
    <w:rsid w:val="60E0D501"/>
    <w:rsid w:val="60F7A53B"/>
    <w:rsid w:val="6105F18B"/>
    <w:rsid w:val="6109E170"/>
    <w:rsid w:val="613162A5"/>
    <w:rsid w:val="614DAB01"/>
    <w:rsid w:val="61546107"/>
    <w:rsid w:val="615CD9A1"/>
    <w:rsid w:val="6176A442"/>
    <w:rsid w:val="61870B0E"/>
    <w:rsid w:val="618F40D4"/>
    <w:rsid w:val="619436AE"/>
    <w:rsid w:val="61996B1E"/>
    <w:rsid w:val="619D5CA9"/>
    <w:rsid w:val="61B424EB"/>
    <w:rsid w:val="61CE3577"/>
    <w:rsid w:val="61D27BCC"/>
    <w:rsid w:val="61DC8E80"/>
    <w:rsid w:val="61F0EAD3"/>
    <w:rsid w:val="61F88FBF"/>
    <w:rsid w:val="620157CC"/>
    <w:rsid w:val="6208A2C5"/>
    <w:rsid w:val="621A6A8E"/>
    <w:rsid w:val="62276700"/>
    <w:rsid w:val="6240C032"/>
    <w:rsid w:val="62532E36"/>
    <w:rsid w:val="62546A0E"/>
    <w:rsid w:val="625D00F3"/>
    <w:rsid w:val="6260BD83"/>
    <w:rsid w:val="626344C6"/>
    <w:rsid w:val="6263E873"/>
    <w:rsid w:val="62697ACB"/>
    <w:rsid w:val="626D6E5C"/>
    <w:rsid w:val="62721E0A"/>
    <w:rsid w:val="6275FCD3"/>
    <w:rsid w:val="62780EB3"/>
    <w:rsid w:val="628E136D"/>
    <w:rsid w:val="62BF5A9B"/>
    <w:rsid w:val="62CB0ED4"/>
    <w:rsid w:val="62D1FAD9"/>
    <w:rsid w:val="62D2811A"/>
    <w:rsid w:val="62DF3F63"/>
    <w:rsid w:val="62DFC86F"/>
    <w:rsid w:val="62EDE35A"/>
    <w:rsid w:val="62FB2B5C"/>
    <w:rsid w:val="6305E2A7"/>
    <w:rsid w:val="63065EDE"/>
    <w:rsid w:val="633595A2"/>
    <w:rsid w:val="63392D0A"/>
    <w:rsid w:val="633B7E28"/>
    <w:rsid w:val="63462E69"/>
    <w:rsid w:val="6350C5AA"/>
    <w:rsid w:val="63533983"/>
    <w:rsid w:val="635C53A9"/>
    <w:rsid w:val="635CC5BB"/>
    <w:rsid w:val="635EDD4C"/>
    <w:rsid w:val="6366DF18"/>
    <w:rsid w:val="636D11F9"/>
    <w:rsid w:val="637218C4"/>
    <w:rsid w:val="63785EE1"/>
    <w:rsid w:val="6392A75A"/>
    <w:rsid w:val="63B468E7"/>
    <w:rsid w:val="63BFA1E5"/>
    <w:rsid w:val="63C4CFD5"/>
    <w:rsid w:val="63C6E534"/>
    <w:rsid w:val="63CC3DAF"/>
    <w:rsid w:val="63CDBF60"/>
    <w:rsid w:val="63D8C5AB"/>
    <w:rsid w:val="63DBA6C4"/>
    <w:rsid w:val="63E973CC"/>
    <w:rsid w:val="63F803E6"/>
    <w:rsid w:val="63FB4BAA"/>
    <w:rsid w:val="64012F2A"/>
    <w:rsid w:val="6401CAA8"/>
    <w:rsid w:val="6402FD85"/>
    <w:rsid w:val="64062851"/>
    <w:rsid w:val="64261055"/>
    <w:rsid w:val="643C6379"/>
    <w:rsid w:val="6444D876"/>
    <w:rsid w:val="645FADA4"/>
    <w:rsid w:val="6474E921"/>
    <w:rsid w:val="647C720E"/>
    <w:rsid w:val="6498D006"/>
    <w:rsid w:val="649E414F"/>
    <w:rsid w:val="64A9A145"/>
    <w:rsid w:val="64AE7A91"/>
    <w:rsid w:val="64B0B37D"/>
    <w:rsid w:val="64B1C022"/>
    <w:rsid w:val="64D9A998"/>
    <w:rsid w:val="64DD4974"/>
    <w:rsid w:val="64EF09E4"/>
    <w:rsid w:val="64FBF9E9"/>
    <w:rsid w:val="650638E0"/>
    <w:rsid w:val="65094175"/>
    <w:rsid w:val="65188BC4"/>
    <w:rsid w:val="651B2612"/>
    <w:rsid w:val="651DB0AF"/>
    <w:rsid w:val="65213746"/>
    <w:rsid w:val="65268FE9"/>
    <w:rsid w:val="65482FA0"/>
    <w:rsid w:val="6548EDF4"/>
    <w:rsid w:val="654904E8"/>
    <w:rsid w:val="65570CA4"/>
    <w:rsid w:val="657B848B"/>
    <w:rsid w:val="657C4161"/>
    <w:rsid w:val="65847D1A"/>
    <w:rsid w:val="65875CF2"/>
    <w:rsid w:val="658C6262"/>
    <w:rsid w:val="659793C0"/>
    <w:rsid w:val="65A62353"/>
    <w:rsid w:val="65B07A3E"/>
    <w:rsid w:val="65D6730F"/>
    <w:rsid w:val="65FBA52B"/>
    <w:rsid w:val="65FF0BA9"/>
    <w:rsid w:val="66007347"/>
    <w:rsid w:val="66037152"/>
    <w:rsid w:val="66194447"/>
    <w:rsid w:val="661AF471"/>
    <w:rsid w:val="6629ED16"/>
    <w:rsid w:val="66311CAA"/>
    <w:rsid w:val="663576E5"/>
    <w:rsid w:val="6676C9D0"/>
    <w:rsid w:val="6676CD79"/>
    <w:rsid w:val="6683A5DB"/>
    <w:rsid w:val="669D5DE8"/>
    <w:rsid w:val="66A7E1D9"/>
    <w:rsid w:val="66CB98EC"/>
    <w:rsid w:val="66D3E1C2"/>
    <w:rsid w:val="66D4A8AF"/>
    <w:rsid w:val="66D613A3"/>
    <w:rsid w:val="66DD923D"/>
    <w:rsid w:val="66E4D549"/>
    <w:rsid w:val="66EF97C9"/>
    <w:rsid w:val="66F1ED3A"/>
    <w:rsid w:val="66F3A760"/>
    <w:rsid w:val="66F87746"/>
    <w:rsid w:val="6703AEE0"/>
    <w:rsid w:val="670A970E"/>
    <w:rsid w:val="670D463C"/>
    <w:rsid w:val="6712B408"/>
    <w:rsid w:val="6713E1FD"/>
    <w:rsid w:val="6713F0A4"/>
    <w:rsid w:val="67198C90"/>
    <w:rsid w:val="6727A129"/>
    <w:rsid w:val="67342EA6"/>
    <w:rsid w:val="673FBECA"/>
    <w:rsid w:val="67760C89"/>
    <w:rsid w:val="6793ABBE"/>
    <w:rsid w:val="679FB4EB"/>
    <w:rsid w:val="67A439F5"/>
    <w:rsid w:val="67AD9D75"/>
    <w:rsid w:val="67D2A2B7"/>
    <w:rsid w:val="67D8C73B"/>
    <w:rsid w:val="67DB1B59"/>
    <w:rsid w:val="67E861E1"/>
    <w:rsid w:val="67F051E2"/>
    <w:rsid w:val="67F30BF0"/>
    <w:rsid w:val="6806DBB6"/>
    <w:rsid w:val="68500B46"/>
    <w:rsid w:val="6855D54F"/>
    <w:rsid w:val="68649B94"/>
    <w:rsid w:val="686B64FC"/>
    <w:rsid w:val="687BA1B8"/>
    <w:rsid w:val="688EAD66"/>
    <w:rsid w:val="689FF2C5"/>
    <w:rsid w:val="68A9298C"/>
    <w:rsid w:val="68CDAD6F"/>
    <w:rsid w:val="68EE7A54"/>
    <w:rsid w:val="68F57584"/>
    <w:rsid w:val="690A55C0"/>
    <w:rsid w:val="69104320"/>
    <w:rsid w:val="691DFF35"/>
    <w:rsid w:val="691F1E8C"/>
    <w:rsid w:val="6920153E"/>
    <w:rsid w:val="69572D1C"/>
    <w:rsid w:val="69655A32"/>
    <w:rsid w:val="69670265"/>
    <w:rsid w:val="6970DD96"/>
    <w:rsid w:val="6974D94D"/>
    <w:rsid w:val="697FB9C3"/>
    <w:rsid w:val="698468E3"/>
    <w:rsid w:val="698B66CF"/>
    <w:rsid w:val="699FF109"/>
    <w:rsid w:val="69AF672B"/>
    <w:rsid w:val="69B4FB9E"/>
    <w:rsid w:val="69C9E339"/>
    <w:rsid w:val="69D306D8"/>
    <w:rsid w:val="6A06BE86"/>
    <w:rsid w:val="6A076BEC"/>
    <w:rsid w:val="6A0CA1B1"/>
    <w:rsid w:val="6A1147A5"/>
    <w:rsid w:val="6A16201A"/>
    <w:rsid w:val="6A1638F4"/>
    <w:rsid w:val="6A239699"/>
    <w:rsid w:val="6A2F427B"/>
    <w:rsid w:val="6A49D5C2"/>
    <w:rsid w:val="6A579A15"/>
    <w:rsid w:val="6A64A2B7"/>
    <w:rsid w:val="6A6BCF68"/>
    <w:rsid w:val="6A7AD1A0"/>
    <w:rsid w:val="6AA948F7"/>
    <w:rsid w:val="6AA9A3BC"/>
    <w:rsid w:val="6AAB403A"/>
    <w:rsid w:val="6AC09F05"/>
    <w:rsid w:val="6AC78644"/>
    <w:rsid w:val="6AC8797A"/>
    <w:rsid w:val="6AD47944"/>
    <w:rsid w:val="6AD65566"/>
    <w:rsid w:val="6AE3812C"/>
    <w:rsid w:val="6AF21CE7"/>
    <w:rsid w:val="6AFDAB65"/>
    <w:rsid w:val="6B058EF8"/>
    <w:rsid w:val="6B0C205A"/>
    <w:rsid w:val="6B0E5189"/>
    <w:rsid w:val="6B2BCF72"/>
    <w:rsid w:val="6B39EC47"/>
    <w:rsid w:val="6B40E4F0"/>
    <w:rsid w:val="6B51A9CA"/>
    <w:rsid w:val="6B72F36F"/>
    <w:rsid w:val="6B78C89E"/>
    <w:rsid w:val="6B8195A9"/>
    <w:rsid w:val="6BA0D0A3"/>
    <w:rsid w:val="6BA35B6B"/>
    <w:rsid w:val="6BA48DF0"/>
    <w:rsid w:val="6BB52A92"/>
    <w:rsid w:val="6BB7BE3C"/>
    <w:rsid w:val="6BC594E4"/>
    <w:rsid w:val="6BE5A623"/>
    <w:rsid w:val="6BE844F5"/>
    <w:rsid w:val="6C009B04"/>
    <w:rsid w:val="6C092F42"/>
    <w:rsid w:val="6C0FABEE"/>
    <w:rsid w:val="6C12429E"/>
    <w:rsid w:val="6C24D07F"/>
    <w:rsid w:val="6C39BA3F"/>
    <w:rsid w:val="6C482E76"/>
    <w:rsid w:val="6C52A9CD"/>
    <w:rsid w:val="6C59E3F2"/>
    <w:rsid w:val="6C5B85BD"/>
    <w:rsid w:val="6C5EF7F6"/>
    <w:rsid w:val="6C615520"/>
    <w:rsid w:val="6C6D2105"/>
    <w:rsid w:val="6C7E9B93"/>
    <w:rsid w:val="6C9BA5D5"/>
    <w:rsid w:val="6CA9E911"/>
    <w:rsid w:val="6CAAE798"/>
    <w:rsid w:val="6CB0A7DA"/>
    <w:rsid w:val="6CB5A0AE"/>
    <w:rsid w:val="6CBB6726"/>
    <w:rsid w:val="6CBFF839"/>
    <w:rsid w:val="6CC214AC"/>
    <w:rsid w:val="6CC85976"/>
    <w:rsid w:val="6CF232FC"/>
    <w:rsid w:val="6CFE60A2"/>
    <w:rsid w:val="6D09DAD4"/>
    <w:rsid w:val="6D0A754C"/>
    <w:rsid w:val="6D10BF08"/>
    <w:rsid w:val="6D123F12"/>
    <w:rsid w:val="6D14A682"/>
    <w:rsid w:val="6D184F84"/>
    <w:rsid w:val="6D1A893F"/>
    <w:rsid w:val="6D1D5457"/>
    <w:rsid w:val="6D20A96C"/>
    <w:rsid w:val="6D22A9FF"/>
    <w:rsid w:val="6D2A2FE2"/>
    <w:rsid w:val="6D335B8A"/>
    <w:rsid w:val="6D4215AE"/>
    <w:rsid w:val="6D59CCF3"/>
    <w:rsid w:val="6D80AC43"/>
    <w:rsid w:val="6DA3332A"/>
    <w:rsid w:val="6DC23404"/>
    <w:rsid w:val="6DC79ED5"/>
    <w:rsid w:val="6DCF7E79"/>
    <w:rsid w:val="6DE0A02C"/>
    <w:rsid w:val="6DE89CB2"/>
    <w:rsid w:val="6DEB5D0F"/>
    <w:rsid w:val="6DF0945B"/>
    <w:rsid w:val="6DFF76C9"/>
    <w:rsid w:val="6E03080A"/>
    <w:rsid w:val="6E06EEF8"/>
    <w:rsid w:val="6E2488E0"/>
    <w:rsid w:val="6E3B9717"/>
    <w:rsid w:val="6E4E49A8"/>
    <w:rsid w:val="6E527127"/>
    <w:rsid w:val="6E56C940"/>
    <w:rsid w:val="6E5CE459"/>
    <w:rsid w:val="6E5FC07E"/>
    <w:rsid w:val="6E679084"/>
    <w:rsid w:val="6E682374"/>
    <w:rsid w:val="6E8E035D"/>
    <w:rsid w:val="6E91294D"/>
    <w:rsid w:val="6E960D4E"/>
    <w:rsid w:val="6ED70DF9"/>
    <w:rsid w:val="6EEA3FFA"/>
    <w:rsid w:val="6EF4634E"/>
    <w:rsid w:val="6F03686A"/>
    <w:rsid w:val="6F10E55A"/>
    <w:rsid w:val="6F17322B"/>
    <w:rsid w:val="6F2463D4"/>
    <w:rsid w:val="6F2880A6"/>
    <w:rsid w:val="6F2F9A91"/>
    <w:rsid w:val="6F3126E3"/>
    <w:rsid w:val="6F35C331"/>
    <w:rsid w:val="6F461B45"/>
    <w:rsid w:val="6F537E48"/>
    <w:rsid w:val="6F552052"/>
    <w:rsid w:val="6F73F7B3"/>
    <w:rsid w:val="6F7813F7"/>
    <w:rsid w:val="6F79250B"/>
    <w:rsid w:val="6FABCB96"/>
    <w:rsid w:val="6FBF24B5"/>
    <w:rsid w:val="6FC0E247"/>
    <w:rsid w:val="6FC15050"/>
    <w:rsid w:val="6FC8C597"/>
    <w:rsid w:val="6FC97D0D"/>
    <w:rsid w:val="6FCD8B85"/>
    <w:rsid w:val="6FD3EC63"/>
    <w:rsid w:val="6FDA5900"/>
    <w:rsid w:val="6FF8C987"/>
    <w:rsid w:val="700617D5"/>
    <w:rsid w:val="700C1CE7"/>
    <w:rsid w:val="70176CCC"/>
    <w:rsid w:val="7017B012"/>
    <w:rsid w:val="701D0218"/>
    <w:rsid w:val="70386EAB"/>
    <w:rsid w:val="7041EE08"/>
    <w:rsid w:val="7052DC17"/>
    <w:rsid w:val="705DC0B1"/>
    <w:rsid w:val="705DED52"/>
    <w:rsid w:val="7064FE9E"/>
    <w:rsid w:val="706F6B8C"/>
    <w:rsid w:val="708B9D1F"/>
    <w:rsid w:val="708DC7C8"/>
    <w:rsid w:val="70B631B7"/>
    <w:rsid w:val="70BD50E1"/>
    <w:rsid w:val="70CB6D86"/>
    <w:rsid w:val="70F79B23"/>
    <w:rsid w:val="70FF0610"/>
    <w:rsid w:val="7105E250"/>
    <w:rsid w:val="7110F540"/>
    <w:rsid w:val="71166FF5"/>
    <w:rsid w:val="71405C03"/>
    <w:rsid w:val="71684EA3"/>
    <w:rsid w:val="716B50A4"/>
    <w:rsid w:val="716CD2FA"/>
    <w:rsid w:val="717F638E"/>
    <w:rsid w:val="718A9D33"/>
    <w:rsid w:val="71991736"/>
    <w:rsid w:val="71A1E836"/>
    <w:rsid w:val="71A7A99D"/>
    <w:rsid w:val="71B38073"/>
    <w:rsid w:val="71BA27B2"/>
    <w:rsid w:val="71C7082F"/>
    <w:rsid w:val="71D6A712"/>
    <w:rsid w:val="71EA5D9E"/>
    <w:rsid w:val="71EE0201"/>
    <w:rsid w:val="71F5C4E0"/>
    <w:rsid w:val="71F801AE"/>
    <w:rsid w:val="72469E98"/>
    <w:rsid w:val="7246F5F4"/>
    <w:rsid w:val="72508A6E"/>
    <w:rsid w:val="7266DD7F"/>
    <w:rsid w:val="7273167E"/>
    <w:rsid w:val="7274383F"/>
    <w:rsid w:val="72993B32"/>
    <w:rsid w:val="729A1C0A"/>
    <w:rsid w:val="72A1C696"/>
    <w:rsid w:val="72B9B171"/>
    <w:rsid w:val="72DC3507"/>
    <w:rsid w:val="72E8A0C9"/>
    <w:rsid w:val="730B59C7"/>
    <w:rsid w:val="731D6D75"/>
    <w:rsid w:val="7327CD08"/>
    <w:rsid w:val="7328DA3B"/>
    <w:rsid w:val="7337D9D9"/>
    <w:rsid w:val="73423AEF"/>
    <w:rsid w:val="735C5233"/>
    <w:rsid w:val="73696D44"/>
    <w:rsid w:val="737E5BA1"/>
    <w:rsid w:val="739606E9"/>
    <w:rsid w:val="73AB962E"/>
    <w:rsid w:val="73BC3052"/>
    <w:rsid w:val="73BD4827"/>
    <w:rsid w:val="73C39751"/>
    <w:rsid w:val="73C711DA"/>
    <w:rsid w:val="73D2BD85"/>
    <w:rsid w:val="73E01365"/>
    <w:rsid w:val="73EDE3E2"/>
    <w:rsid w:val="73F925BE"/>
    <w:rsid w:val="74093454"/>
    <w:rsid w:val="7416E72F"/>
    <w:rsid w:val="74170E05"/>
    <w:rsid w:val="74216658"/>
    <w:rsid w:val="742595AB"/>
    <w:rsid w:val="742FC487"/>
    <w:rsid w:val="7444F55F"/>
    <w:rsid w:val="746579AB"/>
    <w:rsid w:val="746B4E55"/>
    <w:rsid w:val="747564EF"/>
    <w:rsid w:val="747F7484"/>
    <w:rsid w:val="748BC500"/>
    <w:rsid w:val="74ED2E2A"/>
    <w:rsid w:val="74EF200C"/>
    <w:rsid w:val="74F99985"/>
    <w:rsid w:val="74FF3823"/>
    <w:rsid w:val="750E0E5E"/>
    <w:rsid w:val="750E9A36"/>
    <w:rsid w:val="75124902"/>
    <w:rsid w:val="751AC1C8"/>
    <w:rsid w:val="751E2536"/>
    <w:rsid w:val="7535142C"/>
    <w:rsid w:val="7536B2B2"/>
    <w:rsid w:val="753A9256"/>
    <w:rsid w:val="75410510"/>
    <w:rsid w:val="754BEA75"/>
    <w:rsid w:val="754C88B7"/>
    <w:rsid w:val="7566F13C"/>
    <w:rsid w:val="75671638"/>
    <w:rsid w:val="75704601"/>
    <w:rsid w:val="757229F1"/>
    <w:rsid w:val="757D4FB2"/>
    <w:rsid w:val="757DADA2"/>
    <w:rsid w:val="758891A9"/>
    <w:rsid w:val="75983A0B"/>
    <w:rsid w:val="759FAD83"/>
    <w:rsid w:val="75B4BB55"/>
    <w:rsid w:val="75D137EE"/>
    <w:rsid w:val="75DE1B16"/>
    <w:rsid w:val="75E1FD00"/>
    <w:rsid w:val="75EC18D6"/>
    <w:rsid w:val="760CC143"/>
    <w:rsid w:val="761F492A"/>
    <w:rsid w:val="7628D44F"/>
    <w:rsid w:val="763514CA"/>
    <w:rsid w:val="764C4B61"/>
    <w:rsid w:val="766290A9"/>
    <w:rsid w:val="7674684D"/>
    <w:rsid w:val="76891CA5"/>
    <w:rsid w:val="768F5E91"/>
    <w:rsid w:val="769C048C"/>
    <w:rsid w:val="769E0FC1"/>
    <w:rsid w:val="76A7845F"/>
    <w:rsid w:val="76B205BB"/>
    <w:rsid w:val="76D4ACB0"/>
    <w:rsid w:val="76E3D6E7"/>
    <w:rsid w:val="76E7E0C9"/>
    <w:rsid w:val="76FDF5E3"/>
    <w:rsid w:val="76FF4C8D"/>
    <w:rsid w:val="77016E55"/>
    <w:rsid w:val="7702E699"/>
    <w:rsid w:val="770B029C"/>
    <w:rsid w:val="772C79BA"/>
    <w:rsid w:val="77482775"/>
    <w:rsid w:val="77502645"/>
    <w:rsid w:val="7759071A"/>
    <w:rsid w:val="775B3EA1"/>
    <w:rsid w:val="775D8672"/>
    <w:rsid w:val="775E6058"/>
    <w:rsid w:val="777D6A14"/>
    <w:rsid w:val="77857D72"/>
    <w:rsid w:val="77B65B6D"/>
    <w:rsid w:val="77C3A08C"/>
    <w:rsid w:val="77C8C764"/>
    <w:rsid w:val="77C90C4E"/>
    <w:rsid w:val="77D93B44"/>
    <w:rsid w:val="77DDCE1C"/>
    <w:rsid w:val="77E39B65"/>
    <w:rsid w:val="77EB2AAA"/>
    <w:rsid w:val="77EEAE78"/>
    <w:rsid w:val="781DC728"/>
    <w:rsid w:val="781DF21E"/>
    <w:rsid w:val="782AAD73"/>
    <w:rsid w:val="782B6DE6"/>
    <w:rsid w:val="783271D4"/>
    <w:rsid w:val="78446322"/>
    <w:rsid w:val="78505650"/>
    <w:rsid w:val="7850B6B2"/>
    <w:rsid w:val="7862440E"/>
    <w:rsid w:val="78693E2F"/>
    <w:rsid w:val="78742D51"/>
    <w:rsid w:val="78772C46"/>
    <w:rsid w:val="78782584"/>
    <w:rsid w:val="787CCEB8"/>
    <w:rsid w:val="7898DCDF"/>
    <w:rsid w:val="789C08DE"/>
    <w:rsid w:val="78A7EF67"/>
    <w:rsid w:val="78ACBEB6"/>
    <w:rsid w:val="78B825E6"/>
    <w:rsid w:val="78CE6D0D"/>
    <w:rsid w:val="78F1532F"/>
    <w:rsid w:val="7931EB6A"/>
    <w:rsid w:val="7936E51C"/>
    <w:rsid w:val="79421413"/>
    <w:rsid w:val="794CDE9E"/>
    <w:rsid w:val="794F1BC1"/>
    <w:rsid w:val="796AACC9"/>
    <w:rsid w:val="796FD951"/>
    <w:rsid w:val="79712D58"/>
    <w:rsid w:val="797F6BC6"/>
    <w:rsid w:val="79844D92"/>
    <w:rsid w:val="79A61099"/>
    <w:rsid w:val="79A74AFB"/>
    <w:rsid w:val="79BAFFD5"/>
    <w:rsid w:val="79BD694D"/>
    <w:rsid w:val="79BF8D68"/>
    <w:rsid w:val="79C5C07D"/>
    <w:rsid w:val="79E1B8F7"/>
    <w:rsid w:val="79E37814"/>
    <w:rsid w:val="79F0C2DF"/>
    <w:rsid w:val="79F7C268"/>
    <w:rsid w:val="79F8F2AD"/>
    <w:rsid w:val="7A2113BD"/>
    <w:rsid w:val="7A2A2979"/>
    <w:rsid w:val="7A3B90C3"/>
    <w:rsid w:val="7A4204C6"/>
    <w:rsid w:val="7A5C2126"/>
    <w:rsid w:val="7A616606"/>
    <w:rsid w:val="7A70D695"/>
    <w:rsid w:val="7A7BBE77"/>
    <w:rsid w:val="7A83A042"/>
    <w:rsid w:val="7A8EE2F7"/>
    <w:rsid w:val="7A9786C6"/>
    <w:rsid w:val="7A9CA6F2"/>
    <w:rsid w:val="7AA621DD"/>
    <w:rsid w:val="7AA6E53C"/>
    <w:rsid w:val="7AB0BABC"/>
    <w:rsid w:val="7AB3E1DD"/>
    <w:rsid w:val="7ADD1409"/>
    <w:rsid w:val="7AEA4673"/>
    <w:rsid w:val="7AEEF109"/>
    <w:rsid w:val="7AF091DA"/>
    <w:rsid w:val="7AF67852"/>
    <w:rsid w:val="7AF6E9FD"/>
    <w:rsid w:val="7B11941E"/>
    <w:rsid w:val="7B1B3C27"/>
    <w:rsid w:val="7B6146B5"/>
    <w:rsid w:val="7B6376A0"/>
    <w:rsid w:val="7B6F519E"/>
    <w:rsid w:val="7B7473EB"/>
    <w:rsid w:val="7B8859B9"/>
    <w:rsid w:val="7B90D539"/>
    <w:rsid w:val="7B91566C"/>
    <w:rsid w:val="7BA11F01"/>
    <w:rsid w:val="7BBCA96A"/>
    <w:rsid w:val="7BD62140"/>
    <w:rsid w:val="7BD8E8D3"/>
    <w:rsid w:val="7BDF9271"/>
    <w:rsid w:val="7BE34EB5"/>
    <w:rsid w:val="7BF54C2D"/>
    <w:rsid w:val="7C01D1CC"/>
    <w:rsid w:val="7C103DCC"/>
    <w:rsid w:val="7C1B5ABF"/>
    <w:rsid w:val="7C1FCFBF"/>
    <w:rsid w:val="7C518999"/>
    <w:rsid w:val="7C53C51F"/>
    <w:rsid w:val="7C6B4CE0"/>
    <w:rsid w:val="7C6FAF0C"/>
    <w:rsid w:val="7C74CEE2"/>
    <w:rsid w:val="7C77B227"/>
    <w:rsid w:val="7C916709"/>
    <w:rsid w:val="7CC3AA60"/>
    <w:rsid w:val="7CCD4E01"/>
    <w:rsid w:val="7CDE3427"/>
    <w:rsid w:val="7CE3ADE5"/>
    <w:rsid w:val="7CEC0C6D"/>
    <w:rsid w:val="7CF78686"/>
    <w:rsid w:val="7CFFAE92"/>
    <w:rsid w:val="7D21BED7"/>
    <w:rsid w:val="7D2C8051"/>
    <w:rsid w:val="7D345052"/>
    <w:rsid w:val="7D44B574"/>
    <w:rsid w:val="7D457268"/>
    <w:rsid w:val="7D481FC2"/>
    <w:rsid w:val="7D4CFDB9"/>
    <w:rsid w:val="7D7CDE95"/>
    <w:rsid w:val="7D921077"/>
    <w:rsid w:val="7D92CC02"/>
    <w:rsid w:val="7D946E24"/>
    <w:rsid w:val="7D95EE47"/>
    <w:rsid w:val="7D99FF7B"/>
    <w:rsid w:val="7DA284AE"/>
    <w:rsid w:val="7DAC9233"/>
    <w:rsid w:val="7DB1EF4F"/>
    <w:rsid w:val="7DB6B568"/>
    <w:rsid w:val="7DC1733E"/>
    <w:rsid w:val="7DC701C6"/>
    <w:rsid w:val="7DDDC29F"/>
    <w:rsid w:val="7DE5B025"/>
    <w:rsid w:val="7DE65CE6"/>
    <w:rsid w:val="7DED0EC7"/>
    <w:rsid w:val="7E0571B8"/>
    <w:rsid w:val="7E09F214"/>
    <w:rsid w:val="7E16CABC"/>
    <w:rsid w:val="7E19C376"/>
    <w:rsid w:val="7E2B8756"/>
    <w:rsid w:val="7E2C8521"/>
    <w:rsid w:val="7E2C95F7"/>
    <w:rsid w:val="7E2E9790"/>
    <w:rsid w:val="7E2F81D3"/>
    <w:rsid w:val="7E3B5600"/>
    <w:rsid w:val="7E52E1F5"/>
    <w:rsid w:val="7E7D76D1"/>
    <w:rsid w:val="7E8B2120"/>
    <w:rsid w:val="7E8B76A7"/>
    <w:rsid w:val="7E95B6DC"/>
    <w:rsid w:val="7E98E777"/>
    <w:rsid w:val="7EAB0AE0"/>
    <w:rsid w:val="7EAD7EE7"/>
    <w:rsid w:val="7EBBA055"/>
    <w:rsid w:val="7EC296B7"/>
    <w:rsid w:val="7ED15DFE"/>
    <w:rsid w:val="7ED5E4F3"/>
    <w:rsid w:val="7ED64F08"/>
    <w:rsid w:val="7EE75234"/>
    <w:rsid w:val="7EF38041"/>
    <w:rsid w:val="7EF73426"/>
    <w:rsid w:val="7EFC8906"/>
    <w:rsid w:val="7F06F0AE"/>
    <w:rsid w:val="7F0946C2"/>
    <w:rsid w:val="7F16739C"/>
    <w:rsid w:val="7F1D5CEC"/>
    <w:rsid w:val="7F21FEB5"/>
    <w:rsid w:val="7F224183"/>
    <w:rsid w:val="7F2BD5CF"/>
    <w:rsid w:val="7F2E5067"/>
    <w:rsid w:val="7F2FC63F"/>
    <w:rsid w:val="7F2FD579"/>
    <w:rsid w:val="7F4D1D3D"/>
    <w:rsid w:val="7F685DA2"/>
    <w:rsid w:val="7F6C9E11"/>
    <w:rsid w:val="7F86AA8A"/>
    <w:rsid w:val="7F8D3BEB"/>
    <w:rsid w:val="7F979E3B"/>
    <w:rsid w:val="7FB02C6A"/>
    <w:rsid w:val="7FB76997"/>
    <w:rsid w:val="7FCCE5CB"/>
    <w:rsid w:val="7FDED99D"/>
    <w:rsid w:val="7FEEAD4A"/>
    <w:rsid w:val="7FF28437"/>
    <w:rsid w:val="7FF471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41F4"/>
  <w15:chartTrackingRefBased/>
  <w15:docId w15:val="{A40AABD4-F3AE-4C21-8FB9-05EA9BB3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C2"/>
  </w:style>
  <w:style w:type="paragraph" w:styleId="Heading1">
    <w:name w:val="heading 1"/>
    <w:basedOn w:val="Normal"/>
    <w:next w:val="Normal"/>
    <w:link w:val="Heading1Char"/>
    <w:uiPriority w:val="9"/>
    <w:qFormat/>
    <w:rsid w:val="00CC40C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F2622"/>
    <w:pPr>
      <w:keepNext/>
      <w:keepLines/>
      <w:spacing w:before="40" w:after="0"/>
      <w:outlineLvl w:val="1"/>
    </w:pPr>
    <w:rPr>
      <w:rFonts w:asciiTheme="majorHAnsi" w:eastAsiaTheme="majorEastAsia" w:hAnsiTheme="majorHAnsi" w:cstheme="majorBidi"/>
      <w:sz w:val="24"/>
      <w:szCs w:val="26"/>
      <w:u w:val="single"/>
    </w:rPr>
  </w:style>
  <w:style w:type="paragraph" w:styleId="Heading3">
    <w:name w:val="heading 3"/>
    <w:basedOn w:val="Normal"/>
    <w:next w:val="Normal"/>
    <w:link w:val="Heading3Char"/>
    <w:uiPriority w:val="9"/>
    <w:unhideWhenUsed/>
    <w:qFormat/>
    <w:rsid w:val="001D10E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C2"/>
    <w:rPr>
      <w:rFonts w:eastAsiaTheme="majorEastAsia" w:cstheme="majorBidi"/>
      <w:b/>
      <w:sz w:val="28"/>
      <w:szCs w:val="32"/>
    </w:rPr>
  </w:style>
  <w:style w:type="paragraph" w:styleId="ListParagraph">
    <w:name w:val="List Paragraph"/>
    <w:basedOn w:val="Normal"/>
    <w:uiPriority w:val="34"/>
    <w:qFormat/>
    <w:rsid w:val="00C12D12"/>
    <w:pPr>
      <w:ind w:left="720"/>
      <w:contextualSpacing/>
    </w:pPr>
  </w:style>
  <w:style w:type="paragraph" w:styleId="Title">
    <w:name w:val="Title"/>
    <w:basedOn w:val="Normal"/>
    <w:next w:val="Normal"/>
    <w:link w:val="TitleChar"/>
    <w:uiPriority w:val="38"/>
    <w:qFormat/>
    <w:rsid w:val="00293CA0"/>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38"/>
    <w:rsid w:val="00293CA0"/>
    <w:rPr>
      <w:rFonts w:asciiTheme="majorHAnsi" w:eastAsiaTheme="majorEastAsia" w:hAnsiTheme="majorHAnsi" w:cstheme="majorBidi"/>
      <w:spacing w:val="-10"/>
      <w:kern w:val="28"/>
      <w:sz w:val="28"/>
      <w:szCs w:val="56"/>
    </w:rPr>
  </w:style>
  <w:style w:type="paragraph" w:styleId="Header">
    <w:name w:val="header"/>
    <w:basedOn w:val="Normal"/>
    <w:link w:val="HeaderChar"/>
    <w:uiPriority w:val="99"/>
    <w:unhideWhenUsed/>
    <w:rsid w:val="006D7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ED"/>
  </w:style>
  <w:style w:type="paragraph" w:styleId="Footer">
    <w:name w:val="footer"/>
    <w:basedOn w:val="Normal"/>
    <w:link w:val="FooterChar"/>
    <w:uiPriority w:val="99"/>
    <w:unhideWhenUsed/>
    <w:rsid w:val="006D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ED"/>
  </w:style>
  <w:style w:type="paragraph" w:styleId="FootnoteText">
    <w:name w:val="footnote text"/>
    <w:basedOn w:val="Normal"/>
    <w:link w:val="FootnoteTextChar"/>
    <w:uiPriority w:val="99"/>
    <w:unhideWhenUsed/>
    <w:rsid w:val="008A7B4D"/>
    <w:pPr>
      <w:spacing w:after="0" w:line="240" w:lineRule="auto"/>
    </w:pPr>
    <w:rPr>
      <w:sz w:val="20"/>
      <w:szCs w:val="20"/>
    </w:rPr>
  </w:style>
  <w:style w:type="character" w:customStyle="1" w:styleId="FootnoteTextChar">
    <w:name w:val="Footnote Text Char"/>
    <w:basedOn w:val="DefaultParagraphFont"/>
    <w:link w:val="FootnoteText"/>
    <w:uiPriority w:val="99"/>
    <w:rsid w:val="008A7B4D"/>
    <w:rPr>
      <w:sz w:val="20"/>
      <w:szCs w:val="20"/>
    </w:rPr>
  </w:style>
  <w:style w:type="character" w:styleId="FootnoteReference">
    <w:name w:val="footnote reference"/>
    <w:basedOn w:val="DefaultParagraphFont"/>
    <w:uiPriority w:val="99"/>
    <w:semiHidden/>
    <w:unhideWhenUsed/>
    <w:rsid w:val="008A7B4D"/>
    <w:rPr>
      <w:vertAlign w:val="superscript"/>
    </w:rPr>
  </w:style>
  <w:style w:type="character" w:styleId="Hyperlink">
    <w:name w:val="Hyperlink"/>
    <w:basedOn w:val="DefaultParagraphFont"/>
    <w:uiPriority w:val="99"/>
    <w:unhideWhenUsed/>
    <w:rsid w:val="008A7B4D"/>
    <w:rPr>
      <w:color w:val="0563C1" w:themeColor="hyperlink"/>
      <w:u w:val="single"/>
    </w:rPr>
  </w:style>
  <w:style w:type="character" w:styleId="UnresolvedMention">
    <w:name w:val="Unresolved Mention"/>
    <w:basedOn w:val="DefaultParagraphFont"/>
    <w:uiPriority w:val="99"/>
    <w:semiHidden/>
    <w:unhideWhenUsed/>
    <w:rsid w:val="008A7B4D"/>
    <w:rPr>
      <w:color w:val="605E5C"/>
      <w:shd w:val="clear" w:color="auto" w:fill="E1DFDD"/>
    </w:rPr>
  </w:style>
  <w:style w:type="character" w:customStyle="1" w:styleId="Heading2Char">
    <w:name w:val="Heading 2 Char"/>
    <w:basedOn w:val="DefaultParagraphFont"/>
    <w:link w:val="Heading2"/>
    <w:uiPriority w:val="9"/>
    <w:rsid w:val="00BF2622"/>
    <w:rPr>
      <w:rFonts w:asciiTheme="majorHAnsi" w:eastAsiaTheme="majorEastAsia" w:hAnsiTheme="majorHAnsi" w:cstheme="majorBidi"/>
      <w:sz w:val="24"/>
      <w:szCs w:val="26"/>
      <w:u w:val="single"/>
    </w:rPr>
  </w:style>
  <w:style w:type="table" w:styleId="GridTable4-Accent3">
    <w:name w:val="Grid Table 4 Accent 3"/>
    <w:basedOn w:val="TableNormal"/>
    <w:uiPriority w:val="49"/>
    <w:rsid w:val="00D44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331D02"/>
    <w:rPr>
      <w:color w:val="954F72" w:themeColor="followedHyperlink"/>
      <w:u w:val="single"/>
    </w:rPr>
  </w:style>
  <w:style w:type="table" w:styleId="TableGrid">
    <w:name w:val="Table Grid"/>
    <w:basedOn w:val="TableNormal"/>
    <w:uiPriority w:val="39"/>
    <w:rsid w:val="0061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52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A872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72A5"/>
    <w:rPr>
      <w:sz w:val="20"/>
      <w:szCs w:val="20"/>
    </w:rPr>
  </w:style>
  <w:style w:type="character" w:styleId="EndnoteReference">
    <w:name w:val="endnote reference"/>
    <w:basedOn w:val="DefaultParagraphFont"/>
    <w:uiPriority w:val="99"/>
    <w:semiHidden/>
    <w:unhideWhenUsed/>
    <w:rsid w:val="00A872A5"/>
    <w:rPr>
      <w:vertAlign w:val="superscript"/>
    </w:rPr>
  </w:style>
  <w:style w:type="character" w:customStyle="1" w:styleId="Heading3Char">
    <w:name w:val="Heading 3 Char"/>
    <w:basedOn w:val="DefaultParagraphFont"/>
    <w:link w:val="Heading3"/>
    <w:uiPriority w:val="9"/>
    <w:rsid w:val="001D10E7"/>
    <w:rPr>
      <w:rFonts w:eastAsiaTheme="majorEastAsia" w:cstheme="majorBidi"/>
      <w:b/>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5003C2"/>
    <w:pPr>
      <w:outlineLvl w:val="9"/>
    </w:pPr>
    <w:rPr>
      <w:b w:val="0"/>
      <w:color w:val="2F5496" w:themeColor="accent1" w:themeShade="BF"/>
      <w:sz w:val="32"/>
      <w:lang w:val="en-US"/>
    </w:rPr>
  </w:style>
  <w:style w:type="paragraph" w:styleId="TOC1">
    <w:name w:val="toc 1"/>
    <w:basedOn w:val="Normal"/>
    <w:next w:val="Normal"/>
    <w:autoRedefine/>
    <w:uiPriority w:val="39"/>
    <w:unhideWhenUsed/>
    <w:rsid w:val="005003C2"/>
    <w:pPr>
      <w:spacing w:after="100"/>
    </w:pPr>
  </w:style>
  <w:style w:type="paragraph" w:styleId="TOC2">
    <w:name w:val="toc 2"/>
    <w:basedOn w:val="Normal"/>
    <w:next w:val="Normal"/>
    <w:autoRedefine/>
    <w:uiPriority w:val="39"/>
    <w:unhideWhenUsed/>
    <w:rsid w:val="005003C2"/>
    <w:pPr>
      <w:spacing w:after="100"/>
      <w:ind w:left="220"/>
    </w:pPr>
  </w:style>
  <w:style w:type="paragraph" w:styleId="TOC3">
    <w:name w:val="toc 3"/>
    <w:basedOn w:val="Normal"/>
    <w:next w:val="Normal"/>
    <w:autoRedefine/>
    <w:uiPriority w:val="39"/>
    <w:unhideWhenUsed/>
    <w:rsid w:val="005003C2"/>
    <w:pPr>
      <w:spacing w:after="100"/>
      <w:ind w:left="440"/>
    </w:pPr>
  </w:style>
  <w:style w:type="paragraph" w:styleId="CommentSubject">
    <w:name w:val="annotation subject"/>
    <w:basedOn w:val="CommentText"/>
    <w:next w:val="CommentText"/>
    <w:link w:val="CommentSubjectChar"/>
    <w:uiPriority w:val="99"/>
    <w:semiHidden/>
    <w:unhideWhenUsed/>
    <w:rsid w:val="004274D5"/>
    <w:rPr>
      <w:b/>
      <w:bCs/>
    </w:rPr>
  </w:style>
  <w:style w:type="character" w:customStyle="1" w:styleId="CommentSubjectChar">
    <w:name w:val="Comment Subject Char"/>
    <w:basedOn w:val="CommentTextChar"/>
    <w:link w:val="CommentSubject"/>
    <w:uiPriority w:val="99"/>
    <w:semiHidden/>
    <w:rsid w:val="004274D5"/>
    <w:rPr>
      <w:b/>
      <w:bCs/>
      <w:sz w:val="20"/>
      <w:szCs w:val="20"/>
    </w:rPr>
  </w:style>
  <w:style w:type="table" w:styleId="GridTable4-Accent2">
    <w:name w:val="Grid Table 4 Accent 2"/>
    <w:basedOn w:val="TableNormal"/>
    <w:uiPriority w:val="49"/>
    <w:rsid w:val="00CC683C"/>
    <w:pPr>
      <w:spacing w:after="0" w:line="240" w:lineRule="auto"/>
    </w:pPr>
    <w:rPr>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CC68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Number2">
    <w:name w:val="List Number 2"/>
    <w:basedOn w:val="Normal"/>
    <w:uiPriority w:val="13"/>
    <w:qFormat/>
    <w:rsid w:val="000632E5"/>
    <w:pPr>
      <w:spacing w:line="288" w:lineRule="auto"/>
      <w:ind w:left="567" w:hanging="567"/>
      <w:contextualSpacing/>
    </w:pPr>
    <w:rPr>
      <w:sz w:val="20"/>
      <w:lang w:val="en-AU"/>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6148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45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5B3E"/>
  </w:style>
  <w:style w:type="character" w:customStyle="1" w:styleId="eop">
    <w:name w:val="eop"/>
    <w:basedOn w:val="DefaultParagraphFont"/>
    <w:rsid w:val="00945B3E"/>
  </w:style>
  <w:style w:type="paragraph" w:customStyle="1" w:styleId="msonormal0">
    <w:name w:val="msonormal"/>
    <w:basedOn w:val="Normal"/>
    <w:rsid w:val="00AB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utlineelement">
    <w:name w:val="outlineelement"/>
    <w:basedOn w:val="Normal"/>
    <w:rsid w:val="00AB0C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B0C7D"/>
  </w:style>
  <w:style w:type="paragraph" w:styleId="ListBullet2">
    <w:name w:val="List Bullet 2"/>
    <w:basedOn w:val="Normal"/>
    <w:uiPriority w:val="13"/>
    <w:qFormat/>
    <w:rsid w:val="00641DF0"/>
    <w:pPr>
      <w:spacing w:line="288" w:lineRule="auto"/>
      <w:ind w:left="567" w:hanging="283"/>
      <w:contextualSpacing/>
    </w:pPr>
    <w:rPr>
      <w:sz w:val="20"/>
      <w:lang w:val="en-AU"/>
    </w:rPr>
  </w:style>
  <w:style w:type="table" w:customStyle="1" w:styleId="GridTable41">
    <w:name w:val="Grid Table 41"/>
    <w:basedOn w:val="TableNormal"/>
    <w:next w:val="GridTable4"/>
    <w:uiPriority w:val="49"/>
    <w:rsid w:val="00641D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next w:val="GridTable5Dark-Accent3"/>
    <w:uiPriority w:val="50"/>
    <w:rsid w:val="00051F51"/>
    <w:pPr>
      <w:spacing w:after="0"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Blank">
    <w:name w:val="Blank"/>
    <w:basedOn w:val="TableNormal"/>
    <w:uiPriority w:val="99"/>
    <w:rsid w:val="009E7754"/>
    <w:pPr>
      <w:spacing w:after="0" w:line="240" w:lineRule="auto"/>
      <w:jc w:val="left"/>
    </w:pPr>
    <w:rPr>
      <w:lang w:val="en-A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322">
      <w:bodyDiv w:val="1"/>
      <w:marLeft w:val="0"/>
      <w:marRight w:val="0"/>
      <w:marTop w:val="0"/>
      <w:marBottom w:val="0"/>
      <w:divBdr>
        <w:top w:val="none" w:sz="0" w:space="0" w:color="auto"/>
        <w:left w:val="none" w:sz="0" w:space="0" w:color="auto"/>
        <w:bottom w:val="none" w:sz="0" w:space="0" w:color="auto"/>
        <w:right w:val="none" w:sz="0" w:space="0" w:color="auto"/>
      </w:divBdr>
      <w:divsChild>
        <w:div w:id="93213462">
          <w:marLeft w:val="0"/>
          <w:marRight w:val="0"/>
          <w:marTop w:val="0"/>
          <w:marBottom w:val="0"/>
          <w:divBdr>
            <w:top w:val="none" w:sz="0" w:space="0" w:color="auto"/>
            <w:left w:val="none" w:sz="0" w:space="0" w:color="auto"/>
            <w:bottom w:val="none" w:sz="0" w:space="0" w:color="auto"/>
            <w:right w:val="none" w:sz="0" w:space="0" w:color="auto"/>
          </w:divBdr>
          <w:divsChild>
            <w:div w:id="16202868">
              <w:marLeft w:val="0"/>
              <w:marRight w:val="0"/>
              <w:marTop w:val="0"/>
              <w:marBottom w:val="0"/>
              <w:divBdr>
                <w:top w:val="none" w:sz="0" w:space="0" w:color="auto"/>
                <w:left w:val="none" w:sz="0" w:space="0" w:color="auto"/>
                <w:bottom w:val="none" w:sz="0" w:space="0" w:color="auto"/>
                <w:right w:val="none" w:sz="0" w:space="0" w:color="auto"/>
              </w:divBdr>
            </w:div>
            <w:div w:id="145631007">
              <w:marLeft w:val="0"/>
              <w:marRight w:val="0"/>
              <w:marTop w:val="0"/>
              <w:marBottom w:val="0"/>
              <w:divBdr>
                <w:top w:val="none" w:sz="0" w:space="0" w:color="auto"/>
                <w:left w:val="none" w:sz="0" w:space="0" w:color="auto"/>
                <w:bottom w:val="none" w:sz="0" w:space="0" w:color="auto"/>
                <w:right w:val="none" w:sz="0" w:space="0" w:color="auto"/>
              </w:divBdr>
            </w:div>
            <w:div w:id="330640849">
              <w:marLeft w:val="0"/>
              <w:marRight w:val="0"/>
              <w:marTop w:val="0"/>
              <w:marBottom w:val="0"/>
              <w:divBdr>
                <w:top w:val="none" w:sz="0" w:space="0" w:color="auto"/>
                <w:left w:val="none" w:sz="0" w:space="0" w:color="auto"/>
                <w:bottom w:val="none" w:sz="0" w:space="0" w:color="auto"/>
                <w:right w:val="none" w:sz="0" w:space="0" w:color="auto"/>
              </w:divBdr>
            </w:div>
            <w:div w:id="1379476696">
              <w:marLeft w:val="0"/>
              <w:marRight w:val="0"/>
              <w:marTop w:val="0"/>
              <w:marBottom w:val="0"/>
              <w:divBdr>
                <w:top w:val="none" w:sz="0" w:space="0" w:color="auto"/>
                <w:left w:val="none" w:sz="0" w:space="0" w:color="auto"/>
                <w:bottom w:val="none" w:sz="0" w:space="0" w:color="auto"/>
                <w:right w:val="none" w:sz="0" w:space="0" w:color="auto"/>
              </w:divBdr>
            </w:div>
            <w:div w:id="1524202578">
              <w:marLeft w:val="0"/>
              <w:marRight w:val="0"/>
              <w:marTop w:val="0"/>
              <w:marBottom w:val="0"/>
              <w:divBdr>
                <w:top w:val="none" w:sz="0" w:space="0" w:color="auto"/>
                <w:left w:val="none" w:sz="0" w:space="0" w:color="auto"/>
                <w:bottom w:val="none" w:sz="0" w:space="0" w:color="auto"/>
                <w:right w:val="none" w:sz="0" w:space="0" w:color="auto"/>
              </w:divBdr>
            </w:div>
          </w:divsChild>
        </w:div>
        <w:div w:id="139274837">
          <w:marLeft w:val="0"/>
          <w:marRight w:val="0"/>
          <w:marTop w:val="0"/>
          <w:marBottom w:val="0"/>
          <w:divBdr>
            <w:top w:val="none" w:sz="0" w:space="0" w:color="auto"/>
            <w:left w:val="none" w:sz="0" w:space="0" w:color="auto"/>
            <w:bottom w:val="none" w:sz="0" w:space="0" w:color="auto"/>
            <w:right w:val="none" w:sz="0" w:space="0" w:color="auto"/>
          </w:divBdr>
        </w:div>
        <w:div w:id="140470349">
          <w:marLeft w:val="0"/>
          <w:marRight w:val="0"/>
          <w:marTop w:val="0"/>
          <w:marBottom w:val="0"/>
          <w:divBdr>
            <w:top w:val="none" w:sz="0" w:space="0" w:color="auto"/>
            <w:left w:val="none" w:sz="0" w:space="0" w:color="auto"/>
            <w:bottom w:val="none" w:sz="0" w:space="0" w:color="auto"/>
            <w:right w:val="none" w:sz="0" w:space="0" w:color="auto"/>
          </w:divBdr>
          <w:divsChild>
            <w:div w:id="148055280">
              <w:marLeft w:val="0"/>
              <w:marRight w:val="0"/>
              <w:marTop w:val="0"/>
              <w:marBottom w:val="0"/>
              <w:divBdr>
                <w:top w:val="none" w:sz="0" w:space="0" w:color="auto"/>
                <w:left w:val="none" w:sz="0" w:space="0" w:color="auto"/>
                <w:bottom w:val="none" w:sz="0" w:space="0" w:color="auto"/>
                <w:right w:val="none" w:sz="0" w:space="0" w:color="auto"/>
              </w:divBdr>
            </w:div>
            <w:div w:id="419720878">
              <w:marLeft w:val="0"/>
              <w:marRight w:val="0"/>
              <w:marTop w:val="0"/>
              <w:marBottom w:val="0"/>
              <w:divBdr>
                <w:top w:val="none" w:sz="0" w:space="0" w:color="auto"/>
                <w:left w:val="none" w:sz="0" w:space="0" w:color="auto"/>
                <w:bottom w:val="none" w:sz="0" w:space="0" w:color="auto"/>
                <w:right w:val="none" w:sz="0" w:space="0" w:color="auto"/>
              </w:divBdr>
            </w:div>
            <w:div w:id="731464783">
              <w:marLeft w:val="0"/>
              <w:marRight w:val="0"/>
              <w:marTop w:val="0"/>
              <w:marBottom w:val="0"/>
              <w:divBdr>
                <w:top w:val="none" w:sz="0" w:space="0" w:color="auto"/>
                <w:left w:val="none" w:sz="0" w:space="0" w:color="auto"/>
                <w:bottom w:val="none" w:sz="0" w:space="0" w:color="auto"/>
                <w:right w:val="none" w:sz="0" w:space="0" w:color="auto"/>
              </w:divBdr>
            </w:div>
            <w:div w:id="1861429775">
              <w:marLeft w:val="0"/>
              <w:marRight w:val="0"/>
              <w:marTop w:val="0"/>
              <w:marBottom w:val="0"/>
              <w:divBdr>
                <w:top w:val="none" w:sz="0" w:space="0" w:color="auto"/>
                <w:left w:val="none" w:sz="0" w:space="0" w:color="auto"/>
                <w:bottom w:val="none" w:sz="0" w:space="0" w:color="auto"/>
                <w:right w:val="none" w:sz="0" w:space="0" w:color="auto"/>
              </w:divBdr>
            </w:div>
            <w:div w:id="2143958656">
              <w:marLeft w:val="0"/>
              <w:marRight w:val="0"/>
              <w:marTop w:val="0"/>
              <w:marBottom w:val="0"/>
              <w:divBdr>
                <w:top w:val="none" w:sz="0" w:space="0" w:color="auto"/>
                <w:left w:val="none" w:sz="0" w:space="0" w:color="auto"/>
                <w:bottom w:val="none" w:sz="0" w:space="0" w:color="auto"/>
                <w:right w:val="none" w:sz="0" w:space="0" w:color="auto"/>
              </w:divBdr>
            </w:div>
          </w:divsChild>
        </w:div>
        <w:div w:id="173427130">
          <w:marLeft w:val="0"/>
          <w:marRight w:val="0"/>
          <w:marTop w:val="0"/>
          <w:marBottom w:val="0"/>
          <w:divBdr>
            <w:top w:val="none" w:sz="0" w:space="0" w:color="auto"/>
            <w:left w:val="none" w:sz="0" w:space="0" w:color="auto"/>
            <w:bottom w:val="none" w:sz="0" w:space="0" w:color="auto"/>
            <w:right w:val="none" w:sz="0" w:space="0" w:color="auto"/>
          </w:divBdr>
        </w:div>
        <w:div w:id="185559903">
          <w:marLeft w:val="0"/>
          <w:marRight w:val="0"/>
          <w:marTop w:val="0"/>
          <w:marBottom w:val="0"/>
          <w:divBdr>
            <w:top w:val="none" w:sz="0" w:space="0" w:color="auto"/>
            <w:left w:val="none" w:sz="0" w:space="0" w:color="auto"/>
            <w:bottom w:val="none" w:sz="0" w:space="0" w:color="auto"/>
            <w:right w:val="none" w:sz="0" w:space="0" w:color="auto"/>
          </w:divBdr>
        </w:div>
        <w:div w:id="289433874">
          <w:marLeft w:val="0"/>
          <w:marRight w:val="0"/>
          <w:marTop w:val="0"/>
          <w:marBottom w:val="0"/>
          <w:divBdr>
            <w:top w:val="none" w:sz="0" w:space="0" w:color="auto"/>
            <w:left w:val="none" w:sz="0" w:space="0" w:color="auto"/>
            <w:bottom w:val="none" w:sz="0" w:space="0" w:color="auto"/>
            <w:right w:val="none" w:sz="0" w:space="0" w:color="auto"/>
          </w:divBdr>
          <w:divsChild>
            <w:div w:id="845284569">
              <w:marLeft w:val="0"/>
              <w:marRight w:val="0"/>
              <w:marTop w:val="0"/>
              <w:marBottom w:val="0"/>
              <w:divBdr>
                <w:top w:val="none" w:sz="0" w:space="0" w:color="auto"/>
                <w:left w:val="none" w:sz="0" w:space="0" w:color="auto"/>
                <w:bottom w:val="none" w:sz="0" w:space="0" w:color="auto"/>
                <w:right w:val="none" w:sz="0" w:space="0" w:color="auto"/>
              </w:divBdr>
            </w:div>
            <w:div w:id="1969387444">
              <w:marLeft w:val="0"/>
              <w:marRight w:val="0"/>
              <w:marTop w:val="0"/>
              <w:marBottom w:val="0"/>
              <w:divBdr>
                <w:top w:val="none" w:sz="0" w:space="0" w:color="auto"/>
                <w:left w:val="none" w:sz="0" w:space="0" w:color="auto"/>
                <w:bottom w:val="none" w:sz="0" w:space="0" w:color="auto"/>
                <w:right w:val="none" w:sz="0" w:space="0" w:color="auto"/>
              </w:divBdr>
            </w:div>
          </w:divsChild>
        </w:div>
        <w:div w:id="302588695">
          <w:marLeft w:val="0"/>
          <w:marRight w:val="0"/>
          <w:marTop w:val="0"/>
          <w:marBottom w:val="0"/>
          <w:divBdr>
            <w:top w:val="none" w:sz="0" w:space="0" w:color="auto"/>
            <w:left w:val="none" w:sz="0" w:space="0" w:color="auto"/>
            <w:bottom w:val="none" w:sz="0" w:space="0" w:color="auto"/>
            <w:right w:val="none" w:sz="0" w:space="0" w:color="auto"/>
          </w:divBdr>
          <w:divsChild>
            <w:div w:id="185560089">
              <w:marLeft w:val="0"/>
              <w:marRight w:val="0"/>
              <w:marTop w:val="0"/>
              <w:marBottom w:val="0"/>
              <w:divBdr>
                <w:top w:val="none" w:sz="0" w:space="0" w:color="auto"/>
                <w:left w:val="none" w:sz="0" w:space="0" w:color="auto"/>
                <w:bottom w:val="none" w:sz="0" w:space="0" w:color="auto"/>
                <w:right w:val="none" w:sz="0" w:space="0" w:color="auto"/>
              </w:divBdr>
            </w:div>
            <w:div w:id="579557144">
              <w:marLeft w:val="0"/>
              <w:marRight w:val="0"/>
              <w:marTop w:val="0"/>
              <w:marBottom w:val="0"/>
              <w:divBdr>
                <w:top w:val="none" w:sz="0" w:space="0" w:color="auto"/>
                <w:left w:val="none" w:sz="0" w:space="0" w:color="auto"/>
                <w:bottom w:val="none" w:sz="0" w:space="0" w:color="auto"/>
                <w:right w:val="none" w:sz="0" w:space="0" w:color="auto"/>
              </w:divBdr>
            </w:div>
            <w:div w:id="590431821">
              <w:marLeft w:val="0"/>
              <w:marRight w:val="0"/>
              <w:marTop w:val="0"/>
              <w:marBottom w:val="0"/>
              <w:divBdr>
                <w:top w:val="none" w:sz="0" w:space="0" w:color="auto"/>
                <w:left w:val="none" w:sz="0" w:space="0" w:color="auto"/>
                <w:bottom w:val="none" w:sz="0" w:space="0" w:color="auto"/>
                <w:right w:val="none" w:sz="0" w:space="0" w:color="auto"/>
              </w:divBdr>
            </w:div>
            <w:div w:id="1567455335">
              <w:marLeft w:val="0"/>
              <w:marRight w:val="0"/>
              <w:marTop w:val="0"/>
              <w:marBottom w:val="0"/>
              <w:divBdr>
                <w:top w:val="none" w:sz="0" w:space="0" w:color="auto"/>
                <w:left w:val="none" w:sz="0" w:space="0" w:color="auto"/>
                <w:bottom w:val="none" w:sz="0" w:space="0" w:color="auto"/>
                <w:right w:val="none" w:sz="0" w:space="0" w:color="auto"/>
              </w:divBdr>
            </w:div>
            <w:div w:id="1727147058">
              <w:marLeft w:val="0"/>
              <w:marRight w:val="0"/>
              <w:marTop w:val="0"/>
              <w:marBottom w:val="0"/>
              <w:divBdr>
                <w:top w:val="none" w:sz="0" w:space="0" w:color="auto"/>
                <w:left w:val="none" w:sz="0" w:space="0" w:color="auto"/>
                <w:bottom w:val="none" w:sz="0" w:space="0" w:color="auto"/>
                <w:right w:val="none" w:sz="0" w:space="0" w:color="auto"/>
              </w:divBdr>
            </w:div>
          </w:divsChild>
        </w:div>
        <w:div w:id="313532274">
          <w:marLeft w:val="0"/>
          <w:marRight w:val="0"/>
          <w:marTop w:val="0"/>
          <w:marBottom w:val="0"/>
          <w:divBdr>
            <w:top w:val="none" w:sz="0" w:space="0" w:color="auto"/>
            <w:left w:val="none" w:sz="0" w:space="0" w:color="auto"/>
            <w:bottom w:val="none" w:sz="0" w:space="0" w:color="auto"/>
            <w:right w:val="none" w:sz="0" w:space="0" w:color="auto"/>
          </w:divBdr>
          <w:divsChild>
            <w:div w:id="105083566">
              <w:marLeft w:val="0"/>
              <w:marRight w:val="0"/>
              <w:marTop w:val="0"/>
              <w:marBottom w:val="0"/>
              <w:divBdr>
                <w:top w:val="none" w:sz="0" w:space="0" w:color="auto"/>
                <w:left w:val="none" w:sz="0" w:space="0" w:color="auto"/>
                <w:bottom w:val="none" w:sz="0" w:space="0" w:color="auto"/>
                <w:right w:val="none" w:sz="0" w:space="0" w:color="auto"/>
              </w:divBdr>
            </w:div>
            <w:div w:id="794718161">
              <w:marLeft w:val="0"/>
              <w:marRight w:val="0"/>
              <w:marTop w:val="0"/>
              <w:marBottom w:val="0"/>
              <w:divBdr>
                <w:top w:val="none" w:sz="0" w:space="0" w:color="auto"/>
                <w:left w:val="none" w:sz="0" w:space="0" w:color="auto"/>
                <w:bottom w:val="none" w:sz="0" w:space="0" w:color="auto"/>
                <w:right w:val="none" w:sz="0" w:space="0" w:color="auto"/>
              </w:divBdr>
            </w:div>
            <w:div w:id="1001196962">
              <w:marLeft w:val="0"/>
              <w:marRight w:val="0"/>
              <w:marTop w:val="0"/>
              <w:marBottom w:val="0"/>
              <w:divBdr>
                <w:top w:val="none" w:sz="0" w:space="0" w:color="auto"/>
                <w:left w:val="none" w:sz="0" w:space="0" w:color="auto"/>
                <w:bottom w:val="none" w:sz="0" w:space="0" w:color="auto"/>
                <w:right w:val="none" w:sz="0" w:space="0" w:color="auto"/>
              </w:divBdr>
            </w:div>
            <w:div w:id="1650553647">
              <w:marLeft w:val="0"/>
              <w:marRight w:val="0"/>
              <w:marTop w:val="0"/>
              <w:marBottom w:val="0"/>
              <w:divBdr>
                <w:top w:val="none" w:sz="0" w:space="0" w:color="auto"/>
                <w:left w:val="none" w:sz="0" w:space="0" w:color="auto"/>
                <w:bottom w:val="none" w:sz="0" w:space="0" w:color="auto"/>
                <w:right w:val="none" w:sz="0" w:space="0" w:color="auto"/>
              </w:divBdr>
            </w:div>
            <w:div w:id="1887907003">
              <w:marLeft w:val="0"/>
              <w:marRight w:val="0"/>
              <w:marTop w:val="0"/>
              <w:marBottom w:val="0"/>
              <w:divBdr>
                <w:top w:val="none" w:sz="0" w:space="0" w:color="auto"/>
                <w:left w:val="none" w:sz="0" w:space="0" w:color="auto"/>
                <w:bottom w:val="none" w:sz="0" w:space="0" w:color="auto"/>
                <w:right w:val="none" w:sz="0" w:space="0" w:color="auto"/>
              </w:divBdr>
            </w:div>
          </w:divsChild>
        </w:div>
        <w:div w:id="393309802">
          <w:marLeft w:val="0"/>
          <w:marRight w:val="0"/>
          <w:marTop w:val="0"/>
          <w:marBottom w:val="0"/>
          <w:divBdr>
            <w:top w:val="none" w:sz="0" w:space="0" w:color="auto"/>
            <w:left w:val="none" w:sz="0" w:space="0" w:color="auto"/>
            <w:bottom w:val="none" w:sz="0" w:space="0" w:color="auto"/>
            <w:right w:val="none" w:sz="0" w:space="0" w:color="auto"/>
          </w:divBdr>
          <w:divsChild>
            <w:div w:id="76220187">
              <w:marLeft w:val="0"/>
              <w:marRight w:val="0"/>
              <w:marTop w:val="0"/>
              <w:marBottom w:val="0"/>
              <w:divBdr>
                <w:top w:val="none" w:sz="0" w:space="0" w:color="auto"/>
                <w:left w:val="none" w:sz="0" w:space="0" w:color="auto"/>
                <w:bottom w:val="none" w:sz="0" w:space="0" w:color="auto"/>
                <w:right w:val="none" w:sz="0" w:space="0" w:color="auto"/>
              </w:divBdr>
            </w:div>
            <w:div w:id="600726634">
              <w:marLeft w:val="0"/>
              <w:marRight w:val="0"/>
              <w:marTop w:val="0"/>
              <w:marBottom w:val="0"/>
              <w:divBdr>
                <w:top w:val="none" w:sz="0" w:space="0" w:color="auto"/>
                <w:left w:val="none" w:sz="0" w:space="0" w:color="auto"/>
                <w:bottom w:val="none" w:sz="0" w:space="0" w:color="auto"/>
                <w:right w:val="none" w:sz="0" w:space="0" w:color="auto"/>
              </w:divBdr>
            </w:div>
            <w:div w:id="900138573">
              <w:marLeft w:val="0"/>
              <w:marRight w:val="0"/>
              <w:marTop w:val="0"/>
              <w:marBottom w:val="0"/>
              <w:divBdr>
                <w:top w:val="none" w:sz="0" w:space="0" w:color="auto"/>
                <w:left w:val="none" w:sz="0" w:space="0" w:color="auto"/>
                <w:bottom w:val="none" w:sz="0" w:space="0" w:color="auto"/>
                <w:right w:val="none" w:sz="0" w:space="0" w:color="auto"/>
              </w:divBdr>
            </w:div>
            <w:div w:id="983700795">
              <w:marLeft w:val="0"/>
              <w:marRight w:val="0"/>
              <w:marTop w:val="0"/>
              <w:marBottom w:val="0"/>
              <w:divBdr>
                <w:top w:val="none" w:sz="0" w:space="0" w:color="auto"/>
                <w:left w:val="none" w:sz="0" w:space="0" w:color="auto"/>
                <w:bottom w:val="none" w:sz="0" w:space="0" w:color="auto"/>
                <w:right w:val="none" w:sz="0" w:space="0" w:color="auto"/>
              </w:divBdr>
            </w:div>
          </w:divsChild>
        </w:div>
        <w:div w:id="490296155">
          <w:marLeft w:val="0"/>
          <w:marRight w:val="0"/>
          <w:marTop w:val="0"/>
          <w:marBottom w:val="0"/>
          <w:divBdr>
            <w:top w:val="none" w:sz="0" w:space="0" w:color="auto"/>
            <w:left w:val="none" w:sz="0" w:space="0" w:color="auto"/>
            <w:bottom w:val="none" w:sz="0" w:space="0" w:color="auto"/>
            <w:right w:val="none" w:sz="0" w:space="0" w:color="auto"/>
          </w:divBdr>
        </w:div>
        <w:div w:id="542595903">
          <w:marLeft w:val="0"/>
          <w:marRight w:val="0"/>
          <w:marTop w:val="0"/>
          <w:marBottom w:val="0"/>
          <w:divBdr>
            <w:top w:val="none" w:sz="0" w:space="0" w:color="auto"/>
            <w:left w:val="none" w:sz="0" w:space="0" w:color="auto"/>
            <w:bottom w:val="none" w:sz="0" w:space="0" w:color="auto"/>
            <w:right w:val="none" w:sz="0" w:space="0" w:color="auto"/>
          </w:divBdr>
          <w:divsChild>
            <w:div w:id="1665253">
              <w:marLeft w:val="0"/>
              <w:marRight w:val="0"/>
              <w:marTop w:val="0"/>
              <w:marBottom w:val="0"/>
              <w:divBdr>
                <w:top w:val="none" w:sz="0" w:space="0" w:color="auto"/>
                <w:left w:val="none" w:sz="0" w:space="0" w:color="auto"/>
                <w:bottom w:val="none" w:sz="0" w:space="0" w:color="auto"/>
                <w:right w:val="none" w:sz="0" w:space="0" w:color="auto"/>
              </w:divBdr>
            </w:div>
            <w:div w:id="656420937">
              <w:marLeft w:val="0"/>
              <w:marRight w:val="0"/>
              <w:marTop w:val="0"/>
              <w:marBottom w:val="0"/>
              <w:divBdr>
                <w:top w:val="none" w:sz="0" w:space="0" w:color="auto"/>
                <w:left w:val="none" w:sz="0" w:space="0" w:color="auto"/>
                <w:bottom w:val="none" w:sz="0" w:space="0" w:color="auto"/>
                <w:right w:val="none" w:sz="0" w:space="0" w:color="auto"/>
              </w:divBdr>
            </w:div>
            <w:div w:id="935945717">
              <w:marLeft w:val="0"/>
              <w:marRight w:val="0"/>
              <w:marTop w:val="0"/>
              <w:marBottom w:val="0"/>
              <w:divBdr>
                <w:top w:val="none" w:sz="0" w:space="0" w:color="auto"/>
                <w:left w:val="none" w:sz="0" w:space="0" w:color="auto"/>
                <w:bottom w:val="none" w:sz="0" w:space="0" w:color="auto"/>
                <w:right w:val="none" w:sz="0" w:space="0" w:color="auto"/>
              </w:divBdr>
            </w:div>
            <w:div w:id="1818496381">
              <w:marLeft w:val="0"/>
              <w:marRight w:val="0"/>
              <w:marTop w:val="0"/>
              <w:marBottom w:val="0"/>
              <w:divBdr>
                <w:top w:val="none" w:sz="0" w:space="0" w:color="auto"/>
                <w:left w:val="none" w:sz="0" w:space="0" w:color="auto"/>
                <w:bottom w:val="none" w:sz="0" w:space="0" w:color="auto"/>
                <w:right w:val="none" w:sz="0" w:space="0" w:color="auto"/>
              </w:divBdr>
            </w:div>
            <w:div w:id="1860467717">
              <w:marLeft w:val="0"/>
              <w:marRight w:val="0"/>
              <w:marTop w:val="0"/>
              <w:marBottom w:val="0"/>
              <w:divBdr>
                <w:top w:val="none" w:sz="0" w:space="0" w:color="auto"/>
                <w:left w:val="none" w:sz="0" w:space="0" w:color="auto"/>
                <w:bottom w:val="none" w:sz="0" w:space="0" w:color="auto"/>
                <w:right w:val="none" w:sz="0" w:space="0" w:color="auto"/>
              </w:divBdr>
            </w:div>
          </w:divsChild>
        </w:div>
        <w:div w:id="597562926">
          <w:marLeft w:val="0"/>
          <w:marRight w:val="0"/>
          <w:marTop w:val="0"/>
          <w:marBottom w:val="0"/>
          <w:divBdr>
            <w:top w:val="none" w:sz="0" w:space="0" w:color="auto"/>
            <w:left w:val="none" w:sz="0" w:space="0" w:color="auto"/>
            <w:bottom w:val="none" w:sz="0" w:space="0" w:color="auto"/>
            <w:right w:val="none" w:sz="0" w:space="0" w:color="auto"/>
          </w:divBdr>
          <w:divsChild>
            <w:div w:id="90470540">
              <w:marLeft w:val="0"/>
              <w:marRight w:val="0"/>
              <w:marTop w:val="0"/>
              <w:marBottom w:val="0"/>
              <w:divBdr>
                <w:top w:val="none" w:sz="0" w:space="0" w:color="auto"/>
                <w:left w:val="none" w:sz="0" w:space="0" w:color="auto"/>
                <w:bottom w:val="none" w:sz="0" w:space="0" w:color="auto"/>
                <w:right w:val="none" w:sz="0" w:space="0" w:color="auto"/>
              </w:divBdr>
            </w:div>
            <w:div w:id="861357933">
              <w:marLeft w:val="0"/>
              <w:marRight w:val="0"/>
              <w:marTop w:val="0"/>
              <w:marBottom w:val="0"/>
              <w:divBdr>
                <w:top w:val="none" w:sz="0" w:space="0" w:color="auto"/>
                <w:left w:val="none" w:sz="0" w:space="0" w:color="auto"/>
                <w:bottom w:val="none" w:sz="0" w:space="0" w:color="auto"/>
                <w:right w:val="none" w:sz="0" w:space="0" w:color="auto"/>
              </w:divBdr>
            </w:div>
            <w:div w:id="1068267416">
              <w:marLeft w:val="0"/>
              <w:marRight w:val="0"/>
              <w:marTop w:val="0"/>
              <w:marBottom w:val="0"/>
              <w:divBdr>
                <w:top w:val="none" w:sz="0" w:space="0" w:color="auto"/>
                <w:left w:val="none" w:sz="0" w:space="0" w:color="auto"/>
                <w:bottom w:val="none" w:sz="0" w:space="0" w:color="auto"/>
                <w:right w:val="none" w:sz="0" w:space="0" w:color="auto"/>
              </w:divBdr>
            </w:div>
            <w:div w:id="1583101376">
              <w:marLeft w:val="0"/>
              <w:marRight w:val="0"/>
              <w:marTop w:val="0"/>
              <w:marBottom w:val="0"/>
              <w:divBdr>
                <w:top w:val="none" w:sz="0" w:space="0" w:color="auto"/>
                <w:left w:val="none" w:sz="0" w:space="0" w:color="auto"/>
                <w:bottom w:val="none" w:sz="0" w:space="0" w:color="auto"/>
                <w:right w:val="none" w:sz="0" w:space="0" w:color="auto"/>
              </w:divBdr>
            </w:div>
          </w:divsChild>
        </w:div>
        <w:div w:id="606930984">
          <w:marLeft w:val="0"/>
          <w:marRight w:val="0"/>
          <w:marTop w:val="0"/>
          <w:marBottom w:val="0"/>
          <w:divBdr>
            <w:top w:val="none" w:sz="0" w:space="0" w:color="auto"/>
            <w:left w:val="none" w:sz="0" w:space="0" w:color="auto"/>
            <w:bottom w:val="none" w:sz="0" w:space="0" w:color="auto"/>
            <w:right w:val="none" w:sz="0" w:space="0" w:color="auto"/>
          </w:divBdr>
          <w:divsChild>
            <w:div w:id="733629573">
              <w:marLeft w:val="0"/>
              <w:marRight w:val="0"/>
              <w:marTop w:val="0"/>
              <w:marBottom w:val="0"/>
              <w:divBdr>
                <w:top w:val="none" w:sz="0" w:space="0" w:color="auto"/>
                <w:left w:val="none" w:sz="0" w:space="0" w:color="auto"/>
                <w:bottom w:val="none" w:sz="0" w:space="0" w:color="auto"/>
                <w:right w:val="none" w:sz="0" w:space="0" w:color="auto"/>
              </w:divBdr>
            </w:div>
            <w:div w:id="884409626">
              <w:marLeft w:val="0"/>
              <w:marRight w:val="0"/>
              <w:marTop w:val="0"/>
              <w:marBottom w:val="0"/>
              <w:divBdr>
                <w:top w:val="none" w:sz="0" w:space="0" w:color="auto"/>
                <w:left w:val="none" w:sz="0" w:space="0" w:color="auto"/>
                <w:bottom w:val="none" w:sz="0" w:space="0" w:color="auto"/>
                <w:right w:val="none" w:sz="0" w:space="0" w:color="auto"/>
              </w:divBdr>
            </w:div>
            <w:div w:id="993724705">
              <w:marLeft w:val="0"/>
              <w:marRight w:val="0"/>
              <w:marTop w:val="0"/>
              <w:marBottom w:val="0"/>
              <w:divBdr>
                <w:top w:val="none" w:sz="0" w:space="0" w:color="auto"/>
                <w:left w:val="none" w:sz="0" w:space="0" w:color="auto"/>
                <w:bottom w:val="none" w:sz="0" w:space="0" w:color="auto"/>
                <w:right w:val="none" w:sz="0" w:space="0" w:color="auto"/>
              </w:divBdr>
            </w:div>
            <w:div w:id="1088234711">
              <w:marLeft w:val="0"/>
              <w:marRight w:val="0"/>
              <w:marTop w:val="0"/>
              <w:marBottom w:val="0"/>
              <w:divBdr>
                <w:top w:val="none" w:sz="0" w:space="0" w:color="auto"/>
                <w:left w:val="none" w:sz="0" w:space="0" w:color="auto"/>
                <w:bottom w:val="none" w:sz="0" w:space="0" w:color="auto"/>
                <w:right w:val="none" w:sz="0" w:space="0" w:color="auto"/>
              </w:divBdr>
            </w:div>
            <w:div w:id="1135100584">
              <w:marLeft w:val="0"/>
              <w:marRight w:val="0"/>
              <w:marTop w:val="0"/>
              <w:marBottom w:val="0"/>
              <w:divBdr>
                <w:top w:val="none" w:sz="0" w:space="0" w:color="auto"/>
                <w:left w:val="none" w:sz="0" w:space="0" w:color="auto"/>
                <w:bottom w:val="none" w:sz="0" w:space="0" w:color="auto"/>
                <w:right w:val="none" w:sz="0" w:space="0" w:color="auto"/>
              </w:divBdr>
            </w:div>
          </w:divsChild>
        </w:div>
        <w:div w:id="645280023">
          <w:marLeft w:val="0"/>
          <w:marRight w:val="0"/>
          <w:marTop w:val="0"/>
          <w:marBottom w:val="0"/>
          <w:divBdr>
            <w:top w:val="none" w:sz="0" w:space="0" w:color="auto"/>
            <w:left w:val="none" w:sz="0" w:space="0" w:color="auto"/>
            <w:bottom w:val="none" w:sz="0" w:space="0" w:color="auto"/>
            <w:right w:val="none" w:sz="0" w:space="0" w:color="auto"/>
          </w:divBdr>
        </w:div>
        <w:div w:id="666129864">
          <w:marLeft w:val="0"/>
          <w:marRight w:val="0"/>
          <w:marTop w:val="0"/>
          <w:marBottom w:val="0"/>
          <w:divBdr>
            <w:top w:val="none" w:sz="0" w:space="0" w:color="auto"/>
            <w:left w:val="none" w:sz="0" w:space="0" w:color="auto"/>
            <w:bottom w:val="none" w:sz="0" w:space="0" w:color="auto"/>
            <w:right w:val="none" w:sz="0" w:space="0" w:color="auto"/>
          </w:divBdr>
          <w:divsChild>
            <w:div w:id="1418362403">
              <w:marLeft w:val="-75"/>
              <w:marRight w:val="0"/>
              <w:marTop w:val="30"/>
              <w:marBottom w:val="30"/>
              <w:divBdr>
                <w:top w:val="none" w:sz="0" w:space="0" w:color="auto"/>
                <w:left w:val="none" w:sz="0" w:space="0" w:color="auto"/>
                <w:bottom w:val="none" w:sz="0" w:space="0" w:color="auto"/>
                <w:right w:val="none" w:sz="0" w:space="0" w:color="auto"/>
              </w:divBdr>
              <w:divsChild>
                <w:div w:id="63382684">
                  <w:marLeft w:val="0"/>
                  <w:marRight w:val="0"/>
                  <w:marTop w:val="0"/>
                  <w:marBottom w:val="0"/>
                  <w:divBdr>
                    <w:top w:val="none" w:sz="0" w:space="0" w:color="auto"/>
                    <w:left w:val="none" w:sz="0" w:space="0" w:color="auto"/>
                    <w:bottom w:val="none" w:sz="0" w:space="0" w:color="auto"/>
                    <w:right w:val="none" w:sz="0" w:space="0" w:color="auto"/>
                  </w:divBdr>
                  <w:divsChild>
                    <w:div w:id="217938903">
                      <w:marLeft w:val="0"/>
                      <w:marRight w:val="0"/>
                      <w:marTop w:val="0"/>
                      <w:marBottom w:val="0"/>
                      <w:divBdr>
                        <w:top w:val="none" w:sz="0" w:space="0" w:color="auto"/>
                        <w:left w:val="none" w:sz="0" w:space="0" w:color="auto"/>
                        <w:bottom w:val="none" w:sz="0" w:space="0" w:color="auto"/>
                        <w:right w:val="none" w:sz="0" w:space="0" w:color="auto"/>
                      </w:divBdr>
                    </w:div>
                  </w:divsChild>
                </w:div>
                <w:div w:id="159083950">
                  <w:marLeft w:val="0"/>
                  <w:marRight w:val="0"/>
                  <w:marTop w:val="0"/>
                  <w:marBottom w:val="0"/>
                  <w:divBdr>
                    <w:top w:val="none" w:sz="0" w:space="0" w:color="auto"/>
                    <w:left w:val="none" w:sz="0" w:space="0" w:color="auto"/>
                    <w:bottom w:val="none" w:sz="0" w:space="0" w:color="auto"/>
                    <w:right w:val="none" w:sz="0" w:space="0" w:color="auto"/>
                  </w:divBdr>
                  <w:divsChild>
                    <w:div w:id="950744612">
                      <w:marLeft w:val="0"/>
                      <w:marRight w:val="0"/>
                      <w:marTop w:val="0"/>
                      <w:marBottom w:val="0"/>
                      <w:divBdr>
                        <w:top w:val="none" w:sz="0" w:space="0" w:color="auto"/>
                        <w:left w:val="none" w:sz="0" w:space="0" w:color="auto"/>
                        <w:bottom w:val="none" w:sz="0" w:space="0" w:color="auto"/>
                        <w:right w:val="none" w:sz="0" w:space="0" w:color="auto"/>
                      </w:divBdr>
                    </w:div>
                  </w:divsChild>
                </w:div>
                <w:div w:id="161747650">
                  <w:marLeft w:val="0"/>
                  <w:marRight w:val="0"/>
                  <w:marTop w:val="0"/>
                  <w:marBottom w:val="0"/>
                  <w:divBdr>
                    <w:top w:val="none" w:sz="0" w:space="0" w:color="auto"/>
                    <w:left w:val="none" w:sz="0" w:space="0" w:color="auto"/>
                    <w:bottom w:val="none" w:sz="0" w:space="0" w:color="auto"/>
                    <w:right w:val="none" w:sz="0" w:space="0" w:color="auto"/>
                  </w:divBdr>
                  <w:divsChild>
                    <w:div w:id="6298009">
                      <w:marLeft w:val="0"/>
                      <w:marRight w:val="0"/>
                      <w:marTop w:val="0"/>
                      <w:marBottom w:val="0"/>
                      <w:divBdr>
                        <w:top w:val="none" w:sz="0" w:space="0" w:color="auto"/>
                        <w:left w:val="none" w:sz="0" w:space="0" w:color="auto"/>
                        <w:bottom w:val="none" w:sz="0" w:space="0" w:color="auto"/>
                        <w:right w:val="none" w:sz="0" w:space="0" w:color="auto"/>
                      </w:divBdr>
                    </w:div>
                  </w:divsChild>
                </w:div>
                <w:div w:id="182593782">
                  <w:marLeft w:val="0"/>
                  <w:marRight w:val="0"/>
                  <w:marTop w:val="0"/>
                  <w:marBottom w:val="0"/>
                  <w:divBdr>
                    <w:top w:val="none" w:sz="0" w:space="0" w:color="auto"/>
                    <w:left w:val="none" w:sz="0" w:space="0" w:color="auto"/>
                    <w:bottom w:val="none" w:sz="0" w:space="0" w:color="auto"/>
                    <w:right w:val="none" w:sz="0" w:space="0" w:color="auto"/>
                  </w:divBdr>
                  <w:divsChild>
                    <w:div w:id="1409108944">
                      <w:marLeft w:val="0"/>
                      <w:marRight w:val="0"/>
                      <w:marTop w:val="0"/>
                      <w:marBottom w:val="0"/>
                      <w:divBdr>
                        <w:top w:val="none" w:sz="0" w:space="0" w:color="auto"/>
                        <w:left w:val="none" w:sz="0" w:space="0" w:color="auto"/>
                        <w:bottom w:val="none" w:sz="0" w:space="0" w:color="auto"/>
                        <w:right w:val="none" w:sz="0" w:space="0" w:color="auto"/>
                      </w:divBdr>
                    </w:div>
                  </w:divsChild>
                </w:div>
                <w:div w:id="207572853">
                  <w:marLeft w:val="0"/>
                  <w:marRight w:val="0"/>
                  <w:marTop w:val="0"/>
                  <w:marBottom w:val="0"/>
                  <w:divBdr>
                    <w:top w:val="none" w:sz="0" w:space="0" w:color="auto"/>
                    <w:left w:val="none" w:sz="0" w:space="0" w:color="auto"/>
                    <w:bottom w:val="none" w:sz="0" w:space="0" w:color="auto"/>
                    <w:right w:val="none" w:sz="0" w:space="0" w:color="auto"/>
                  </w:divBdr>
                  <w:divsChild>
                    <w:div w:id="1993680428">
                      <w:marLeft w:val="0"/>
                      <w:marRight w:val="0"/>
                      <w:marTop w:val="0"/>
                      <w:marBottom w:val="0"/>
                      <w:divBdr>
                        <w:top w:val="none" w:sz="0" w:space="0" w:color="auto"/>
                        <w:left w:val="none" w:sz="0" w:space="0" w:color="auto"/>
                        <w:bottom w:val="none" w:sz="0" w:space="0" w:color="auto"/>
                        <w:right w:val="none" w:sz="0" w:space="0" w:color="auto"/>
                      </w:divBdr>
                    </w:div>
                  </w:divsChild>
                </w:div>
                <w:div w:id="314531122">
                  <w:marLeft w:val="0"/>
                  <w:marRight w:val="0"/>
                  <w:marTop w:val="0"/>
                  <w:marBottom w:val="0"/>
                  <w:divBdr>
                    <w:top w:val="none" w:sz="0" w:space="0" w:color="auto"/>
                    <w:left w:val="none" w:sz="0" w:space="0" w:color="auto"/>
                    <w:bottom w:val="none" w:sz="0" w:space="0" w:color="auto"/>
                    <w:right w:val="none" w:sz="0" w:space="0" w:color="auto"/>
                  </w:divBdr>
                  <w:divsChild>
                    <w:div w:id="1519192956">
                      <w:marLeft w:val="0"/>
                      <w:marRight w:val="0"/>
                      <w:marTop w:val="0"/>
                      <w:marBottom w:val="0"/>
                      <w:divBdr>
                        <w:top w:val="none" w:sz="0" w:space="0" w:color="auto"/>
                        <w:left w:val="none" w:sz="0" w:space="0" w:color="auto"/>
                        <w:bottom w:val="none" w:sz="0" w:space="0" w:color="auto"/>
                        <w:right w:val="none" w:sz="0" w:space="0" w:color="auto"/>
                      </w:divBdr>
                    </w:div>
                  </w:divsChild>
                </w:div>
                <w:div w:id="396443005">
                  <w:marLeft w:val="0"/>
                  <w:marRight w:val="0"/>
                  <w:marTop w:val="0"/>
                  <w:marBottom w:val="0"/>
                  <w:divBdr>
                    <w:top w:val="none" w:sz="0" w:space="0" w:color="auto"/>
                    <w:left w:val="none" w:sz="0" w:space="0" w:color="auto"/>
                    <w:bottom w:val="none" w:sz="0" w:space="0" w:color="auto"/>
                    <w:right w:val="none" w:sz="0" w:space="0" w:color="auto"/>
                  </w:divBdr>
                  <w:divsChild>
                    <w:div w:id="2022537689">
                      <w:marLeft w:val="0"/>
                      <w:marRight w:val="0"/>
                      <w:marTop w:val="0"/>
                      <w:marBottom w:val="0"/>
                      <w:divBdr>
                        <w:top w:val="none" w:sz="0" w:space="0" w:color="auto"/>
                        <w:left w:val="none" w:sz="0" w:space="0" w:color="auto"/>
                        <w:bottom w:val="none" w:sz="0" w:space="0" w:color="auto"/>
                        <w:right w:val="none" w:sz="0" w:space="0" w:color="auto"/>
                      </w:divBdr>
                    </w:div>
                  </w:divsChild>
                </w:div>
                <w:div w:id="574973194">
                  <w:marLeft w:val="0"/>
                  <w:marRight w:val="0"/>
                  <w:marTop w:val="0"/>
                  <w:marBottom w:val="0"/>
                  <w:divBdr>
                    <w:top w:val="none" w:sz="0" w:space="0" w:color="auto"/>
                    <w:left w:val="none" w:sz="0" w:space="0" w:color="auto"/>
                    <w:bottom w:val="none" w:sz="0" w:space="0" w:color="auto"/>
                    <w:right w:val="none" w:sz="0" w:space="0" w:color="auto"/>
                  </w:divBdr>
                  <w:divsChild>
                    <w:div w:id="1823890519">
                      <w:marLeft w:val="0"/>
                      <w:marRight w:val="0"/>
                      <w:marTop w:val="0"/>
                      <w:marBottom w:val="0"/>
                      <w:divBdr>
                        <w:top w:val="none" w:sz="0" w:space="0" w:color="auto"/>
                        <w:left w:val="none" w:sz="0" w:space="0" w:color="auto"/>
                        <w:bottom w:val="none" w:sz="0" w:space="0" w:color="auto"/>
                        <w:right w:val="none" w:sz="0" w:space="0" w:color="auto"/>
                      </w:divBdr>
                    </w:div>
                  </w:divsChild>
                </w:div>
                <w:div w:id="877855479">
                  <w:marLeft w:val="0"/>
                  <w:marRight w:val="0"/>
                  <w:marTop w:val="0"/>
                  <w:marBottom w:val="0"/>
                  <w:divBdr>
                    <w:top w:val="none" w:sz="0" w:space="0" w:color="auto"/>
                    <w:left w:val="none" w:sz="0" w:space="0" w:color="auto"/>
                    <w:bottom w:val="none" w:sz="0" w:space="0" w:color="auto"/>
                    <w:right w:val="none" w:sz="0" w:space="0" w:color="auto"/>
                  </w:divBdr>
                  <w:divsChild>
                    <w:div w:id="1577783238">
                      <w:marLeft w:val="0"/>
                      <w:marRight w:val="0"/>
                      <w:marTop w:val="0"/>
                      <w:marBottom w:val="0"/>
                      <w:divBdr>
                        <w:top w:val="none" w:sz="0" w:space="0" w:color="auto"/>
                        <w:left w:val="none" w:sz="0" w:space="0" w:color="auto"/>
                        <w:bottom w:val="none" w:sz="0" w:space="0" w:color="auto"/>
                        <w:right w:val="none" w:sz="0" w:space="0" w:color="auto"/>
                      </w:divBdr>
                    </w:div>
                  </w:divsChild>
                </w:div>
                <w:div w:id="1048915397">
                  <w:marLeft w:val="0"/>
                  <w:marRight w:val="0"/>
                  <w:marTop w:val="0"/>
                  <w:marBottom w:val="0"/>
                  <w:divBdr>
                    <w:top w:val="none" w:sz="0" w:space="0" w:color="auto"/>
                    <w:left w:val="none" w:sz="0" w:space="0" w:color="auto"/>
                    <w:bottom w:val="none" w:sz="0" w:space="0" w:color="auto"/>
                    <w:right w:val="none" w:sz="0" w:space="0" w:color="auto"/>
                  </w:divBdr>
                  <w:divsChild>
                    <w:div w:id="1860199789">
                      <w:marLeft w:val="0"/>
                      <w:marRight w:val="0"/>
                      <w:marTop w:val="0"/>
                      <w:marBottom w:val="0"/>
                      <w:divBdr>
                        <w:top w:val="none" w:sz="0" w:space="0" w:color="auto"/>
                        <w:left w:val="none" w:sz="0" w:space="0" w:color="auto"/>
                        <w:bottom w:val="none" w:sz="0" w:space="0" w:color="auto"/>
                        <w:right w:val="none" w:sz="0" w:space="0" w:color="auto"/>
                      </w:divBdr>
                    </w:div>
                  </w:divsChild>
                </w:div>
                <w:div w:id="1139106087">
                  <w:marLeft w:val="0"/>
                  <w:marRight w:val="0"/>
                  <w:marTop w:val="0"/>
                  <w:marBottom w:val="0"/>
                  <w:divBdr>
                    <w:top w:val="none" w:sz="0" w:space="0" w:color="auto"/>
                    <w:left w:val="none" w:sz="0" w:space="0" w:color="auto"/>
                    <w:bottom w:val="none" w:sz="0" w:space="0" w:color="auto"/>
                    <w:right w:val="none" w:sz="0" w:space="0" w:color="auto"/>
                  </w:divBdr>
                  <w:divsChild>
                    <w:div w:id="2032949066">
                      <w:marLeft w:val="0"/>
                      <w:marRight w:val="0"/>
                      <w:marTop w:val="0"/>
                      <w:marBottom w:val="0"/>
                      <w:divBdr>
                        <w:top w:val="none" w:sz="0" w:space="0" w:color="auto"/>
                        <w:left w:val="none" w:sz="0" w:space="0" w:color="auto"/>
                        <w:bottom w:val="none" w:sz="0" w:space="0" w:color="auto"/>
                        <w:right w:val="none" w:sz="0" w:space="0" w:color="auto"/>
                      </w:divBdr>
                    </w:div>
                  </w:divsChild>
                </w:div>
                <w:div w:id="1142455853">
                  <w:marLeft w:val="0"/>
                  <w:marRight w:val="0"/>
                  <w:marTop w:val="0"/>
                  <w:marBottom w:val="0"/>
                  <w:divBdr>
                    <w:top w:val="none" w:sz="0" w:space="0" w:color="auto"/>
                    <w:left w:val="none" w:sz="0" w:space="0" w:color="auto"/>
                    <w:bottom w:val="none" w:sz="0" w:space="0" w:color="auto"/>
                    <w:right w:val="none" w:sz="0" w:space="0" w:color="auto"/>
                  </w:divBdr>
                  <w:divsChild>
                    <w:div w:id="866023738">
                      <w:marLeft w:val="0"/>
                      <w:marRight w:val="0"/>
                      <w:marTop w:val="0"/>
                      <w:marBottom w:val="0"/>
                      <w:divBdr>
                        <w:top w:val="none" w:sz="0" w:space="0" w:color="auto"/>
                        <w:left w:val="none" w:sz="0" w:space="0" w:color="auto"/>
                        <w:bottom w:val="none" w:sz="0" w:space="0" w:color="auto"/>
                        <w:right w:val="none" w:sz="0" w:space="0" w:color="auto"/>
                      </w:divBdr>
                    </w:div>
                  </w:divsChild>
                </w:div>
                <w:div w:id="1152991834">
                  <w:marLeft w:val="0"/>
                  <w:marRight w:val="0"/>
                  <w:marTop w:val="0"/>
                  <w:marBottom w:val="0"/>
                  <w:divBdr>
                    <w:top w:val="none" w:sz="0" w:space="0" w:color="auto"/>
                    <w:left w:val="none" w:sz="0" w:space="0" w:color="auto"/>
                    <w:bottom w:val="none" w:sz="0" w:space="0" w:color="auto"/>
                    <w:right w:val="none" w:sz="0" w:space="0" w:color="auto"/>
                  </w:divBdr>
                  <w:divsChild>
                    <w:div w:id="1088309221">
                      <w:marLeft w:val="0"/>
                      <w:marRight w:val="0"/>
                      <w:marTop w:val="0"/>
                      <w:marBottom w:val="0"/>
                      <w:divBdr>
                        <w:top w:val="none" w:sz="0" w:space="0" w:color="auto"/>
                        <w:left w:val="none" w:sz="0" w:space="0" w:color="auto"/>
                        <w:bottom w:val="none" w:sz="0" w:space="0" w:color="auto"/>
                        <w:right w:val="none" w:sz="0" w:space="0" w:color="auto"/>
                      </w:divBdr>
                    </w:div>
                  </w:divsChild>
                </w:div>
                <w:div w:id="1330408070">
                  <w:marLeft w:val="0"/>
                  <w:marRight w:val="0"/>
                  <w:marTop w:val="0"/>
                  <w:marBottom w:val="0"/>
                  <w:divBdr>
                    <w:top w:val="none" w:sz="0" w:space="0" w:color="auto"/>
                    <w:left w:val="none" w:sz="0" w:space="0" w:color="auto"/>
                    <w:bottom w:val="none" w:sz="0" w:space="0" w:color="auto"/>
                    <w:right w:val="none" w:sz="0" w:space="0" w:color="auto"/>
                  </w:divBdr>
                  <w:divsChild>
                    <w:div w:id="939680967">
                      <w:marLeft w:val="0"/>
                      <w:marRight w:val="0"/>
                      <w:marTop w:val="0"/>
                      <w:marBottom w:val="0"/>
                      <w:divBdr>
                        <w:top w:val="none" w:sz="0" w:space="0" w:color="auto"/>
                        <w:left w:val="none" w:sz="0" w:space="0" w:color="auto"/>
                        <w:bottom w:val="none" w:sz="0" w:space="0" w:color="auto"/>
                        <w:right w:val="none" w:sz="0" w:space="0" w:color="auto"/>
                      </w:divBdr>
                    </w:div>
                  </w:divsChild>
                </w:div>
                <w:div w:id="1345742153">
                  <w:marLeft w:val="0"/>
                  <w:marRight w:val="0"/>
                  <w:marTop w:val="0"/>
                  <w:marBottom w:val="0"/>
                  <w:divBdr>
                    <w:top w:val="none" w:sz="0" w:space="0" w:color="auto"/>
                    <w:left w:val="none" w:sz="0" w:space="0" w:color="auto"/>
                    <w:bottom w:val="none" w:sz="0" w:space="0" w:color="auto"/>
                    <w:right w:val="none" w:sz="0" w:space="0" w:color="auto"/>
                  </w:divBdr>
                  <w:divsChild>
                    <w:div w:id="1474979032">
                      <w:marLeft w:val="0"/>
                      <w:marRight w:val="0"/>
                      <w:marTop w:val="0"/>
                      <w:marBottom w:val="0"/>
                      <w:divBdr>
                        <w:top w:val="none" w:sz="0" w:space="0" w:color="auto"/>
                        <w:left w:val="none" w:sz="0" w:space="0" w:color="auto"/>
                        <w:bottom w:val="none" w:sz="0" w:space="0" w:color="auto"/>
                        <w:right w:val="none" w:sz="0" w:space="0" w:color="auto"/>
                      </w:divBdr>
                    </w:div>
                  </w:divsChild>
                </w:div>
                <w:div w:id="1370640743">
                  <w:marLeft w:val="0"/>
                  <w:marRight w:val="0"/>
                  <w:marTop w:val="0"/>
                  <w:marBottom w:val="0"/>
                  <w:divBdr>
                    <w:top w:val="none" w:sz="0" w:space="0" w:color="auto"/>
                    <w:left w:val="none" w:sz="0" w:space="0" w:color="auto"/>
                    <w:bottom w:val="none" w:sz="0" w:space="0" w:color="auto"/>
                    <w:right w:val="none" w:sz="0" w:space="0" w:color="auto"/>
                  </w:divBdr>
                  <w:divsChild>
                    <w:div w:id="1786383379">
                      <w:marLeft w:val="0"/>
                      <w:marRight w:val="0"/>
                      <w:marTop w:val="0"/>
                      <w:marBottom w:val="0"/>
                      <w:divBdr>
                        <w:top w:val="none" w:sz="0" w:space="0" w:color="auto"/>
                        <w:left w:val="none" w:sz="0" w:space="0" w:color="auto"/>
                        <w:bottom w:val="none" w:sz="0" w:space="0" w:color="auto"/>
                        <w:right w:val="none" w:sz="0" w:space="0" w:color="auto"/>
                      </w:divBdr>
                    </w:div>
                  </w:divsChild>
                </w:div>
                <w:div w:id="1381898136">
                  <w:marLeft w:val="0"/>
                  <w:marRight w:val="0"/>
                  <w:marTop w:val="0"/>
                  <w:marBottom w:val="0"/>
                  <w:divBdr>
                    <w:top w:val="none" w:sz="0" w:space="0" w:color="auto"/>
                    <w:left w:val="none" w:sz="0" w:space="0" w:color="auto"/>
                    <w:bottom w:val="none" w:sz="0" w:space="0" w:color="auto"/>
                    <w:right w:val="none" w:sz="0" w:space="0" w:color="auto"/>
                  </w:divBdr>
                  <w:divsChild>
                    <w:div w:id="1077089494">
                      <w:marLeft w:val="0"/>
                      <w:marRight w:val="0"/>
                      <w:marTop w:val="0"/>
                      <w:marBottom w:val="0"/>
                      <w:divBdr>
                        <w:top w:val="none" w:sz="0" w:space="0" w:color="auto"/>
                        <w:left w:val="none" w:sz="0" w:space="0" w:color="auto"/>
                        <w:bottom w:val="none" w:sz="0" w:space="0" w:color="auto"/>
                        <w:right w:val="none" w:sz="0" w:space="0" w:color="auto"/>
                      </w:divBdr>
                    </w:div>
                  </w:divsChild>
                </w:div>
                <w:div w:id="1520705559">
                  <w:marLeft w:val="0"/>
                  <w:marRight w:val="0"/>
                  <w:marTop w:val="0"/>
                  <w:marBottom w:val="0"/>
                  <w:divBdr>
                    <w:top w:val="none" w:sz="0" w:space="0" w:color="auto"/>
                    <w:left w:val="none" w:sz="0" w:space="0" w:color="auto"/>
                    <w:bottom w:val="none" w:sz="0" w:space="0" w:color="auto"/>
                    <w:right w:val="none" w:sz="0" w:space="0" w:color="auto"/>
                  </w:divBdr>
                  <w:divsChild>
                    <w:div w:id="1466896758">
                      <w:marLeft w:val="0"/>
                      <w:marRight w:val="0"/>
                      <w:marTop w:val="0"/>
                      <w:marBottom w:val="0"/>
                      <w:divBdr>
                        <w:top w:val="none" w:sz="0" w:space="0" w:color="auto"/>
                        <w:left w:val="none" w:sz="0" w:space="0" w:color="auto"/>
                        <w:bottom w:val="none" w:sz="0" w:space="0" w:color="auto"/>
                        <w:right w:val="none" w:sz="0" w:space="0" w:color="auto"/>
                      </w:divBdr>
                    </w:div>
                  </w:divsChild>
                </w:div>
                <w:div w:id="1539970753">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
                  </w:divsChild>
                </w:div>
                <w:div w:id="1611549495">
                  <w:marLeft w:val="0"/>
                  <w:marRight w:val="0"/>
                  <w:marTop w:val="0"/>
                  <w:marBottom w:val="0"/>
                  <w:divBdr>
                    <w:top w:val="none" w:sz="0" w:space="0" w:color="auto"/>
                    <w:left w:val="none" w:sz="0" w:space="0" w:color="auto"/>
                    <w:bottom w:val="none" w:sz="0" w:space="0" w:color="auto"/>
                    <w:right w:val="none" w:sz="0" w:space="0" w:color="auto"/>
                  </w:divBdr>
                  <w:divsChild>
                    <w:div w:id="794832838">
                      <w:marLeft w:val="0"/>
                      <w:marRight w:val="0"/>
                      <w:marTop w:val="0"/>
                      <w:marBottom w:val="0"/>
                      <w:divBdr>
                        <w:top w:val="none" w:sz="0" w:space="0" w:color="auto"/>
                        <w:left w:val="none" w:sz="0" w:space="0" w:color="auto"/>
                        <w:bottom w:val="none" w:sz="0" w:space="0" w:color="auto"/>
                        <w:right w:val="none" w:sz="0" w:space="0" w:color="auto"/>
                      </w:divBdr>
                    </w:div>
                  </w:divsChild>
                </w:div>
                <w:div w:id="1707287731">
                  <w:marLeft w:val="0"/>
                  <w:marRight w:val="0"/>
                  <w:marTop w:val="0"/>
                  <w:marBottom w:val="0"/>
                  <w:divBdr>
                    <w:top w:val="none" w:sz="0" w:space="0" w:color="auto"/>
                    <w:left w:val="none" w:sz="0" w:space="0" w:color="auto"/>
                    <w:bottom w:val="none" w:sz="0" w:space="0" w:color="auto"/>
                    <w:right w:val="none" w:sz="0" w:space="0" w:color="auto"/>
                  </w:divBdr>
                  <w:divsChild>
                    <w:div w:id="94518319">
                      <w:marLeft w:val="0"/>
                      <w:marRight w:val="0"/>
                      <w:marTop w:val="0"/>
                      <w:marBottom w:val="0"/>
                      <w:divBdr>
                        <w:top w:val="none" w:sz="0" w:space="0" w:color="auto"/>
                        <w:left w:val="none" w:sz="0" w:space="0" w:color="auto"/>
                        <w:bottom w:val="none" w:sz="0" w:space="0" w:color="auto"/>
                        <w:right w:val="none" w:sz="0" w:space="0" w:color="auto"/>
                      </w:divBdr>
                    </w:div>
                  </w:divsChild>
                </w:div>
                <w:div w:id="1927104779">
                  <w:marLeft w:val="0"/>
                  <w:marRight w:val="0"/>
                  <w:marTop w:val="0"/>
                  <w:marBottom w:val="0"/>
                  <w:divBdr>
                    <w:top w:val="none" w:sz="0" w:space="0" w:color="auto"/>
                    <w:left w:val="none" w:sz="0" w:space="0" w:color="auto"/>
                    <w:bottom w:val="none" w:sz="0" w:space="0" w:color="auto"/>
                    <w:right w:val="none" w:sz="0" w:space="0" w:color="auto"/>
                  </w:divBdr>
                  <w:divsChild>
                    <w:div w:id="182327577">
                      <w:marLeft w:val="0"/>
                      <w:marRight w:val="0"/>
                      <w:marTop w:val="0"/>
                      <w:marBottom w:val="0"/>
                      <w:divBdr>
                        <w:top w:val="none" w:sz="0" w:space="0" w:color="auto"/>
                        <w:left w:val="none" w:sz="0" w:space="0" w:color="auto"/>
                        <w:bottom w:val="none" w:sz="0" w:space="0" w:color="auto"/>
                        <w:right w:val="none" w:sz="0" w:space="0" w:color="auto"/>
                      </w:divBdr>
                    </w:div>
                  </w:divsChild>
                </w:div>
                <w:div w:id="1984694379">
                  <w:marLeft w:val="0"/>
                  <w:marRight w:val="0"/>
                  <w:marTop w:val="0"/>
                  <w:marBottom w:val="0"/>
                  <w:divBdr>
                    <w:top w:val="none" w:sz="0" w:space="0" w:color="auto"/>
                    <w:left w:val="none" w:sz="0" w:space="0" w:color="auto"/>
                    <w:bottom w:val="none" w:sz="0" w:space="0" w:color="auto"/>
                    <w:right w:val="none" w:sz="0" w:space="0" w:color="auto"/>
                  </w:divBdr>
                  <w:divsChild>
                    <w:div w:id="1807696807">
                      <w:marLeft w:val="0"/>
                      <w:marRight w:val="0"/>
                      <w:marTop w:val="0"/>
                      <w:marBottom w:val="0"/>
                      <w:divBdr>
                        <w:top w:val="none" w:sz="0" w:space="0" w:color="auto"/>
                        <w:left w:val="none" w:sz="0" w:space="0" w:color="auto"/>
                        <w:bottom w:val="none" w:sz="0" w:space="0" w:color="auto"/>
                        <w:right w:val="none" w:sz="0" w:space="0" w:color="auto"/>
                      </w:divBdr>
                    </w:div>
                  </w:divsChild>
                </w:div>
                <w:div w:id="2133018609">
                  <w:marLeft w:val="0"/>
                  <w:marRight w:val="0"/>
                  <w:marTop w:val="0"/>
                  <w:marBottom w:val="0"/>
                  <w:divBdr>
                    <w:top w:val="none" w:sz="0" w:space="0" w:color="auto"/>
                    <w:left w:val="none" w:sz="0" w:space="0" w:color="auto"/>
                    <w:bottom w:val="none" w:sz="0" w:space="0" w:color="auto"/>
                    <w:right w:val="none" w:sz="0" w:space="0" w:color="auto"/>
                  </w:divBdr>
                  <w:divsChild>
                    <w:div w:id="3517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6120">
          <w:marLeft w:val="0"/>
          <w:marRight w:val="0"/>
          <w:marTop w:val="0"/>
          <w:marBottom w:val="0"/>
          <w:divBdr>
            <w:top w:val="none" w:sz="0" w:space="0" w:color="auto"/>
            <w:left w:val="none" w:sz="0" w:space="0" w:color="auto"/>
            <w:bottom w:val="none" w:sz="0" w:space="0" w:color="auto"/>
            <w:right w:val="none" w:sz="0" w:space="0" w:color="auto"/>
          </w:divBdr>
          <w:divsChild>
            <w:div w:id="1965579595">
              <w:marLeft w:val="-75"/>
              <w:marRight w:val="0"/>
              <w:marTop w:val="30"/>
              <w:marBottom w:val="30"/>
              <w:divBdr>
                <w:top w:val="none" w:sz="0" w:space="0" w:color="auto"/>
                <w:left w:val="none" w:sz="0" w:space="0" w:color="auto"/>
                <w:bottom w:val="none" w:sz="0" w:space="0" w:color="auto"/>
                <w:right w:val="none" w:sz="0" w:space="0" w:color="auto"/>
              </w:divBdr>
              <w:divsChild>
                <w:div w:id="192423237">
                  <w:marLeft w:val="0"/>
                  <w:marRight w:val="0"/>
                  <w:marTop w:val="0"/>
                  <w:marBottom w:val="0"/>
                  <w:divBdr>
                    <w:top w:val="none" w:sz="0" w:space="0" w:color="auto"/>
                    <w:left w:val="none" w:sz="0" w:space="0" w:color="auto"/>
                    <w:bottom w:val="none" w:sz="0" w:space="0" w:color="auto"/>
                    <w:right w:val="none" w:sz="0" w:space="0" w:color="auto"/>
                  </w:divBdr>
                  <w:divsChild>
                    <w:div w:id="1554198337">
                      <w:marLeft w:val="0"/>
                      <w:marRight w:val="0"/>
                      <w:marTop w:val="0"/>
                      <w:marBottom w:val="0"/>
                      <w:divBdr>
                        <w:top w:val="none" w:sz="0" w:space="0" w:color="auto"/>
                        <w:left w:val="none" w:sz="0" w:space="0" w:color="auto"/>
                        <w:bottom w:val="none" w:sz="0" w:space="0" w:color="auto"/>
                        <w:right w:val="none" w:sz="0" w:space="0" w:color="auto"/>
                      </w:divBdr>
                    </w:div>
                    <w:div w:id="1858033490">
                      <w:marLeft w:val="0"/>
                      <w:marRight w:val="0"/>
                      <w:marTop w:val="0"/>
                      <w:marBottom w:val="0"/>
                      <w:divBdr>
                        <w:top w:val="none" w:sz="0" w:space="0" w:color="auto"/>
                        <w:left w:val="none" w:sz="0" w:space="0" w:color="auto"/>
                        <w:bottom w:val="none" w:sz="0" w:space="0" w:color="auto"/>
                        <w:right w:val="none" w:sz="0" w:space="0" w:color="auto"/>
                      </w:divBdr>
                    </w:div>
                  </w:divsChild>
                </w:div>
                <w:div w:id="241180858">
                  <w:marLeft w:val="0"/>
                  <w:marRight w:val="0"/>
                  <w:marTop w:val="0"/>
                  <w:marBottom w:val="0"/>
                  <w:divBdr>
                    <w:top w:val="none" w:sz="0" w:space="0" w:color="auto"/>
                    <w:left w:val="none" w:sz="0" w:space="0" w:color="auto"/>
                    <w:bottom w:val="none" w:sz="0" w:space="0" w:color="auto"/>
                    <w:right w:val="none" w:sz="0" w:space="0" w:color="auto"/>
                  </w:divBdr>
                  <w:divsChild>
                    <w:div w:id="1419518618">
                      <w:marLeft w:val="0"/>
                      <w:marRight w:val="0"/>
                      <w:marTop w:val="0"/>
                      <w:marBottom w:val="0"/>
                      <w:divBdr>
                        <w:top w:val="none" w:sz="0" w:space="0" w:color="auto"/>
                        <w:left w:val="none" w:sz="0" w:space="0" w:color="auto"/>
                        <w:bottom w:val="none" w:sz="0" w:space="0" w:color="auto"/>
                        <w:right w:val="none" w:sz="0" w:space="0" w:color="auto"/>
                      </w:divBdr>
                    </w:div>
                  </w:divsChild>
                </w:div>
                <w:div w:id="532380354">
                  <w:marLeft w:val="0"/>
                  <w:marRight w:val="0"/>
                  <w:marTop w:val="0"/>
                  <w:marBottom w:val="0"/>
                  <w:divBdr>
                    <w:top w:val="none" w:sz="0" w:space="0" w:color="auto"/>
                    <w:left w:val="none" w:sz="0" w:space="0" w:color="auto"/>
                    <w:bottom w:val="none" w:sz="0" w:space="0" w:color="auto"/>
                    <w:right w:val="none" w:sz="0" w:space="0" w:color="auto"/>
                  </w:divBdr>
                  <w:divsChild>
                    <w:div w:id="427699714">
                      <w:marLeft w:val="0"/>
                      <w:marRight w:val="0"/>
                      <w:marTop w:val="0"/>
                      <w:marBottom w:val="0"/>
                      <w:divBdr>
                        <w:top w:val="none" w:sz="0" w:space="0" w:color="auto"/>
                        <w:left w:val="none" w:sz="0" w:space="0" w:color="auto"/>
                        <w:bottom w:val="none" w:sz="0" w:space="0" w:color="auto"/>
                        <w:right w:val="none" w:sz="0" w:space="0" w:color="auto"/>
                      </w:divBdr>
                    </w:div>
                  </w:divsChild>
                </w:div>
                <w:div w:id="565262165">
                  <w:marLeft w:val="0"/>
                  <w:marRight w:val="0"/>
                  <w:marTop w:val="0"/>
                  <w:marBottom w:val="0"/>
                  <w:divBdr>
                    <w:top w:val="none" w:sz="0" w:space="0" w:color="auto"/>
                    <w:left w:val="none" w:sz="0" w:space="0" w:color="auto"/>
                    <w:bottom w:val="none" w:sz="0" w:space="0" w:color="auto"/>
                    <w:right w:val="none" w:sz="0" w:space="0" w:color="auto"/>
                  </w:divBdr>
                  <w:divsChild>
                    <w:div w:id="247082696">
                      <w:marLeft w:val="0"/>
                      <w:marRight w:val="0"/>
                      <w:marTop w:val="0"/>
                      <w:marBottom w:val="0"/>
                      <w:divBdr>
                        <w:top w:val="none" w:sz="0" w:space="0" w:color="auto"/>
                        <w:left w:val="none" w:sz="0" w:space="0" w:color="auto"/>
                        <w:bottom w:val="none" w:sz="0" w:space="0" w:color="auto"/>
                        <w:right w:val="none" w:sz="0" w:space="0" w:color="auto"/>
                      </w:divBdr>
                    </w:div>
                    <w:div w:id="1219516159">
                      <w:marLeft w:val="0"/>
                      <w:marRight w:val="0"/>
                      <w:marTop w:val="0"/>
                      <w:marBottom w:val="0"/>
                      <w:divBdr>
                        <w:top w:val="none" w:sz="0" w:space="0" w:color="auto"/>
                        <w:left w:val="none" w:sz="0" w:space="0" w:color="auto"/>
                        <w:bottom w:val="none" w:sz="0" w:space="0" w:color="auto"/>
                        <w:right w:val="none" w:sz="0" w:space="0" w:color="auto"/>
                      </w:divBdr>
                    </w:div>
                  </w:divsChild>
                </w:div>
                <w:div w:id="862287150">
                  <w:marLeft w:val="0"/>
                  <w:marRight w:val="0"/>
                  <w:marTop w:val="0"/>
                  <w:marBottom w:val="0"/>
                  <w:divBdr>
                    <w:top w:val="none" w:sz="0" w:space="0" w:color="auto"/>
                    <w:left w:val="none" w:sz="0" w:space="0" w:color="auto"/>
                    <w:bottom w:val="none" w:sz="0" w:space="0" w:color="auto"/>
                    <w:right w:val="none" w:sz="0" w:space="0" w:color="auto"/>
                  </w:divBdr>
                  <w:divsChild>
                    <w:div w:id="2118520798">
                      <w:marLeft w:val="0"/>
                      <w:marRight w:val="0"/>
                      <w:marTop w:val="0"/>
                      <w:marBottom w:val="0"/>
                      <w:divBdr>
                        <w:top w:val="none" w:sz="0" w:space="0" w:color="auto"/>
                        <w:left w:val="none" w:sz="0" w:space="0" w:color="auto"/>
                        <w:bottom w:val="none" w:sz="0" w:space="0" w:color="auto"/>
                        <w:right w:val="none" w:sz="0" w:space="0" w:color="auto"/>
                      </w:divBdr>
                    </w:div>
                  </w:divsChild>
                </w:div>
                <w:div w:id="973412622">
                  <w:marLeft w:val="0"/>
                  <w:marRight w:val="0"/>
                  <w:marTop w:val="0"/>
                  <w:marBottom w:val="0"/>
                  <w:divBdr>
                    <w:top w:val="none" w:sz="0" w:space="0" w:color="auto"/>
                    <w:left w:val="none" w:sz="0" w:space="0" w:color="auto"/>
                    <w:bottom w:val="none" w:sz="0" w:space="0" w:color="auto"/>
                    <w:right w:val="none" w:sz="0" w:space="0" w:color="auto"/>
                  </w:divBdr>
                  <w:divsChild>
                    <w:div w:id="339696941">
                      <w:marLeft w:val="0"/>
                      <w:marRight w:val="0"/>
                      <w:marTop w:val="0"/>
                      <w:marBottom w:val="0"/>
                      <w:divBdr>
                        <w:top w:val="none" w:sz="0" w:space="0" w:color="auto"/>
                        <w:left w:val="none" w:sz="0" w:space="0" w:color="auto"/>
                        <w:bottom w:val="none" w:sz="0" w:space="0" w:color="auto"/>
                        <w:right w:val="none" w:sz="0" w:space="0" w:color="auto"/>
                      </w:divBdr>
                    </w:div>
                  </w:divsChild>
                </w:div>
                <w:div w:id="1168986926">
                  <w:marLeft w:val="0"/>
                  <w:marRight w:val="0"/>
                  <w:marTop w:val="0"/>
                  <w:marBottom w:val="0"/>
                  <w:divBdr>
                    <w:top w:val="none" w:sz="0" w:space="0" w:color="auto"/>
                    <w:left w:val="none" w:sz="0" w:space="0" w:color="auto"/>
                    <w:bottom w:val="none" w:sz="0" w:space="0" w:color="auto"/>
                    <w:right w:val="none" w:sz="0" w:space="0" w:color="auto"/>
                  </w:divBdr>
                  <w:divsChild>
                    <w:div w:id="580409572">
                      <w:marLeft w:val="0"/>
                      <w:marRight w:val="0"/>
                      <w:marTop w:val="0"/>
                      <w:marBottom w:val="0"/>
                      <w:divBdr>
                        <w:top w:val="none" w:sz="0" w:space="0" w:color="auto"/>
                        <w:left w:val="none" w:sz="0" w:space="0" w:color="auto"/>
                        <w:bottom w:val="none" w:sz="0" w:space="0" w:color="auto"/>
                        <w:right w:val="none" w:sz="0" w:space="0" w:color="auto"/>
                      </w:divBdr>
                    </w:div>
                    <w:div w:id="1037589033">
                      <w:marLeft w:val="0"/>
                      <w:marRight w:val="0"/>
                      <w:marTop w:val="0"/>
                      <w:marBottom w:val="0"/>
                      <w:divBdr>
                        <w:top w:val="none" w:sz="0" w:space="0" w:color="auto"/>
                        <w:left w:val="none" w:sz="0" w:space="0" w:color="auto"/>
                        <w:bottom w:val="none" w:sz="0" w:space="0" w:color="auto"/>
                        <w:right w:val="none" w:sz="0" w:space="0" w:color="auto"/>
                      </w:divBdr>
                    </w:div>
                  </w:divsChild>
                </w:div>
                <w:div w:id="1177311723">
                  <w:marLeft w:val="0"/>
                  <w:marRight w:val="0"/>
                  <w:marTop w:val="0"/>
                  <w:marBottom w:val="0"/>
                  <w:divBdr>
                    <w:top w:val="none" w:sz="0" w:space="0" w:color="auto"/>
                    <w:left w:val="none" w:sz="0" w:space="0" w:color="auto"/>
                    <w:bottom w:val="none" w:sz="0" w:space="0" w:color="auto"/>
                    <w:right w:val="none" w:sz="0" w:space="0" w:color="auto"/>
                  </w:divBdr>
                  <w:divsChild>
                    <w:div w:id="1342973346">
                      <w:marLeft w:val="0"/>
                      <w:marRight w:val="0"/>
                      <w:marTop w:val="0"/>
                      <w:marBottom w:val="0"/>
                      <w:divBdr>
                        <w:top w:val="none" w:sz="0" w:space="0" w:color="auto"/>
                        <w:left w:val="none" w:sz="0" w:space="0" w:color="auto"/>
                        <w:bottom w:val="none" w:sz="0" w:space="0" w:color="auto"/>
                        <w:right w:val="none" w:sz="0" w:space="0" w:color="auto"/>
                      </w:divBdr>
                    </w:div>
                  </w:divsChild>
                </w:div>
                <w:div w:id="1307783679">
                  <w:marLeft w:val="0"/>
                  <w:marRight w:val="0"/>
                  <w:marTop w:val="0"/>
                  <w:marBottom w:val="0"/>
                  <w:divBdr>
                    <w:top w:val="none" w:sz="0" w:space="0" w:color="auto"/>
                    <w:left w:val="none" w:sz="0" w:space="0" w:color="auto"/>
                    <w:bottom w:val="none" w:sz="0" w:space="0" w:color="auto"/>
                    <w:right w:val="none" w:sz="0" w:space="0" w:color="auto"/>
                  </w:divBdr>
                  <w:divsChild>
                    <w:div w:id="1446385597">
                      <w:marLeft w:val="0"/>
                      <w:marRight w:val="0"/>
                      <w:marTop w:val="0"/>
                      <w:marBottom w:val="0"/>
                      <w:divBdr>
                        <w:top w:val="none" w:sz="0" w:space="0" w:color="auto"/>
                        <w:left w:val="none" w:sz="0" w:space="0" w:color="auto"/>
                        <w:bottom w:val="none" w:sz="0" w:space="0" w:color="auto"/>
                        <w:right w:val="none" w:sz="0" w:space="0" w:color="auto"/>
                      </w:divBdr>
                    </w:div>
                  </w:divsChild>
                </w:div>
                <w:div w:id="1398817931">
                  <w:marLeft w:val="0"/>
                  <w:marRight w:val="0"/>
                  <w:marTop w:val="0"/>
                  <w:marBottom w:val="0"/>
                  <w:divBdr>
                    <w:top w:val="none" w:sz="0" w:space="0" w:color="auto"/>
                    <w:left w:val="none" w:sz="0" w:space="0" w:color="auto"/>
                    <w:bottom w:val="none" w:sz="0" w:space="0" w:color="auto"/>
                    <w:right w:val="none" w:sz="0" w:space="0" w:color="auto"/>
                  </w:divBdr>
                  <w:divsChild>
                    <w:div w:id="1291014252">
                      <w:marLeft w:val="0"/>
                      <w:marRight w:val="0"/>
                      <w:marTop w:val="0"/>
                      <w:marBottom w:val="0"/>
                      <w:divBdr>
                        <w:top w:val="none" w:sz="0" w:space="0" w:color="auto"/>
                        <w:left w:val="none" w:sz="0" w:space="0" w:color="auto"/>
                        <w:bottom w:val="none" w:sz="0" w:space="0" w:color="auto"/>
                        <w:right w:val="none" w:sz="0" w:space="0" w:color="auto"/>
                      </w:divBdr>
                    </w:div>
                    <w:div w:id="1931767554">
                      <w:marLeft w:val="0"/>
                      <w:marRight w:val="0"/>
                      <w:marTop w:val="0"/>
                      <w:marBottom w:val="0"/>
                      <w:divBdr>
                        <w:top w:val="none" w:sz="0" w:space="0" w:color="auto"/>
                        <w:left w:val="none" w:sz="0" w:space="0" w:color="auto"/>
                        <w:bottom w:val="none" w:sz="0" w:space="0" w:color="auto"/>
                        <w:right w:val="none" w:sz="0" w:space="0" w:color="auto"/>
                      </w:divBdr>
                    </w:div>
                  </w:divsChild>
                </w:div>
                <w:div w:id="1499271237">
                  <w:marLeft w:val="0"/>
                  <w:marRight w:val="0"/>
                  <w:marTop w:val="0"/>
                  <w:marBottom w:val="0"/>
                  <w:divBdr>
                    <w:top w:val="none" w:sz="0" w:space="0" w:color="auto"/>
                    <w:left w:val="none" w:sz="0" w:space="0" w:color="auto"/>
                    <w:bottom w:val="none" w:sz="0" w:space="0" w:color="auto"/>
                    <w:right w:val="none" w:sz="0" w:space="0" w:color="auto"/>
                  </w:divBdr>
                  <w:divsChild>
                    <w:div w:id="53092276">
                      <w:marLeft w:val="0"/>
                      <w:marRight w:val="0"/>
                      <w:marTop w:val="0"/>
                      <w:marBottom w:val="0"/>
                      <w:divBdr>
                        <w:top w:val="none" w:sz="0" w:space="0" w:color="auto"/>
                        <w:left w:val="none" w:sz="0" w:space="0" w:color="auto"/>
                        <w:bottom w:val="none" w:sz="0" w:space="0" w:color="auto"/>
                        <w:right w:val="none" w:sz="0" w:space="0" w:color="auto"/>
                      </w:divBdr>
                    </w:div>
                  </w:divsChild>
                </w:div>
                <w:div w:id="1514223582">
                  <w:marLeft w:val="0"/>
                  <w:marRight w:val="0"/>
                  <w:marTop w:val="0"/>
                  <w:marBottom w:val="0"/>
                  <w:divBdr>
                    <w:top w:val="none" w:sz="0" w:space="0" w:color="auto"/>
                    <w:left w:val="none" w:sz="0" w:space="0" w:color="auto"/>
                    <w:bottom w:val="none" w:sz="0" w:space="0" w:color="auto"/>
                    <w:right w:val="none" w:sz="0" w:space="0" w:color="auto"/>
                  </w:divBdr>
                  <w:divsChild>
                    <w:div w:id="1767067823">
                      <w:marLeft w:val="0"/>
                      <w:marRight w:val="0"/>
                      <w:marTop w:val="0"/>
                      <w:marBottom w:val="0"/>
                      <w:divBdr>
                        <w:top w:val="none" w:sz="0" w:space="0" w:color="auto"/>
                        <w:left w:val="none" w:sz="0" w:space="0" w:color="auto"/>
                        <w:bottom w:val="none" w:sz="0" w:space="0" w:color="auto"/>
                        <w:right w:val="none" w:sz="0" w:space="0" w:color="auto"/>
                      </w:divBdr>
                    </w:div>
                  </w:divsChild>
                </w:div>
                <w:div w:id="1609199210">
                  <w:marLeft w:val="0"/>
                  <w:marRight w:val="0"/>
                  <w:marTop w:val="0"/>
                  <w:marBottom w:val="0"/>
                  <w:divBdr>
                    <w:top w:val="none" w:sz="0" w:space="0" w:color="auto"/>
                    <w:left w:val="none" w:sz="0" w:space="0" w:color="auto"/>
                    <w:bottom w:val="none" w:sz="0" w:space="0" w:color="auto"/>
                    <w:right w:val="none" w:sz="0" w:space="0" w:color="auto"/>
                  </w:divBdr>
                  <w:divsChild>
                    <w:div w:id="1903444075">
                      <w:marLeft w:val="0"/>
                      <w:marRight w:val="0"/>
                      <w:marTop w:val="0"/>
                      <w:marBottom w:val="0"/>
                      <w:divBdr>
                        <w:top w:val="none" w:sz="0" w:space="0" w:color="auto"/>
                        <w:left w:val="none" w:sz="0" w:space="0" w:color="auto"/>
                        <w:bottom w:val="none" w:sz="0" w:space="0" w:color="auto"/>
                        <w:right w:val="none" w:sz="0" w:space="0" w:color="auto"/>
                      </w:divBdr>
                    </w:div>
                  </w:divsChild>
                </w:div>
                <w:div w:id="1709256497">
                  <w:marLeft w:val="0"/>
                  <w:marRight w:val="0"/>
                  <w:marTop w:val="0"/>
                  <w:marBottom w:val="0"/>
                  <w:divBdr>
                    <w:top w:val="none" w:sz="0" w:space="0" w:color="auto"/>
                    <w:left w:val="none" w:sz="0" w:space="0" w:color="auto"/>
                    <w:bottom w:val="none" w:sz="0" w:space="0" w:color="auto"/>
                    <w:right w:val="none" w:sz="0" w:space="0" w:color="auto"/>
                  </w:divBdr>
                  <w:divsChild>
                    <w:div w:id="1181698643">
                      <w:marLeft w:val="0"/>
                      <w:marRight w:val="0"/>
                      <w:marTop w:val="0"/>
                      <w:marBottom w:val="0"/>
                      <w:divBdr>
                        <w:top w:val="none" w:sz="0" w:space="0" w:color="auto"/>
                        <w:left w:val="none" w:sz="0" w:space="0" w:color="auto"/>
                        <w:bottom w:val="none" w:sz="0" w:space="0" w:color="auto"/>
                        <w:right w:val="none" w:sz="0" w:space="0" w:color="auto"/>
                      </w:divBdr>
                    </w:div>
                  </w:divsChild>
                </w:div>
                <w:div w:id="1745645457">
                  <w:marLeft w:val="0"/>
                  <w:marRight w:val="0"/>
                  <w:marTop w:val="0"/>
                  <w:marBottom w:val="0"/>
                  <w:divBdr>
                    <w:top w:val="none" w:sz="0" w:space="0" w:color="auto"/>
                    <w:left w:val="none" w:sz="0" w:space="0" w:color="auto"/>
                    <w:bottom w:val="none" w:sz="0" w:space="0" w:color="auto"/>
                    <w:right w:val="none" w:sz="0" w:space="0" w:color="auto"/>
                  </w:divBdr>
                  <w:divsChild>
                    <w:div w:id="1216820834">
                      <w:marLeft w:val="0"/>
                      <w:marRight w:val="0"/>
                      <w:marTop w:val="0"/>
                      <w:marBottom w:val="0"/>
                      <w:divBdr>
                        <w:top w:val="none" w:sz="0" w:space="0" w:color="auto"/>
                        <w:left w:val="none" w:sz="0" w:space="0" w:color="auto"/>
                        <w:bottom w:val="none" w:sz="0" w:space="0" w:color="auto"/>
                        <w:right w:val="none" w:sz="0" w:space="0" w:color="auto"/>
                      </w:divBdr>
                    </w:div>
                  </w:divsChild>
                </w:div>
                <w:div w:id="1761950270">
                  <w:marLeft w:val="0"/>
                  <w:marRight w:val="0"/>
                  <w:marTop w:val="0"/>
                  <w:marBottom w:val="0"/>
                  <w:divBdr>
                    <w:top w:val="none" w:sz="0" w:space="0" w:color="auto"/>
                    <w:left w:val="none" w:sz="0" w:space="0" w:color="auto"/>
                    <w:bottom w:val="none" w:sz="0" w:space="0" w:color="auto"/>
                    <w:right w:val="none" w:sz="0" w:space="0" w:color="auto"/>
                  </w:divBdr>
                  <w:divsChild>
                    <w:div w:id="1378428036">
                      <w:marLeft w:val="0"/>
                      <w:marRight w:val="0"/>
                      <w:marTop w:val="0"/>
                      <w:marBottom w:val="0"/>
                      <w:divBdr>
                        <w:top w:val="none" w:sz="0" w:space="0" w:color="auto"/>
                        <w:left w:val="none" w:sz="0" w:space="0" w:color="auto"/>
                        <w:bottom w:val="none" w:sz="0" w:space="0" w:color="auto"/>
                        <w:right w:val="none" w:sz="0" w:space="0" w:color="auto"/>
                      </w:divBdr>
                    </w:div>
                  </w:divsChild>
                </w:div>
                <w:div w:id="1771007987">
                  <w:marLeft w:val="0"/>
                  <w:marRight w:val="0"/>
                  <w:marTop w:val="0"/>
                  <w:marBottom w:val="0"/>
                  <w:divBdr>
                    <w:top w:val="none" w:sz="0" w:space="0" w:color="auto"/>
                    <w:left w:val="none" w:sz="0" w:space="0" w:color="auto"/>
                    <w:bottom w:val="none" w:sz="0" w:space="0" w:color="auto"/>
                    <w:right w:val="none" w:sz="0" w:space="0" w:color="auto"/>
                  </w:divBdr>
                  <w:divsChild>
                    <w:div w:id="51464560">
                      <w:marLeft w:val="0"/>
                      <w:marRight w:val="0"/>
                      <w:marTop w:val="0"/>
                      <w:marBottom w:val="0"/>
                      <w:divBdr>
                        <w:top w:val="none" w:sz="0" w:space="0" w:color="auto"/>
                        <w:left w:val="none" w:sz="0" w:space="0" w:color="auto"/>
                        <w:bottom w:val="none" w:sz="0" w:space="0" w:color="auto"/>
                        <w:right w:val="none" w:sz="0" w:space="0" w:color="auto"/>
                      </w:divBdr>
                    </w:div>
                  </w:divsChild>
                </w:div>
                <w:div w:id="1867015764">
                  <w:marLeft w:val="0"/>
                  <w:marRight w:val="0"/>
                  <w:marTop w:val="0"/>
                  <w:marBottom w:val="0"/>
                  <w:divBdr>
                    <w:top w:val="none" w:sz="0" w:space="0" w:color="auto"/>
                    <w:left w:val="none" w:sz="0" w:space="0" w:color="auto"/>
                    <w:bottom w:val="none" w:sz="0" w:space="0" w:color="auto"/>
                    <w:right w:val="none" w:sz="0" w:space="0" w:color="auto"/>
                  </w:divBdr>
                  <w:divsChild>
                    <w:div w:id="1231423451">
                      <w:marLeft w:val="0"/>
                      <w:marRight w:val="0"/>
                      <w:marTop w:val="0"/>
                      <w:marBottom w:val="0"/>
                      <w:divBdr>
                        <w:top w:val="none" w:sz="0" w:space="0" w:color="auto"/>
                        <w:left w:val="none" w:sz="0" w:space="0" w:color="auto"/>
                        <w:bottom w:val="none" w:sz="0" w:space="0" w:color="auto"/>
                        <w:right w:val="none" w:sz="0" w:space="0" w:color="auto"/>
                      </w:divBdr>
                    </w:div>
                  </w:divsChild>
                </w:div>
                <w:div w:id="1901358914">
                  <w:marLeft w:val="0"/>
                  <w:marRight w:val="0"/>
                  <w:marTop w:val="0"/>
                  <w:marBottom w:val="0"/>
                  <w:divBdr>
                    <w:top w:val="none" w:sz="0" w:space="0" w:color="auto"/>
                    <w:left w:val="none" w:sz="0" w:space="0" w:color="auto"/>
                    <w:bottom w:val="none" w:sz="0" w:space="0" w:color="auto"/>
                    <w:right w:val="none" w:sz="0" w:space="0" w:color="auto"/>
                  </w:divBdr>
                  <w:divsChild>
                    <w:div w:id="199049477">
                      <w:marLeft w:val="0"/>
                      <w:marRight w:val="0"/>
                      <w:marTop w:val="0"/>
                      <w:marBottom w:val="0"/>
                      <w:divBdr>
                        <w:top w:val="none" w:sz="0" w:space="0" w:color="auto"/>
                        <w:left w:val="none" w:sz="0" w:space="0" w:color="auto"/>
                        <w:bottom w:val="none" w:sz="0" w:space="0" w:color="auto"/>
                        <w:right w:val="none" w:sz="0" w:space="0" w:color="auto"/>
                      </w:divBdr>
                    </w:div>
                  </w:divsChild>
                </w:div>
                <w:div w:id="1911310996">
                  <w:marLeft w:val="0"/>
                  <w:marRight w:val="0"/>
                  <w:marTop w:val="0"/>
                  <w:marBottom w:val="0"/>
                  <w:divBdr>
                    <w:top w:val="none" w:sz="0" w:space="0" w:color="auto"/>
                    <w:left w:val="none" w:sz="0" w:space="0" w:color="auto"/>
                    <w:bottom w:val="none" w:sz="0" w:space="0" w:color="auto"/>
                    <w:right w:val="none" w:sz="0" w:space="0" w:color="auto"/>
                  </w:divBdr>
                  <w:divsChild>
                    <w:div w:id="250940583">
                      <w:marLeft w:val="0"/>
                      <w:marRight w:val="0"/>
                      <w:marTop w:val="0"/>
                      <w:marBottom w:val="0"/>
                      <w:divBdr>
                        <w:top w:val="none" w:sz="0" w:space="0" w:color="auto"/>
                        <w:left w:val="none" w:sz="0" w:space="0" w:color="auto"/>
                        <w:bottom w:val="none" w:sz="0" w:space="0" w:color="auto"/>
                        <w:right w:val="none" w:sz="0" w:space="0" w:color="auto"/>
                      </w:divBdr>
                    </w:div>
                    <w:div w:id="686911443">
                      <w:marLeft w:val="0"/>
                      <w:marRight w:val="0"/>
                      <w:marTop w:val="0"/>
                      <w:marBottom w:val="0"/>
                      <w:divBdr>
                        <w:top w:val="none" w:sz="0" w:space="0" w:color="auto"/>
                        <w:left w:val="none" w:sz="0" w:space="0" w:color="auto"/>
                        <w:bottom w:val="none" w:sz="0" w:space="0" w:color="auto"/>
                        <w:right w:val="none" w:sz="0" w:space="0" w:color="auto"/>
                      </w:divBdr>
                    </w:div>
                  </w:divsChild>
                </w:div>
                <w:div w:id="2050568698">
                  <w:marLeft w:val="0"/>
                  <w:marRight w:val="0"/>
                  <w:marTop w:val="0"/>
                  <w:marBottom w:val="0"/>
                  <w:divBdr>
                    <w:top w:val="none" w:sz="0" w:space="0" w:color="auto"/>
                    <w:left w:val="none" w:sz="0" w:space="0" w:color="auto"/>
                    <w:bottom w:val="none" w:sz="0" w:space="0" w:color="auto"/>
                    <w:right w:val="none" w:sz="0" w:space="0" w:color="auto"/>
                  </w:divBdr>
                  <w:divsChild>
                    <w:div w:id="500659705">
                      <w:marLeft w:val="0"/>
                      <w:marRight w:val="0"/>
                      <w:marTop w:val="0"/>
                      <w:marBottom w:val="0"/>
                      <w:divBdr>
                        <w:top w:val="none" w:sz="0" w:space="0" w:color="auto"/>
                        <w:left w:val="none" w:sz="0" w:space="0" w:color="auto"/>
                        <w:bottom w:val="none" w:sz="0" w:space="0" w:color="auto"/>
                        <w:right w:val="none" w:sz="0" w:space="0" w:color="auto"/>
                      </w:divBdr>
                    </w:div>
                  </w:divsChild>
                </w:div>
                <w:div w:id="2058116022">
                  <w:marLeft w:val="0"/>
                  <w:marRight w:val="0"/>
                  <w:marTop w:val="0"/>
                  <w:marBottom w:val="0"/>
                  <w:divBdr>
                    <w:top w:val="none" w:sz="0" w:space="0" w:color="auto"/>
                    <w:left w:val="none" w:sz="0" w:space="0" w:color="auto"/>
                    <w:bottom w:val="none" w:sz="0" w:space="0" w:color="auto"/>
                    <w:right w:val="none" w:sz="0" w:space="0" w:color="auto"/>
                  </w:divBdr>
                  <w:divsChild>
                    <w:div w:id="83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5458">
          <w:marLeft w:val="0"/>
          <w:marRight w:val="0"/>
          <w:marTop w:val="0"/>
          <w:marBottom w:val="0"/>
          <w:divBdr>
            <w:top w:val="none" w:sz="0" w:space="0" w:color="auto"/>
            <w:left w:val="none" w:sz="0" w:space="0" w:color="auto"/>
            <w:bottom w:val="none" w:sz="0" w:space="0" w:color="auto"/>
            <w:right w:val="none" w:sz="0" w:space="0" w:color="auto"/>
          </w:divBdr>
          <w:divsChild>
            <w:div w:id="528955365">
              <w:marLeft w:val="0"/>
              <w:marRight w:val="0"/>
              <w:marTop w:val="0"/>
              <w:marBottom w:val="0"/>
              <w:divBdr>
                <w:top w:val="none" w:sz="0" w:space="0" w:color="auto"/>
                <w:left w:val="none" w:sz="0" w:space="0" w:color="auto"/>
                <w:bottom w:val="none" w:sz="0" w:space="0" w:color="auto"/>
                <w:right w:val="none" w:sz="0" w:space="0" w:color="auto"/>
              </w:divBdr>
            </w:div>
            <w:div w:id="1777870947">
              <w:marLeft w:val="0"/>
              <w:marRight w:val="0"/>
              <w:marTop w:val="0"/>
              <w:marBottom w:val="0"/>
              <w:divBdr>
                <w:top w:val="none" w:sz="0" w:space="0" w:color="auto"/>
                <w:left w:val="none" w:sz="0" w:space="0" w:color="auto"/>
                <w:bottom w:val="none" w:sz="0" w:space="0" w:color="auto"/>
                <w:right w:val="none" w:sz="0" w:space="0" w:color="auto"/>
              </w:divBdr>
            </w:div>
            <w:div w:id="1832135721">
              <w:marLeft w:val="0"/>
              <w:marRight w:val="0"/>
              <w:marTop w:val="0"/>
              <w:marBottom w:val="0"/>
              <w:divBdr>
                <w:top w:val="none" w:sz="0" w:space="0" w:color="auto"/>
                <w:left w:val="none" w:sz="0" w:space="0" w:color="auto"/>
                <w:bottom w:val="none" w:sz="0" w:space="0" w:color="auto"/>
                <w:right w:val="none" w:sz="0" w:space="0" w:color="auto"/>
              </w:divBdr>
            </w:div>
            <w:div w:id="1871987304">
              <w:marLeft w:val="0"/>
              <w:marRight w:val="0"/>
              <w:marTop w:val="0"/>
              <w:marBottom w:val="0"/>
              <w:divBdr>
                <w:top w:val="none" w:sz="0" w:space="0" w:color="auto"/>
                <w:left w:val="none" w:sz="0" w:space="0" w:color="auto"/>
                <w:bottom w:val="none" w:sz="0" w:space="0" w:color="auto"/>
                <w:right w:val="none" w:sz="0" w:space="0" w:color="auto"/>
              </w:divBdr>
            </w:div>
            <w:div w:id="1889494399">
              <w:marLeft w:val="0"/>
              <w:marRight w:val="0"/>
              <w:marTop w:val="0"/>
              <w:marBottom w:val="0"/>
              <w:divBdr>
                <w:top w:val="none" w:sz="0" w:space="0" w:color="auto"/>
                <w:left w:val="none" w:sz="0" w:space="0" w:color="auto"/>
                <w:bottom w:val="none" w:sz="0" w:space="0" w:color="auto"/>
                <w:right w:val="none" w:sz="0" w:space="0" w:color="auto"/>
              </w:divBdr>
            </w:div>
          </w:divsChild>
        </w:div>
        <w:div w:id="862204888">
          <w:marLeft w:val="0"/>
          <w:marRight w:val="0"/>
          <w:marTop w:val="0"/>
          <w:marBottom w:val="0"/>
          <w:divBdr>
            <w:top w:val="none" w:sz="0" w:space="0" w:color="auto"/>
            <w:left w:val="none" w:sz="0" w:space="0" w:color="auto"/>
            <w:bottom w:val="none" w:sz="0" w:space="0" w:color="auto"/>
            <w:right w:val="none" w:sz="0" w:space="0" w:color="auto"/>
          </w:divBdr>
          <w:divsChild>
            <w:div w:id="129176482">
              <w:marLeft w:val="0"/>
              <w:marRight w:val="0"/>
              <w:marTop w:val="0"/>
              <w:marBottom w:val="0"/>
              <w:divBdr>
                <w:top w:val="none" w:sz="0" w:space="0" w:color="auto"/>
                <w:left w:val="none" w:sz="0" w:space="0" w:color="auto"/>
                <w:bottom w:val="none" w:sz="0" w:space="0" w:color="auto"/>
                <w:right w:val="none" w:sz="0" w:space="0" w:color="auto"/>
              </w:divBdr>
            </w:div>
            <w:div w:id="419060326">
              <w:marLeft w:val="0"/>
              <w:marRight w:val="0"/>
              <w:marTop w:val="0"/>
              <w:marBottom w:val="0"/>
              <w:divBdr>
                <w:top w:val="none" w:sz="0" w:space="0" w:color="auto"/>
                <w:left w:val="none" w:sz="0" w:space="0" w:color="auto"/>
                <w:bottom w:val="none" w:sz="0" w:space="0" w:color="auto"/>
                <w:right w:val="none" w:sz="0" w:space="0" w:color="auto"/>
              </w:divBdr>
            </w:div>
            <w:div w:id="729379215">
              <w:marLeft w:val="0"/>
              <w:marRight w:val="0"/>
              <w:marTop w:val="0"/>
              <w:marBottom w:val="0"/>
              <w:divBdr>
                <w:top w:val="none" w:sz="0" w:space="0" w:color="auto"/>
                <w:left w:val="none" w:sz="0" w:space="0" w:color="auto"/>
                <w:bottom w:val="none" w:sz="0" w:space="0" w:color="auto"/>
                <w:right w:val="none" w:sz="0" w:space="0" w:color="auto"/>
              </w:divBdr>
            </w:div>
            <w:div w:id="981813544">
              <w:marLeft w:val="0"/>
              <w:marRight w:val="0"/>
              <w:marTop w:val="0"/>
              <w:marBottom w:val="0"/>
              <w:divBdr>
                <w:top w:val="none" w:sz="0" w:space="0" w:color="auto"/>
                <w:left w:val="none" w:sz="0" w:space="0" w:color="auto"/>
                <w:bottom w:val="none" w:sz="0" w:space="0" w:color="auto"/>
                <w:right w:val="none" w:sz="0" w:space="0" w:color="auto"/>
              </w:divBdr>
            </w:div>
            <w:div w:id="1697803769">
              <w:marLeft w:val="0"/>
              <w:marRight w:val="0"/>
              <w:marTop w:val="0"/>
              <w:marBottom w:val="0"/>
              <w:divBdr>
                <w:top w:val="none" w:sz="0" w:space="0" w:color="auto"/>
                <w:left w:val="none" w:sz="0" w:space="0" w:color="auto"/>
                <w:bottom w:val="none" w:sz="0" w:space="0" w:color="auto"/>
                <w:right w:val="none" w:sz="0" w:space="0" w:color="auto"/>
              </w:divBdr>
            </w:div>
          </w:divsChild>
        </w:div>
        <w:div w:id="868881074">
          <w:marLeft w:val="0"/>
          <w:marRight w:val="0"/>
          <w:marTop w:val="0"/>
          <w:marBottom w:val="0"/>
          <w:divBdr>
            <w:top w:val="none" w:sz="0" w:space="0" w:color="auto"/>
            <w:left w:val="none" w:sz="0" w:space="0" w:color="auto"/>
            <w:bottom w:val="none" w:sz="0" w:space="0" w:color="auto"/>
            <w:right w:val="none" w:sz="0" w:space="0" w:color="auto"/>
          </w:divBdr>
          <w:divsChild>
            <w:div w:id="262416260">
              <w:marLeft w:val="0"/>
              <w:marRight w:val="0"/>
              <w:marTop w:val="0"/>
              <w:marBottom w:val="0"/>
              <w:divBdr>
                <w:top w:val="none" w:sz="0" w:space="0" w:color="auto"/>
                <w:left w:val="none" w:sz="0" w:space="0" w:color="auto"/>
                <w:bottom w:val="none" w:sz="0" w:space="0" w:color="auto"/>
                <w:right w:val="none" w:sz="0" w:space="0" w:color="auto"/>
              </w:divBdr>
            </w:div>
            <w:div w:id="375201748">
              <w:marLeft w:val="0"/>
              <w:marRight w:val="0"/>
              <w:marTop w:val="0"/>
              <w:marBottom w:val="0"/>
              <w:divBdr>
                <w:top w:val="none" w:sz="0" w:space="0" w:color="auto"/>
                <w:left w:val="none" w:sz="0" w:space="0" w:color="auto"/>
                <w:bottom w:val="none" w:sz="0" w:space="0" w:color="auto"/>
                <w:right w:val="none" w:sz="0" w:space="0" w:color="auto"/>
              </w:divBdr>
            </w:div>
            <w:div w:id="841970667">
              <w:marLeft w:val="0"/>
              <w:marRight w:val="0"/>
              <w:marTop w:val="0"/>
              <w:marBottom w:val="0"/>
              <w:divBdr>
                <w:top w:val="none" w:sz="0" w:space="0" w:color="auto"/>
                <w:left w:val="none" w:sz="0" w:space="0" w:color="auto"/>
                <w:bottom w:val="none" w:sz="0" w:space="0" w:color="auto"/>
                <w:right w:val="none" w:sz="0" w:space="0" w:color="auto"/>
              </w:divBdr>
            </w:div>
            <w:div w:id="1370259356">
              <w:marLeft w:val="0"/>
              <w:marRight w:val="0"/>
              <w:marTop w:val="0"/>
              <w:marBottom w:val="0"/>
              <w:divBdr>
                <w:top w:val="none" w:sz="0" w:space="0" w:color="auto"/>
                <w:left w:val="none" w:sz="0" w:space="0" w:color="auto"/>
                <w:bottom w:val="none" w:sz="0" w:space="0" w:color="auto"/>
                <w:right w:val="none" w:sz="0" w:space="0" w:color="auto"/>
              </w:divBdr>
            </w:div>
            <w:div w:id="1761179307">
              <w:marLeft w:val="0"/>
              <w:marRight w:val="0"/>
              <w:marTop w:val="0"/>
              <w:marBottom w:val="0"/>
              <w:divBdr>
                <w:top w:val="none" w:sz="0" w:space="0" w:color="auto"/>
                <w:left w:val="none" w:sz="0" w:space="0" w:color="auto"/>
                <w:bottom w:val="none" w:sz="0" w:space="0" w:color="auto"/>
                <w:right w:val="none" w:sz="0" w:space="0" w:color="auto"/>
              </w:divBdr>
            </w:div>
          </w:divsChild>
        </w:div>
        <w:div w:id="1044910346">
          <w:marLeft w:val="0"/>
          <w:marRight w:val="0"/>
          <w:marTop w:val="0"/>
          <w:marBottom w:val="0"/>
          <w:divBdr>
            <w:top w:val="none" w:sz="0" w:space="0" w:color="auto"/>
            <w:left w:val="none" w:sz="0" w:space="0" w:color="auto"/>
            <w:bottom w:val="none" w:sz="0" w:space="0" w:color="auto"/>
            <w:right w:val="none" w:sz="0" w:space="0" w:color="auto"/>
          </w:divBdr>
          <w:divsChild>
            <w:div w:id="1993365538">
              <w:marLeft w:val="-75"/>
              <w:marRight w:val="0"/>
              <w:marTop w:val="30"/>
              <w:marBottom w:val="30"/>
              <w:divBdr>
                <w:top w:val="none" w:sz="0" w:space="0" w:color="auto"/>
                <w:left w:val="none" w:sz="0" w:space="0" w:color="auto"/>
                <w:bottom w:val="none" w:sz="0" w:space="0" w:color="auto"/>
                <w:right w:val="none" w:sz="0" w:space="0" w:color="auto"/>
              </w:divBdr>
              <w:divsChild>
                <w:div w:id="16974438">
                  <w:marLeft w:val="0"/>
                  <w:marRight w:val="0"/>
                  <w:marTop w:val="0"/>
                  <w:marBottom w:val="0"/>
                  <w:divBdr>
                    <w:top w:val="none" w:sz="0" w:space="0" w:color="auto"/>
                    <w:left w:val="none" w:sz="0" w:space="0" w:color="auto"/>
                    <w:bottom w:val="none" w:sz="0" w:space="0" w:color="auto"/>
                    <w:right w:val="none" w:sz="0" w:space="0" w:color="auto"/>
                  </w:divBdr>
                  <w:divsChild>
                    <w:div w:id="755784070">
                      <w:marLeft w:val="0"/>
                      <w:marRight w:val="0"/>
                      <w:marTop w:val="0"/>
                      <w:marBottom w:val="0"/>
                      <w:divBdr>
                        <w:top w:val="none" w:sz="0" w:space="0" w:color="auto"/>
                        <w:left w:val="none" w:sz="0" w:space="0" w:color="auto"/>
                        <w:bottom w:val="none" w:sz="0" w:space="0" w:color="auto"/>
                        <w:right w:val="none" w:sz="0" w:space="0" w:color="auto"/>
                      </w:divBdr>
                    </w:div>
                  </w:divsChild>
                </w:div>
                <w:div w:id="172260519">
                  <w:marLeft w:val="0"/>
                  <w:marRight w:val="0"/>
                  <w:marTop w:val="0"/>
                  <w:marBottom w:val="0"/>
                  <w:divBdr>
                    <w:top w:val="none" w:sz="0" w:space="0" w:color="auto"/>
                    <w:left w:val="none" w:sz="0" w:space="0" w:color="auto"/>
                    <w:bottom w:val="none" w:sz="0" w:space="0" w:color="auto"/>
                    <w:right w:val="none" w:sz="0" w:space="0" w:color="auto"/>
                  </w:divBdr>
                  <w:divsChild>
                    <w:div w:id="1323584871">
                      <w:marLeft w:val="0"/>
                      <w:marRight w:val="0"/>
                      <w:marTop w:val="0"/>
                      <w:marBottom w:val="0"/>
                      <w:divBdr>
                        <w:top w:val="none" w:sz="0" w:space="0" w:color="auto"/>
                        <w:left w:val="none" w:sz="0" w:space="0" w:color="auto"/>
                        <w:bottom w:val="none" w:sz="0" w:space="0" w:color="auto"/>
                        <w:right w:val="none" w:sz="0" w:space="0" w:color="auto"/>
                      </w:divBdr>
                    </w:div>
                  </w:divsChild>
                </w:div>
                <w:div w:id="356004661">
                  <w:marLeft w:val="0"/>
                  <w:marRight w:val="0"/>
                  <w:marTop w:val="0"/>
                  <w:marBottom w:val="0"/>
                  <w:divBdr>
                    <w:top w:val="none" w:sz="0" w:space="0" w:color="auto"/>
                    <w:left w:val="none" w:sz="0" w:space="0" w:color="auto"/>
                    <w:bottom w:val="none" w:sz="0" w:space="0" w:color="auto"/>
                    <w:right w:val="none" w:sz="0" w:space="0" w:color="auto"/>
                  </w:divBdr>
                  <w:divsChild>
                    <w:div w:id="415059770">
                      <w:marLeft w:val="0"/>
                      <w:marRight w:val="0"/>
                      <w:marTop w:val="0"/>
                      <w:marBottom w:val="0"/>
                      <w:divBdr>
                        <w:top w:val="none" w:sz="0" w:space="0" w:color="auto"/>
                        <w:left w:val="none" w:sz="0" w:space="0" w:color="auto"/>
                        <w:bottom w:val="none" w:sz="0" w:space="0" w:color="auto"/>
                        <w:right w:val="none" w:sz="0" w:space="0" w:color="auto"/>
                      </w:divBdr>
                    </w:div>
                  </w:divsChild>
                </w:div>
                <w:div w:id="432359512">
                  <w:marLeft w:val="0"/>
                  <w:marRight w:val="0"/>
                  <w:marTop w:val="0"/>
                  <w:marBottom w:val="0"/>
                  <w:divBdr>
                    <w:top w:val="none" w:sz="0" w:space="0" w:color="auto"/>
                    <w:left w:val="none" w:sz="0" w:space="0" w:color="auto"/>
                    <w:bottom w:val="none" w:sz="0" w:space="0" w:color="auto"/>
                    <w:right w:val="none" w:sz="0" w:space="0" w:color="auto"/>
                  </w:divBdr>
                  <w:divsChild>
                    <w:div w:id="1691562258">
                      <w:marLeft w:val="0"/>
                      <w:marRight w:val="0"/>
                      <w:marTop w:val="0"/>
                      <w:marBottom w:val="0"/>
                      <w:divBdr>
                        <w:top w:val="none" w:sz="0" w:space="0" w:color="auto"/>
                        <w:left w:val="none" w:sz="0" w:space="0" w:color="auto"/>
                        <w:bottom w:val="none" w:sz="0" w:space="0" w:color="auto"/>
                        <w:right w:val="none" w:sz="0" w:space="0" w:color="auto"/>
                      </w:divBdr>
                    </w:div>
                  </w:divsChild>
                </w:div>
                <w:div w:id="558590781">
                  <w:marLeft w:val="0"/>
                  <w:marRight w:val="0"/>
                  <w:marTop w:val="0"/>
                  <w:marBottom w:val="0"/>
                  <w:divBdr>
                    <w:top w:val="none" w:sz="0" w:space="0" w:color="auto"/>
                    <w:left w:val="none" w:sz="0" w:space="0" w:color="auto"/>
                    <w:bottom w:val="none" w:sz="0" w:space="0" w:color="auto"/>
                    <w:right w:val="none" w:sz="0" w:space="0" w:color="auto"/>
                  </w:divBdr>
                  <w:divsChild>
                    <w:div w:id="1836528127">
                      <w:marLeft w:val="0"/>
                      <w:marRight w:val="0"/>
                      <w:marTop w:val="0"/>
                      <w:marBottom w:val="0"/>
                      <w:divBdr>
                        <w:top w:val="none" w:sz="0" w:space="0" w:color="auto"/>
                        <w:left w:val="none" w:sz="0" w:space="0" w:color="auto"/>
                        <w:bottom w:val="none" w:sz="0" w:space="0" w:color="auto"/>
                        <w:right w:val="none" w:sz="0" w:space="0" w:color="auto"/>
                      </w:divBdr>
                    </w:div>
                  </w:divsChild>
                </w:div>
                <w:div w:id="731119985">
                  <w:marLeft w:val="0"/>
                  <w:marRight w:val="0"/>
                  <w:marTop w:val="0"/>
                  <w:marBottom w:val="0"/>
                  <w:divBdr>
                    <w:top w:val="none" w:sz="0" w:space="0" w:color="auto"/>
                    <w:left w:val="none" w:sz="0" w:space="0" w:color="auto"/>
                    <w:bottom w:val="none" w:sz="0" w:space="0" w:color="auto"/>
                    <w:right w:val="none" w:sz="0" w:space="0" w:color="auto"/>
                  </w:divBdr>
                  <w:divsChild>
                    <w:div w:id="230386870">
                      <w:marLeft w:val="0"/>
                      <w:marRight w:val="0"/>
                      <w:marTop w:val="0"/>
                      <w:marBottom w:val="0"/>
                      <w:divBdr>
                        <w:top w:val="none" w:sz="0" w:space="0" w:color="auto"/>
                        <w:left w:val="none" w:sz="0" w:space="0" w:color="auto"/>
                        <w:bottom w:val="none" w:sz="0" w:space="0" w:color="auto"/>
                        <w:right w:val="none" w:sz="0" w:space="0" w:color="auto"/>
                      </w:divBdr>
                    </w:div>
                    <w:div w:id="682634313">
                      <w:marLeft w:val="0"/>
                      <w:marRight w:val="0"/>
                      <w:marTop w:val="0"/>
                      <w:marBottom w:val="0"/>
                      <w:divBdr>
                        <w:top w:val="none" w:sz="0" w:space="0" w:color="auto"/>
                        <w:left w:val="none" w:sz="0" w:space="0" w:color="auto"/>
                        <w:bottom w:val="none" w:sz="0" w:space="0" w:color="auto"/>
                        <w:right w:val="none" w:sz="0" w:space="0" w:color="auto"/>
                      </w:divBdr>
                    </w:div>
                  </w:divsChild>
                </w:div>
                <w:div w:id="847794419">
                  <w:marLeft w:val="0"/>
                  <w:marRight w:val="0"/>
                  <w:marTop w:val="0"/>
                  <w:marBottom w:val="0"/>
                  <w:divBdr>
                    <w:top w:val="none" w:sz="0" w:space="0" w:color="auto"/>
                    <w:left w:val="none" w:sz="0" w:space="0" w:color="auto"/>
                    <w:bottom w:val="none" w:sz="0" w:space="0" w:color="auto"/>
                    <w:right w:val="none" w:sz="0" w:space="0" w:color="auto"/>
                  </w:divBdr>
                  <w:divsChild>
                    <w:div w:id="267199035">
                      <w:marLeft w:val="0"/>
                      <w:marRight w:val="0"/>
                      <w:marTop w:val="0"/>
                      <w:marBottom w:val="0"/>
                      <w:divBdr>
                        <w:top w:val="none" w:sz="0" w:space="0" w:color="auto"/>
                        <w:left w:val="none" w:sz="0" w:space="0" w:color="auto"/>
                        <w:bottom w:val="none" w:sz="0" w:space="0" w:color="auto"/>
                        <w:right w:val="none" w:sz="0" w:space="0" w:color="auto"/>
                      </w:divBdr>
                    </w:div>
                  </w:divsChild>
                </w:div>
                <w:div w:id="936015923">
                  <w:marLeft w:val="0"/>
                  <w:marRight w:val="0"/>
                  <w:marTop w:val="0"/>
                  <w:marBottom w:val="0"/>
                  <w:divBdr>
                    <w:top w:val="none" w:sz="0" w:space="0" w:color="auto"/>
                    <w:left w:val="none" w:sz="0" w:space="0" w:color="auto"/>
                    <w:bottom w:val="none" w:sz="0" w:space="0" w:color="auto"/>
                    <w:right w:val="none" w:sz="0" w:space="0" w:color="auto"/>
                  </w:divBdr>
                  <w:divsChild>
                    <w:div w:id="240604998">
                      <w:marLeft w:val="0"/>
                      <w:marRight w:val="0"/>
                      <w:marTop w:val="0"/>
                      <w:marBottom w:val="0"/>
                      <w:divBdr>
                        <w:top w:val="none" w:sz="0" w:space="0" w:color="auto"/>
                        <w:left w:val="none" w:sz="0" w:space="0" w:color="auto"/>
                        <w:bottom w:val="none" w:sz="0" w:space="0" w:color="auto"/>
                        <w:right w:val="none" w:sz="0" w:space="0" w:color="auto"/>
                      </w:divBdr>
                    </w:div>
                  </w:divsChild>
                </w:div>
                <w:div w:id="1018042864">
                  <w:marLeft w:val="0"/>
                  <w:marRight w:val="0"/>
                  <w:marTop w:val="0"/>
                  <w:marBottom w:val="0"/>
                  <w:divBdr>
                    <w:top w:val="none" w:sz="0" w:space="0" w:color="auto"/>
                    <w:left w:val="none" w:sz="0" w:space="0" w:color="auto"/>
                    <w:bottom w:val="none" w:sz="0" w:space="0" w:color="auto"/>
                    <w:right w:val="none" w:sz="0" w:space="0" w:color="auto"/>
                  </w:divBdr>
                  <w:divsChild>
                    <w:div w:id="1835949508">
                      <w:marLeft w:val="0"/>
                      <w:marRight w:val="0"/>
                      <w:marTop w:val="0"/>
                      <w:marBottom w:val="0"/>
                      <w:divBdr>
                        <w:top w:val="none" w:sz="0" w:space="0" w:color="auto"/>
                        <w:left w:val="none" w:sz="0" w:space="0" w:color="auto"/>
                        <w:bottom w:val="none" w:sz="0" w:space="0" w:color="auto"/>
                        <w:right w:val="none" w:sz="0" w:space="0" w:color="auto"/>
                      </w:divBdr>
                    </w:div>
                  </w:divsChild>
                </w:div>
                <w:div w:id="1088967776">
                  <w:marLeft w:val="0"/>
                  <w:marRight w:val="0"/>
                  <w:marTop w:val="0"/>
                  <w:marBottom w:val="0"/>
                  <w:divBdr>
                    <w:top w:val="none" w:sz="0" w:space="0" w:color="auto"/>
                    <w:left w:val="none" w:sz="0" w:space="0" w:color="auto"/>
                    <w:bottom w:val="none" w:sz="0" w:space="0" w:color="auto"/>
                    <w:right w:val="none" w:sz="0" w:space="0" w:color="auto"/>
                  </w:divBdr>
                  <w:divsChild>
                    <w:div w:id="443573510">
                      <w:marLeft w:val="0"/>
                      <w:marRight w:val="0"/>
                      <w:marTop w:val="0"/>
                      <w:marBottom w:val="0"/>
                      <w:divBdr>
                        <w:top w:val="none" w:sz="0" w:space="0" w:color="auto"/>
                        <w:left w:val="none" w:sz="0" w:space="0" w:color="auto"/>
                        <w:bottom w:val="none" w:sz="0" w:space="0" w:color="auto"/>
                        <w:right w:val="none" w:sz="0" w:space="0" w:color="auto"/>
                      </w:divBdr>
                    </w:div>
                  </w:divsChild>
                </w:div>
                <w:div w:id="1233081499">
                  <w:marLeft w:val="0"/>
                  <w:marRight w:val="0"/>
                  <w:marTop w:val="0"/>
                  <w:marBottom w:val="0"/>
                  <w:divBdr>
                    <w:top w:val="none" w:sz="0" w:space="0" w:color="auto"/>
                    <w:left w:val="none" w:sz="0" w:space="0" w:color="auto"/>
                    <w:bottom w:val="none" w:sz="0" w:space="0" w:color="auto"/>
                    <w:right w:val="none" w:sz="0" w:space="0" w:color="auto"/>
                  </w:divBdr>
                  <w:divsChild>
                    <w:div w:id="145974818">
                      <w:marLeft w:val="0"/>
                      <w:marRight w:val="0"/>
                      <w:marTop w:val="0"/>
                      <w:marBottom w:val="0"/>
                      <w:divBdr>
                        <w:top w:val="none" w:sz="0" w:space="0" w:color="auto"/>
                        <w:left w:val="none" w:sz="0" w:space="0" w:color="auto"/>
                        <w:bottom w:val="none" w:sz="0" w:space="0" w:color="auto"/>
                        <w:right w:val="none" w:sz="0" w:space="0" w:color="auto"/>
                      </w:divBdr>
                    </w:div>
                  </w:divsChild>
                </w:div>
                <w:div w:id="1242330851">
                  <w:marLeft w:val="0"/>
                  <w:marRight w:val="0"/>
                  <w:marTop w:val="0"/>
                  <w:marBottom w:val="0"/>
                  <w:divBdr>
                    <w:top w:val="none" w:sz="0" w:space="0" w:color="auto"/>
                    <w:left w:val="none" w:sz="0" w:space="0" w:color="auto"/>
                    <w:bottom w:val="none" w:sz="0" w:space="0" w:color="auto"/>
                    <w:right w:val="none" w:sz="0" w:space="0" w:color="auto"/>
                  </w:divBdr>
                  <w:divsChild>
                    <w:div w:id="534461439">
                      <w:marLeft w:val="0"/>
                      <w:marRight w:val="0"/>
                      <w:marTop w:val="0"/>
                      <w:marBottom w:val="0"/>
                      <w:divBdr>
                        <w:top w:val="none" w:sz="0" w:space="0" w:color="auto"/>
                        <w:left w:val="none" w:sz="0" w:space="0" w:color="auto"/>
                        <w:bottom w:val="none" w:sz="0" w:space="0" w:color="auto"/>
                        <w:right w:val="none" w:sz="0" w:space="0" w:color="auto"/>
                      </w:divBdr>
                    </w:div>
                  </w:divsChild>
                </w:div>
                <w:div w:id="1475833758">
                  <w:marLeft w:val="0"/>
                  <w:marRight w:val="0"/>
                  <w:marTop w:val="0"/>
                  <w:marBottom w:val="0"/>
                  <w:divBdr>
                    <w:top w:val="none" w:sz="0" w:space="0" w:color="auto"/>
                    <w:left w:val="none" w:sz="0" w:space="0" w:color="auto"/>
                    <w:bottom w:val="none" w:sz="0" w:space="0" w:color="auto"/>
                    <w:right w:val="none" w:sz="0" w:space="0" w:color="auto"/>
                  </w:divBdr>
                  <w:divsChild>
                    <w:div w:id="1774353973">
                      <w:marLeft w:val="0"/>
                      <w:marRight w:val="0"/>
                      <w:marTop w:val="0"/>
                      <w:marBottom w:val="0"/>
                      <w:divBdr>
                        <w:top w:val="none" w:sz="0" w:space="0" w:color="auto"/>
                        <w:left w:val="none" w:sz="0" w:space="0" w:color="auto"/>
                        <w:bottom w:val="none" w:sz="0" w:space="0" w:color="auto"/>
                        <w:right w:val="none" w:sz="0" w:space="0" w:color="auto"/>
                      </w:divBdr>
                    </w:div>
                  </w:divsChild>
                </w:div>
                <w:div w:id="1519537223">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
                  </w:divsChild>
                </w:div>
                <w:div w:id="1549611295">
                  <w:marLeft w:val="0"/>
                  <w:marRight w:val="0"/>
                  <w:marTop w:val="0"/>
                  <w:marBottom w:val="0"/>
                  <w:divBdr>
                    <w:top w:val="none" w:sz="0" w:space="0" w:color="auto"/>
                    <w:left w:val="none" w:sz="0" w:space="0" w:color="auto"/>
                    <w:bottom w:val="none" w:sz="0" w:space="0" w:color="auto"/>
                    <w:right w:val="none" w:sz="0" w:space="0" w:color="auto"/>
                  </w:divBdr>
                  <w:divsChild>
                    <w:div w:id="2075816100">
                      <w:marLeft w:val="0"/>
                      <w:marRight w:val="0"/>
                      <w:marTop w:val="0"/>
                      <w:marBottom w:val="0"/>
                      <w:divBdr>
                        <w:top w:val="none" w:sz="0" w:space="0" w:color="auto"/>
                        <w:left w:val="none" w:sz="0" w:space="0" w:color="auto"/>
                        <w:bottom w:val="none" w:sz="0" w:space="0" w:color="auto"/>
                        <w:right w:val="none" w:sz="0" w:space="0" w:color="auto"/>
                      </w:divBdr>
                    </w:div>
                  </w:divsChild>
                </w:div>
                <w:div w:id="1616136856">
                  <w:marLeft w:val="0"/>
                  <w:marRight w:val="0"/>
                  <w:marTop w:val="0"/>
                  <w:marBottom w:val="0"/>
                  <w:divBdr>
                    <w:top w:val="none" w:sz="0" w:space="0" w:color="auto"/>
                    <w:left w:val="none" w:sz="0" w:space="0" w:color="auto"/>
                    <w:bottom w:val="none" w:sz="0" w:space="0" w:color="auto"/>
                    <w:right w:val="none" w:sz="0" w:space="0" w:color="auto"/>
                  </w:divBdr>
                  <w:divsChild>
                    <w:div w:id="377896169">
                      <w:marLeft w:val="0"/>
                      <w:marRight w:val="0"/>
                      <w:marTop w:val="0"/>
                      <w:marBottom w:val="0"/>
                      <w:divBdr>
                        <w:top w:val="none" w:sz="0" w:space="0" w:color="auto"/>
                        <w:left w:val="none" w:sz="0" w:space="0" w:color="auto"/>
                        <w:bottom w:val="none" w:sz="0" w:space="0" w:color="auto"/>
                        <w:right w:val="none" w:sz="0" w:space="0" w:color="auto"/>
                      </w:divBdr>
                    </w:div>
                  </w:divsChild>
                </w:div>
                <w:div w:id="1621302050">
                  <w:marLeft w:val="0"/>
                  <w:marRight w:val="0"/>
                  <w:marTop w:val="0"/>
                  <w:marBottom w:val="0"/>
                  <w:divBdr>
                    <w:top w:val="none" w:sz="0" w:space="0" w:color="auto"/>
                    <w:left w:val="none" w:sz="0" w:space="0" w:color="auto"/>
                    <w:bottom w:val="none" w:sz="0" w:space="0" w:color="auto"/>
                    <w:right w:val="none" w:sz="0" w:space="0" w:color="auto"/>
                  </w:divBdr>
                  <w:divsChild>
                    <w:div w:id="171996661">
                      <w:marLeft w:val="0"/>
                      <w:marRight w:val="0"/>
                      <w:marTop w:val="0"/>
                      <w:marBottom w:val="0"/>
                      <w:divBdr>
                        <w:top w:val="none" w:sz="0" w:space="0" w:color="auto"/>
                        <w:left w:val="none" w:sz="0" w:space="0" w:color="auto"/>
                        <w:bottom w:val="none" w:sz="0" w:space="0" w:color="auto"/>
                        <w:right w:val="none" w:sz="0" w:space="0" w:color="auto"/>
                      </w:divBdr>
                    </w:div>
                  </w:divsChild>
                </w:div>
                <w:div w:id="1767458153">
                  <w:marLeft w:val="0"/>
                  <w:marRight w:val="0"/>
                  <w:marTop w:val="0"/>
                  <w:marBottom w:val="0"/>
                  <w:divBdr>
                    <w:top w:val="none" w:sz="0" w:space="0" w:color="auto"/>
                    <w:left w:val="none" w:sz="0" w:space="0" w:color="auto"/>
                    <w:bottom w:val="none" w:sz="0" w:space="0" w:color="auto"/>
                    <w:right w:val="none" w:sz="0" w:space="0" w:color="auto"/>
                  </w:divBdr>
                  <w:divsChild>
                    <w:div w:id="539780576">
                      <w:marLeft w:val="0"/>
                      <w:marRight w:val="0"/>
                      <w:marTop w:val="0"/>
                      <w:marBottom w:val="0"/>
                      <w:divBdr>
                        <w:top w:val="none" w:sz="0" w:space="0" w:color="auto"/>
                        <w:left w:val="none" w:sz="0" w:space="0" w:color="auto"/>
                        <w:bottom w:val="none" w:sz="0" w:space="0" w:color="auto"/>
                        <w:right w:val="none" w:sz="0" w:space="0" w:color="auto"/>
                      </w:divBdr>
                    </w:div>
                    <w:div w:id="1416701932">
                      <w:marLeft w:val="0"/>
                      <w:marRight w:val="0"/>
                      <w:marTop w:val="0"/>
                      <w:marBottom w:val="0"/>
                      <w:divBdr>
                        <w:top w:val="none" w:sz="0" w:space="0" w:color="auto"/>
                        <w:left w:val="none" w:sz="0" w:space="0" w:color="auto"/>
                        <w:bottom w:val="none" w:sz="0" w:space="0" w:color="auto"/>
                        <w:right w:val="none" w:sz="0" w:space="0" w:color="auto"/>
                      </w:divBdr>
                    </w:div>
                  </w:divsChild>
                </w:div>
                <w:div w:id="1969163955">
                  <w:marLeft w:val="0"/>
                  <w:marRight w:val="0"/>
                  <w:marTop w:val="0"/>
                  <w:marBottom w:val="0"/>
                  <w:divBdr>
                    <w:top w:val="none" w:sz="0" w:space="0" w:color="auto"/>
                    <w:left w:val="none" w:sz="0" w:space="0" w:color="auto"/>
                    <w:bottom w:val="none" w:sz="0" w:space="0" w:color="auto"/>
                    <w:right w:val="none" w:sz="0" w:space="0" w:color="auto"/>
                  </w:divBdr>
                  <w:divsChild>
                    <w:div w:id="1143960394">
                      <w:marLeft w:val="0"/>
                      <w:marRight w:val="0"/>
                      <w:marTop w:val="0"/>
                      <w:marBottom w:val="0"/>
                      <w:divBdr>
                        <w:top w:val="none" w:sz="0" w:space="0" w:color="auto"/>
                        <w:left w:val="none" w:sz="0" w:space="0" w:color="auto"/>
                        <w:bottom w:val="none" w:sz="0" w:space="0" w:color="auto"/>
                        <w:right w:val="none" w:sz="0" w:space="0" w:color="auto"/>
                      </w:divBdr>
                    </w:div>
                  </w:divsChild>
                </w:div>
                <w:div w:id="1999454399">
                  <w:marLeft w:val="0"/>
                  <w:marRight w:val="0"/>
                  <w:marTop w:val="0"/>
                  <w:marBottom w:val="0"/>
                  <w:divBdr>
                    <w:top w:val="none" w:sz="0" w:space="0" w:color="auto"/>
                    <w:left w:val="none" w:sz="0" w:space="0" w:color="auto"/>
                    <w:bottom w:val="none" w:sz="0" w:space="0" w:color="auto"/>
                    <w:right w:val="none" w:sz="0" w:space="0" w:color="auto"/>
                  </w:divBdr>
                  <w:divsChild>
                    <w:div w:id="16999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2194">
          <w:marLeft w:val="0"/>
          <w:marRight w:val="0"/>
          <w:marTop w:val="0"/>
          <w:marBottom w:val="0"/>
          <w:divBdr>
            <w:top w:val="none" w:sz="0" w:space="0" w:color="auto"/>
            <w:left w:val="none" w:sz="0" w:space="0" w:color="auto"/>
            <w:bottom w:val="none" w:sz="0" w:space="0" w:color="auto"/>
            <w:right w:val="none" w:sz="0" w:space="0" w:color="auto"/>
          </w:divBdr>
        </w:div>
        <w:div w:id="1330987609">
          <w:marLeft w:val="0"/>
          <w:marRight w:val="0"/>
          <w:marTop w:val="0"/>
          <w:marBottom w:val="0"/>
          <w:divBdr>
            <w:top w:val="none" w:sz="0" w:space="0" w:color="auto"/>
            <w:left w:val="none" w:sz="0" w:space="0" w:color="auto"/>
            <w:bottom w:val="none" w:sz="0" w:space="0" w:color="auto"/>
            <w:right w:val="none" w:sz="0" w:space="0" w:color="auto"/>
          </w:divBdr>
          <w:divsChild>
            <w:div w:id="17659311">
              <w:marLeft w:val="0"/>
              <w:marRight w:val="0"/>
              <w:marTop w:val="0"/>
              <w:marBottom w:val="0"/>
              <w:divBdr>
                <w:top w:val="none" w:sz="0" w:space="0" w:color="auto"/>
                <w:left w:val="none" w:sz="0" w:space="0" w:color="auto"/>
                <w:bottom w:val="none" w:sz="0" w:space="0" w:color="auto"/>
                <w:right w:val="none" w:sz="0" w:space="0" w:color="auto"/>
              </w:divBdr>
            </w:div>
            <w:div w:id="252015247">
              <w:marLeft w:val="0"/>
              <w:marRight w:val="0"/>
              <w:marTop w:val="0"/>
              <w:marBottom w:val="0"/>
              <w:divBdr>
                <w:top w:val="none" w:sz="0" w:space="0" w:color="auto"/>
                <w:left w:val="none" w:sz="0" w:space="0" w:color="auto"/>
                <w:bottom w:val="none" w:sz="0" w:space="0" w:color="auto"/>
                <w:right w:val="none" w:sz="0" w:space="0" w:color="auto"/>
              </w:divBdr>
            </w:div>
            <w:div w:id="621226657">
              <w:marLeft w:val="0"/>
              <w:marRight w:val="0"/>
              <w:marTop w:val="0"/>
              <w:marBottom w:val="0"/>
              <w:divBdr>
                <w:top w:val="none" w:sz="0" w:space="0" w:color="auto"/>
                <w:left w:val="none" w:sz="0" w:space="0" w:color="auto"/>
                <w:bottom w:val="none" w:sz="0" w:space="0" w:color="auto"/>
                <w:right w:val="none" w:sz="0" w:space="0" w:color="auto"/>
              </w:divBdr>
            </w:div>
            <w:div w:id="970785110">
              <w:marLeft w:val="0"/>
              <w:marRight w:val="0"/>
              <w:marTop w:val="0"/>
              <w:marBottom w:val="0"/>
              <w:divBdr>
                <w:top w:val="none" w:sz="0" w:space="0" w:color="auto"/>
                <w:left w:val="none" w:sz="0" w:space="0" w:color="auto"/>
                <w:bottom w:val="none" w:sz="0" w:space="0" w:color="auto"/>
                <w:right w:val="none" w:sz="0" w:space="0" w:color="auto"/>
              </w:divBdr>
            </w:div>
            <w:div w:id="1740135205">
              <w:marLeft w:val="0"/>
              <w:marRight w:val="0"/>
              <w:marTop w:val="0"/>
              <w:marBottom w:val="0"/>
              <w:divBdr>
                <w:top w:val="none" w:sz="0" w:space="0" w:color="auto"/>
                <w:left w:val="none" w:sz="0" w:space="0" w:color="auto"/>
                <w:bottom w:val="none" w:sz="0" w:space="0" w:color="auto"/>
                <w:right w:val="none" w:sz="0" w:space="0" w:color="auto"/>
              </w:divBdr>
            </w:div>
          </w:divsChild>
        </w:div>
        <w:div w:id="1441299167">
          <w:marLeft w:val="0"/>
          <w:marRight w:val="0"/>
          <w:marTop w:val="0"/>
          <w:marBottom w:val="0"/>
          <w:divBdr>
            <w:top w:val="none" w:sz="0" w:space="0" w:color="auto"/>
            <w:left w:val="none" w:sz="0" w:space="0" w:color="auto"/>
            <w:bottom w:val="none" w:sz="0" w:space="0" w:color="auto"/>
            <w:right w:val="none" w:sz="0" w:space="0" w:color="auto"/>
          </w:divBdr>
        </w:div>
        <w:div w:id="1518301793">
          <w:marLeft w:val="0"/>
          <w:marRight w:val="0"/>
          <w:marTop w:val="0"/>
          <w:marBottom w:val="0"/>
          <w:divBdr>
            <w:top w:val="none" w:sz="0" w:space="0" w:color="auto"/>
            <w:left w:val="none" w:sz="0" w:space="0" w:color="auto"/>
            <w:bottom w:val="none" w:sz="0" w:space="0" w:color="auto"/>
            <w:right w:val="none" w:sz="0" w:space="0" w:color="auto"/>
          </w:divBdr>
          <w:divsChild>
            <w:div w:id="2128961301">
              <w:marLeft w:val="-75"/>
              <w:marRight w:val="0"/>
              <w:marTop w:val="30"/>
              <w:marBottom w:val="30"/>
              <w:divBdr>
                <w:top w:val="none" w:sz="0" w:space="0" w:color="auto"/>
                <w:left w:val="none" w:sz="0" w:space="0" w:color="auto"/>
                <w:bottom w:val="none" w:sz="0" w:space="0" w:color="auto"/>
                <w:right w:val="none" w:sz="0" w:space="0" w:color="auto"/>
              </w:divBdr>
              <w:divsChild>
                <w:div w:id="144320353">
                  <w:marLeft w:val="0"/>
                  <w:marRight w:val="0"/>
                  <w:marTop w:val="0"/>
                  <w:marBottom w:val="0"/>
                  <w:divBdr>
                    <w:top w:val="none" w:sz="0" w:space="0" w:color="auto"/>
                    <w:left w:val="none" w:sz="0" w:space="0" w:color="auto"/>
                    <w:bottom w:val="none" w:sz="0" w:space="0" w:color="auto"/>
                    <w:right w:val="none" w:sz="0" w:space="0" w:color="auto"/>
                  </w:divBdr>
                  <w:divsChild>
                    <w:div w:id="879824063">
                      <w:marLeft w:val="0"/>
                      <w:marRight w:val="0"/>
                      <w:marTop w:val="0"/>
                      <w:marBottom w:val="0"/>
                      <w:divBdr>
                        <w:top w:val="none" w:sz="0" w:space="0" w:color="auto"/>
                        <w:left w:val="none" w:sz="0" w:space="0" w:color="auto"/>
                        <w:bottom w:val="none" w:sz="0" w:space="0" w:color="auto"/>
                        <w:right w:val="none" w:sz="0" w:space="0" w:color="auto"/>
                      </w:divBdr>
                    </w:div>
                  </w:divsChild>
                </w:div>
                <w:div w:id="287857894">
                  <w:marLeft w:val="0"/>
                  <w:marRight w:val="0"/>
                  <w:marTop w:val="0"/>
                  <w:marBottom w:val="0"/>
                  <w:divBdr>
                    <w:top w:val="none" w:sz="0" w:space="0" w:color="auto"/>
                    <w:left w:val="none" w:sz="0" w:space="0" w:color="auto"/>
                    <w:bottom w:val="none" w:sz="0" w:space="0" w:color="auto"/>
                    <w:right w:val="none" w:sz="0" w:space="0" w:color="auto"/>
                  </w:divBdr>
                  <w:divsChild>
                    <w:div w:id="742946011">
                      <w:marLeft w:val="0"/>
                      <w:marRight w:val="0"/>
                      <w:marTop w:val="0"/>
                      <w:marBottom w:val="0"/>
                      <w:divBdr>
                        <w:top w:val="none" w:sz="0" w:space="0" w:color="auto"/>
                        <w:left w:val="none" w:sz="0" w:space="0" w:color="auto"/>
                        <w:bottom w:val="none" w:sz="0" w:space="0" w:color="auto"/>
                        <w:right w:val="none" w:sz="0" w:space="0" w:color="auto"/>
                      </w:divBdr>
                    </w:div>
                  </w:divsChild>
                </w:div>
                <w:div w:id="332680722">
                  <w:marLeft w:val="0"/>
                  <w:marRight w:val="0"/>
                  <w:marTop w:val="0"/>
                  <w:marBottom w:val="0"/>
                  <w:divBdr>
                    <w:top w:val="none" w:sz="0" w:space="0" w:color="auto"/>
                    <w:left w:val="none" w:sz="0" w:space="0" w:color="auto"/>
                    <w:bottom w:val="none" w:sz="0" w:space="0" w:color="auto"/>
                    <w:right w:val="none" w:sz="0" w:space="0" w:color="auto"/>
                  </w:divBdr>
                  <w:divsChild>
                    <w:div w:id="204635415">
                      <w:marLeft w:val="0"/>
                      <w:marRight w:val="0"/>
                      <w:marTop w:val="0"/>
                      <w:marBottom w:val="0"/>
                      <w:divBdr>
                        <w:top w:val="none" w:sz="0" w:space="0" w:color="auto"/>
                        <w:left w:val="none" w:sz="0" w:space="0" w:color="auto"/>
                        <w:bottom w:val="none" w:sz="0" w:space="0" w:color="auto"/>
                        <w:right w:val="none" w:sz="0" w:space="0" w:color="auto"/>
                      </w:divBdr>
                    </w:div>
                  </w:divsChild>
                </w:div>
                <w:div w:id="387728379">
                  <w:marLeft w:val="0"/>
                  <w:marRight w:val="0"/>
                  <w:marTop w:val="0"/>
                  <w:marBottom w:val="0"/>
                  <w:divBdr>
                    <w:top w:val="none" w:sz="0" w:space="0" w:color="auto"/>
                    <w:left w:val="none" w:sz="0" w:space="0" w:color="auto"/>
                    <w:bottom w:val="none" w:sz="0" w:space="0" w:color="auto"/>
                    <w:right w:val="none" w:sz="0" w:space="0" w:color="auto"/>
                  </w:divBdr>
                  <w:divsChild>
                    <w:div w:id="1437486533">
                      <w:marLeft w:val="0"/>
                      <w:marRight w:val="0"/>
                      <w:marTop w:val="0"/>
                      <w:marBottom w:val="0"/>
                      <w:divBdr>
                        <w:top w:val="none" w:sz="0" w:space="0" w:color="auto"/>
                        <w:left w:val="none" w:sz="0" w:space="0" w:color="auto"/>
                        <w:bottom w:val="none" w:sz="0" w:space="0" w:color="auto"/>
                        <w:right w:val="none" w:sz="0" w:space="0" w:color="auto"/>
                      </w:divBdr>
                    </w:div>
                    <w:div w:id="1717771762">
                      <w:marLeft w:val="0"/>
                      <w:marRight w:val="0"/>
                      <w:marTop w:val="0"/>
                      <w:marBottom w:val="0"/>
                      <w:divBdr>
                        <w:top w:val="none" w:sz="0" w:space="0" w:color="auto"/>
                        <w:left w:val="none" w:sz="0" w:space="0" w:color="auto"/>
                        <w:bottom w:val="none" w:sz="0" w:space="0" w:color="auto"/>
                        <w:right w:val="none" w:sz="0" w:space="0" w:color="auto"/>
                      </w:divBdr>
                    </w:div>
                    <w:div w:id="1842962618">
                      <w:marLeft w:val="0"/>
                      <w:marRight w:val="0"/>
                      <w:marTop w:val="0"/>
                      <w:marBottom w:val="0"/>
                      <w:divBdr>
                        <w:top w:val="none" w:sz="0" w:space="0" w:color="auto"/>
                        <w:left w:val="none" w:sz="0" w:space="0" w:color="auto"/>
                        <w:bottom w:val="none" w:sz="0" w:space="0" w:color="auto"/>
                        <w:right w:val="none" w:sz="0" w:space="0" w:color="auto"/>
                      </w:divBdr>
                    </w:div>
                  </w:divsChild>
                </w:div>
                <w:div w:id="768358857">
                  <w:marLeft w:val="0"/>
                  <w:marRight w:val="0"/>
                  <w:marTop w:val="0"/>
                  <w:marBottom w:val="0"/>
                  <w:divBdr>
                    <w:top w:val="none" w:sz="0" w:space="0" w:color="auto"/>
                    <w:left w:val="none" w:sz="0" w:space="0" w:color="auto"/>
                    <w:bottom w:val="none" w:sz="0" w:space="0" w:color="auto"/>
                    <w:right w:val="none" w:sz="0" w:space="0" w:color="auto"/>
                  </w:divBdr>
                  <w:divsChild>
                    <w:div w:id="1322198145">
                      <w:marLeft w:val="0"/>
                      <w:marRight w:val="0"/>
                      <w:marTop w:val="0"/>
                      <w:marBottom w:val="0"/>
                      <w:divBdr>
                        <w:top w:val="none" w:sz="0" w:space="0" w:color="auto"/>
                        <w:left w:val="none" w:sz="0" w:space="0" w:color="auto"/>
                        <w:bottom w:val="none" w:sz="0" w:space="0" w:color="auto"/>
                        <w:right w:val="none" w:sz="0" w:space="0" w:color="auto"/>
                      </w:divBdr>
                    </w:div>
                    <w:div w:id="2128818290">
                      <w:marLeft w:val="0"/>
                      <w:marRight w:val="0"/>
                      <w:marTop w:val="0"/>
                      <w:marBottom w:val="0"/>
                      <w:divBdr>
                        <w:top w:val="none" w:sz="0" w:space="0" w:color="auto"/>
                        <w:left w:val="none" w:sz="0" w:space="0" w:color="auto"/>
                        <w:bottom w:val="none" w:sz="0" w:space="0" w:color="auto"/>
                        <w:right w:val="none" w:sz="0" w:space="0" w:color="auto"/>
                      </w:divBdr>
                    </w:div>
                  </w:divsChild>
                </w:div>
                <w:div w:id="1027828490">
                  <w:marLeft w:val="0"/>
                  <w:marRight w:val="0"/>
                  <w:marTop w:val="0"/>
                  <w:marBottom w:val="0"/>
                  <w:divBdr>
                    <w:top w:val="none" w:sz="0" w:space="0" w:color="auto"/>
                    <w:left w:val="none" w:sz="0" w:space="0" w:color="auto"/>
                    <w:bottom w:val="none" w:sz="0" w:space="0" w:color="auto"/>
                    <w:right w:val="none" w:sz="0" w:space="0" w:color="auto"/>
                  </w:divBdr>
                  <w:divsChild>
                    <w:div w:id="1395349915">
                      <w:marLeft w:val="0"/>
                      <w:marRight w:val="0"/>
                      <w:marTop w:val="0"/>
                      <w:marBottom w:val="0"/>
                      <w:divBdr>
                        <w:top w:val="none" w:sz="0" w:space="0" w:color="auto"/>
                        <w:left w:val="none" w:sz="0" w:space="0" w:color="auto"/>
                        <w:bottom w:val="none" w:sz="0" w:space="0" w:color="auto"/>
                        <w:right w:val="none" w:sz="0" w:space="0" w:color="auto"/>
                      </w:divBdr>
                    </w:div>
                  </w:divsChild>
                </w:div>
                <w:div w:id="1448617264">
                  <w:marLeft w:val="0"/>
                  <w:marRight w:val="0"/>
                  <w:marTop w:val="0"/>
                  <w:marBottom w:val="0"/>
                  <w:divBdr>
                    <w:top w:val="none" w:sz="0" w:space="0" w:color="auto"/>
                    <w:left w:val="none" w:sz="0" w:space="0" w:color="auto"/>
                    <w:bottom w:val="none" w:sz="0" w:space="0" w:color="auto"/>
                    <w:right w:val="none" w:sz="0" w:space="0" w:color="auto"/>
                  </w:divBdr>
                  <w:divsChild>
                    <w:div w:id="825753682">
                      <w:marLeft w:val="0"/>
                      <w:marRight w:val="0"/>
                      <w:marTop w:val="0"/>
                      <w:marBottom w:val="0"/>
                      <w:divBdr>
                        <w:top w:val="none" w:sz="0" w:space="0" w:color="auto"/>
                        <w:left w:val="none" w:sz="0" w:space="0" w:color="auto"/>
                        <w:bottom w:val="none" w:sz="0" w:space="0" w:color="auto"/>
                        <w:right w:val="none" w:sz="0" w:space="0" w:color="auto"/>
                      </w:divBdr>
                    </w:div>
                  </w:divsChild>
                </w:div>
                <w:div w:id="1974866657">
                  <w:marLeft w:val="0"/>
                  <w:marRight w:val="0"/>
                  <w:marTop w:val="0"/>
                  <w:marBottom w:val="0"/>
                  <w:divBdr>
                    <w:top w:val="none" w:sz="0" w:space="0" w:color="auto"/>
                    <w:left w:val="none" w:sz="0" w:space="0" w:color="auto"/>
                    <w:bottom w:val="none" w:sz="0" w:space="0" w:color="auto"/>
                    <w:right w:val="none" w:sz="0" w:space="0" w:color="auto"/>
                  </w:divBdr>
                  <w:divsChild>
                    <w:div w:id="468012511">
                      <w:marLeft w:val="0"/>
                      <w:marRight w:val="0"/>
                      <w:marTop w:val="0"/>
                      <w:marBottom w:val="0"/>
                      <w:divBdr>
                        <w:top w:val="none" w:sz="0" w:space="0" w:color="auto"/>
                        <w:left w:val="none" w:sz="0" w:space="0" w:color="auto"/>
                        <w:bottom w:val="none" w:sz="0" w:space="0" w:color="auto"/>
                        <w:right w:val="none" w:sz="0" w:space="0" w:color="auto"/>
                      </w:divBdr>
                    </w:div>
                    <w:div w:id="564802114">
                      <w:marLeft w:val="0"/>
                      <w:marRight w:val="0"/>
                      <w:marTop w:val="0"/>
                      <w:marBottom w:val="0"/>
                      <w:divBdr>
                        <w:top w:val="none" w:sz="0" w:space="0" w:color="auto"/>
                        <w:left w:val="none" w:sz="0" w:space="0" w:color="auto"/>
                        <w:bottom w:val="none" w:sz="0" w:space="0" w:color="auto"/>
                        <w:right w:val="none" w:sz="0" w:space="0" w:color="auto"/>
                      </w:divBdr>
                    </w:div>
                    <w:div w:id="2016494940">
                      <w:marLeft w:val="0"/>
                      <w:marRight w:val="0"/>
                      <w:marTop w:val="0"/>
                      <w:marBottom w:val="0"/>
                      <w:divBdr>
                        <w:top w:val="none" w:sz="0" w:space="0" w:color="auto"/>
                        <w:left w:val="none" w:sz="0" w:space="0" w:color="auto"/>
                        <w:bottom w:val="none" w:sz="0" w:space="0" w:color="auto"/>
                        <w:right w:val="none" w:sz="0" w:space="0" w:color="auto"/>
                      </w:divBdr>
                    </w:div>
                  </w:divsChild>
                </w:div>
                <w:div w:id="2080663017">
                  <w:marLeft w:val="0"/>
                  <w:marRight w:val="0"/>
                  <w:marTop w:val="0"/>
                  <w:marBottom w:val="0"/>
                  <w:divBdr>
                    <w:top w:val="none" w:sz="0" w:space="0" w:color="auto"/>
                    <w:left w:val="none" w:sz="0" w:space="0" w:color="auto"/>
                    <w:bottom w:val="none" w:sz="0" w:space="0" w:color="auto"/>
                    <w:right w:val="none" w:sz="0" w:space="0" w:color="auto"/>
                  </w:divBdr>
                  <w:divsChild>
                    <w:div w:id="1838769679">
                      <w:marLeft w:val="0"/>
                      <w:marRight w:val="0"/>
                      <w:marTop w:val="0"/>
                      <w:marBottom w:val="0"/>
                      <w:divBdr>
                        <w:top w:val="none" w:sz="0" w:space="0" w:color="auto"/>
                        <w:left w:val="none" w:sz="0" w:space="0" w:color="auto"/>
                        <w:bottom w:val="none" w:sz="0" w:space="0" w:color="auto"/>
                        <w:right w:val="none" w:sz="0" w:space="0" w:color="auto"/>
                      </w:divBdr>
                    </w:div>
                  </w:divsChild>
                </w:div>
                <w:div w:id="2110850239">
                  <w:marLeft w:val="0"/>
                  <w:marRight w:val="0"/>
                  <w:marTop w:val="0"/>
                  <w:marBottom w:val="0"/>
                  <w:divBdr>
                    <w:top w:val="none" w:sz="0" w:space="0" w:color="auto"/>
                    <w:left w:val="none" w:sz="0" w:space="0" w:color="auto"/>
                    <w:bottom w:val="none" w:sz="0" w:space="0" w:color="auto"/>
                    <w:right w:val="none" w:sz="0" w:space="0" w:color="auto"/>
                  </w:divBdr>
                  <w:divsChild>
                    <w:div w:id="1982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9998">
          <w:marLeft w:val="0"/>
          <w:marRight w:val="0"/>
          <w:marTop w:val="0"/>
          <w:marBottom w:val="0"/>
          <w:divBdr>
            <w:top w:val="none" w:sz="0" w:space="0" w:color="auto"/>
            <w:left w:val="none" w:sz="0" w:space="0" w:color="auto"/>
            <w:bottom w:val="none" w:sz="0" w:space="0" w:color="auto"/>
            <w:right w:val="none" w:sz="0" w:space="0" w:color="auto"/>
          </w:divBdr>
        </w:div>
        <w:div w:id="1667246792">
          <w:marLeft w:val="0"/>
          <w:marRight w:val="0"/>
          <w:marTop w:val="0"/>
          <w:marBottom w:val="0"/>
          <w:divBdr>
            <w:top w:val="none" w:sz="0" w:space="0" w:color="auto"/>
            <w:left w:val="none" w:sz="0" w:space="0" w:color="auto"/>
            <w:bottom w:val="none" w:sz="0" w:space="0" w:color="auto"/>
            <w:right w:val="none" w:sz="0" w:space="0" w:color="auto"/>
          </w:divBdr>
        </w:div>
        <w:div w:id="1744638280">
          <w:marLeft w:val="0"/>
          <w:marRight w:val="0"/>
          <w:marTop w:val="0"/>
          <w:marBottom w:val="0"/>
          <w:divBdr>
            <w:top w:val="none" w:sz="0" w:space="0" w:color="auto"/>
            <w:left w:val="none" w:sz="0" w:space="0" w:color="auto"/>
            <w:bottom w:val="none" w:sz="0" w:space="0" w:color="auto"/>
            <w:right w:val="none" w:sz="0" w:space="0" w:color="auto"/>
          </w:divBdr>
          <w:divsChild>
            <w:div w:id="843322779">
              <w:marLeft w:val="-75"/>
              <w:marRight w:val="0"/>
              <w:marTop w:val="30"/>
              <w:marBottom w:val="30"/>
              <w:divBdr>
                <w:top w:val="none" w:sz="0" w:space="0" w:color="auto"/>
                <w:left w:val="none" w:sz="0" w:space="0" w:color="auto"/>
                <w:bottom w:val="none" w:sz="0" w:space="0" w:color="auto"/>
                <w:right w:val="none" w:sz="0" w:space="0" w:color="auto"/>
              </w:divBdr>
              <w:divsChild>
                <w:div w:id="22370700">
                  <w:marLeft w:val="0"/>
                  <w:marRight w:val="0"/>
                  <w:marTop w:val="0"/>
                  <w:marBottom w:val="0"/>
                  <w:divBdr>
                    <w:top w:val="none" w:sz="0" w:space="0" w:color="auto"/>
                    <w:left w:val="none" w:sz="0" w:space="0" w:color="auto"/>
                    <w:bottom w:val="none" w:sz="0" w:space="0" w:color="auto"/>
                    <w:right w:val="none" w:sz="0" w:space="0" w:color="auto"/>
                  </w:divBdr>
                  <w:divsChild>
                    <w:div w:id="1250578064">
                      <w:marLeft w:val="0"/>
                      <w:marRight w:val="0"/>
                      <w:marTop w:val="0"/>
                      <w:marBottom w:val="0"/>
                      <w:divBdr>
                        <w:top w:val="none" w:sz="0" w:space="0" w:color="auto"/>
                        <w:left w:val="none" w:sz="0" w:space="0" w:color="auto"/>
                        <w:bottom w:val="none" w:sz="0" w:space="0" w:color="auto"/>
                        <w:right w:val="none" w:sz="0" w:space="0" w:color="auto"/>
                      </w:divBdr>
                    </w:div>
                  </w:divsChild>
                </w:div>
                <w:div w:id="144008867">
                  <w:marLeft w:val="0"/>
                  <w:marRight w:val="0"/>
                  <w:marTop w:val="0"/>
                  <w:marBottom w:val="0"/>
                  <w:divBdr>
                    <w:top w:val="none" w:sz="0" w:space="0" w:color="auto"/>
                    <w:left w:val="none" w:sz="0" w:space="0" w:color="auto"/>
                    <w:bottom w:val="none" w:sz="0" w:space="0" w:color="auto"/>
                    <w:right w:val="none" w:sz="0" w:space="0" w:color="auto"/>
                  </w:divBdr>
                  <w:divsChild>
                    <w:div w:id="36661405">
                      <w:marLeft w:val="0"/>
                      <w:marRight w:val="0"/>
                      <w:marTop w:val="0"/>
                      <w:marBottom w:val="0"/>
                      <w:divBdr>
                        <w:top w:val="none" w:sz="0" w:space="0" w:color="auto"/>
                        <w:left w:val="none" w:sz="0" w:space="0" w:color="auto"/>
                        <w:bottom w:val="none" w:sz="0" w:space="0" w:color="auto"/>
                        <w:right w:val="none" w:sz="0" w:space="0" w:color="auto"/>
                      </w:divBdr>
                    </w:div>
                  </w:divsChild>
                </w:div>
                <w:div w:id="159975894">
                  <w:marLeft w:val="0"/>
                  <w:marRight w:val="0"/>
                  <w:marTop w:val="0"/>
                  <w:marBottom w:val="0"/>
                  <w:divBdr>
                    <w:top w:val="none" w:sz="0" w:space="0" w:color="auto"/>
                    <w:left w:val="none" w:sz="0" w:space="0" w:color="auto"/>
                    <w:bottom w:val="none" w:sz="0" w:space="0" w:color="auto"/>
                    <w:right w:val="none" w:sz="0" w:space="0" w:color="auto"/>
                  </w:divBdr>
                  <w:divsChild>
                    <w:div w:id="625082952">
                      <w:marLeft w:val="0"/>
                      <w:marRight w:val="0"/>
                      <w:marTop w:val="0"/>
                      <w:marBottom w:val="0"/>
                      <w:divBdr>
                        <w:top w:val="none" w:sz="0" w:space="0" w:color="auto"/>
                        <w:left w:val="none" w:sz="0" w:space="0" w:color="auto"/>
                        <w:bottom w:val="none" w:sz="0" w:space="0" w:color="auto"/>
                        <w:right w:val="none" w:sz="0" w:space="0" w:color="auto"/>
                      </w:divBdr>
                    </w:div>
                  </w:divsChild>
                </w:div>
                <w:div w:id="169487166">
                  <w:marLeft w:val="0"/>
                  <w:marRight w:val="0"/>
                  <w:marTop w:val="0"/>
                  <w:marBottom w:val="0"/>
                  <w:divBdr>
                    <w:top w:val="none" w:sz="0" w:space="0" w:color="auto"/>
                    <w:left w:val="none" w:sz="0" w:space="0" w:color="auto"/>
                    <w:bottom w:val="none" w:sz="0" w:space="0" w:color="auto"/>
                    <w:right w:val="none" w:sz="0" w:space="0" w:color="auto"/>
                  </w:divBdr>
                  <w:divsChild>
                    <w:div w:id="137307125">
                      <w:marLeft w:val="0"/>
                      <w:marRight w:val="0"/>
                      <w:marTop w:val="0"/>
                      <w:marBottom w:val="0"/>
                      <w:divBdr>
                        <w:top w:val="none" w:sz="0" w:space="0" w:color="auto"/>
                        <w:left w:val="none" w:sz="0" w:space="0" w:color="auto"/>
                        <w:bottom w:val="none" w:sz="0" w:space="0" w:color="auto"/>
                        <w:right w:val="none" w:sz="0" w:space="0" w:color="auto"/>
                      </w:divBdr>
                    </w:div>
                  </w:divsChild>
                </w:div>
                <w:div w:id="212472120">
                  <w:marLeft w:val="0"/>
                  <w:marRight w:val="0"/>
                  <w:marTop w:val="0"/>
                  <w:marBottom w:val="0"/>
                  <w:divBdr>
                    <w:top w:val="none" w:sz="0" w:space="0" w:color="auto"/>
                    <w:left w:val="none" w:sz="0" w:space="0" w:color="auto"/>
                    <w:bottom w:val="none" w:sz="0" w:space="0" w:color="auto"/>
                    <w:right w:val="none" w:sz="0" w:space="0" w:color="auto"/>
                  </w:divBdr>
                  <w:divsChild>
                    <w:div w:id="305480202">
                      <w:marLeft w:val="0"/>
                      <w:marRight w:val="0"/>
                      <w:marTop w:val="0"/>
                      <w:marBottom w:val="0"/>
                      <w:divBdr>
                        <w:top w:val="none" w:sz="0" w:space="0" w:color="auto"/>
                        <w:left w:val="none" w:sz="0" w:space="0" w:color="auto"/>
                        <w:bottom w:val="none" w:sz="0" w:space="0" w:color="auto"/>
                        <w:right w:val="none" w:sz="0" w:space="0" w:color="auto"/>
                      </w:divBdr>
                    </w:div>
                    <w:div w:id="490948026">
                      <w:marLeft w:val="0"/>
                      <w:marRight w:val="0"/>
                      <w:marTop w:val="0"/>
                      <w:marBottom w:val="0"/>
                      <w:divBdr>
                        <w:top w:val="none" w:sz="0" w:space="0" w:color="auto"/>
                        <w:left w:val="none" w:sz="0" w:space="0" w:color="auto"/>
                        <w:bottom w:val="none" w:sz="0" w:space="0" w:color="auto"/>
                        <w:right w:val="none" w:sz="0" w:space="0" w:color="auto"/>
                      </w:divBdr>
                    </w:div>
                  </w:divsChild>
                </w:div>
                <w:div w:id="247036314">
                  <w:marLeft w:val="0"/>
                  <w:marRight w:val="0"/>
                  <w:marTop w:val="0"/>
                  <w:marBottom w:val="0"/>
                  <w:divBdr>
                    <w:top w:val="none" w:sz="0" w:space="0" w:color="auto"/>
                    <w:left w:val="none" w:sz="0" w:space="0" w:color="auto"/>
                    <w:bottom w:val="none" w:sz="0" w:space="0" w:color="auto"/>
                    <w:right w:val="none" w:sz="0" w:space="0" w:color="auto"/>
                  </w:divBdr>
                  <w:divsChild>
                    <w:div w:id="484979399">
                      <w:marLeft w:val="0"/>
                      <w:marRight w:val="0"/>
                      <w:marTop w:val="0"/>
                      <w:marBottom w:val="0"/>
                      <w:divBdr>
                        <w:top w:val="none" w:sz="0" w:space="0" w:color="auto"/>
                        <w:left w:val="none" w:sz="0" w:space="0" w:color="auto"/>
                        <w:bottom w:val="none" w:sz="0" w:space="0" w:color="auto"/>
                        <w:right w:val="none" w:sz="0" w:space="0" w:color="auto"/>
                      </w:divBdr>
                    </w:div>
                  </w:divsChild>
                </w:div>
                <w:div w:id="275524219">
                  <w:marLeft w:val="0"/>
                  <w:marRight w:val="0"/>
                  <w:marTop w:val="0"/>
                  <w:marBottom w:val="0"/>
                  <w:divBdr>
                    <w:top w:val="none" w:sz="0" w:space="0" w:color="auto"/>
                    <w:left w:val="none" w:sz="0" w:space="0" w:color="auto"/>
                    <w:bottom w:val="none" w:sz="0" w:space="0" w:color="auto"/>
                    <w:right w:val="none" w:sz="0" w:space="0" w:color="auto"/>
                  </w:divBdr>
                  <w:divsChild>
                    <w:div w:id="520820141">
                      <w:marLeft w:val="0"/>
                      <w:marRight w:val="0"/>
                      <w:marTop w:val="0"/>
                      <w:marBottom w:val="0"/>
                      <w:divBdr>
                        <w:top w:val="none" w:sz="0" w:space="0" w:color="auto"/>
                        <w:left w:val="none" w:sz="0" w:space="0" w:color="auto"/>
                        <w:bottom w:val="none" w:sz="0" w:space="0" w:color="auto"/>
                        <w:right w:val="none" w:sz="0" w:space="0" w:color="auto"/>
                      </w:divBdr>
                    </w:div>
                  </w:divsChild>
                </w:div>
                <w:div w:id="286741692">
                  <w:marLeft w:val="0"/>
                  <w:marRight w:val="0"/>
                  <w:marTop w:val="0"/>
                  <w:marBottom w:val="0"/>
                  <w:divBdr>
                    <w:top w:val="none" w:sz="0" w:space="0" w:color="auto"/>
                    <w:left w:val="none" w:sz="0" w:space="0" w:color="auto"/>
                    <w:bottom w:val="none" w:sz="0" w:space="0" w:color="auto"/>
                    <w:right w:val="none" w:sz="0" w:space="0" w:color="auto"/>
                  </w:divBdr>
                  <w:divsChild>
                    <w:div w:id="722412003">
                      <w:marLeft w:val="0"/>
                      <w:marRight w:val="0"/>
                      <w:marTop w:val="0"/>
                      <w:marBottom w:val="0"/>
                      <w:divBdr>
                        <w:top w:val="none" w:sz="0" w:space="0" w:color="auto"/>
                        <w:left w:val="none" w:sz="0" w:space="0" w:color="auto"/>
                        <w:bottom w:val="none" w:sz="0" w:space="0" w:color="auto"/>
                        <w:right w:val="none" w:sz="0" w:space="0" w:color="auto"/>
                      </w:divBdr>
                    </w:div>
                  </w:divsChild>
                </w:div>
                <w:div w:id="303659157">
                  <w:marLeft w:val="0"/>
                  <w:marRight w:val="0"/>
                  <w:marTop w:val="0"/>
                  <w:marBottom w:val="0"/>
                  <w:divBdr>
                    <w:top w:val="none" w:sz="0" w:space="0" w:color="auto"/>
                    <w:left w:val="none" w:sz="0" w:space="0" w:color="auto"/>
                    <w:bottom w:val="none" w:sz="0" w:space="0" w:color="auto"/>
                    <w:right w:val="none" w:sz="0" w:space="0" w:color="auto"/>
                  </w:divBdr>
                  <w:divsChild>
                    <w:div w:id="1080448230">
                      <w:marLeft w:val="0"/>
                      <w:marRight w:val="0"/>
                      <w:marTop w:val="0"/>
                      <w:marBottom w:val="0"/>
                      <w:divBdr>
                        <w:top w:val="none" w:sz="0" w:space="0" w:color="auto"/>
                        <w:left w:val="none" w:sz="0" w:space="0" w:color="auto"/>
                        <w:bottom w:val="none" w:sz="0" w:space="0" w:color="auto"/>
                        <w:right w:val="none" w:sz="0" w:space="0" w:color="auto"/>
                      </w:divBdr>
                    </w:div>
                  </w:divsChild>
                </w:div>
                <w:div w:id="332681251">
                  <w:marLeft w:val="0"/>
                  <w:marRight w:val="0"/>
                  <w:marTop w:val="0"/>
                  <w:marBottom w:val="0"/>
                  <w:divBdr>
                    <w:top w:val="none" w:sz="0" w:space="0" w:color="auto"/>
                    <w:left w:val="none" w:sz="0" w:space="0" w:color="auto"/>
                    <w:bottom w:val="none" w:sz="0" w:space="0" w:color="auto"/>
                    <w:right w:val="none" w:sz="0" w:space="0" w:color="auto"/>
                  </w:divBdr>
                  <w:divsChild>
                    <w:div w:id="2088653720">
                      <w:marLeft w:val="0"/>
                      <w:marRight w:val="0"/>
                      <w:marTop w:val="0"/>
                      <w:marBottom w:val="0"/>
                      <w:divBdr>
                        <w:top w:val="none" w:sz="0" w:space="0" w:color="auto"/>
                        <w:left w:val="none" w:sz="0" w:space="0" w:color="auto"/>
                        <w:bottom w:val="none" w:sz="0" w:space="0" w:color="auto"/>
                        <w:right w:val="none" w:sz="0" w:space="0" w:color="auto"/>
                      </w:divBdr>
                    </w:div>
                  </w:divsChild>
                </w:div>
                <w:div w:id="340937820">
                  <w:marLeft w:val="0"/>
                  <w:marRight w:val="0"/>
                  <w:marTop w:val="0"/>
                  <w:marBottom w:val="0"/>
                  <w:divBdr>
                    <w:top w:val="none" w:sz="0" w:space="0" w:color="auto"/>
                    <w:left w:val="none" w:sz="0" w:space="0" w:color="auto"/>
                    <w:bottom w:val="none" w:sz="0" w:space="0" w:color="auto"/>
                    <w:right w:val="none" w:sz="0" w:space="0" w:color="auto"/>
                  </w:divBdr>
                  <w:divsChild>
                    <w:div w:id="1412699468">
                      <w:marLeft w:val="0"/>
                      <w:marRight w:val="0"/>
                      <w:marTop w:val="0"/>
                      <w:marBottom w:val="0"/>
                      <w:divBdr>
                        <w:top w:val="none" w:sz="0" w:space="0" w:color="auto"/>
                        <w:left w:val="none" w:sz="0" w:space="0" w:color="auto"/>
                        <w:bottom w:val="none" w:sz="0" w:space="0" w:color="auto"/>
                        <w:right w:val="none" w:sz="0" w:space="0" w:color="auto"/>
                      </w:divBdr>
                    </w:div>
                  </w:divsChild>
                </w:div>
                <w:div w:id="413863321">
                  <w:marLeft w:val="0"/>
                  <w:marRight w:val="0"/>
                  <w:marTop w:val="0"/>
                  <w:marBottom w:val="0"/>
                  <w:divBdr>
                    <w:top w:val="none" w:sz="0" w:space="0" w:color="auto"/>
                    <w:left w:val="none" w:sz="0" w:space="0" w:color="auto"/>
                    <w:bottom w:val="none" w:sz="0" w:space="0" w:color="auto"/>
                    <w:right w:val="none" w:sz="0" w:space="0" w:color="auto"/>
                  </w:divBdr>
                  <w:divsChild>
                    <w:div w:id="21324047">
                      <w:marLeft w:val="0"/>
                      <w:marRight w:val="0"/>
                      <w:marTop w:val="0"/>
                      <w:marBottom w:val="0"/>
                      <w:divBdr>
                        <w:top w:val="none" w:sz="0" w:space="0" w:color="auto"/>
                        <w:left w:val="none" w:sz="0" w:space="0" w:color="auto"/>
                        <w:bottom w:val="none" w:sz="0" w:space="0" w:color="auto"/>
                        <w:right w:val="none" w:sz="0" w:space="0" w:color="auto"/>
                      </w:divBdr>
                    </w:div>
                  </w:divsChild>
                </w:div>
                <w:div w:id="432896734">
                  <w:marLeft w:val="0"/>
                  <w:marRight w:val="0"/>
                  <w:marTop w:val="0"/>
                  <w:marBottom w:val="0"/>
                  <w:divBdr>
                    <w:top w:val="none" w:sz="0" w:space="0" w:color="auto"/>
                    <w:left w:val="none" w:sz="0" w:space="0" w:color="auto"/>
                    <w:bottom w:val="none" w:sz="0" w:space="0" w:color="auto"/>
                    <w:right w:val="none" w:sz="0" w:space="0" w:color="auto"/>
                  </w:divBdr>
                  <w:divsChild>
                    <w:div w:id="1476875327">
                      <w:marLeft w:val="0"/>
                      <w:marRight w:val="0"/>
                      <w:marTop w:val="0"/>
                      <w:marBottom w:val="0"/>
                      <w:divBdr>
                        <w:top w:val="none" w:sz="0" w:space="0" w:color="auto"/>
                        <w:left w:val="none" w:sz="0" w:space="0" w:color="auto"/>
                        <w:bottom w:val="none" w:sz="0" w:space="0" w:color="auto"/>
                        <w:right w:val="none" w:sz="0" w:space="0" w:color="auto"/>
                      </w:divBdr>
                    </w:div>
                  </w:divsChild>
                </w:div>
                <w:div w:id="433481062">
                  <w:marLeft w:val="0"/>
                  <w:marRight w:val="0"/>
                  <w:marTop w:val="0"/>
                  <w:marBottom w:val="0"/>
                  <w:divBdr>
                    <w:top w:val="none" w:sz="0" w:space="0" w:color="auto"/>
                    <w:left w:val="none" w:sz="0" w:space="0" w:color="auto"/>
                    <w:bottom w:val="none" w:sz="0" w:space="0" w:color="auto"/>
                    <w:right w:val="none" w:sz="0" w:space="0" w:color="auto"/>
                  </w:divBdr>
                  <w:divsChild>
                    <w:div w:id="817301312">
                      <w:marLeft w:val="0"/>
                      <w:marRight w:val="0"/>
                      <w:marTop w:val="0"/>
                      <w:marBottom w:val="0"/>
                      <w:divBdr>
                        <w:top w:val="none" w:sz="0" w:space="0" w:color="auto"/>
                        <w:left w:val="none" w:sz="0" w:space="0" w:color="auto"/>
                        <w:bottom w:val="none" w:sz="0" w:space="0" w:color="auto"/>
                        <w:right w:val="none" w:sz="0" w:space="0" w:color="auto"/>
                      </w:divBdr>
                    </w:div>
                  </w:divsChild>
                </w:div>
                <w:div w:id="471749376">
                  <w:marLeft w:val="0"/>
                  <w:marRight w:val="0"/>
                  <w:marTop w:val="0"/>
                  <w:marBottom w:val="0"/>
                  <w:divBdr>
                    <w:top w:val="none" w:sz="0" w:space="0" w:color="auto"/>
                    <w:left w:val="none" w:sz="0" w:space="0" w:color="auto"/>
                    <w:bottom w:val="none" w:sz="0" w:space="0" w:color="auto"/>
                    <w:right w:val="none" w:sz="0" w:space="0" w:color="auto"/>
                  </w:divBdr>
                  <w:divsChild>
                    <w:div w:id="1802571581">
                      <w:marLeft w:val="0"/>
                      <w:marRight w:val="0"/>
                      <w:marTop w:val="0"/>
                      <w:marBottom w:val="0"/>
                      <w:divBdr>
                        <w:top w:val="none" w:sz="0" w:space="0" w:color="auto"/>
                        <w:left w:val="none" w:sz="0" w:space="0" w:color="auto"/>
                        <w:bottom w:val="none" w:sz="0" w:space="0" w:color="auto"/>
                        <w:right w:val="none" w:sz="0" w:space="0" w:color="auto"/>
                      </w:divBdr>
                    </w:div>
                  </w:divsChild>
                </w:div>
                <w:div w:id="504587511">
                  <w:marLeft w:val="0"/>
                  <w:marRight w:val="0"/>
                  <w:marTop w:val="0"/>
                  <w:marBottom w:val="0"/>
                  <w:divBdr>
                    <w:top w:val="none" w:sz="0" w:space="0" w:color="auto"/>
                    <w:left w:val="none" w:sz="0" w:space="0" w:color="auto"/>
                    <w:bottom w:val="none" w:sz="0" w:space="0" w:color="auto"/>
                    <w:right w:val="none" w:sz="0" w:space="0" w:color="auto"/>
                  </w:divBdr>
                  <w:divsChild>
                    <w:div w:id="1950971663">
                      <w:marLeft w:val="0"/>
                      <w:marRight w:val="0"/>
                      <w:marTop w:val="0"/>
                      <w:marBottom w:val="0"/>
                      <w:divBdr>
                        <w:top w:val="none" w:sz="0" w:space="0" w:color="auto"/>
                        <w:left w:val="none" w:sz="0" w:space="0" w:color="auto"/>
                        <w:bottom w:val="none" w:sz="0" w:space="0" w:color="auto"/>
                        <w:right w:val="none" w:sz="0" w:space="0" w:color="auto"/>
                      </w:divBdr>
                    </w:div>
                  </w:divsChild>
                </w:div>
                <w:div w:id="547500501">
                  <w:marLeft w:val="0"/>
                  <w:marRight w:val="0"/>
                  <w:marTop w:val="0"/>
                  <w:marBottom w:val="0"/>
                  <w:divBdr>
                    <w:top w:val="none" w:sz="0" w:space="0" w:color="auto"/>
                    <w:left w:val="none" w:sz="0" w:space="0" w:color="auto"/>
                    <w:bottom w:val="none" w:sz="0" w:space="0" w:color="auto"/>
                    <w:right w:val="none" w:sz="0" w:space="0" w:color="auto"/>
                  </w:divBdr>
                  <w:divsChild>
                    <w:div w:id="1401749511">
                      <w:marLeft w:val="0"/>
                      <w:marRight w:val="0"/>
                      <w:marTop w:val="0"/>
                      <w:marBottom w:val="0"/>
                      <w:divBdr>
                        <w:top w:val="none" w:sz="0" w:space="0" w:color="auto"/>
                        <w:left w:val="none" w:sz="0" w:space="0" w:color="auto"/>
                        <w:bottom w:val="none" w:sz="0" w:space="0" w:color="auto"/>
                        <w:right w:val="none" w:sz="0" w:space="0" w:color="auto"/>
                      </w:divBdr>
                    </w:div>
                  </w:divsChild>
                </w:div>
                <w:div w:id="558054163">
                  <w:marLeft w:val="0"/>
                  <w:marRight w:val="0"/>
                  <w:marTop w:val="0"/>
                  <w:marBottom w:val="0"/>
                  <w:divBdr>
                    <w:top w:val="none" w:sz="0" w:space="0" w:color="auto"/>
                    <w:left w:val="none" w:sz="0" w:space="0" w:color="auto"/>
                    <w:bottom w:val="none" w:sz="0" w:space="0" w:color="auto"/>
                    <w:right w:val="none" w:sz="0" w:space="0" w:color="auto"/>
                  </w:divBdr>
                  <w:divsChild>
                    <w:div w:id="432210611">
                      <w:marLeft w:val="0"/>
                      <w:marRight w:val="0"/>
                      <w:marTop w:val="0"/>
                      <w:marBottom w:val="0"/>
                      <w:divBdr>
                        <w:top w:val="none" w:sz="0" w:space="0" w:color="auto"/>
                        <w:left w:val="none" w:sz="0" w:space="0" w:color="auto"/>
                        <w:bottom w:val="none" w:sz="0" w:space="0" w:color="auto"/>
                        <w:right w:val="none" w:sz="0" w:space="0" w:color="auto"/>
                      </w:divBdr>
                    </w:div>
                  </w:divsChild>
                </w:div>
                <w:div w:id="580330999">
                  <w:marLeft w:val="0"/>
                  <w:marRight w:val="0"/>
                  <w:marTop w:val="0"/>
                  <w:marBottom w:val="0"/>
                  <w:divBdr>
                    <w:top w:val="none" w:sz="0" w:space="0" w:color="auto"/>
                    <w:left w:val="none" w:sz="0" w:space="0" w:color="auto"/>
                    <w:bottom w:val="none" w:sz="0" w:space="0" w:color="auto"/>
                    <w:right w:val="none" w:sz="0" w:space="0" w:color="auto"/>
                  </w:divBdr>
                  <w:divsChild>
                    <w:div w:id="1269654939">
                      <w:marLeft w:val="0"/>
                      <w:marRight w:val="0"/>
                      <w:marTop w:val="0"/>
                      <w:marBottom w:val="0"/>
                      <w:divBdr>
                        <w:top w:val="none" w:sz="0" w:space="0" w:color="auto"/>
                        <w:left w:val="none" w:sz="0" w:space="0" w:color="auto"/>
                        <w:bottom w:val="none" w:sz="0" w:space="0" w:color="auto"/>
                        <w:right w:val="none" w:sz="0" w:space="0" w:color="auto"/>
                      </w:divBdr>
                    </w:div>
                  </w:divsChild>
                </w:div>
                <w:div w:id="595862916">
                  <w:marLeft w:val="0"/>
                  <w:marRight w:val="0"/>
                  <w:marTop w:val="0"/>
                  <w:marBottom w:val="0"/>
                  <w:divBdr>
                    <w:top w:val="none" w:sz="0" w:space="0" w:color="auto"/>
                    <w:left w:val="none" w:sz="0" w:space="0" w:color="auto"/>
                    <w:bottom w:val="none" w:sz="0" w:space="0" w:color="auto"/>
                    <w:right w:val="none" w:sz="0" w:space="0" w:color="auto"/>
                  </w:divBdr>
                  <w:divsChild>
                    <w:div w:id="1193810316">
                      <w:marLeft w:val="0"/>
                      <w:marRight w:val="0"/>
                      <w:marTop w:val="0"/>
                      <w:marBottom w:val="0"/>
                      <w:divBdr>
                        <w:top w:val="none" w:sz="0" w:space="0" w:color="auto"/>
                        <w:left w:val="none" w:sz="0" w:space="0" w:color="auto"/>
                        <w:bottom w:val="none" w:sz="0" w:space="0" w:color="auto"/>
                        <w:right w:val="none" w:sz="0" w:space="0" w:color="auto"/>
                      </w:divBdr>
                    </w:div>
                  </w:divsChild>
                </w:div>
                <w:div w:id="615331611">
                  <w:marLeft w:val="0"/>
                  <w:marRight w:val="0"/>
                  <w:marTop w:val="0"/>
                  <w:marBottom w:val="0"/>
                  <w:divBdr>
                    <w:top w:val="none" w:sz="0" w:space="0" w:color="auto"/>
                    <w:left w:val="none" w:sz="0" w:space="0" w:color="auto"/>
                    <w:bottom w:val="none" w:sz="0" w:space="0" w:color="auto"/>
                    <w:right w:val="none" w:sz="0" w:space="0" w:color="auto"/>
                  </w:divBdr>
                  <w:divsChild>
                    <w:div w:id="1009986761">
                      <w:marLeft w:val="0"/>
                      <w:marRight w:val="0"/>
                      <w:marTop w:val="0"/>
                      <w:marBottom w:val="0"/>
                      <w:divBdr>
                        <w:top w:val="none" w:sz="0" w:space="0" w:color="auto"/>
                        <w:left w:val="none" w:sz="0" w:space="0" w:color="auto"/>
                        <w:bottom w:val="none" w:sz="0" w:space="0" w:color="auto"/>
                        <w:right w:val="none" w:sz="0" w:space="0" w:color="auto"/>
                      </w:divBdr>
                    </w:div>
                  </w:divsChild>
                </w:div>
                <w:div w:id="649290378">
                  <w:marLeft w:val="0"/>
                  <w:marRight w:val="0"/>
                  <w:marTop w:val="0"/>
                  <w:marBottom w:val="0"/>
                  <w:divBdr>
                    <w:top w:val="none" w:sz="0" w:space="0" w:color="auto"/>
                    <w:left w:val="none" w:sz="0" w:space="0" w:color="auto"/>
                    <w:bottom w:val="none" w:sz="0" w:space="0" w:color="auto"/>
                    <w:right w:val="none" w:sz="0" w:space="0" w:color="auto"/>
                  </w:divBdr>
                  <w:divsChild>
                    <w:div w:id="1209296998">
                      <w:marLeft w:val="0"/>
                      <w:marRight w:val="0"/>
                      <w:marTop w:val="0"/>
                      <w:marBottom w:val="0"/>
                      <w:divBdr>
                        <w:top w:val="none" w:sz="0" w:space="0" w:color="auto"/>
                        <w:left w:val="none" w:sz="0" w:space="0" w:color="auto"/>
                        <w:bottom w:val="none" w:sz="0" w:space="0" w:color="auto"/>
                        <w:right w:val="none" w:sz="0" w:space="0" w:color="auto"/>
                      </w:divBdr>
                    </w:div>
                  </w:divsChild>
                </w:div>
                <w:div w:id="710695284">
                  <w:marLeft w:val="0"/>
                  <w:marRight w:val="0"/>
                  <w:marTop w:val="0"/>
                  <w:marBottom w:val="0"/>
                  <w:divBdr>
                    <w:top w:val="none" w:sz="0" w:space="0" w:color="auto"/>
                    <w:left w:val="none" w:sz="0" w:space="0" w:color="auto"/>
                    <w:bottom w:val="none" w:sz="0" w:space="0" w:color="auto"/>
                    <w:right w:val="none" w:sz="0" w:space="0" w:color="auto"/>
                  </w:divBdr>
                  <w:divsChild>
                    <w:div w:id="642735028">
                      <w:marLeft w:val="0"/>
                      <w:marRight w:val="0"/>
                      <w:marTop w:val="0"/>
                      <w:marBottom w:val="0"/>
                      <w:divBdr>
                        <w:top w:val="none" w:sz="0" w:space="0" w:color="auto"/>
                        <w:left w:val="none" w:sz="0" w:space="0" w:color="auto"/>
                        <w:bottom w:val="none" w:sz="0" w:space="0" w:color="auto"/>
                        <w:right w:val="none" w:sz="0" w:space="0" w:color="auto"/>
                      </w:divBdr>
                    </w:div>
                  </w:divsChild>
                </w:div>
                <w:div w:id="825897931">
                  <w:marLeft w:val="0"/>
                  <w:marRight w:val="0"/>
                  <w:marTop w:val="0"/>
                  <w:marBottom w:val="0"/>
                  <w:divBdr>
                    <w:top w:val="none" w:sz="0" w:space="0" w:color="auto"/>
                    <w:left w:val="none" w:sz="0" w:space="0" w:color="auto"/>
                    <w:bottom w:val="none" w:sz="0" w:space="0" w:color="auto"/>
                    <w:right w:val="none" w:sz="0" w:space="0" w:color="auto"/>
                  </w:divBdr>
                  <w:divsChild>
                    <w:div w:id="597563225">
                      <w:marLeft w:val="0"/>
                      <w:marRight w:val="0"/>
                      <w:marTop w:val="0"/>
                      <w:marBottom w:val="0"/>
                      <w:divBdr>
                        <w:top w:val="none" w:sz="0" w:space="0" w:color="auto"/>
                        <w:left w:val="none" w:sz="0" w:space="0" w:color="auto"/>
                        <w:bottom w:val="none" w:sz="0" w:space="0" w:color="auto"/>
                        <w:right w:val="none" w:sz="0" w:space="0" w:color="auto"/>
                      </w:divBdr>
                    </w:div>
                  </w:divsChild>
                </w:div>
                <w:div w:id="874540938">
                  <w:marLeft w:val="0"/>
                  <w:marRight w:val="0"/>
                  <w:marTop w:val="0"/>
                  <w:marBottom w:val="0"/>
                  <w:divBdr>
                    <w:top w:val="none" w:sz="0" w:space="0" w:color="auto"/>
                    <w:left w:val="none" w:sz="0" w:space="0" w:color="auto"/>
                    <w:bottom w:val="none" w:sz="0" w:space="0" w:color="auto"/>
                    <w:right w:val="none" w:sz="0" w:space="0" w:color="auto"/>
                  </w:divBdr>
                  <w:divsChild>
                    <w:div w:id="551622736">
                      <w:marLeft w:val="0"/>
                      <w:marRight w:val="0"/>
                      <w:marTop w:val="0"/>
                      <w:marBottom w:val="0"/>
                      <w:divBdr>
                        <w:top w:val="none" w:sz="0" w:space="0" w:color="auto"/>
                        <w:left w:val="none" w:sz="0" w:space="0" w:color="auto"/>
                        <w:bottom w:val="none" w:sz="0" w:space="0" w:color="auto"/>
                        <w:right w:val="none" w:sz="0" w:space="0" w:color="auto"/>
                      </w:divBdr>
                    </w:div>
                  </w:divsChild>
                </w:div>
                <w:div w:id="891500857">
                  <w:marLeft w:val="0"/>
                  <w:marRight w:val="0"/>
                  <w:marTop w:val="0"/>
                  <w:marBottom w:val="0"/>
                  <w:divBdr>
                    <w:top w:val="none" w:sz="0" w:space="0" w:color="auto"/>
                    <w:left w:val="none" w:sz="0" w:space="0" w:color="auto"/>
                    <w:bottom w:val="none" w:sz="0" w:space="0" w:color="auto"/>
                    <w:right w:val="none" w:sz="0" w:space="0" w:color="auto"/>
                  </w:divBdr>
                  <w:divsChild>
                    <w:div w:id="1000233695">
                      <w:marLeft w:val="0"/>
                      <w:marRight w:val="0"/>
                      <w:marTop w:val="0"/>
                      <w:marBottom w:val="0"/>
                      <w:divBdr>
                        <w:top w:val="none" w:sz="0" w:space="0" w:color="auto"/>
                        <w:left w:val="none" w:sz="0" w:space="0" w:color="auto"/>
                        <w:bottom w:val="none" w:sz="0" w:space="0" w:color="auto"/>
                        <w:right w:val="none" w:sz="0" w:space="0" w:color="auto"/>
                      </w:divBdr>
                    </w:div>
                  </w:divsChild>
                </w:div>
                <w:div w:id="911768306">
                  <w:marLeft w:val="0"/>
                  <w:marRight w:val="0"/>
                  <w:marTop w:val="0"/>
                  <w:marBottom w:val="0"/>
                  <w:divBdr>
                    <w:top w:val="none" w:sz="0" w:space="0" w:color="auto"/>
                    <w:left w:val="none" w:sz="0" w:space="0" w:color="auto"/>
                    <w:bottom w:val="none" w:sz="0" w:space="0" w:color="auto"/>
                    <w:right w:val="none" w:sz="0" w:space="0" w:color="auto"/>
                  </w:divBdr>
                  <w:divsChild>
                    <w:div w:id="626618701">
                      <w:marLeft w:val="0"/>
                      <w:marRight w:val="0"/>
                      <w:marTop w:val="0"/>
                      <w:marBottom w:val="0"/>
                      <w:divBdr>
                        <w:top w:val="none" w:sz="0" w:space="0" w:color="auto"/>
                        <w:left w:val="none" w:sz="0" w:space="0" w:color="auto"/>
                        <w:bottom w:val="none" w:sz="0" w:space="0" w:color="auto"/>
                        <w:right w:val="none" w:sz="0" w:space="0" w:color="auto"/>
                      </w:divBdr>
                    </w:div>
                  </w:divsChild>
                </w:div>
                <w:div w:id="923415513">
                  <w:marLeft w:val="0"/>
                  <w:marRight w:val="0"/>
                  <w:marTop w:val="0"/>
                  <w:marBottom w:val="0"/>
                  <w:divBdr>
                    <w:top w:val="none" w:sz="0" w:space="0" w:color="auto"/>
                    <w:left w:val="none" w:sz="0" w:space="0" w:color="auto"/>
                    <w:bottom w:val="none" w:sz="0" w:space="0" w:color="auto"/>
                    <w:right w:val="none" w:sz="0" w:space="0" w:color="auto"/>
                  </w:divBdr>
                  <w:divsChild>
                    <w:div w:id="32190806">
                      <w:marLeft w:val="0"/>
                      <w:marRight w:val="0"/>
                      <w:marTop w:val="0"/>
                      <w:marBottom w:val="0"/>
                      <w:divBdr>
                        <w:top w:val="none" w:sz="0" w:space="0" w:color="auto"/>
                        <w:left w:val="none" w:sz="0" w:space="0" w:color="auto"/>
                        <w:bottom w:val="none" w:sz="0" w:space="0" w:color="auto"/>
                        <w:right w:val="none" w:sz="0" w:space="0" w:color="auto"/>
                      </w:divBdr>
                    </w:div>
                  </w:divsChild>
                </w:div>
                <w:div w:id="1069494572">
                  <w:marLeft w:val="0"/>
                  <w:marRight w:val="0"/>
                  <w:marTop w:val="0"/>
                  <w:marBottom w:val="0"/>
                  <w:divBdr>
                    <w:top w:val="none" w:sz="0" w:space="0" w:color="auto"/>
                    <w:left w:val="none" w:sz="0" w:space="0" w:color="auto"/>
                    <w:bottom w:val="none" w:sz="0" w:space="0" w:color="auto"/>
                    <w:right w:val="none" w:sz="0" w:space="0" w:color="auto"/>
                  </w:divBdr>
                  <w:divsChild>
                    <w:div w:id="2076274884">
                      <w:marLeft w:val="0"/>
                      <w:marRight w:val="0"/>
                      <w:marTop w:val="0"/>
                      <w:marBottom w:val="0"/>
                      <w:divBdr>
                        <w:top w:val="none" w:sz="0" w:space="0" w:color="auto"/>
                        <w:left w:val="none" w:sz="0" w:space="0" w:color="auto"/>
                        <w:bottom w:val="none" w:sz="0" w:space="0" w:color="auto"/>
                        <w:right w:val="none" w:sz="0" w:space="0" w:color="auto"/>
                      </w:divBdr>
                    </w:div>
                  </w:divsChild>
                </w:div>
                <w:div w:id="1086458581">
                  <w:marLeft w:val="0"/>
                  <w:marRight w:val="0"/>
                  <w:marTop w:val="0"/>
                  <w:marBottom w:val="0"/>
                  <w:divBdr>
                    <w:top w:val="none" w:sz="0" w:space="0" w:color="auto"/>
                    <w:left w:val="none" w:sz="0" w:space="0" w:color="auto"/>
                    <w:bottom w:val="none" w:sz="0" w:space="0" w:color="auto"/>
                    <w:right w:val="none" w:sz="0" w:space="0" w:color="auto"/>
                  </w:divBdr>
                  <w:divsChild>
                    <w:div w:id="1572696107">
                      <w:marLeft w:val="0"/>
                      <w:marRight w:val="0"/>
                      <w:marTop w:val="0"/>
                      <w:marBottom w:val="0"/>
                      <w:divBdr>
                        <w:top w:val="none" w:sz="0" w:space="0" w:color="auto"/>
                        <w:left w:val="none" w:sz="0" w:space="0" w:color="auto"/>
                        <w:bottom w:val="none" w:sz="0" w:space="0" w:color="auto"/>
                        <w:right w:val="none" w:sz="0" w:space="0" w:color="auto"/>
                      </w:divBdr>
                    </w:div>
                  </w:divsChild>
                </w:div>
                <w:div w:id="1111633860">
                  <w:marLeft w:val="0"/>
                  <w:marRight w:val="0"/>
                  <w:marTop w:val="0"/>
                  <w:marBottom w:val="0"/>
                  <w:divBdr>
                    <w:top w:val="none" w:sz="0" w:space="0" w:color="auto"/>
                    <w:left w:val="none" w:sz="0" w:space="0" w:color="auto"/>
                    <w:bottom w:val="none" w:sz="0" w:space="0" w:color="auto"/>
                    <w:right w:val="none" w:sz="0" w:space="0" w:color="auto"/>
                  </w:divBdr>
                  <w:divsChild>
                    <w:div w:id="1672676884">
                      <w:marLeft w:val="0"/>
                      <w:marRight w:val="0"/>
                      <w:marTop w:val="0"/>
                      <w:marBottom w:val="0"/>
                      <w:divBdr>
                        <w:top w:val="none" w:sz="0" w:space="0" w:color="auto"/>
                        <w:left w:val="none" w:sz="0" w:space="0" w:color="auto"/>
                        <w:bottom w:val="none" w:sz="0" w:space="0" w:color="auto"/>
                        <w:right w:val="none" w:sz="0" w:space="0" w:color="auto"/>
                      </w:divBdr>
                    </w:div>
                  </w:divsChild>
                </w:div>
                <w:div w:id="1116558480">
                  <w:marLeft w:val="0"/>
                  <w:marRight w:val="0"/>
                  <w:marTop w:val="0"/>
                  <w:marBottom w:val="0"/>
                  <w:divBdr>
                    <w:top w:val="none" w:sz="0" w:space="0" w:color="auto"/>
                    <w:left w:val="none" w:sz="0" w:space="0" w:color="auto"/>
                    <w:bottom w:val="none" w:sz="0" w:space="0" w:color="auto"/>
                    <w:right w:val="none" w:sz="0" w:space="0" w:color="auto"/>
                  </w:divBdr>
                  <w:divsChild>
                    <w:div w:id="1847596849">
                      <w:marLeft w:val="0"/>
                      <w:marRight w:val="0"/>
                      <w:marTop w:val="0"/>
                      <w:marBottom w:val="0"/>
                      <w:divBdr>
                        <w:top w:val="none" w:sz="0" w:space="0" w:color="auto"/>
                        <w:left w:val="none" w:sz="0" w:space="0" w:color="auto"/>
                        <w:bottom w:val="none" w:sz="0" w:space="0" w:color="auto"/>
                        <w:right w:val="none" w:sz="0" w:space="0" w:color="auto"/>
                      </w:divBdr>
                    </w:div>
                  </w:divsChild>
                </w:div>
                <w:div w:id="1153326495">
                  <w:marLeft w:val="0"/>
                  <w:marRight w:val="0"/>
                  <w:marTop w:val="0"/>
                  <w:marBottom w:val="0"/>
                  <w:divBdr>
                    <w:top w:val="none" w:sz="0" w:space="0" w:color="auto"/>
                    <w:left w:val="none" w:sz="0" w:space="0" w:color="auto"/>
                    <w:bottom w:val="none" w:sz="0" w:space="0" w:color="auto"/>
                    <w:right w:val="none" w:sz="0" w:space="0" w:color="auto"/>
                  </w:divBdr>
                  <w:divsChild>
                    <w:div w:id="1516117884">
                      <w:marLeft w:val="0"/>
                      <w:marRight w:val="0"/>
                      <w:marTop w:val="0"/>
                      <w:marBottom w:val="0"/>
                      <w:divBdr>
                        <w:top w:val="none" w:sz="0" w:space="0" w:color="auto"/>
                        <w:left w:val="none" w:sz="0" w:space="0" w:color="auto"/>
                        <w:bottom w:val="none" w:sz="0" w:space="0" w:color="auto"/>
                        <w:right w:val="none" w:sz="0" w:space="0" w:color="auto"/>
                      </w:divBdr>
                    </w:div>
                    <w:div w:id="1671062850">
                      <w:marLeft w:val="0"/>
                      <w:marRight w:val="0"/>
                      <w:marTop w:val="0"/>
                      <w:marBottom w:val="0"/>
                      <w:divBdr>
                        <w:top w:val="none" w:sz="0" w:space="0" w:color="auto"/>
                        <w:left w:val="none" w:sz="0" w:space="0" w:color="auto"/>
                        <w:bottom w:val="none" w:sz="0" w:space="0" w:color="auto"/>
                        <w:right w:val="none" w:sz="0" w:space="0" w:color="auto"/>
                      </w:divBdr>
                    </w:div>
                  </w:divsChild>
                </w:div>
                <w:div w:id="1182233916">
                  <w:marLeft w:val="0"/>
                  <w:marRight w:val="0"/>
                  <w:marTop w:val="0"/>
                  <w:marBottom w:val="0"/>
                  <w:divBdr>
                    <w:top w:val="none" w:sz="0" w:space="0" w:color="auto"/>
                    <w:left w:val="none" w:sz="0" w:space="0" w:color="auto"/>
                    <w:bottom w:val="none" w:sz="0" w:space="0" w:color="auto"/>
                    <w:right w:val="none" w:sz="0" w:space="0" w:color="auto"/>
                  </w:divBdr>
                  <w:divsChild>
                    <w:div w:id="950623704">
                      <w:marLeft w:val="0"/>
                      <w:marRight w:val="0"/>
                      <w:marTop w:val="0"/>
                      <w:marBottom w:val="0"/>
                      <w:divBdr>
                        <w:top w:val="none" w:sz="0" w:space="0" w:color="auto"/>
                        <w:left w:val="none" w:sz="0" w:space="0" w:color="auto"/>
                        <w:bottom w:val="none" w:sz="0" w:space="0" w:color="auto"/>
                        <w:right w:val="none" w:sz="0" w:space="0" w:color="auto"/>
                      </w:divBdr>
                    </w:div>
                  </w:divsChild>
                </w:div>
                <w:div w:id="1195997616">
                  <w:marLeft w:val="0"/>
                  <w:marRight w:val="0"/>
                  <w:marTop w:val="0"/>
                  <w:marBottom w:val="0"/>
                  <w:divBdr>
                    <w:top w:val="none" w:sz="0" w:space="0" w:color="auto"/>
                    <w:left w:val="none" w:sz="0" w:space="0" w:color="auto"/>
                    <w:bottom w:val="none" w:sz="0" w:space="0" w:color="auto"/>
                    <w:right w:val="none" w:sz="0" w:space="0" w:color="auto"/>
                  </w:divBdr>
                  <w:divsChild>
                    <w:div w:id="2008240029">
                      <w:marLeft w:val="0"/>
                      <w:marRight w:val="0"/>
                      <w:marTop w:val="0"/>
                      <w:marBottom w:val="0"/>
                      <w:divBdr>
                        <w:top w:val="none" w:sz="0" w:space="0" w:color="auto"/>
                        <w:left w:val="none" w:sz="0" w:space="0" w:color="auto"/>
                        <w:bottom w:val="none" w:sz="0" w:space="0" w:color="auto"/>
                        <w:right w:val="none" w:sz="0" w:space="0" w:color="auto"/>
                      </w:divBdr>
                    </w:div>
                  </w:divsChild>
                </w:div>
                <w:div w:id="1200243606">
                  <w:marLeft w:val="0"/>
                  <w:marRight w:val="0"/>
                  <w:marTop w:val="0"/>
                  <w:marBottom w:val="0"/>
                  <w:divBdr>
                    <w:top w:val="none" w:sz="0" w:space="0" w:color="auto"/>
                    <w:left w:val="none" w:sz="0" w:space="0" w:color="auto"/>
                    <w:bottom w:val="none" w:sz="0" w:space="0" w:color="auto"/>
                    <w:right w:val="none" w:sz="0" w:space="0" w:color="auto"/>
                  </w:divBdr>
                  <w:divsChild>
                    <w:div w:id="688946063">
                      <w:marLeft w:val="0"/>
                      <w:marRight w:val="0"/>
                      <w:marTop w:val="0"/>
                      <w:marBottom w:val="0"/>
                      <w:divBdr>
                        <w:top w:val="none" w:sz="0" w:space="0" w:color="auto"/>
                        <w:left w:val="none" w:sz="0" w:space="0" w:color="auto"/>
                        <w:bottom w:val="none" w:sz="0" w:space="0" w:color="auto"/>
                        <w:right w:val="none" w:sz="0" w:space="0" w:color="auto"/>
                      </w:divBdr>
                    </w:div>
                  </w:divsChild>
                </w:div>
                <w:div w:id="1232690860">
                  <w:marLeft w:val="0"/>
                  <w:marRight w:val="0"/>
                  <w:marTop w:val="0"/>
                  <w:marBottom w:val="0"/>
                  <w:divBdr>
                    <w:top w:val="none" w:sz="0" w:space="0" w:color="auto"/>
                    <w:left w:val="none" w:sz="0" w:space="0" w:color="auto"/>
                    <w:bottom w:val="none" w:sz="0" w:space="0" w:color="auto"/>
                    <w:right w:val="none" w:sz="0" w:space="0" w:color="auto"/>
                  </w:divBdr>
                  <w:divsChild>
                    <w:div w:id="1997957229">
                      <w:marLeft w:val="0"/>
                      <w:marRight w:val="0"/>
                      <w:marTop w:val="0"/>
                      <w:marBottom w:val="0"/>
                      <w:divBdr>
                        <w:top w:val="none" w:sz="0" w:space="0" w:color="auto"/>
                        <w:left w:val="none" w:sz="0" w:space="0" w:color="auto"/>
                        <w:bottom w:val="none" w:sz="0" w:space="0" w:color="auto"/>
                        <w:right w:val="none" w:sz="0" w:space="0" w:color="auto"/>
                      </w:divBdr>
                    </w:div>
                  </w:divsChild>
                </w:div>
                <w:div w:id="1323390975">
                  <w:marLeft w:val="0"/>
                  <w:marRight w:val="0"/>
                  <w:marTop w:val="0"/>
                  <w:marBottom w:val="0"/>
                  <w:divBdr>
                    <w:top w:val="none" w:sz="0" w:space="0" w:color="auto"/>
                    <w:left w:val="none" w:sz="0" w:space="0" w:color="auto"/>
                    <w:bottom w:val="none" w:sz="0" w:space="0" w:color="auto"/>
                    <w:right w:val="none" w:sz="0" w:space="0" w:color="auto"/>
                  </w:divBdr>
                  <w:divsChild>
                    <w:div w:id="1186745208">
                      <w:marLeft w:val="0"/>
                      <w:marRight w:val="0"/>
                      <w:marTop w:val="0"/>
                      <w:marBottom w:val="0"/>
                      <w:divBdr>
                        <w:top w:val="none" w:sz="0" w:space="0" w:color="auto"/>
                        <w:left w:val="none" w:sz="0" w:space="0" w:color="auto"/>
                        <w:bottom w:val="none" w:sz="0" w:space="0" w:color="auto"/>
                        <w:right w:val="none" w:sz="0" w:space="0" w:color="auto"/>
                      </w:divBdr>
                    </w:div>
                  </w:divsChild>
                </w:div>
                <w:div w:id="1353848032">
                  <w:marLeft w:val="0"/>
                  <w:marRight w:val="0"/>
                  <w:marTop w:val="0"/>
                  <w:marBottom w:val="0"/>
                  <w:divBdr>
                    <w:top w:val="none" w:sz="0" w:space="0" w:color="auto"/>
                    <w:left w:val="none" w:sz="0" w:space="0" w:color="auto"/>
                    <w:bottom w:val="none" w:sz="0" w:space="0" w:color="auto"/>
                    <w:right w:val="none" w:sz="0" w:space="0" w:color="auto"/>
                  </w:divBdr>
                  <w:divsChild>
                    <w:div w:id="706099616">
                      <w:marLeft w:val="0"/>
                      <w:marRight w:val="0"/>
                      <w:marTop w:val="0"/>
                      <w:marBottom w:val="0"/>
                      <w:divBdr>
                        <w:top w:val="none" w:sz="0" w:space="0" w:color="auto"/>
                        <w:left w:val="none" w:sz="0" w:space="0" w:color="auto"/>
                        <w:bottom w:val="none" w:sz="0" w:space="0" w:color="auto"/>
                        <w:right w:val="none" w:sz="0" w:space="0" w:color="auto"/>
                      </w:divBdr>
                    </w:div>
                    <w:div w:id="1895384130">
                      <w:marLeft w:val="0"/>
                      <w:marRight w:val="0"/>
                      <w:marTop w:val="0"/>
                      <w:marBottom w:val="0"/>
                      <w:divBdr>
                        <w:top w:val="none" w:sz="0" w:space="0" w:color="auto"/>
                        <w:left w:val="none" w:sz="0" w:space="0" w:color="auto"/>
                        <w:bottom w:val="none" w:sz="0" w:space="0" w:color="auto"/>
                        <w:right w:val="none" w:sz="0" w:space="0" w:color="auto"/>
                      </w:divBdr>
                    </w:div>
                  </w:divsChild>
                </w:div>
                <w:div w:id="1364402373">
                  <w:marLeft w:val="0"/>
                  <w:marRight w:val="0"/>
                  <w:marTop w:val="0"/>
                  <w:marBottom w:val="0"/>
                  <w:divBdr>
                    <w:top w:val="none" w:sz="0" w:space="0" w:color="auto"/>
                    <w:left w:val="none" w:sz="0" w:space="0" w:color="auto"/>
                    <w:bottom w:val="none" w:sz="0" w:space="0" w:color="auto"/>
                    <w:right w:val="none" w:sz="0" w:space="0" w:color="auto"/>
                  </w:divBdr>
                  <w:divsChild>
                    <w:div w:id="1058820007">
                      <w:marLeft w:val="0"/>
                      <w:marRight w:val="0"/>
                      <w:marTop w:val="0"/>
                      <w:marBottom w:val="0"/>
                      <w:divBdr>
                        <w:top w:val="none" w:sz="0" w:space="0" w:color="auto"/>
                        <w:left w:val="none" w:sz="0" w:space="0" w:color="auto"/>
                        <w:bottom w:val="none" w:sz="0" w:space="0" w:color="auto"/>
                        <w:right w:val="none" w:sz="0" w:space="0" w:color="auto"/>
                      </w:divBdr>
                    </w:div>
                    <w:div w:id="1607619805">
                      <w:marLeft w:val="0"/>
                      <w:marRight w:val="0"/>
                      <w:marTop w:val="0"/>
                      <w:marBottom w:val="0"/>
                      <w:divBdr>
                        <w:top w:val="none" w:sz="0" w:space="0" w:color="auto"/>
                        <w:left w:val="none" w:sz="0" w:space="0" w:color="auto"/>
                        <w:bottom w:val="none" w:sz="0" w:space="0" w:color="auto"/>
                        <w:right w:val="none" w:sz="0" w:space="0" w:color="auto"/>
                      </w:divBdr>
                    </w:div>
                  </w:divsChild>
                </w:div>
                <w:div w:id="1400203191">
                  <w:marLeft w:val="0"/>
                  <w:marRight w:val="0"/>
                  <w:marTop w:val="0"/>
                  <w:marBottom w:val="0"/>
                  <w:divBdr>
                    <w:top w:val="none" w:sz="0" w:space="0" w:color="auto"/>
                    <w:left w:val="none" w:sz="0" w:space="0" w:color="auto"/>
                    <w:bottom w:val="none" w:sz="0" w:space="0" w:color="auto"/>
                    <w:right w:val="none" w:sz="0" w:space="0" w:color="auto"/>
                  </w:divBdr>
                  <w:divsChild>
                    <w:div w:id="1010370910">
                      <w:marLeft w:val="0"/>
                      <w:marRight w:val="0"/>
                      <w:marTop w:val="0"/>
                      <w:marBottom w:val="0"/>
                      <w:divBdr>
                        <w:top w:val="none" w:sz="0" w:space="0" w:color="auto"/>
                        <w:left w:val="none" w:sz="0" w:space="0" w:color="auto"/>
                        <w:bottom w:val="none" w:sz="0" w:space="0" w:color="auto"/>
                        <w:right w:val="none" w:sz="0" w:space="0" w:color="auto"/>
                      </w:divBdr>
                    </w:div>
                  </w:divsChild>
                </w:div>
                <w:div w:id="1458404613">
                  <w:marLeft w:val="0"/>
                  <w:marRight w:val="0"/>
                  <w:marTop w:val="0"/>
                  <w:marBottom w:val="0"/>
                  <w:divBdr>
                    <w:top w:val="none" w:sz="0" w:space="0" w:color="auto"/>
                    <w:left w:val="none" w:sz="0" w:space="0" w:color="auto"/>
                    <w:bottom w:val="none" w:sz="0" w:space="0" w:color="auto"/>
                    <w:right w:val="none" w:sz="0" w:space="0" w:color="auto"/>
                  </w:divBdr>
                  <w:divsChild>
                    <w:div w:id="10956662">
                      <w:marLeft w:val="0"/>
                      <w:marRight w:val="0"/>
                      <w:marTop w:val="0"/>
                      <w:marBottom w:val="0"/>
                      <w:divBdr>
                        <w:top w:val="none" w:sz="0" w:space="0" w:color="auto"/>
                        <w:left w:val="none" w:sz="0" w:space="0" w:color="auto"/>
                        <w:bottom w:val="none" w:sz="0" w:space="0" w:color="auto"/>
                        <w:right w:val="none" w:sz="0" w:space="0" w:color="auto"/>
                      </w:divBdr>
                    </w:div>
                  </w:divsChild>
                </w:div>
                <w:div w:id="1503547709">
                  <w:marLeft w:val="0"/>
                  <w:marRight w:val="0"/>
                  <w:marTop w:val="0"/>
                  <w:marBottom w:val="0"/>
                  <w:divBdr>
                    <w:top w:val="none" w:sz="0" w:space="0" w:color="auto"/>
                    <w:left w:val="none" w:sz="0" w:space="0" w:color="auto"/>
                    <w:bottom w:val="none" w:sz="0" w:space="0" w:color="auto"/>
                    <w:right w:val="none" w:sz="0" w:space="0" w:color="auto"/>
                  </w:divBdr>
                  <w:divsChild>
                    <w:div w:id="1211307665">
                      <w:marLeft w:val="0"/>
                      <w:marRight w:val="0"/>
                      <w:marTop w:val="0"/>
                      <w:marBottom w:val="0"/>
                      <w:divBdr>
                        <w:top w:val="none" w:sz="0" w:space="0" w:color="auto"/>
                        <w:left w:val="none" w:sz="0" w:space="0" w:color="auto"/>
                        <w:bottom w:val="none" w:sz="0" w:space="0" w:color="auto"/>
                        <w:right w:val="none" w:sz="0" w:space="0" w:color="auto"/>
                      </w:divBdr>
                    </w:div>
                  </w:divsChild>
                </w:div>
                <w:div w:id="1504857907">
                  <w:marLeft w:val="0"/>
                  <w:marRight w:val="0"/>
                  <w:marTop w:val="0"/>
                  <w:marBottom w:val="0"/>
                  <w:divBdr>
                    <w:top w:val="none" w:sz="0" w:space="0" w:color="auto"/>
                    <w:left w:val="none" w:sz="0" w:space="0" w:color="auto"/>
                    <w:bottom w:val="none" w:sz="0" w:space="0" w:color="auto"/>
                    <w:right w:val="none" w:sz="0" w:space="0" w:color="auto"/>
                  </w:divBdr>
                  <w:divsChild>
                    <w:div w:id="809322066">
                      <w:marLeft w:val="0"/>
                      <w:marRight w:val="0"/>
                      <w:marTop w:val="0"/>
                      <w:marBottom w:val="0"/>
                      <w:divBdr>
                        <w:top w:val="none" w:sz="0" w:space="0" w:color="auto"/>
                        <w:left w:val="none" w:sz="0" w:space="0" w:color="auto"/>
                        <w:bottom w:val="none" w:sz="0" w:space="0" w:color="auto"/>
                        <w:right w:val="none" w:sz="0" w:space="0" w:color="auto"/>
                      </w:divBdr>
                    </w:div>
                  </w:divsChild>
                </w:div>
                <w:div w:id="1547834214">
                  <w:marLeft w:val="0"/>
                  <w:marRight w:val="0"/>
                  <w:marTop w:val="0"/>
                  <w:marBottom w:val="0"/>
                  <w:divBdr>
                    <w:top w:val="none" w:sz="0" w:space="0" w:color="auto"/>
                    <w:left w:val="none" w:sz="0" w:space="0" w:color="auto"/>
                    <w:bottom w:val="none" w:sz="0" w:space="0" w:color="auto"/>
                    <w:right w:val="none" w:sz="0" w:space="0" w:color="auto"/>
                  </w:divBdr>
                  <w:divsChild>
                    <w:div w:id="735973439">
                      <w:marLeft w:val="0"/>
                      <w:marRight w:val="0"/>
                      <w:marTop w:val="0"/>
                      <w:marBottom w:val="0"/>
                      <w:divBdr>
                        <w:top w:val="none" w:sz="0" w:space="0" w:color="auto"/>
                        <w:left w:val="none" w:sz="0" w:space="0" w:color="auto"/>
                        <w:bottom w:val="none" w:sz="0" w:space="0" w:color="auto"/>
                        <w:right w:val="none" w:sz="0" w:space="0" w:color="auto"/>
                      </w:divBdr>
                    </w:div>
                  </w:divsChild>
                </w:div>
                <w:div w:id="1585647601">
                  <w:marLeft w:val="0"/>
                  <w:marRight w:val="0"/>
                  <w:marTop w:val="0"/>
                  <w:marBottom w:val="0"/>
                  <w:divBdr>
                    <w:top w:val="none" w:sz="0" w:space="0" w:color="auto"/>
                    <w:left w:val="none" w:sz="0" w:space="0" w:color="auto"/>
                    <w:bottom w:val="none" w:sz="0" w:space="0" w:color="auto"/>
                    <w:right w:val="none" w:sz="0" w:space="0" w:color="auto"/>
                  </w:divBdr>
                  <w:divsChild>
                    <w:div w:id="1081608191">
                      <w:marLeft w:val="0"/>
                      <w:marRight w:val="0"/>
                      <w:marTop w:val="0"/>
                      <w:marBottom w:val="0"/>
                      <w:divBdr>
                        <w:top w:val="none" w:sz="0" w:space="0" w:color="auto"/>
                        <w:left w:val="none" w:sz="0" w:space="0" w:color="auto"/>
                        <w:bottom w:val="none" w:sz="0" w:space="0" w:color="auto"/>
                        <w:right w:val="none" w:sz="0" w:space="0" w:color="auto"/>
                      </w:divBdr>
                    </w:div>
                  </w:divsChild>
                </w:div>
                <w:div w:id="1589188819">
                  <w:marLeft w:val="0"/>
                  <w:marRight w:val="0"/>
                  <w:marTop w:val="0"/>
                  <w:marBottom w:val="0"/>
                  <w:divBdr>
                    <w:top w:val="none" w:sz="0" w:space="0" w:color="auto"/>
                    <w:left w:val="none" w:sz="0" w:space="0" w:color="auto"/>
                    <w:bottom w:val="none" w:sz="0" w:space="0" w:color="auto"/>
                    <w:right w:val="none" w:sz="0" w:space="0" w:color="auto"/>
                  </w:divBdr>
                  <w:divsChild>
                    <w:div w:id="375158271">
                      <w:marLeft w:val="0"/>
                      <w:marRight w:val="0"/>
                      <w:marTop w:val="0"/>
                      <w:marBottom w:val="0"/>
                      <w:divBdr>
                        <w:top w:val="none" w:sz="0" w:space="0" w:color="auto"/>
                        <w:left w:val="none" w:sz="0" w:space="0" w:color="auto"/>
                        <w:bottom w:val="none" w:sz="0" w:space="0" w:color="auto"/>
                        <w:right w:val="none" w:sz="0" w:space="0" w:color="auto"/>
                      </w:divBdr>
                    </w:div>
                  </w:divsChild>
                </w:div>
                <w:div w:id="1644240458">
                  <w:marLeft w:val="0"/>
                  <w:marRight w:val="0"/>
                  <w:marTop w:val="0"/>
                  <w:marBottom w:val="0"/>
                  <w:divBdr>
                    <w:top w:val="none" w:sz="0" w:space="0" w:color="auto"/>
                    <w:left w:val="none" w:sz="0" w:space="0" w:color="auto"/>
                    <w:bottom w:val="none" w:sz="0" w:space="0" w:color="auto"/>
                    <w:right w:val="none" w:sz="0" w:space="0" w:color="auto"/>
                  </w:divBdr>
                  <w:divsChild>
                    <w:div w:id="219756380">
                      <w:marLeft w:val="0"/>
                      <w:marRight w:val="0"/>
                      <w:marTop w:val="0"/>
                      <w:marBottom w:val="0"/>
                      <w:divBdr>
                        <w:top w:val="none" w:sz="0" w:space="0" w:color="auto"/>
                        <w:left w:val="none" w:sz="0" w:space="0" w:color="auto"/>
                        <w:bottom w:val="none" w:sz="0" w:space="0" w:color="auto"/>
                        <w:right w:val="none" w:sz="0" w:space="0" w:color="auto"/>
                      </w:divBdr>
                    </w:div>
                  </w:divsChild>
                </w:div>
                <w:div w:id="1666325014">
                  <w:marLeft w:val="0"/>
                  <w:marRight w:val="0"/>
                  <w:marTop w:val="0"/>
                  <w:marBottom w:val="0"/>
                  <w:divBdr>
                    <w:top w:val="none" w:sz="0" w:space="0" w:color="auto"/>
                    <w:left w:val="none" w:sz="0" w:space="0" w:color="auto"/>
                    <w:bottom w:val="none" w:sz="0" w:space="0" w:color="auto"/>
                    <w:right w:val="none" w:sz="0" w:space="0" w:color="auto"/>
                  </w:divBdr>
                  <w:divsChild>
                    <w:div w:id="1992828690">
                      <w:marLeft w:val="0"/>
                      <w:marRight w:val="0"/>
                      <w:marTop w:val="0"/>
                      <w:marBottom w:val="0"/>
                      <w:divBdr>
                        <w:top w:val="none" w:sz="0" w:space="0" w:color="auto"/>
                        <w:left w:val="none" w:sz="0" w:space="0" w:color="auto"/>
                        <w:bottom w:val="none" w:sz="0" w:space="0" w:color="auto"/>
                        <w:right w:val="none" w:sz="0" w:space="0" w:color="auto"/>
                      </w:divBdr>
                    </w:div>
                  </w:divsChild>
                </w:div>
                <w:div w:id="1691763672">
                  <w:marLeft w:val="0"/>
                  <w:marRight w:val="0"/>
                  <w:marTop w:val="0"/>
                  <w:marBottom w:val="0"/>
                  <w:divBdr>
                    <w:top w:val="none" w:sz="0" w:space="0" w:color="auto"/>
                    <w:left w:val="none" w:sz="0" w:space="0" w:color="auto"/>
                    <w:bottom w:val="none" w:sz="0" w:space="0" w:color="auto"/>
                    <w:right w:val="none" w:sz="0" w:space="0" w:color="auto"/>
                  </w:divBdr>
                  <w:divsChild>
                    <w:div w:id="643656047">
                      <w:marLeft w:val="0"/>
                      <w:marRight w:val="0"/>
                      <w:marTop w:val="0"/>
                      <w:marBottom w:val="0"/>
                      <w:divBdr>
                        <w:top w:val="none" w:sz="0" w:space="0" w:color="auto"/>
                        <w:left w:val="none" w:sz="0" w:space="0" w:color="auto"/>
                        <w:bottom w:val="none" w:sz="0" w:space="0" w:color="auto"/>
                        <w:right w:val="none" w:sz="0" w:space="0" w:color="auto"/>
                      </w:divBdr>
                    </w:div>
                  </w:divsChild>
                </w:div>
                <w:div w:id="1731687670">
                  <w:marLeft w:val="0"/>
                  <w:marRight w:val="0"/>
                  <w:marTop w:val="0"/>
                  <w:marBottom w:val="0"/>
                  <w:divBdr>
                    <w:top w:val="none" w:sz="0" w:space="0" w:color="auto"/>
                    <w:left w:val="none" w:sz="0" w:space="0" w:color="auto"/>
                    <w:bottom w:val="none" w:sz="0" w:space="0" w:color="auto"/>
                    <w:right w:val="none" w:sz="0" w:space="0" w:color="auto"/>
                  </w:divBdr>
                  <w:divsChild>
                    <w:div w:id="1561286535">
                      <w:marLeft w:val="0"/>
                      <w:marRight w:val="0"/>
                      <w:marTop w:val="0"/>
                      <w:marBottom w:val="0"/>
                      <w:divBdr>
                        <w:top w:val="none" w:sz="0" w:space="0" w:color="auto"/>
                        <w:left w:val="none" w:sz="0" w:space="0" w:color="auto"/>
                        <w:bottom w:val="none" w:sz="0" w:space="0" w:color="auto"/>
                        <w:right w:val="none" w:sz="0" w:space="0" w:color="auto"/>
                      </w:divBdr>
                    </w:div>
                  </w:divsChild>
                </w:div>
                <w:div w:id="1749110454">
                  <w:marLeft w:val="0"/>
                  <w:marRight w:val="0"/>
                  <w:marTop w:val="0"/>
                  <w:marBottom w:val="0"/>
                  <w:divBdr>
                    <w:top w:val="none" w:sz="0" w:space="0" w:color="auto"/>
                    <w:left w:val="none" w:sz="0" w:space="0" w:color="auto"/>
                    <w:bottom w:val="none" w:sz="0" w:space="0" w:color="auto"/>
                    <w:right w:val="none" w:sz="0" w:space="0" w:color="auto"/>
                  </w:divBdr>
                  <w:divsChild>
                    <w:div w:id="423309625">
                      <w:marLeft w:val="0"/>
                      <w:marRight w:val="0"/>
                      <w:marTop w:val="0"/>
                      <w:marBottom w:val="0"/>
                      <w:divBdr>
                        <w:top w:val="none" w:sz="0" w:space="0" w:color="auto"/>
                        <w:left w:val="none" w:sz="0" w:space="0" w:color="auto"/>
                        <w:bottom w:val="none" w:sz="0" w:space="0" w:color="auto"/>
                        <w:right w:val="none" w:sz="0" w:space="0" w:color="auto"/>
                      </w:divBdr>
                    </w:div>
                  </w:divsChild>
                </w:div>
                <w:div w:id="1788156119">
                  <w:marLeft w:val="0"/>
                  <w:marRight w:val="0"/>
                  <w:marTop w:val="0"/>
                  <w:marBottom w:val="0"/>
                  <w:divBdr>
                    <w:top w:val="none" w:sz="0" w:space="0" w:color="auto"/>
                    <w:left w:val="none" w:sz="0" w:space="0" w:color="auto"/>
                    <w:bottom w:val="none" w:sz="0" w:space="0" w:color="auto"/>
                    <w:right w:val="none" w:sz="0" w:space="0" w:color="auto"/>
                  </w:divBdr>
                  <w:divsChild>
                    <w:div w:id="839352055">
                      <w:marLeft w:val="0"/>
                      <w:marRight w:val="0"/>
                      <w:marTop w:val="0"/>
                      <w:marBottom w:val="0"/>
                      <w:divBdr>
                        <w:top w:val="none" w:sz="0" w:space="0" w:color="auto"/>
                        <w:left w:val="none" w:sz="0" w:space="0" w:color="auto"/>
                        <w:bottom w:val="none" w:sz="0" w:space="0" w:color="auto"/>
                        <w:right w:val="none" w:sz="0" w:space="0" w:color="auto"/>
                      </w:divBdr>
                    </w:div>
                    <w:div w:id="2118132905">
                      <w:marLeft w:val="0"/>
                      <w:marRight w:val="0"/>
                      <w:marTop w:val="0"/>
                      <w:marBottom w:val="0"/>
                      <w:divBdr>
                        <w:top w:val="none" w:sz="0" w:space="0" w:color="auto"/>
                        <w:left w:val="none" w:sz="0" w:space="0" w:color="auto"/>
                        <w:bottom w:val="none" w:sz="0" w:space="0" w:color="auto"/>
                        <w:right w:val="none" w:sz="0" w:space="0" w:color="auto"/>
                      </w:divBdr>
                    </w:div>
                  </w:divsChild>
                </w:div>
                <w:div w:id="1795445900">
                  <w:marLeft w:val="0"/>
                  <w:marRight w:val="0"/>
                  <w:marTop w:val="0"/>
                  <w:marBottom w:val="0"/>
                  <w:divBdr>
                    <w:top w:val="none" w:sz="0" w:space="0" w:color="auto"/>
                    <w:left w:val="none" w:sz="0" w:space="0" w:color="auto"/>
                    <w:bottom w:val="none" w:sz="0" w:space="0" w:color="auto"/>
                    <w:right w:val="none" w:sz="0" w:space="0" w:color="auto"/>
                  </w:divBdr>
                  <w:divsChild>
                    <w:div w:id="719017679">
                      <w:marLeft w:val="0"/>
                      <w:marRight w:val="0"/>
                      <w:marTop w:val="0"/>
                      <w:marBottom w:val="0"/>
                      <w:divBdr>
                        <w:top w:val="none" w:sz="0" w:space="0" w:color="auto"/>
                        <w:left w:val="none" w:sz="0" w:space="0" w:color="auto"/>
                        <w:bottom w:val="none" w:sz="0" w:space="0" w:color="auto"/>
                        <w:right w:val="none" w:sz="0" w:space="0" w:color="auto"/>
                      </w:divBdr>
                    </w:div>
                  </w:divsChild>
                </w:div>
                <w:div w:id="1962765013">
                  <w:marLeft w:val="0"/>
                  <w:marRight w:val="0"/>
                  <w:marTop w:val="0"/>
                  <w:marBottom w:val="0"/>
                  <w:divBdr>
                    <w:top w:val="none" w:sz="0" w:space="0" w:color="auto"/>
                    <w:left w:val="none" w:sz="0" w:space="0" w:color="auto"/>
                    <w:bottom w:val="none" w:sz="0" w:space="0" w:color="auto"/>
                    <w:right w:val="none" w:sz="0" w:space="0" w:color="auto"/>
                  </w:divBdr>
                  <w:divsChild>
                    <w:div w:id="1822379030">
                      <w:marLeft w:val="0"/>
                      <w:marRight w:val="0"/>
                      <w:marTop w:val="0"/>
                      <w:marBottom w:val="0"/>
                      <w:divBdr>
                        <w:top w:val="none" w:sz="0" w:space="0" w:color="auto"/>
                        <w:left w:val="none" w:sz="0" w:space="0" w:color="auto"/>
                        <w:bottom w:val="none" w:sz="0" w:space="0" w:color="auto"/>
                        <w:right w:val="none" w:sz="0" w:space="0" w:color="auto"/>
                      </w:divBdr>
                    </w:div>
                  </w:divsChild>
                </w:div>
                <w:div w:id="2033876290">
                  <w:marLeft w:val="0"/>
                  <w:marRight w:val="0"/>
                  <w:marTop w:val="0"/>
                  <w:marBottom w:val="0"/>
                  <w:divBdr>
                    <w:top w:val="none" w:sz="0" w:space="0" w:color="auto"/>
                    <w:left w:val="none" w:sz="0" w:space="0" w:color="auto"/>
                    <w:bottom w:val="none" w:sz="0" w:space="0" w:color="auto"/>
                    <w:right w:val="none" w:sz="0" w:space="0" w:color="auto"/>
                  </w:divBdr>
                  <w:divsChild>
                    <w:div w:id="1470704349">
                      <w:marLeft w:val="0"/>
                      <w:marRight w:val="0"/>
                      <w:marTop w:val="0"/>
                      <w:marBottom w:val="0"/>
                      <w:divBdr>
                        <w:top w:val="none" w:sz="0" w:space="0" w:color="auto"/>
                        <w:left w:val="none" w:sz="0" w:space="0" w:color="auto"/>
                        <w:bottom w:val="none" w:sz="0" w:space="0" w:color="auto"/>
                        <w:right w:val="none" w:sz="0" w:space="0" w:color="auto"/>
                      </w:divBdr>
                    </w:div>
                  </w:divsChild>
                </w:div>
                <w:div w:id="2036928605">
                  <w:marLeft w:val="0"/>
                  <w:marRight w:val="0"/>
                  <w:marTop w:val="0"/>
                  <w:marBottom w:val="0"/>
                  <w:divBdr>
                    <w:top w:val="none" w:sz="0" w:space="0" w:color="auto"/>
                    <w:left w:val="none" w:sz="0" w:space="0" w:color="auto"/>
                    <w:bottom w:val="none" w:sz="0" w:space="0" w:color="auto"/>
                    <w:right w:val="none" w:sz="0" w:space="0" w:color="auto"/>
                  </w:divBdr>
                  <w:divsChild>
                    <w:div w:id="810485126">
                      <w:marLeft w:val="0"/>
                      <w:marRight w:val="0"/>
                      <w:marTop w:val="0"/>
                      <w:marBottom w:val="0"/>
                      <w:divBdr>
                        <w:top w:val="none" w:sz="0" w:space="0" w:color="auto"/>
                        <w:left w:val="none" w:sz="0" w:space="0" w:color="auto"/>
                        <w:bottom w:val="none" w:sz="0" w:space="0" w:color="auto"/>
                        <w:right w:val="none" w:sz="0" w:space="0" w:color="auto"/>
                      </w:divBdr>
                    </w:div>
                  </w:divsChild>
                </w:div>
                <w:div w:id="2120905015">
                  <w:marLeft w:val="0"/>
                  <w:marRight w:val="0"/>
                  <w:marTop w:val="0"/>
                  <w:marBottom w:val="0"/>
                  <w:divBdr>
                    <w:top w:val="none" w:sz="0" w:space="0" w:color="auto"/>
                    <w:left w:val="none" w:sz="0" w:space="0" w:color="auto"/>
                    <w:bottom w:val="none" w:sz="0" w:space="0" w:color="auto"/>
                    <w:right w:val="none" w:sz="0" w:space="0" w:color="auto"/>
                  </w:divBdr>
                  <w:divsChild>
                    <w:div w:id="663969365">
                      <w:marLeft w:val="0"/>
                      <w:marRight w:val="0"/>
                      <w:marTop w:val="0"/>
                      <w:marBottom w:val="0"/>
                      <w:divBdr>
                        <w:top w:val="none" w:sz="0" w:space="0" w:color="auto"/>
                        <w:left w:val="none" w:sz="0" w:space="0" w:color="auto"/>
                        <w:bottom w:val="none" w:sz="0" w:space="0" w:color="auto"/>
                        <w:right w:val="none" w:sz="0" w:space="0" w:color="auto"/>
                      </w:divBdr>
                    </w:div>
                  </w:divsChild>
                </w:div>
                <w:div w:id="2123718784">
                  <w:marLeft w:val="0"/>
                  <w:marRight w:val="0"/>
                  <w:marTop w:val="0"/>
                  <w:marBottom w:val="0"/>
                  <w:divBdr>
                    <w:top w:val="none" w:sz="0" w:space="0" w:color="auto"/>
                    <w:left w:val="none" w:sz="0" w:space="0" w:color="auto"/>
                    <w:bottom w:val="none" w:sz="0" w:space="0" w:color="auto"/>
                    <w:right w:val="none" w:sz="0" w:space="0" w:color="auto"/>
                  </w:divBdr>
                  <w:divsChild>
                    <w:div w:id="1920207529">
                      <w:marLeft w:val="0"/>
                      <w:marRight w:val="0"/>
                      <w:marTop w:val="0"/>
                      <w:marBottom w:val="0"/>
                      <w:divBdr>
                        <w:top w:val="none" w:sz="0" w:space="0" w:color="auto"/>
                        <w:left w:val="none" w:sz="0" w:space="0" w:color="auto"/>
                        <w:bottom w:val="none" w:sz="0" w:space="0" w:color="auto"/>
                        <w:right w:val="none" w:sz="0" w:space="0" w:color="auto"/>
                      </w:divBdr>
                    </w:div>
                  </w:divsChild>
                </w:div>
                <w:div w:id="2130665782">
                  <w:marLeft w:val="0"/>
                  <w:marRight w:val="0"/>
                  <w:marTop w:val="0"/>
                  <w:marBottom w:val="0"/>
                  <w:divBdr>
                    <w:top w:val="none" w:sz="0" w:space="0" w:color="auto"/>
                    <w:left w:val="none" w:sz="0" w:space="0" w:color="auto"/>
                    <w:bottom w:val="none" w:sz="0" w:space="0" w:color="auto"/>
                    <w:right w:val="none" w:sz="0" w:space="0" w:color="auto"/>
                  </w:divBdr>
                  <w:divsChild>
                    <w:div w:id="1025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2227">
          <w:marLeft w:val="0"/>
          <w:marRight w:val="0"/>
          <w:marTop w:val="0"/>
          <w:marBottom w:val="0"/>
          <w:divBdr>
            <w:top w:val="none" w:sz="0" w:space="0" w:color="auto"/>
            <w:left w:val="none" w:sz="0" w:space="0" w:color="auto"/>
            <w:bottom w:val="none" w:sz="0" w:space="0" w:color="auto"/>
            <w:right w:val="none" w:sz="0" w:space="0" w:color="auto"/>
          </w:divBdr>
          <w:divsChild>
            <w:div w:id="1553494644">
              <w:marLeft w:val="-75"/>
              <w:marRight w:val="0"/>
              <w:marTop w:val="30"/>
              <w:marBottom w:val="30"/>
              <w:divBdr>
                <w:top w:val="none" w:sz="0" w:space="0" w:color="auto"/>
                <w:left w:val="none" w:sz="0" w:space="0" w:color="auto"/>
                <w:bottom w:val="none" w:sz="0" w:space="0" w:color="auto"/>
                <w:right w:val="none" w:sz="0" w:space="0" w:color="auto"/>
              </w:divBdr>
              <w:divsChild>
                <w:div w:id="42145541">
                  <w:marLeft w:val="0"/>
                  <w:marRight w:val="0"/>
                  <w:marTop w:val="0"/>
                  <w:marBottom w:val="0"/>
                  <w:divBdr>
                    <w:top w:val="none" w:sz="0" w:space="0" w:color="auto"/>
                    <w:left w:val="none" w:sz="0" w:space="0" w:color="auto"/>
                    <w:bottom w:val="none" w:sz="0" w:space="0" w:color="auto"/>
                    <w:right w:val="none" w:sz="0" w:space="0" w:color="auto"/>
                  </w:divBdr>
                  <w:divsChild>
                    <w:div w:id="1851598197">
                      <w:marLeft w:val="0"/>
                      <w:marRight w:val="0"/>
                      <w:marTop w:val="0"/>
                      <w:marBottom w:val="0"/>
                      <w:divBdr>
                        <w:top w:val="none" w:sz="0" w:space="0" w:color="auto"/>
                        <w:left w:val="none" w:sz="0" w:space="0" w:color="auto"/>
                        <w:bottom w:val="none" w:sz="0" w:space="0" w:color="auto"/>
                        <w:right w:val="none" w:sz="0" w:space="0" w:color="auto"/>
                      </w:divBdr>
                    </w:div>
                  </w:divsChild>
                </w:div>
                <w:div w:id="106311569">
                  <w:marLeft w:val="0"/>
                  <w:marRight w:val="0"/>
                  <w:marTop w:val="0"/>
                  <w:marBottom w:val="0"/>
                  <w:divBdr>
                    <w:top w:val="none" w:sz="0" w:space="0" w:color="auto"/>
                    <w:left w:val="none" w:sz="0" w:space="0" w:color="auto"/>
                    <w:bottom w:val="none" w:sz="0" w:space="0" w:color="auto"/>
                    <w:right w:val="none" w:sz="0" w:space="0" w:color="auto"/>
                  </w:divBdr>
                  <w:divsChild>
                    <w:div w:id="1918441133">
                      <w:marLeft w:val="0"/>
                      <w:marRight w:val="0"/>
                      <w:marTop w:val="0"/>
                      <w:marBottom w:val="0"/>
                      <w:divBdr>
                        <w:top w:val="none" w:sz="0" w:space="0" w:color="auto"/>
                        <w:left w:val="none" w:sz="0" w:space="0" w:color="auto"/>
                        <w:bottom w:val="none" w:sz="0" w:space="0" w:color="auto"/>
                        <w:right w:val="none" w:sz="0" w:space="0" w:color="auto"/>
                      </w:divBdr>
                    </w:div>
                  </w:divsChild>
                </w:div>
                <w:div w:id="281112852">
                  <w:marLeft w:val="0"/>
                  <w:marRight w:val="0"/>
                  <w:marTop w:val="0"/>
                  <w:marBottom w:val="0"/>
                  <w:divBdr>
                    <w:top w:val="none" w:sz="0" w:space="0" w:color="auto"/>
                    <w:left w:val="none" w:sz="0" w:space="0" w:color="auto"/>
                    <w:bottom w:val="none" w:sz="0" w:space="0" w:color="auto"/>
                    <w:right w:val="none" w:sz="0" w:space="0" w:color="auto"/>
                  </w:divBdr>
                  <w:divsChild>
                    <w:div w:id="566065394">
                      <w:marLeft w:val="0"/>
                      <w:marRight w:val="0"/>
                      <w:marTop w:val="0"/>
                      <w:marBottom w:val="0"/>
                      <w:divBdr>
                        <w:top w:val="none" w:sz="0" w:space="0" w:color="auto"/>
                        <w:left w:val="none" w:sz="0" w:space="0" w:color="auto"/>
                        <w:bottom w:val="none" w:sz="0" w:space="0" w:color="auto"/>
                        <w:right w:val="none" w:sz="0" w:space="0" w:color="auto"/>
                      </w:divBdr>
                    </w:div>
                  </w:divsChild>
                </w:div>
                <w:div w:id="427196284">
                  <w:marLeft w:val="0"/>
                  <w:marRight w:val="0"/>
                  <w:marTop w:val="0"/>
                  <w:marBottom w:val="0"/>
                  <w:divBdr>
                    <w:top w:val="none" w:sz="0" w:space="0" w:color="auto"/>
                    <w:left w:val="none" w:sz="0" w:space="0" w:color="auto"/>
                    <w:bottom w:val="none" w:sz="0" w:space="0" w:color="auto"/>
                    <w:right w:val="none" w:sz="0" w:space="0" w:color="auto"/>
                  </w:divBdr>
                  <w:divsChild>
                    <w:div w:id="799760461">
                      <w:marLeft w:val="0"/>
                      <w:marRight w:val="0"/>
                      <w:marTop w:val="0"/>
                      <w:marBottom w:val="0"/>
                      <w:divBdr>
                        <w:top w:val="none" w:sz="0" w:space="0" w:color="auto"/>
                        <w:left w:val="none" w:sz="0" w:space="0" w:color="auto"/>
                        <w:bottom w:val="none" w:sz="0" w:space="0" w:color="auto"/>
                        <w:right w:val="none" w:sz="0" w:space="0" w:color="auto"/>
                      </w:divBdr>
                    </w:div>
                  </w:divsChild>
                </w:div>
                <w:div w:id="455832267">
                  <w:marLeft w:val="0"/>
                  <w:marRight w:val="0"/>
                  <w:marTop w:val="0"/>
                  <w:marBottom w:val="0"/>
                  <w:divBdr>
                    <w:top w:val="none" w:sz="0" w:space="0" w:color="auto"/>
                    <w:left w:val="none" w:sz="0" w:space="0" w:color="auto"/>
                    <w:bottom w:val="none" w:sz="0" w:space="0" w:color="auto"/>
                    <w:right w:val="none" w:sz="0" w:space="0" w:color="auto"/>
                  </w:divBdr>
                  <w:divsChild>
                    <w:div w:id="1175224169">
                      <w:marLeft w:val="0"/>
                      <w:marRight w:val="0"/>
                      <w:marTop w:val="0"/>
                      <w:marBottom w:val="0"/>
                      <w:divBdr>
                        <w:top w:val="none" w:sz="0" w:space="0" w:color="auto"/>
                        <w:left w:val="none" w:sz="0" w:space="0" w:color="auto"/>
                        <w:bottom w:val="none" w:sz="0" w:space="0" w:color="auto"/>
                        <w:right w:val="none" w:sz="0" w:space="0" w:color="auto"/>
                      </w:divBdr>
                    </w:div>
                  </w:divsChild>
                </w:div>
                <w:div w:id="457794605">
                  <w:marLeft w:val="0"/>
                  <w:marRight w:val="0"/>
                  <w:marTop w:val="0"/>
                  <w:marBottom w:val="0"/>
                  <w:divBdr>
                    <w:top w:val="none" w:sz="0" w:space="0" w:color="auto"/>
                    <w:left w:val="none" w:sz="0" w:space="0" w:color="auto"/>
                    <w:bottom w:val="none" w:sz="0" w:space="0" w:color="auto"/>
                    <w:right w:val="none" w:sz="0" w:space="0" w:color="auto"/>
                  </w:divBdr>
                  <w:divsChild>
                    <w:div w:id="812719347">
                      <w:marLeft w:val="0"/>
                      <w:marRight w:val="0"/>
                      <w:marTop w:val="0"/>
                      <w:marBottom w:val="0"/>
                      <w:divBdr>
                        <w:top w:val="none" w:sz="0" w:space="0" w:color="auto"/>
                        <w:left w:val="none" w:sz="0" w:space="0" w:color="auto"/>
                        <w:bottom w:val="none" w:sz="0" w:space="0" w:color="auto"/>
                        <w:right w:val="none" w:sz="0" w:space="0" w:color="auto"/>
                      </w:divBdr>
                    </w:div>
                  </w:divsChild>
                </w:div>
                <w:div w:id="466975082">
                  <w:marLeft w:val="0"/>
                  <w:marRight w:val="0"/>
                  <w:marTop w:val="0"/>
                  <w:marBottom w:val="0"/>
                  <w:divBdr>
                    <w:top w:val="none" w:sz="0" w:space="0" w:color="auto"/>
                    <w:left w:val="none" w:sz="0" w:space="0" w:color="auto"/>
                    <w:bottom w:val="none" w:sz="0" w:space="0" w:color="auto"/>
                    <w:right w:val="none" w:sz="0" w:space="0" w:color="auto"/>
                  </w:divBdr>
                  <w:divsChild>
                    <w:div w:id="102893853">
                      <w:marLeft w:val="0"/>
                      <w:marRight w:val="0"/>
                      <w:marTop w:val="0"/>
                      <w:marBottom w:val="0"/>
                      <w:divBdr>
                        <w:top w:val="none" w:sz="0" w:space="0" w:color="auto"/>
                        <w:left w:val="none" w:sz="0" w:space="0" w:color="auto"/>
                        <w:bottom w:val="none" w:sz="0" w:space="0" w:color="auto"/>
                        <w:right w:val="none" w:sz="0" w:space="0" w:color="auto"/>
                      </w:divBdr>
                    </w:div>
                  </w:divsChild>
                </w:div>
                <w:div w:id="470514097">
                  <w:marLeft w:val="0"/>
                  <w:marRight w:val="0"/>
                  <w:marTop w:val="0"/>
                  <w:marBottom w:val="0"/>
                  <w:divBdr>
                    <w:top w:val="none" w:sz="0" w:space="0" w:color="auto"/>
                    <w:left w:val="none" w:sz="0" w:space="0" w:color="auto"/>
                    <w:bottom w:val="none" w:sz="0" w:space="0" w:color="auto"/>
                    <w:right w:val="none" w:sz="0" w:space="0" w:color="auto"/>
                  </w:divBdr>
                  <w:divsChild>
                    <w:div w:id="67925168">
                      <w:marLeft w:val="0"/>
                      <w:marRight w:val="0"/>
                      <w:marTop w:val="0"/>
                      <w:marBottom w:val="0"/>
                      <w:divBdr>
                        <w:top w:val="none" w:sz="0" w:space="0" w:color="auto"/>
                        <w:left w:val="none" w:sz="0" w:space="0" w:color="auto"/>
                        <w:bottom w:val="none" w:sz="0" w:space="0" w:color="auto"/>
                        <w:right w:val="none" w:sz="0" w:space="0" w:color="auto"/>
                      </w:divBdr>
                    </w:div>
                  </w:divsChild>
                </w:div>
                <w:div w:id="534078681">
                  <w:marLeft w:val="0"/>
                  <w:marRight w:val="0"/>
                  <w:marTop w:val="0"/>
                  <w:marBottom w:val="0"/>
                  <w:divBdr>
                    <w:top w:val="none" w:sz="0" w:space="0" w:color="auto"/>
                    <w:left w:val="none" w:sz="0" w:space="0" w:color="auto"/>
                    <w:bottom w:val="none" w:sz="0" w:space="0" w:color="auto"/>
                    <w:right w:val="none" w:sz="0" w:space="0" w:color="auto"/>
                  </w:divBdr>
                  <w:divsChild>
                    <w:div w:id="587471231">
                      <w:marLeft w:val="0"/>
                      <w:marRight w:val="0"/>
                      <w:marTop w:val="0"/>
                      <w:marBottom w:val="0"/>
                      <w:divBdr>
                        <w:top w:val="none" w:sz="0" w:space="0" w:color="auto"/>
                        <w:left w:val="none" w:sz="0" w:space="0" w:color="auto"/>
                        <w:bottom w:val="none" w:sz="0" w:space="0" w:color="auto"/>
                        <w:right w:val="none" w:sz="0" w:space="0" w:color="auto"/>
                      </w:divBdr>
                    </w:div>
                  </w:divsChild>
                </w:div>
                <w:div w:id="594173539">
                  <w:marLeft w:val="0"/>
                  <w:marRight w:val="0"/>
                  <w:marTop w:val="0"/>
                  <w:marBottom w:val="0"/>
                  <w:divBdr>
                    <w:top w:val="none" w:sz="0" w:space="0" w:color="auto"/>
                    <w:left w:val="none" w:sz="0" w:space="0" w:color="auto"/>
                    <w:bottom w:val="none" w:sz="0" w:space="0" w:color="auto"/>
                    <w:right w:val="none" w:sz="0" w:space="0" w:color="auto"/>
                  </w:divBdr>
                  <w:divsChild>
                    <w:div w:id="585849052">
                      <w:marLeft w:val="0"/>
                      <w:marRight w:val="0"/>
                      <w:marTop w:val="0"/>
                      <w:marBottom w:val="0"/>
                      <w:divBdr>
                        <w:top w:val="none" w:sz="0" w:space="0" w:color="auto"/>
                        <w:left w:val="none" w:sz="0" w:space="0" w:color="auto"/>
                        <w:bottom w:val="none" w:sz="0" w:space="0" w:color="auto"/>
                        <w:right w:val="none" w:sz="0" w:space="0" w:color="auto"/>
                      </w:divBdr>
                    </w:div>
                  </w:divsChild>
                </w:div>
                <w:div w:id="645430984">
                  <w:marLeft w:val="0"/>
                  <w:marRight w:val="0"/>
                  <w:marTop w:val="0"/>
                  <w:marBottom w:val="0"/>
                  <w:divBdr>
                    <w:top w:val="none" w:sz="0" w:space="0" w:color="auto"/>
                    <w:left w:val="none" w:sz="0" w:space="0" w:color="auto"/>
                    <w:bottom w:val="none" w:sz="0" w:space="0" w:color="auto"/>
                    <w:right w:val="none" w:sz="0" w:space="0" w:color="auto"/>
                  </w:divBdr>
                  <w:divsChild>
                    <w:div w:id="1330717713">
                      <w:marLeft w:val="0"/>
                      <w:marRight w:val="0"/>
                      <w:marTop w:val="0"/>
                      <w:marBottom w:val="0"/>
                      <w:divBdr>
                        <w:top w:val="none" w:sz="0" w:space="0" w:color="auto"/>
                        <w:left w:val="none" w:sz="0" w:space="0" w:color="auto"/>
                        <w:bottom w:val="none" w:sz="0" w:space="0" w:color="auto"/>
                        <w:right w:val="none" w:sz="0" w:space="0" w:color="auto"/>
                      </w:divBdr>
                    </w:div>
                  </w:divsChild>
                </w:div>
                <w:div w:id="708654105">
                  <w:marLeft w:val="0"/>
                  <w:marRight w:val="0"/>
                  <w:marTop w:val="0"/>
                  <w:marBottom w:val="0"/>
                  <w:divBdr>
                    <w:top w:val="none" w:sz="0" w:space="0" w:color="auto"/>
                    <w:left w:val="none" w:sz="0" w:space="0" w:color="auto"/>
                    <w:bottom w:val="none" w:sz="0" w:space="0" w:color="auto"/>
                    <w:right w:val="none" w:sz="0" w:space="0" w:color="auto"/>
                  </w:divBdr>
                  <w:divsChild>
                    <w:div w:id="1358505087">
                      <w:marLeft w:val="0"/>
                      <w:marRight w:val="0"/>
                      <w:marTop w:val="0"/>
                      <w:marBottom w:val="0"/>
                      <w:divBdr>
                        <w:top w:val="none" w:sz="0" w:space="0" w:color="auto"/>
                        <w:left w:val="none" w:sz="0" w:space="0" w:color="auto"/>
                        <w:bottom w:val="none" w:sz="0" w:space="0" w:color="auto"/>
                        <w:right w:val="none" w:sz="0" w:space="0" w:color="auto"/>
                      </w:divBdr>
                    </w:div>
                  </w:divsChild>
                </w:div>
                <w:div w:id="749158037">
                  <w:marLeft w:val="0"/>
                  <w:marRight w:val="0"/>
                  <w:marTop w:val="0"/>
                  <w:marBottom w:val="0"/>
                  <w:divBdr>
                    <w:top w:val="none" w:sz="0" w:space="0" w:color="auto"/>
                    <w:left w:val="none" w:sz="0" w:space="0" w:color="auto"/>
                    <w:bottom w:val="none" w:sz="0" w:space="0" w:color="auto"/>
                    <w:right w:val="none" w:sz="0" w:space="0" w:color="auto"/>
                  </w:divBdr>
                  <w:divsChild>
                    <w:div w:id="1534416646">
                      <w:marLeft w:val="0"/>
                      <w:marRight w:val="0"/>
                      <w:marTop w:val="0"/>
                      <w:marBottom w:val="0"/>
                      <w:divBdr>
                        <w:top w:val="none" w:sz="0" w:space="0" w:color="auto"/>
                        <w:left w:val="none" w:sz="0" w:space="0" w:color="auto"/>
                        <w:bottom w:val="none" w:sz="0" w:space="0" w:color="auto"/>
                        <w:right w:val="none" w:sz="0" w:space="0" w:color="auto"/>
                      </w:divBdr>
                    </w:div>
                  </w:divsChild>
                </w:div>
                <w:div w:id="758406241">
                  <w:marLeft w:val="0"/>
                  <w:marRight w:val="0"/>
                  <w:marTop w:val="0"/>
                  <w:marBottom w:val="0"/>
                  <w:divBdr>
                    <w:top w:val="none" w:sz="0" w:space="0" w:color="auto"/>
                    <w:left w:val="none" w:sz="0" w:space="0" w:color="auto"/>
                    <w:bottom w:val="none" w:sz="0" w:space="0" w:color="auto"/>
                    <w:right w:val="none" w:sz="0" w:space="0" w:color="auto"/>
                  </w:divBdr>
                  <w:divsChild>
                    <w:div w:id="1816408208">
                      <w:marLeft w:val="0"/>
                      <w:marRight w:val="0"/>
                      <w:marTop w:val="0"/>
                      <w:marBottom w:val="0"/>
                      <w:divBdr>
                        <w:top w:val="none" w:sz="0" w:space="0" w:color="auto"/>
                        <w:left w:val="none" w:sz="0" w:space="0" w:color="auto"/>
                        <w:bottom w:val="none" w:sz="0" w:space="0" w:color="auto"/>
                        <w:right w:val="none" w:sz="0" w:space="0" w:color="auto"/>
                      </w:divBdr>
                    </w:div>
                  </w:divsChild>
                </w:div>
                <w:div w:id="789129145">
                  <w:marLeft w:val="0"/>
                  <w:marRight w:val="0"/>
                  <w:marTop w:val="0"/>
                  <w:marBottom w:val="0"/>
                  <w:divBdr>
                    <w:top w:val="none" w:sz="0" w:space="0" w:color="auto"/>
                    <w:left w:val="none" w:sz="0" w:space="0" w:color="auto"/>
                    <w:bottom w:val="none" w:sz="0" w:space="0" w:color="auto"/>
                    <w:right w:val="none" w:sz="0" w:space="0" w:color="auto"/>
                  </w:divBdr>
                  <w:divsChild>
                    <w:div w:id="663358789">
                      <w:marLeft w:val="0"/>
                      <w:marRight w:val="0"/>
                      <w:marTop w:val="0"/>
                      <w:marBottom w:val="0"/>
                      <w:divBdr>
                        <w:top w:val="none" w:sz="0" w:space="0" w:color="auto"/>
                        <w:left w:val="none" w:sz="0" w:space="0" w:color="auto"/>
                        <w:bottom w:val="none" w:sz="0" w:space="0" w:color="auto"/>
                        <w:right w:val="none" w:sz="0" w:space="0" w:color="auto"/>
                      </w:divBdr>
                    </w:div>
                  </w:divsChild>
                </w:div>
                <w:div w:id="810899525">
                  <w:marLeft w:val="0"/>
                  <w:marRight w:val="0"/>
                  <w:marTop w:val="0"/>
                  <w:marBottom w:val="0"/>
                  <w:divBdr>
                    <w:top w:val="none" w:sz="0" w:space="0" w:color="auto"/>
                    <w:left w:val="none" w:sz="0" w:space="0" w:color="auto"/>
                    <w:bottom w:val="none" w:sz="0" w:space="0" w:color="auto"/>
                    <w:right w:val="none" w:sz="0" w:space="0" w:color="auto"/>
                  </w:divBdr>
                  <w:divsChild>
                    <w:div w:id="741829470">
                      <w:marLeft w:val="0"/>
                      <w:marRight w:val="0"/>
                      <w:marTop w:val="0"/>
                      <w:marBottom w:val="0"/>
                      <w:divBdr>
                        <w:top w:val="none" w:sz="0" w:space="0" w:color="auto"/>
                        <w:left w:val="none" w:sz="0" w:space="0" w:color="auto"/>
                        <w:bottom w:val="none" w:sz="0" w:space="0" w:color="auto"/>
                        <w:right w:val="none" w:sz="0" w:space="0" w:color="auto"/>
                      </w:divBdr>
                    </w:div>
                  </w:divsChild>
                </w:div>
                <w:div w:id="864098986">
                  <w:marLeft w:val="0"/>
                  <w:marRight w:val="0"/>
                  <w:marTop w:val="0"/>
                  <w:marBottom w:val="0"/>
                  <w:divBdr>
                    <w:top w:val="none" w:sz="0" w:space="0" w:color="auto"/>
                    <w:left w:val="none" w:sz="0" w:space="0" w:color="auto"/>
                    <w:bottom w:val="none" w:sz="0" w:space="0" w:color="auto"/>
                    <w:right w:val="none" w:sz="0" w:space="0" w:color="auto"/>
                  </w:divBdr>
                  <w:divsChild>
                    <w:div w:id="495153358">
                      <w:marLeft w:val="0"/>
                      <w:marRight w:val="0"/>
                      <w:marTop w:val="0"/>
                      <w:marBottom w:val="0"/>
                      <w:divBdr>
                        <w:top w:val="none" w:sz="0" w:space="0" w:color="auto"/>
                        <w:left w:val="none" w:sz="0" w:space="0" w:color="auto"/>
                        <w:bottom w:val="none" w:sz="0" w:space="0" w:color="auto"/>
                        <w:right w:val="none" w:sz="0" w:space="0" w:color="auto"/>
                      </w:divBdr>
                    </w:div>
                  </w:divsChild>
                </w:div>
                <w:div w:id="913467538">
                  <w:marLeft w:val="0"/>
                  <w:marRight w:val="0"/>
                  <w:marTop w:val="0"/>
                  <w:marBottom w:val="0"/>
                  <w:divBdr>
                    <w:top w:val="none" w:sz="0" w:space="0" w:color="auto"/>
                    <w:left w:val="none" w:sz="0" w:space="0" w:color="auto"/>
                    <w:bottom w:val="none" w:sz="0" w:space="0" w:color="auto"/>
                    <w:right w:val="none" w:sz="0" w:space="0" w:color="auto"/>
                  </w:divBdr>
                  <w:divsChild>
                    <w:div w:id="784227549">
                      <w:marLeft w:val="0"/>
                      <w:marRight w:val="0"/>
                      <w:marTop w:val="0"/>
                      <w:marBottom w:val="0"/>
                      <w:divBdr>
                        <w:top w:val="none" w:sz="0" w:space="0" w:color="auto"/>
                        <w:left w:val="none" w:sz="0" w:space="0" w:color="auto"/>
                        <w:bottom w:val="none" w:sz="0" w:space="0" w:color="auto"/>
                        <w:right w:val="none" w:sz="0" w:space="0" w:color="auto"/>
                      </w:divBdr>
                    </w:div>
                  </w:divsChild>
                </w:div>
                <w:div w:id="967933678">
                  <w:marLeft w:val="0"/>
                  <w:marRight w:val="0"/>
                  <w:marTop w:val="0"/>
                  <w:marBottom w:val="0"/>
                  <w:divBdr>
                    <w:top w:val="none" w:sz="0" w:space="0" w:color="auto"/>
                    <w:left w:val="none" w:sz="0" w:space="0" w:color="auto"/>
                    <w:bottom w:val="none" w:sz="0" w:space="0" w:color="auto"/>
                    <w:right w:val="none" w:sz="0" w:space="0" w:color="auto"/>
                  </w:divBdr>
                  <w:divsChild>
                    <w:div w:id="1174959270">
                      <w:marLeft w:val="0"/>
                      <w:marRight w:val="0"/>
                      <w:marTop w:val="0"/>
                      <w:marBottom w:val="0"/>
                      <w:divBdr>
                        <w:top w:val="none" w:sz="0" w:space="0" w:color="auto"/>
                        <w:left w:val="none" w:sz="0" w:space="0" w:color="auto"/>
                        <w:bottom w:val="none" w:sz="0" w:space="0" w:color="auto"/>
                        <w:right w:val="none" w:sz="0" w:space="0" w:color="auto"/>
                      </w:divBdr>
                    </w:div>
                  </w:divsChild>
                </w:div>
                <w:div w:id="971517321">
                  <w:marLeft w:val="0"/>
                  <w:marRight w:val="0"/>
                  <w:marTop w:val="0"/>
                  <w:marBottom w:val="0"/>
                  <w:divBdr>
                    <w:top w:val="none" w:sz="0" w:space="0" w:color="auto"/>
                    <w:left w:val="none" w:sz="0" w:space="0" w:color="auto"/>
                    <w:bottom w:val="none" w:sz="0" w:space="0" w:color="auto"/>
                    <w:right w:val="none" w:sz="0" w:space="0" w:color="auto"/>
                  </w:divBdr>
                  <w:divsChild>
                    <w:div w:id="2031567775">
                      <w:marLeft w:val="0"/>
                      <w:marRight w:val="0"/>
                      <w:marTop w:val="0"/>
                      <w:marBottom w:val="0"/>
                      <w:divBdr>
                        <w:top w:val="none" w:sz="0" w:space="0" w:color="auto"/>
                        <w:left w:val="none" w:sz="0" w:space="0" w:color="auto"/>
                        <w:bottom w:val="none" w:sz="0" w:space="0" w:color="auto"/>
                        <w:right w:val="none" w:sz="0" w:space="0" w:color="auto"/>
                      </w:divBdr>
                    </w:div>
                  </w:divsChild>
                </w:div>
                <w:div w:id="991372251">
                  <w:marLeft w:val="0"/>
                  <w:marRight w:val="0"/>
                  <w:marTop w:val="0"/>
                  <w:marBottom w:val="0"/>
                  <w:divBdr>
                    <w:top w:val="none" w:sz="0" w:space="0" w:color="auto"/>
                    <w:left w:val="none" w:sz="0" w:space="0" w:color="auto"/>
                    <w:bottom w:val="none" w:sz="0" w:space="0" w:color="auto"/>
                    <w:right w:val="none" w:sz="0" w:space="0" w:color="auto"/>
                  </w:divBdr>
                  <w:divsChild>
                    <w:div w:id="1362171603">
                      <w:marLeft w:val="0"/>
                      <w:marRight w:val="0"/>
                      <w:marTop w:val="0"/>
                      <w:marBottom w:val="0"/>
                      <w:divBdr>
                        <w:top w:val="none" w:sz="0" w:space="0" w:color="auto"/>
                        <w:left w:val="none" w:sz="0" w:space="0" w:color="auto"/>
                        <w:bottom w:val="none" w:sz="0" w:space="0" w:color="auto"/>
                        <w:right w:val="none" w:sz="0" w:space="0" w:color="auto"/>
                      </w:divBdr>
                    </w:div>
                  </w:divsChild>
                </w:div>
                <w:div w:id="1044208690">
                  <w:marLeft w:val="0"/>
                  <w:marRight w:val="0"/>
                  <w:marTop w:val="0"/>
                  <w:marBottom w:val="0"/>
                  <w:divBdr>
                    <w:top w:val="none" w:sz="0" w:space="0" w:color="auto"/>
                    <w:left w:val="none" w:sz="0" w:space="0" w:color="auto"/>
                    <w:bottom w:val="none" w:sz="0" w:space="0" w:color="auto"/>
                    <w:right w:val="none" w:sz="0" w:space="0" w:color="auto"/>
                  </w:divBdr>
                  <w:divsChild>
                    <w:div w:id="1992783185">
                      <w:marLeft w:val="0"/>
                      <w:marRight w:val="0"/>
                      <w:marTop w:val="0"/>
                      <w:marBottom w:val="0"/>
                      <w:divBdr>
                        <w:top w:val="none" w:sz="0" w:space="0" w:color="auto"/>
                        <w:left w:val="none" w:sz="0" w:space="0" w:color="auto"/>
                        <w:bottom w:val="none" w:sz="0" w:space="0" w:color="auto"/>
                        <w:right w:val="none" w:sz="0" w:space="0" w:color="auto"/>
                      </w:divBdr>
                    </w:div>
                  </w:divsChild>
                </w:div>
                <w:div w:id="1062605185">
                  <w:marLeft w:val="0"/>
                  <w:marRight w:val="0"/>
                  <w:marTop w:val="0"/>
                  <w:marBottom w:val="0"/>
                  <w:divBdr>
                    <w:top w:val="none" w:sz="0" w:space="0" w:color="auto"/>
                    <w:left w:val="none" w:sz="0" w:space="0" w:color="auto"/>
                    <w:bottom w:val="none" w:sz="0" w:space="0" w:color="auto"/>
                    <w:right w:val="none" w:sz="0" w:space="0" w:color="auto"/>
                  </w:divBdr>
                  <w:divsChild>
                    <w:div w:id="291792181">
                      <w:marLeft w:val="0"/>
                      <w:marRight w:val="0"/>
                      <w:marTop w:val="0"/>
                      <w:marBottom w:val="0"/>
                      <w:divBdr>
                        <w:top w:val="none" w:sz="0" w:space="0" w:color="auto"/>
                        <w:left w:val="none" w:sz="0" w:space="0" w:color="auto"/>
                        <w:bottom w:val="none" w:sz="0" w:space="0" w:color="auto"/>
                        <w:right w:val="none" w:sz="0" w:space="0" w:color="auto"/>
                      </w:divBdr>
                    </w:div>
                  </w:divsChild>
                </w:div>
                <w:div w:id="1071318229">
                  <w:marLeft w:val="0"/>
                  <w:marRight w:val="0"/>
                  <w:marTop w:val="0"/>
                  <w:marBottom w:val="0"/>
                  <w:divBdr>
                    <w:top w:val="none" w:sz="0" w:space="0" w:color="auto"/>
                    <w:left w:val="none" w:sz="0" w:space="0" w:color="auto"/>
                    <w:bottom w:val="none" w:sz="0" w:space="0" w:color="auto"/>
                    <w:right w:val="none" w:sz="0" w:space="0" w:color="auto"/>
                  </w:divBdr>
                  <w:divsChild>
                    <w:div w:id="1477409182">
                      <w:marLeft w:val="0"/>
                      <w:marRight w:val="0"/>
                      <w:marTop w:val="0"/>
                      <w:marBottom w:val="0"/>
                      <w:divBdr>
                        <w:top w:val="none" w:sz="0" w:space="0" w:color="auto"/>
                        <w:left w:val="none" w:sz="0" w:space="0" w:color="auto"/>
                        <w:bottom w:val="none" w:sz="0" w:space="0" w:color="auto"/>
                        <w:right w:val="none" w:sz="0" w:space="0" w:color="auto"/>
                      </w:divBdr>
                    </w:div>
                  </w:divsChild>
                </w:div>
                <w:div w:id="1078140305">
                  <w:marLeft w:val="0"/>
                  <w:marRight w:val="0"/>
                  <w:marTop w:val="0"/>
                  <w:marBottom w:val="0"/>
                  <w:divBdr>
                    <w:top w:val="none" w:sz="0" w:space="0" w:color="auto"/>
                    <w:left w:val="none" w:sz="0" w:space="0" w:color="auto"/>
                    <w:bottom w:val="none" w:sz="0" w:space="0" w:color="auto"/>
                    <w:right w:val="none" w:sz="0" w:space="0" w:color="auto"/>
                  </w:divBdr>
                  <w:divsChild>
                    <w:div w:id="576475667">
                      <w:marLeft w:val="0"/>
                      <w:marRight w:val="0"/>
                      <w:marTop w:val="0"/>
                      <w:marBottom w:val="0"/>
                      <w:divBdr>
                        <w:top w:val="none" w:sz="0" w:space="0" w:color="auto"/>
                        <w:left w:val="none" w:sz="0" w:space="0" w:color="auto"/>
                        <w:bottom w:val="none" w:sz="0" w:space="0" w:color="auto"/>
                        <w:right w:val="none" w:sz="0" w:space="0" w:color="auto"/>
                      </w:divBdr>
                    </w:div>
                  </w:divsChild>
                </w:div>
                <w:div w:id="1084954958">
                  <w:marLeft w:val="0"/>
                  <w:marRight w:val="0"/>
                  <w:marTop w:val="0"/>
                  <w:marBottom w:val="0"/>
                  <w:divBdr>
                    <w:top w:val="none" w:sz="0" w:space="0" w:color="auto"/>
                    <w:left w:val="none" w:sz="0" w:space="0" w:color="auto"/>
                    <w:bottom w:val="none" w:sz="0" w:space="0" w:color="auto"/>
                    <w:right w:val="none" w:sz="0" w:space="0" w:color="auto"/>
                  </w:divBdr>
                  <w:divsChild>
                    <w:div w:id="1621374201">
                      <w:marLeft w:val="0"/>
                      <w:marRight w:val="0"/>
                      <w:marTop w:val="0"/>
                      <w:marBottom w:val="0"/>
                      <w:divBdr>
                        <w:top w:val="none" w:sz="0" w:space="0" w:color="auto"/>
                        <w:left w:val="none" w:sz="0" w:space="0" w:color="auto"/>
                        <w:bottom w:val="none" w:sz="0" w:space="0" w:color="auto"/>
                        <w:right w:val="none" w:sz="0" w:space="0" w:color="auto"/>
                      </w:divBdr>
                    </w:div>
                  </w:divsChild>
                </w:div>
                <w:div w:id="1100489178">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
                  </w:divsChild>
                </w:div>
                <w:div w:id="1121189964">
                  <w:marLeft w:val="0"/>
                  <w:marRight w:val="0"/>
                  <w:marTop w:val="0"/>
                  <w:marBottom w:val="0"/>
                  <w:divBdr>
                    <w:top w:val="none" w:sz="0" w:space="0" w:color="auto"/>
                    <w:left w:val="none" w:sz="0" w:space="0" w:color="auto"/>
                    <w:bottom w:val="none" w:sz="0" w:space="0" w:color="auto"/>
                    <w:right w:val="none" w:sz="0" w:space="0" w:color="auto"/>
                  </w:divBdr>
                  <w:divsChild>
                    <w:div w:id="1514805788">
                      <w:marLeft w:val="0"/>
                      <w:marRight w:val="0"/>
                      <w:marTop w:val="0"/>
                      <w:marBottom w:val="0"/>
                      <w:divBdr>
                        <w:top w:val="none" w:sz="0" w:space="0" w:color="auto"/>
                        <w:left w:val="none" w:sz="0" w:space="0" w:color="auto"/>
                        <w:bottom w:val="none" w:sz="0" w:space="0" w:color="auto"/>
                        <w:right w:val="none" w:sz="0" w:space="0" w:color="auto"/>
                      </w:divBdr>
                    </w:div>
                  </w:divsChild>
                </w:div>
                <w:div w:id="1125008060">
                  <w:marLeft w:val="0"/>
                  <w:marRight w:val="0"/>
                  <w:marTop w:val="0"/>
                  <w:marBottom w:val="0"/>
                  <w:divBdr>
                    <w:top w:val="none" w:sz="0" w:space="0" w:color="auto"/>
                    <w:left w:val="none" w:sz="0" w:space="0" w:color="auto"/>
                    <w:bottom w:val="none" w:sz="0" w:space="0" w:color="auto"/>
                    <w:right w:val="none" w:sz="0" w:space="0" w:color="auto"/>
                  </w:divBdr>
                  <w:divsChild>
                    <w:div w:id="196284345">
                      <w:marLeft w:val="0"/>
                      <w:marRight w:val="0"/>
                      <w:marTop w:val="0"/>
                      <w:marBottom w:val="0"/>
                      <w:divBdr>
                        <w:top w:val="none" w:sz="0" w:space="0" w:color="auto"/>
                        <w:left w:val="none" w:sz="0" w:space="0" w:color="auto"/>
                        <w:bottom w:val="none" w:sz="0" w:space="0" w:color="auto"/>
                        <w:right w:val="none" w:sz="0" w:space="0" w:color="auto"/>
                      </w:divBdr>
                    </w:div>
                  </w:divsChild>
                </w:div>
                <w:div w:id="1161312426">
                  <w:marLeft w:val="0"/>
                  <w:marRight w:val="0"/>
                  <w:marTop w:val="0"/>
                  <w:marBottom w:val="0"/>
                  <w:divBdr>
                    <w:top w:val="none" w:sz="0" w:space="0" w:color="auto"/>
                    <w:left w:val="none" w:sz="0" w:space="0" w:color="auto"/>
                    <w:bottom w:val="none" w:sz="0" w:space="0" w:color="auto"/>
                    <w:right w:val="none" w:sz="0" w:space="0" w:color="auto"/>
                  </w:divBdr>
                  <w:divsChild>
                    <w:div w:id="1933395024">
                      <w:marLeft w:val="0"/>
                      <w:marRight w:val="0"/>
                      <w:marTop w:val="0"/>
                      <w:marBottom w:val="0"/>
                      <w:divBdr>
                        <w:top w:val="none" w:sz="0" w:space="0" w:color="auto"/>
                        <w:left w:val="none" w:sz="0" w:space="0" w:color="auto"/>
                        <w:bottom w:val="none" w:sz="0" w:space="0" w:color="auto"/>
                        <w:right w:val="none" w:sz="0" w:space="0" w:color="auto"/>
                      </w:divBdr>
                    </w:div>
                  </w:divsChild>
                </w:div>
                <w:div w:id="1170438658">
                  <w:marLeft w:val="0"/>
                  <w:marRight w:val="0"/>
                  <w:marTop w:val="0"/>
                  <w:marBottom w:val="0"/>
                  <w:divBdr>
                    <w:top w:val="none" w:sz="0" w:space="0" w:color="auto"/>
                    <w:left w:val="none" w:sz="0" w:space="0" w:color="auto"/>
                    <w:bottom w:val="none" w:sz="0" w:space="0" w:color="auto"/>
                    <w:right w:val="none" w:sz="0" w:space="0" w:color="auto"/>
                  </w:divBdr>
                  <w:divsChild>
                    <w:div w:id="1758355931">
                      <w:marLeft w:val="0"/>
                      <w:marRight w:val="0"/>
                      <w:marTop w:val="0"/>
                      <w:marBottom w:val="0"/>
                      <w:divBdr>
                        <w:top w:val="none" w:sz="0" w:space="0" w:color="auto"/>
                        <w:left w:val="none" w:sz="0" w:space="0" w:color="auto"/>
                        <w:bottom w:val="none" w:sz="0" w:space="0" w:color="auto"/>
                        <w:right w:val="none" w:sz="0" w:space="0" w:color="auto"/>
                      </w:divBdr>
                    </w:div>
                  </w:divsChild>
                </w:div>
                <w:div w:id="1185440676">
                  <w:marLeft w:val="0"/>
                  <w:marRight w:val="0"/>
                  <w:marTop w:val="0"/>
                  <w:marBottom w:val="0"/>
                  <w:divBdr>
                    <w:top w:val="none" w:sz="0" w:space="0" w:color="auto"/>
                    <w:left w:val="none" w:sz="0" w:space="0" w:color="auto"/>
                    <w:bottom w:val="none" w:sz="0" w:space="0" w:color="auto"/>
                    <w:right w:val="none" w:sz="0" w:space="0" w:color="auto"/>
                  </w:divBdr>
                  <w:divsChild>
                    <w:div w:id="1998070445">
                      <w:marLeft w:val="0"/>
                      <w:marRight w:val="0"/>
                      <w:marTop w:val="0"/>
                      <w:marBottom w:val="0"/>
                      <w:divBdr>
                        <w:top w:val="none" w:sz="0" w:space="0" w:color="auto"/>
                        <w:left w:val="none" w:sz="0" w:space="0" w:color="auto"/>
                        <w:bottom w:val="none" w:sz="0" w:space="0" w:color="auto"/>
                        <w:right w:val="none" w:sz="0" w:space="0" w:color="auto"/>
                      </w:divBdr>
                    </w:div>
                  </w:divsChild>
                </w:div>
                <w:div w:id="1236625950">
                  <w:marLeft w:val="0"/>
                  <w:marRight w:val="0"/>
                  <w:marTop w:val="0"/>
                  <w:marBottom w:val="0"/>
                  <w:divBdr>
                    <w:top w:val="none" w:sz="0" w:space="0" w:color="auto"/>
                    <w:left w:val="none" w:sz="0" w:space="0" w:color="auto"/>
                    <w:bottom w:val="none" w:sz="0" w:space="0" w:color="auto"/>
                    <w:right w:val="none" w:sz="0" w:space="0" w:color="auto"/>
                  </w:divBdr>
                  <w:divsChild>
                    <w:div w:id="1428189040">
                      <w:marLeft w:val="0"/>
                      <w:marRight w:val="0"/>
                      <w:marTop w:val="0"/>
                      <w:marBottom w:val="0"/>
                      <w:divBdr>
                        <w:top w:val="none" w:sz="0" w:space="0" w:color="auto"/>
                        <w:left w:val="none" w:sz="0" w:space="0" w:color="auto"/>
                        <w:bottom w:val="none" w:sz="0" w:space="0" w:color="auto"/>
                        <w:right w:val="none" w:sz="0" w:space="0" w:color="auto"/>
                      </w:divBdr>
                    </w:div>
                  </w:divsChild>
                </w:div>
                <w:div w:id="1263345389">
                  <w:marLeft w:val="0"/>
                  <w:marRight w:val="0"/>
                  <w:marTop w:val="0"/>
                  <w:marBottom w:val="0"/>
                  <w:divBdr>
                    <w:top w:val="none" w:sz="0" w:space="0" w:color="auto"/>
                    <w:left w:val="none" w:sz="0" w:space="0" w:color="auto"/>
                    <w:bottom w:val="none" w:sz="0" w:space="0" w:color="auto"/>
                    <w:right w:val="none" w:sz="0" w:space="0" w:color="auto"/>
                  </w:divBdr>
                  <w:divsChild>
                    <w:div w:id="644311640">
                      <w:marLeft w:val="0"/>
                      <w:marRight w:val="0"/>
                      <w:marTop w:val="0"/>
                      <w:marBottom w:val="0"/>
                      <w:divBdr>
                        <w:top w:val="none" w:sz="0" w:space="0" w:color="auto"/>
                        <w:left w:val="none" w:sz="0" w:space="0" w:color="auto"/>
                        <w:bottom w:val="none" w:sz="0" w:space="0" w:color="auto"/>
                        <w:right w:val="none" w:sz="0" w:space="0" w:color="auto"/>
                      </w:divBdr>
                    </w:div>
                  </w:divsChild>
                </w:div>
                <w:div w:id="1304773646">
                  <w:marLeft w:val="0"/>
                  <w:marRight w:val="0"/>
                  <w:marTop w:val="0"/>
                  <w:marBottom w:val="0"/>
                  <w:divBdr>
                    <w:top w:val="none" w:sz="0" w:space="0" w:color="auto"/>
                    <w:left w:val="none" w:sz="0" w:space="0" w:color="auto"/>
                    <w:bottom w:val="none" w:sz="0" w:space="0" w:color="auto"/>
                    <w:right w:val="none" w:sz="0" w:space="0" w:color="auto"/>
                  </w:divBdr>
                  <w:divsChild>
                    <w:div w:id="1857887936">
                      <w:marLeft w:val="0"/>
                      <w:marRight w:val="0"/>
                      <w:marTop w:val="0"/>
                      <w:marBottom w:val="0"/>
                      <w:divBdr>
                        <w:top w:val="none" w:sz="0" w:space="0" w:color="auto"/>
                        <w:left w:val="none" w:sz="0" w:space="0" w:color="auto"/>
                        <w:bottom w:val="none" w:sz="0" w:space="0" w:color="auto"/>
                        <w:right w:val="none" w:sz="0" w:space="0" w:color="auto"/>
                      </w:divBdr>
                    </w:div>
                  </w:divsChild>
                </w:div>
                <w:div w:id="1327902652">
                  <w:marLeft w:val="0"/>
                  <w:marRight w:val="0"/>
                  <w:marTop w:val="0"/>
                  <w:marBottom w:val="0"/>
                  <w:divBdr>
                    <w:top w:val="none" w:sz="0" w:space="0" w:color="auto"/>
                    <w:left w:val="none" w:sz="0" w:space="0" w:color="auto"/>
                    <w:bottom w:val="none" w:sz="0" w:space="0" w:color="auto"/>
                    <w:right w:val="none" w:sz="0" w:space="0" w:color="auto"/>
                  </w:divBdr>
                  <w:divsChild>
                    <w:div w:id="1000082018">
                      <w:marLeft w:val="0"/>
                      <w:marRight w:val="0"/>
                      <w:marTop w:val="0"/>
                      <w:marBottom w:val="0"/>
                      <w:divBdr>
                        <w:top w:val="none" w:sz="0" w:space="0" w:color="auto"/>
                        <w:left w:val="none" w:sz="0" w:space="0" w:color="auto"/>
                        <w:bottom w:val="none" w:sz="0" w:space="0" w:color="auto"/>
                        <w:right w:val="none" w:sz="0" w:space="0" w:color="auto"/>
                      </w:divBdr>
                    </w:div>
                  </w:divsChild>
                </w:div>
                <w:div w:id="1365598412">
                  <w:marLeft w:val="0"/>
                  <w:marRight w:val="0"/>
                  <w:marTop w:val="0"/>
                  <w:marBottom w:val="0"/>
                  <w:divBdr>
                    <w:top w:val="none" w:sz="0" w:space="0" w:color="auto"/>
                    <w:left w:val="none" w:sz="0" w:space="0" w:color="auto"/>
                    <w:bottom w:val="none" w:sz="0" w:space="0" w:color="auto"/>
                    <w:right w:val="none" w:sz="0" w:space="0" w:color="auto"/>
                  </w:divBdr>
                  <w:divsChild>
                    <w:div w:id="1042052730">
                      <w:marLeft w:val="0"/>
                      <w:marRight w:val="0"/>
                      <w:marTop w:val="0"/>
                      <w:marBottom w:val="0"/>
                      <w:divBdr>
                        <w:top w:val="none" w:sz="0" w:space="0" w:color="auto"/>
                        <w:left w:val="none" w:sz="0" w:space="0" w:color="auto"/>
                        <w:bottom w:val="none" w:sz="0" w:space="0" w:color="auto"/>
                        <w:right w:val="none" w:sz="0" w:space="0" w:color="auto"/>
                      </w:divBdr>
                    </w:div>
                  </w:divsChild>
                </w:div>
                <w:div w:id="1465806255">
                  <w:marLeft w:val="0"/>
                  <w:marRight w:val="0"/>
                  <w:marTop w:val="0"/>
                  <w:marBottom w:val="0"/>
                  <w:divBdr>
                    <w:top w:val="none" w:sz="0" w:space="0" w:color="auto"/>
                    <w:left w:val="none" w:sz="0" w:space="0" w:color="auto"/>
                    <w:bottom w:val="none" w:sz="0" w:space="0" w:color="auto"/>
                    <w:right w:val="none" w:sz="0" w:space="0" w:color="auto"/>
                  </w:divBdr>
                  <w:divsChild>
                    <w:div w:id="1827432728">
                      <w:marLeft w:val="0"/>
                      <w:marRight w:val="0"/>
                      <w:marTop w:val="0"/>
                      <w:marBottom w:val="0"/>
                      <w:divBdr>
                        <w:top w:val="none" w:sz="0" w:space="0" w:color="auto"/>
                        <w:left w:val="none" w:sz="0" w:space="0" w:color="auto"/>
                        <w:bottom w:val="none" w:sz="0" w:space="0" w:color="auto"/>
                        <w:right w:val="none" w:sz="0" w:space="0" w:color="auto"/>
                      </w:divBdr>
                    </w:div>
                  </w:divsChild>
                </w:div>
                <w:div w:id="1479375941">
                  <w:marLeft w:val="0"/>
                  <w:marRight w:val="0"/>
                  <w:marTop w:val="0"/>
                  <w:marBottom w:val="0"/>
                  <w:divBdr>
                    <w:top w:val="none" w:sz="0" w:space="0" w:color="auto"/>
                    <w:left w:val="none" w:sz="0" w:space="0" w:color="auto"/>
                    <w:bottom w:val="none" w:sz="0" w:space="0" w:color="auto"/>
                    <w:right w:val="none" w:sz="0" w:space="0" w:color="auto"/>
                  </w:divBdr>
                  <w:divsChild>
                    <w:div w:id="1765878052">
                      <w:marLeft w:val="0"/>
                      <w:marRight w:val="0"/>
                      <w:marTop w:val="0"/>
                      <w:marBottom w:val="0"/>
                      <w:divBdr>
                        <w:top w:val="none" w:sz="0" w:space="0" w:color="auto"/>
                        <w:left w:val="none" w:sz="0" w:space="0" w:color="auto"/>
                        <w:bottom w:val="none" w:sz="0" w:space="0" w:color="auto"/>
                        <w:right w:val="none" w:sz="0" w:space="0" w:color="auto"/>
                      </w:divBdr>
                    </w:div>
                  </w:divsChild>
                </w:div>
                <w:div w:id="1485008067">
                  <w:marLeft w:val="0"/>
                  <w:marRight w:val="0"/>
                  <w:marTop w:val="0"/>
                  <w:marBottom w:val="0"/>
                  <w:divBdr>
                    <w:top w:val="none" w:sz="0" w:space="0" w:color="auto"/>
                    <w:left w:val="none" w:sz="0" w:space="0" w:color="auto"/>
                    <w:bottom w:val="none" w:sz="0" w:space="0" w:color="auto"/>
                    <w:right w:val="none" w:sz="0" w:space="0" w:color="auto"/>
                  </w:divBdr>
                  <w:divsChild>
                    <w:div w:id="1532722867">
                      <w:marLeft w:val="0"/>
                      <w:marRight w:val="0"/>
                      <w:marTop w:val="0"/>
                      <w:marBottom w:val="0"/>
                      <w:divBdr>
                        <w:top w:val="none" w:sz="0" w:space="0" w:color="auto"/>
                        <w:left w:val="none" w:sz="0" w:space="0" w:color="auto"/>
                        <w:bottom w:val="none" w:sz="0" w:space="0" w:color="auto"/>
                        <w:right w:val="none" w:sz="0" w:space="0" w:color="auto"/>
                      </w:divBdr>
                    </w:div>
                  </w:divsChild>
                </w:div>
                <w:div w:id="1552840170">
                  <w:marLeft w:val="0"/>
                  <w:marRight w:val="0"/>
                  <w:marTop w:val="0"/>
                  <w:marBottom w:val="0"/>
                  <w:divBdr>
                    <w:top w:val="none" w:sz="0" w:space="0" w:color="auto"/>
                    <w:left w:val="none" w:sz="0" w:space="0" w:color="auto"/>
                    <w:bottom w:val="none" w:sz="0" w:space="0" w:color="auto"/>
                    <w:right w:val="none" w:sz="0" w:space="0" w:color="auto"/>
                  </w:divBdr>
                  <w:divsChild>
                    <w:div w:id="155387346">
                      <w:marLeft w:val="0"/>
                      <w:marRight w:val="0"/>
                      <w:marTop w:val="0"/>
                      <w:marBottom w:val="0"/>
                      <w:divBdr>
                        <w:top w:val="none" w:sz="0" w:space="0" w:color="auto"/>
                        <w:left w:val="none" w:sz="0" w:space="0" w:color="auto"/>
                        <w:bottom w:val="none" w:sz="0" w:space="0" w:color="auto"/>
                        <w:right w:val="none" w:sz="0" w:space="0" w:color="auto"/>
                      </w:divBdr>
                    </w:div>
                  </w:divsChild>
                </w:div>
                <w:div w:id="1590504589">
                  <w:marLeft w:val="0"/>
                  <w:marRight w:val="0"/>
                  <w:marTop w:val="0"/>
                  <w:marBottom w:val="0"/>
                  <w:divBdr>
                    <w:top w:val="none" w:sz="0" w:space="0" w:color="auto"/>
                    <w:left w:val="none" w:sz="0" w:space="0" w:color="auto"/>
                    <w:bottom w:val="none" w:sz="0" w:space="0" w:color="auto"/>
                    <w:right w:val="none" w:sz="0" w:space="0" w:color="auto"/>
                  </w:divBdr>
                  <w:divsChild>
                    <w:div w:id="585263184">
                      <w:marLeft w:val="0"/>
                      <w:marRight w:val="0"/>
                      <w:marTop w:val="0"/>
                      <w:marBottom w:val="0"/>
                      <w:divBdr>
                        <w:top w:val="none" w:sz="0" w:space="0" w:color="auto"/>
                        <w:left w:val="none" w:sz="0" w:space="0" w:color="auto"/>
                        <w:bottom w:val="none" w:sz="0" w:space="0" w:color="auto"/>
                        <w:right w:val="none" w:sz="0" w:space="0" w:color="auto"/>
                      </w:divBdr>
                    </w:div>
                  </w:divsChild>
                </w:div>
                <w:div w:id="1616716543">
                  <w:marLeft w:val="0"/>
                  <w:marRight w:val="0"/>
                  <w:marTop w:val="0"/>
                  <w:marBottom w:val="0"/>
                  <w:divBdr>
                    <w:top w:val="none" w:sz="0" w:space="0" w:color="auto"/>
                    <w:left w:val="none" w:sz="0" w:space="0" w:color="auto"/>
                    <w:bottom w:val="none" w:sz="0" w:space="0" w:color="auto"/>
                    <w:right w:val="none" w:sz="0" w:space="0" w:color="auto"/>
                  </w:divBdr>
                  <w:divsChild>
                    <w:div w:id="38633210">
                      <w:marLeft w:val="0"/>
                      <w:marRight w:val="0"/>
                      <w:marTop w:val="0"/>
                      <w:marBottom w:val="0"/>
                      <w:divBdr>
                        <w:top w:val="none" w:sz="0" w:space="0" w:color="auto"/>
                        <w:left w:val="none" w:sz="0" w:space="0" w:color="auto"/>
                        <w:bottom w:val="none" w:sz="0" w:space="0" w:color="auto"/>
                        <w:right w:val="none" w:sz="0" w:space="0" w:color="auto"/>
                      </w:divBdr>
                    </w:div>
                  </w:divsChild>
                </w:div>
                <w:div w:id="1622607298">
                  <w:marLeft w:val="0"/>
                  <w:marRight w:val="0"/>
                  <w:marTop w:val="0"/>
                  <w:marBottom w:val="0"/>
                  <w:divBdr>
                    <w:top w:val="none" w:sz="0" w:space="0" w:color="auto"/>
                    <w:left w:val="none" w:sz="0" w:space="0" w:color="auto"/>
                    <w:bottom w:val="none" w:sz="0" w:space="0" w:color="auto"/>
                    <w:right w:val="none" w:sz="0" w:space="0" w:color="auto"/>
                  </w:divBdr>
                  <w:divsChild>
                    <w:div w:id="922030874">
                      <w:marLeft w:val="0"/>
                      <w:marRight w:val="0"/>
                      <w:marTop w:val="0"/>
                      <w:marBottom w:val="0"/>
                      <w:divBdr>
                        <w:top w:val="none" w:sz="0" w:space="0" w:color="auto"/>
                        <w:left w:val="none" w:sz="0" w:space="0" w:color="auto"/>
                        <w:bottom w:val="none" w:sz="0" w:space="0" w:color="auto"/>
                        <w:right w:val="none" w:sz="0" w:space="0" w:color="auto"/>
                      </w:divBdr>
                    </w:div>
                  </w:divsChild>
                </w:div>
                <w:div w:id="1728719409">
                  <w:marLeft w:val="0"/>
                  <w:marRight w:val="0"/>
                  <w:marTop w:val="0"/>
                  <w:marBottom w:val="0"/>
                  <w:divBdr>
                    <w:top w:val="none" w:sz="0" w:space="0" w:color="auto"/>
                    <w:left w:val="none" w:sz="0" w:space="0" w:color="auto"/>
                    <w:bottom w:val="none" w:sz="0" w:space="0" w:color="auto"/>
                    <w:right w:val="none" w:sz="0" w:space="0" w:color="auto"/>
                  </w:divBdr>
                  <w:divsChild>
                    <w:div w:id="168444708">
                      <w:marLeft w:val="0"/>
                      <w:marRight w:val="0"/>
                      <w:marTop w:val="0"/>
                      <w:marBottom w:val="0"/>
                      <w:divBdr>
                        <w:top w:val="none" w:sz="0" w:space="0" w:color="auto"/>
                        <w:left w:val="none" w:sz="0" w:space="0" w:color="auto"/>
                        <w:bottom w:val="none" w:sz="0" w:space="0" w:color="auto"/>
                        <w:right w:val="none" w:sz="0" w:space="0" w:color="auto"/>
                      </w:divBdr>
                    </w:div>
                  </w:divsChild>
                </w:div>
                <w:div w:id="1767118547">
                  <w:marLeft w:val="0"/>
                  <w:marRight w:val="0"/>
                  <w:marTop w:val="0"/>
                  <w:marBottom w:val="0"/>
                  <w:divBdr>
                    <w:top w:val="none" w:sz="0" w:space="0" w:color="auto"/>
                    <w:left w:val="none" w:sz="0" w:space="0" w:color="auto"/>
                    <w:bottom w:val="none" w:sz="0" w:space="0" w:color="auto"/>
                    <w:right w:val="none" w:sz="0" w:space="0" w:color="auto"/>
                  </w:divBdr>
                  <w:divsChild>
                    <w:div w:id="730663129">
                      <w:marLeft w:val="0"/>
                      <w:marRight w:val="0"/>
                      <w:marTop w:val="0"/>
                      <w:marBottom w:val="0"/>
                      <w:divBdr>
                        <w:top w:val="none" w:sz="0" w:space="0" w:color="auto"/>
                        <w:left w:val="none" w:sz="0" w:space="0" w:color="auto"/>
                        <w:bottom w:val="none" w:sz="0" w:space="0" w:color="auto"/>
                        <w:right w:val="none" w:sz="0" w:space="0" w:color="auto"/>
                      </w:divBdr>
                    </w:div>
                  </w:divsChild>
                </w:div>
                <w:div w:id="1793014017">
                  <w:marLeft w:val="0"/>
                  <w:marRight w:val="0"/>
                  <w:marTop w:val="0"/>
                  <w:marBottom w:val="0"/>
                  <w:divBdr>
                    <w:top w:val="none" w:sz="0" w:space="0" w:color="auto"/>
                    <w:left w:val="none" w:sz="0" w:space="0" w:color="auto"/>
                    <w:bottom w:val="none" w:sz="0" w:space="0" w:color="auto"/>
                    <w:right w:val="none" w:sz="0" w:space="0" w:color="auto"/>
                  </w:divBdr>
                  <w:divsChild>
                    <w:div w:id="677275207">
                      <w:marLeft w:val="0"/>
                      <w:marRight w:val="0"/>
                      <w:marTop w:val="0"/>
                      <w:marBottom w:val="0"/>
                      <w:divBdr>
                        <w:top w:val="none" w:sz="0" w:space="0" w:color="auto"/>
                        <w:left w:val="none" w:sz="0" w:space="0" w:color="auto"/>
                        <w:bottom w:val="none" w:sz="0" w:space="0" w:color="auto"/>
                        <w:right w:val="none" w:sz="0" w:space="0" w:color="auto"/>
                      </w:divBdr>
                    </w:div>
                  </w:divsChild>
                </w:div>
                <w:div w:id="1891920598">
                  <w:marLeft w:val="0"/>
                  <w:marRight w:val="0"/>
                  <w:marTop w:val="0"/>
                  <w:marBottom w:val="0"/>
                  <w:divBdr>
                    <w:top w:val="none" w:sz="0" w:space="0" w:color="auto"/>
                    <w:left w:val="none" w:sz="0" w:space="0" w:color="auto"/>
                    <w:bottom w:val="none" w:sz="0" w:space="0" w:color="auto"/>
                    <w:right w:val="none" w:sz="0" w:space="0" w:color="auto"/>
                  </w:divBdr>
                  <w:divsChild>
                    <w:div w:id="1185749807">
                      <w:marLeft w:val="0"/>
                      <w:marRight w:val="0"/>
                      <w:marTop w:val="0"/>
                      <w:marBottom w:val="0"/>
                      <w:divBdr>
                        <w:top w:val="none" w:sz="0" w:space="0" w:color="auto"/>
                        <w:left w:val="none" w:sz="0" w:space="0" w:color="auto"/>
                        <w:bottom w:val="none" w:sz="0" w:space="0" w:color="auto"/>
                        <w:right w:val="none" w:sz="0" w:space="0" w:color="auto"/>
                      </w:divBdr>
                    </w:div>
                  </w:divsChild>
                </w:div>
                <w:div w:id="1903328927">
                  <w:marLeft w:val="0"/>
                  <w:marRight w:val="0"/>
                  <w:marTop w:val="0"/>
                  <w:marBottom w:val="0"/>
                  <w:divBdr>
                    <w:top w:val="none" w:sz="0" w:space="0" w:color="auto"/>
                    <w:left w:val="none" w:sz="0" w:space="0" w:color="auto"/>
                    <w:bottom w:val="none" w:sz="0" w:space="0" w:color="auto"/>
                    <w:right w:val="none" w:sz="0" w:space="0" w:color="auto"/>
                  </w:divBdr>
                  <w:divsChild>
                    <w:div w:id="1673952398">
                      <w:marLeft w:val="0"/>
                      <w:marRight w:val="0"/>
                      <w:marTop w:val="0"/>
                      <w:marBottom w:val="0"/>
                      <w:divBdr>
                        <w:top w:val="none" w:sz="0" w:space="0" w:color="auto"/>
                        <w:left w:val="none" w:sz="0" w:space="0" w:color="auto"/>
                        <w:bottom w:val="none" w:sz="0" w:space="0" w:color="auto"/>
                        <w:right w:val="none" w:sz="0" w:space="0" w:color="auto"/>
                      </w:divBdr>
                    </w:div>
                  </w:divsChild>
                </w:div>
                <w:div w:id="1916015179">
                  <w:marLeft w:val="0"/>
                  <w:marRight w:val="0"/>
                  <w:marTop w:val="0"/>
                  <w:marBottom w:val="0"/>
                  <w:divBdr>
                    <w:top w:val="none" w:sz="0" w:space="0" w:color="auto"/>
                    <w:left w:val="none" w:sz="0" w:space="0" w:color="auto"/>
                    <w:bottom w:val="none" w:sz="0" w:space="0" w:color="auto"/>
                    <w:right w:val="none" w:sz="0" w:space="0" w:color="auto"/>
                  </w:divBdr>
                  <w:divsChild>
                    <w:div w:id="2086797665">
                      <w:marLeft w:val="0"/>
                      <w:marRight w:val="0"/>
                      <w:marTop w:val="0"/>
                      <w:marBottom w:val="0"/>
                      <w:divBdr>
                        <w:top w:val="none" w:sz="0" w:space="0" w:color="auto"/>
                        <w:left w:val="none" w:sz="0" w:space="0" w:color="auto"/>
                        <w:bottom w:val="none" w:sz="0" w:space="0" w:color="auto"/>
                        <w:right w:val="none" w:sz="0" w:space="0" w:color="auto"/>
                      </w:divBdr>
                    </w:div>
                  </w:divsChild>
                </w:div>
                <w:div w:id="2040156987">
                  <w:marLeft w:val="0"/>
                  <w:marRight w:val="0"/>
                  <w:marTop w:val="0"/>
                  <w:marBottom w:val="0"/>
                  <w:divBdr>
                    <w:top w:val="none" w:sz="0" w:space="0" w:color="auto"/>
                    <w:left w:val="none" w:sz="0" w:space="0" w:color="auto"/>
                    <w:bottom w:val="none" w:sz="0" w:space="0" w:color="auto"/>
                    <w:right w:val="none" w:sz="0" w:space="0" w:color="auto"/>
                  </w:divBdr>
                  <w:divsChild>
                    <w:div w:id="709695723">
                      <w:marLeft w:val="0"/>
                      <w:marRight w:val="0"/>
                      <w:marTop w:val="0"/>
                      <w:marBottom w:val="0"/>
                      <w:divBdr>
                        <w:top w:val="none" w:sz="0" w:space="0" w:color="auto"/>
                        <w:left w:val="none" w:sz="0" w:space="0" w:color="auto"/>
                        <w:bottom w:val="none" w:sz="0" w:space="0" w:color="auto"/>
                        <w:right w:val="none" w:sz="0" w:space="0" w:color="auto"/>
                      </w:divBdr>
                    </w:div>
                  </w:divsChild>
                </w:div>
                <w:div w:id="2047438540">
                  <w:marLeft w:val="0"/>
                  <w:marRight w:val="0"/>
                  <w:marTop w:val="0"/>
                  <w:marBottom w:val="0"/>
                  <w:divBdr>
                    <w:top w:val="none" w:sz="0" w:space="0" w:color="auto"/>
                    <w:left w:val="none" w:sz="0" w:space="0" w:color="auto"/>
                    <w:bottom w:val="none" w:sz="0" w:space="0" w:color="auto"/>
                    <w:right w:val="none" w:sz="0" w:space="0" w:color="auto"/>
                  </w:divBdr>
                  <w:divsChild>
                    <w:div w:id="1956784624">
                      <w:marLeft w:val="0"/>
                      <w:marRight w:val="0"/>
                      <w:marTop w:val="0"/>
                      <w:marBottom w:val="0"/>
                      <w:divBdr>
                        <w:top w:val="none" w:sz="0" w:space="0" w:color="auto"/>
                        <w:left w:val="none" w:sz="0" w:space="0" w:color="auto"/>
                        <w:bottom w:val="none" w:sz="0" w:space="0" w:color="auto"/>
                        <w:right w:val="none" w:sz="0" w:space="0" w:color="auto"/>
                      </w:divBdr>
                    </w:div>
                  </w:divsChild>
                </w:div>
                <w:div w:id="2089643951">
                  <w:marLeft w:val="0"/>
                  <w:marRight w:val="0"/>
                  <w:marTop w:val="0"/>
                  <w:marBottom w:val="0"/>
                  <w:divBdr>
                    <w:top w:val="none" w:sz="0" w:space="0" w:color="auto"/>
                    <w:left w:val="none" w:sz="0" w:space="0" w:color="auto"/>
                    <w:bottom w:val="none" w:sz="0" w:space="0" w:color="auto"/>
                    <w:right w:val="none" w:sz="0" w:space="0" w:color="auto"/>
                  </w:divBdr>
                  <w:divsChild>
                    <w:div w:id="1598634788">
                      <w:marLeft w:val="0"/>
                      <w:marRight w:val="0"/>
                      <w:marTop w:val="0"/>
                      <w:marBottom w:val="0"/>
                      <w:divBdr>
                        <w:top w:val="none" w:sz="0" w:space="0" w:color="auto"/>
                        <w:left w:val="none" w:sz="0" w:space="0" w:color="auto"/>
                        <w:bottom w:val="none" w:sz="0" w:space="0" w:color="auto"/>
                        <w:right w:val="none" w:sz="0" w:space="0" w:color="auto"/>
                      </w:divBdr>
                    </w:div>
                  </w:divsChild>
                </w:div>
                <w:div w:id="2129470719">
                  <w:marLeft w:val="0"/>
                  <w:marRight w:val="0"/>
                  <w:marTop w:val="0"/>
                  <w:marBottom w:val="0"/>
                  <w:divBdr>
                    <w:top w:val="none" w:sz="0" w:space="0" w:color="auto"/>
                    <w:left w:val="none" w:sz="0" w:space="0" w:color="auto"/>
                    <w:bottom w:val="none" w:sz="0" w:space="0" w:color="auto"/>
                    <w:right w:val="none" w:sz="0" w:space="0" w:color="auto"/>
                  </w:divBdr>
                  <w:divsChild>
                    <w:div w:id="19508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262">
          <w:marLeft w:val="0"/>
          <w:marRight w:val="0"/>
          <w:marTop w:val="0"/>
          <w:marBottom w:val="0"/>
          <w:divBdr>
            <w:top w:val="none" w:sz="0" w:space="0" w:color="auto"/>
            <w:left w:val="none" w:sz="0" w:space="0" w:color="auto"/>
            <w:bottom w:val="none" w:sz="0" w:space="0" w:color="auto"/>
            <w:right w:val="none" w:sz="0" w:space="0" w:color="auto"/>
          </w:divBdr>
          <w:divsChild>
            <w:div w:id="2076778314">
              <w:marLeft w:val="-75"/>
              <w:marRight w:val="0"/>
              <w:marTop w:val="30"/>
              <w:marBottom w:val="30"/>
              <w:divBdr>
                <w:top w:val="none" w:sz="0" w:space="0" w:color="auto"/>
                <w:left w:val="none" w:sz="0" w:space="0" w:color="auto"/>
                <w:bottom w:val="none" w:sz="0" w:space="0" w:color="auto"/>
                <w:right w:val="none" w:sz="0" w:space="0" w:color="auto"/>
              </w:divBdr>
              <w:divsChild>
                <w:div w:id="77100036">
                  <w:marLeft w:val="0"/>
                  <w:marRight w:val="0"/>
                  <w:marTop w:val="0"/>
                  <w:marBottom w:val="0"/>
                  <w:divBdr>
                    <w:top w:val="none" w:sz="0" w:space="0" w:color="auto"/>
                    <w:left w:val="none" w:sz="0" w:space="0" w:color="auto"/>
                    <w:bottom w:val="none" w:sz="0" w:space="0" w:color="auto"/>
                    <w:right w:val="none" w:sz="0" w:space="0" w:color="auto"/>
                  </w:divBdr>
                  <w:divsChild>
                    <w:div w:id="1162087355">
                      <w:marLeft w:val="0"/>
                      <w:marRight w:val="0"/>
                      <w:marTop w:val="0"/>
                      <w:marBottom w:val="0"/>
                      <w:divBdr>
                        <w:top w:val="none" w:sz="0" w:space="0" w:color="auto"/>
                        <w:left w:val="none" w:sz="0" w:space="0" w:color="auto"/>
                        <w:bottom w:val="none" w:sz="0" w:space="0" w:color="auto"/>
                        <w:right w:val="none" w:sz="0" w:space="0" w:color="auto"/>
                      </w:divBdr>
                    </w:div>
                  </w:divsChild>
                </w:div>
                <w:div w:id="134420807">
                  <w:marLeft w:val="0"/>
                  <w:marRight w:val="0"/>
                  <w:marTop w:val="0"/>
                  <w:marBottom w:val="0"/>
                  <w:divBdr>
                    <w:top w:val="none" w:sz="0" w:space="0" w:color="auto"/>
                    <w:left w:val="none" w:sz="0" w:space="0" w:color="auto"/>
                    <w:bottom w:val="none" w:sz="0" w:space="0" w:color="auto"/>
                    <w:right w:val="none" w:sz="0" w:space="0" w:color="auto"/>
                  </w:divBdr>
                  <w:divsChild>
                    <w:div w:id="66923260">
                      <w:marLeft w:val="0"/>
                      <w:marRight w:val="0"/>
                      <w:marTop w:val="0"/>
                      <w:marBottom w:val="0"/>
                      <w:divBdr>
                        <w:top w:val="none" w:sz="0" w:space="0" w:color="auto"/>
                        <w:left w:val="none" w:sz="0" w:space="0" w:color="auto"/>
                        <w:bottom w:val="none" w:sz="0" w:space="0" w:color="auto"/>
                        <w:right w:val="none" w:sz="0" w:space="0" w:color="auto"/>
                      </w:divBdr>
                    </w:div>
                  </w:divsChild>
                </w:div>
                <w:div w:id="306710779">
                  <w:marLeft w:val="0"/>
                  <w:marRight w:val="0"/>
                  <w:marTop w:val="0"/>
                  <w:marBottom w:val="0"/>
                  <w:divBdr>
                    <w:top w:val="none" w:sz="0" w:space="0" w:color="auto"/>
                    <w:left w:val="none" w:sz="0" w:space="0" w:color="auto"/>
                    <w:bottom w:val="none" w:sz="0" w:space="0" w:color="auto"/>
                    <w:right w:val="none" w:sz="0" w:space="0" w:color="auto"/>
                  </w:divBdr>
                  <w:divsChild>
                    <w:div w:id="627858375">
                      <w:marLeft w:val="0"/>
                      <w:marRight w:val="0"/>
                      <w:marTop w:val="0"/>
                      <w:marBottom w:val="0"/>
                      <w:divBdr>
                        <w:top w:val="none" w:sz="0" w:space="0" w:color="auto"/>
                        <w:left w:val="none" w:sz="0" w:space="0" w:color="auto"/>
                        <w:bottom w:val="none" w:sz="0" w:space="0" w:color="auto"/>
                        <w:right w:val="none" w:sz="0" w:space="0" w:color="auto"/>
                      </w:divBdr>
                    </w:div>
                  </w:divsChild>
                </w:div>
                <w:div w:id="445858248">
                  <w:marLeft w:val="0"/>
                  <w:marRight w:val="0"/>
                  <w:marTop w:val="0"/>
                  <w:marBottom w:val="0"/>
                  <w:divBdr>
                    <w:top w:val="none" w:sz="0" w:space="0" w:color="auto"/>
                    <w:left w:val="none" w:sz="0" w:space="0" w:color="auto"/>
                    <w:bottom w:val="none" w:sz="0" w:space="0" w:color="auto"/>
                    <w:right w:val="none" w:sz="0" w:space="0" w:color="auto"/>
                  </w:divBdr>
                  <w:divsChild>
                    <w:div w:id="473791077">
                      <w:marLeft w:val="0"/>
                      <w:marRight w:val="0"/>
                      <w:marTop w:val="0"/>
                      <w:marBottom w:val="0"/>
                      <w:divBdr>
                        <w:top w:val="none" w:sz="0" w:space="0" w:color="auto"/>
                        <w:left w:val="none" w:sz="0" w:space="0" w:color="auto"/>
                        <w:bottom w:val="none" w:sz="0" w:space="0" w:color="auto"/>
                        <w:right w:val="none" w:sz="0" w:space="0" w:color="auto"/>
                      </w:divBdr>
                    </w:div>
                  </w:divsChild>
                </w:div>
                <w:div w:id="482429525">
                  <w:marLeft w:val="0"/>
                  <w:marRight w:val="0"/>
                  <w:marTop w:val="0"/>
                  <w:marBottom w:val="0"/>
                  <w:divBdr>
                    <w:top w:val="none" w:sz="0" w:space="0" w:color="auto"/>
                    <w:left w:val="none" w:sz="0" w:space="0" w:color="auto"/>
                    <w:bottom w:val="none" w:sz="0" w:space="0" w:color="auto"/>
                    <w:right w:val="none" w:sz="0" w:space="0" w:color="auto"/>
                  </w:divBdr>
                  <w:divsChild>
                    <w:div w:id="1633972836">
                      <w:marLeft w:val="0"/>
                      <w:marRight w:val="0"/>
                      <w:marTop w:val="0"/>
                      <w:marBottom w:val="0"/>
                      <w:divBdr>
                        <w:top w:val="none" w:sz="0" w:space="0" w:color="auto"/>
                        <w:left w:val="none" w:sz="0" w:space="0" w:color="auto"/>
                        <w:bottom w:val="none" w:sz="0" w:space="0" w:color="auto"/>
                        <w:right w:val="none" w:sz="0" w:space="0" w:color="auto"/>
                      </w:divBdr>
                    </w:div>
                  </w:divsChild>
                </w:div>
                <w:div w:id="1015611768">
                  <w:marLeft w:val="0"/>
                  <w:marRight w:val="0"/>
                  <w:marTop w:val="0"/>
                  <w:marBottom w:val="0"/>
                  <w:divBdr>
                    <w:top w:val="none" w:sz="0" w:space="0" w:color="auto"/>
                    <w:left w:val="none" w:sz="0" w:space="0" w:color="auto"/>
                    <w:bottom w:val="none" w:sz="0" w:space="0" w:color="auto"/>
                    <w:right w:val="none" w:sz="0" w:space="0" w:color="auto"/>
                  </w:divBdr>
                  <w:divsChild>
                    <w:div w:id="537737942">
                      <w:marLeft w:val="0"/>
                      <w:marRight w:val="0"/>
                      <w:marTop w:val="0"/>
                      <w:marBottom w:val="0"/>
                      <w:divBdr>
                        <w:top w:val="none" w:sz="0" w:space="0" w:color="auto"/>
                        <w:left w:val="none" w:sz="0" w:space="0" w:color="auto"/>
                        <w:bottom w:val="none" w:sz="0" w:space="0" w:color="auto"/>
                        <w:right w:val="none" w:sz="0" w:space="0" w:color="auto"/>
                      </w:divBdr>
                    </w:div>
                    <w:div w:id="1655262281">
                      <w:marLeft w:val="0"/>
                      <w:marRight w:val="0"/>
                      <w:marTop w:val="0"/>
                      <w:marBottom w:val="0"/>
                      <w:divBdr>
                        <w:top w:val="none" w:sz="0" w:space="0" w:color="auto"/>
                        <w:left w:val="none" w:sz="0" w:space="0" w:color="auto"/>
                        <w:bottom w:val="none" w:sz="0" w:space="0" w:color="auto"/>
                        <w:right w:val="none" w:sz="0" w:space="0" w:color="auto"/>
                      </w:divBdr>
                    </w:div>
                  </w:divsChild>
                </w:div>
                <w:div w:id="1162963553">
                  <w:marLeft w:val="0"/>
                  <w:marRight w:val="0"/>
                  <w:marTop w:val="0"/>
                  <w:marBottom w:val="0"/>
                  <w:divBdr>
                    <w:top w:val="none" w:sz="0" w:space="0" w:color="auto"/>
                    <w:left w:val="none" w:sz="0" w:space="0" w:color="auto"/>
                    <w:bottom w:val="none" w:sz="0" w:space="0" w:color="auto"/>
                    <w:right w:val="none" w:sz="0" w:space="0" w:color="auto"/>
                  </w:divBdr>
                  <w:divsChild>
                    <w:div w:id="1298797518">
                      <w:marLeft w:val="0"/>
                      <w:marRight w:val="0"/>
                      <w:marTop w:val="0"/>
                      <w:marBottom w:val="0"/>
                      <w:divBdr>
                        <w:top w:val="none" w:sz="0" w:space="0" w:color="auto"/>
                        <w:left w:val="none" w:sz="0" w:space="0" w:color="auto"/>
                        <w:bottom w:val="none" w:sz="0" w:space="0" w:color="auto"/>
                        <w:right w:val="none" w:sz="0" w:space="0" w:color="auto"/>
                      </w:divBdr>
                    </w:div>
                    <w:div w:id="1599874923">
                      <w:marLeft w:val="0"/>
                      <w:marRight w:val="0"/>
                      <w:marTop w:val="0"/>
                      <w:marBottom w:val="0"/>
                      <w:divBdr>
                        <w:top w:val="none" w:sz="0" w:space="0" w:color="auto"/>
                        <w:left w:val="none" w:sz="0" w:space="0" w:color="auto"/>
                        <w:bottom w:val="none" w:sz="0" w:space="0" w:color="auto"/>
                        <w:right w:val="none" w:sz="0" w:space="0" w:color="auto"/>
                      </w:divBdr>
                    </w:div>
                  </w:divsChild>
                </w:div>
                <w:div w:id="1218593814">
                  <w:marLeft w:val="0"/>
                  <w:marRight w:val="0"/>
                  <w:marTop w:val="0"/>
                  <w:marBottom w:val="0"/>
                  <w:divBdr>
                    <w:top w:val="none" w:sz="0" w:space="0" w:color="auto"/>
                    <w:left w:val="none" w:sz="0" w:space="0" w:color="auto"/>
                    <w:bottom w:val="none" w:sz="0" w:space="0" w:color="auto"/>
                    <w:right w:val="none" w:sz="0" w:space="0" w:color="auto"/>
                  </w:divBdr>
                  <w:divsChild>
                    <w:div w:id="992103067">
                      <w:marLeft w:val="0"/>
                      <w:marRight w:val="0"/>
                      <w:marTop w:val="0"/>
                      <w:marBottom w:val="0"/>
                      <w:divBdr>
                        <w:top w:val="none" w:sz="0" w:space="0" w:color="auto"/>
                        <w:left w:val="none" w:sz="0" w:space="0" w:color="auto"/>
                        <w:bottom w:val="none" w:sz="0" w:space="0" w:color="auto"/>
                        <w:right w:val="none" w:sz="0" w:space="0" w:color="auto"/>
                      </w:divBdr>
                    </w:div>
                  </w:divsChild>
                </w:div>
                <w:div w:id="1319383676">
                  <w:marLeft w:val="0"/>
                  <w:marRight w:val="0"/>
                  <w:marTop w:val="0"/>
                  <w:marBottom w:val="0"/>
                  <w:divBdr>
                    <w:top w:val="none" w:sz="0" w:space="0" w:color="auto"/>
                    <w:left w:val="none" w:sz="0" w:space="0" w:color="auto"/>
                    <w:bottom w:val="none" w:sz="0" w:space="0" w:color="auto"/>
                    <w:right w:val="none" w:sz="0" w:space="0" w:color="auto"/>
                  </w:divBdr>
                  <w:divsChild>
                    <w:div w:id="826241394">
                      <w:marLeft w:val="0"/>
                      <w:marRight w:val="0"/>
                      <w:marTop w:val="0"/>
                      <w:marBottom w:val="0"/>
                      <w:divBdr>
                        <w:top w:val="none" w:sz="0" w:space="0" w:color="auto"/>
                        <w:left w:val="none" w:sz="0" w:space="0" w:color="auto"/>
                        <w:bottom w:val="none" w:sz="0" w:space="0" w:color="auto"/>
                        <w:right w:val="none" w:sz="0" w:space="0" w:color="auto"/>
                      </w:divBdr>
                    </w:div>
                  </w:divsChild>
                </w:div>
                <w:div w:id="1321731665">
                  <w:marLeft w:val="0"/>
                  <w:marRight w:val="0"/>
                  <w:marTop w:val="0"/>
                  <w:marBottom w:val="0"/>
                  <w:divBdr>
                    <w:top w:val="none" w:sz="0" w:space="0" w:color="auto"/>
                    <w:left w:val="none" w:sz="0" w:space="0" w:color="auto"/>
                    <w:bottom w:val="none" w:sz="0" w:space="0" w:color="auto"/>
                    <w:right w:val="none" w:sz="0" w:space="0" w:color="auto"/>
                  </w:divBdr>
                  <w:divsChild>
                    <w:div w:id="1696344086">
                      <w:marLeft w:val="0"/>
                      <w:marRight w:val="0"/>
                      <w:marTop w:val="0"/>
                      <w:marBottom w:val="0"/>
                      <w:divBdr>
                        <w:top w:val="none" w:sz="0" w:space="0" w:color="auto"/>
                        <w:left w:val="none" w:sz="0" w:space="0" w:color="auto"/>
                        <w:bottom w:val="none" w:sz="0" w:space="0" w:color="auto"/>
                        <w:right w:val="none" w:sz="0" w:space="0" w:color="auto"/>
                      </w:divBdr>
                    </w:div>
                    <w:div w:id="1906791735">
                      <w:marLeft w:val="0"/>
                      <w:marRight w:val="0"/>
                      <w:marTop w:val="0"/>
                      <w:marBottom w:val="0"/>
                      <w:divBdr>
                        <w:top w:val="none" w:sz="0" w:space="0" w:color="auto"/>
                        <w:left w:val="none" w:sz="0" w:space="0" w:color="auto"/>
                        <w:bottom w:val="none" w:sz="0" w:space="0" w:color="auto"/>
                        <w:right w:val="none" w:sz="0" w:space="0" w:color="auto"/>
                      </w:divBdr>
                    </w:div>
                  </w:divsChild>
                </w:div>
                <w:div w:id="1610701311">
                  <w:marLeft w:val="0"/>
                  <w:marRight w:val="0"/>
                  <w:marTop w:val="0"/>
                  <w:marBottom w:val="0"/>
                  <w:divBdr>
                    <w:top w:val="none" w:sz="0" w:space="0" w:color="auto"/>
                    <w:left w:val="none" w:sz="0" w:space="0" w:color="auto"/>
                    <w:bottom w:val="none" w:sz="0" w:space="0" w:color="auto"/>
                    <w:right w:val="none" w:sz="0" w:space="0" w:color="auto"/>
                  </w:divBdr>
                  <w:divsChild>
                    <w:div w:id="1233389931">
                      <w:marLeft w:val="0"/>
                      <w:marRight w:val="0"/>
                      <w:marTop w:val="0"/>
                      <w:marBottom w:val="0"/>
                      <w:divBdr>
                        <w:top w:val="none" w:sz="0" w:space="0" w:color="auto"/>
                        <w:left w:val="none" w:sz="0" w:space="0" w:color="auto"/>
                        <w:bottom w:val="none" w:sz="0" w:space="0" w:color="auto"/>
                        <w:right w:val="none" w:sz="0" w:space="0" w:color="auto"/>
                      </w:divBdr>
                    </w:div>
                  </w:divsChild>
                </w:div>
                <w:div w:id="1667397797">
                  <w:marLeft w:val="0"/>
                  <w:marRight w:val="0"/>
                  <w:marTop w:val="0"/>
                  <w:marBottom w:val="0"/>
                  <w:divBdr>
                    <w:top w:val="none" w:sz="0" w:space="0" w:color="auto"/>
                    <w:left w:val="none" w:sz="0" w:space="0" w:color="auto"/>
                    <w:bottom w:val="none" w:sz="0" w:space="0" w:color="auto"/>
                    <w:right w:val="none" w:sz="0" w:space="0" w:color="auto"/>
                  </w:divBdr>
                  <w:divsChild>
                    <w:div w:id="707143214">
                      <w:marLeft w:val="0"/>
                      <w:marRight w:val="0"/>
                      <w:marTop w:val="0"/>
                      <w:marBottom w:val="0"/>
                      <w:divBdr>
                        <w:top w:val="none" w:sz="0" w:space="0" w:color="auto"/>
                        <w:left w:val="none" w:sz="0" w:space="0" w:color="auto"/>
                        <w:bottom w:val="none" w:sz="0" w:space="0" w:color="auto"/>
                        <w:right w:val="none" w:sz="0" w:space="0" w:color="auto"/>
                      </w:divBdr>
                    </w:div>
                    <w:div w:id="1072629296">
                      <w:marLeft w:val="0"/>
                      <w:marRight w:val="0"/>
                      <w:marTop w:val="0"/>
                      <w:marBottom w:val="0"/>
                      <w:divBdr>
                        <w:top w:val="none" w:sz="0" w:space="0" w:color="auto"/>
                        <w:left w:val="none" w:sz="0" w:space="0" w:color="auto"/>
                        <w:bottom w:val="none" w:sz="0" w:space="0" w:color="auto"/>
                        <w:right w:val="none" w:sz="0" w:space="0" w:color="auto"/>
                      </w:divBdr>
                    </w:div>
                  </w:divsChild>
                </w:div>
                <w:div w:id="1700663755">
                  <w:marLeft w:val="0"/>
                  <w:marRight w:val="0"/>
                  <w:marTop w:val="0"/>
                  <w:marBottom w:val="0"/>
                  <w:divBdr>
                    <w:top w:val="none" w:sz="0" w:space="0" w:color="auto"/>
                    <w:left w:val="none" w:sz="0" w:space="0" w:color="auto"/>
                    <w:bottom w:val="none" w:sz="0" w:space="0" w:color="auto"/>
                    <w:right w:val="none" w:sz="0" w:space="0" w:color="auto"/>
                  </w:divBdr>
                  <w:divsChild>
                    <w:div w:id="810712305">
                      <w:marLeft w:val="0"/>
                      <w:marRight w:val="0"/>
                      <w:marTop w:val="0"/>
                      <w:marBottom w:val="0"/>
                      <w:divBdr>
                        <w:top w:val="none" w:sz="0" w:space="0" w:color="auto"/>
                        <w:left w:val="none" w:sz="0" w:space="0" w:color="auto"/>
                        <w:bottom w:val="none" w:sz="0" w:space="0" w:color="auto"/>
                        <w:right w:val="none" w:sz="0" w:space="0" w:color="auto"/>
                      </w:divBdr>
                    </w:div>
                  </w:divsChild>
                </w:div>
                <w:div w:id="1793013018">
                  <w:marLeft w:val="0"/>
                  <w:marRight w:val="0"/>
                  <w:marTop w:val="0"/>
                  <w:marBottom w:val="0"/>
                  <w:divBdr>
                    <w:top w:val="none" w:sz="0" w:space="0" w:color="auto"/>
                    <w:left w:val="none" w:sz="0" w:space="0" w:color="auto"/>
                    <w:bottom w:val="none" w:sz="0" w:space="0" w:color="auto"/>
                    <w:right w:val="none" w:sz="0" w:space="0" w:color="auto"/>
                  </w:divBdr>
                  <w:divsChild>
                    <w:div w:id="179706427">
                      <w:marLeft w:val="0"/>
                      <w:marRight w:val="0"/>
                      <w:marTop w:val="0"/>
                      <w:marBottom w:val="0"/>
                      <w:divBdr>
                        <w:top w:val="none" w:sz="0" w:space="0" w:color="auto"/>
                        <w:left w:val="none" w:sz="0" w:space="0" w:color="auto"/>
                        <w:bottom w:val="none" w:sz="0" w:space="0" w:color="auto"/>
                        <w:right w:val="none" w:sz="0" w:space="0" w:color="auto"/>
                      </w:divBdr>
                    </w:div>
                  </w:divsChild>
                </w:div>
                <w:div w:id="1845439885">
                  <w:marLeft w:val="0"/>
                  <w:marRight w:val="0"/>
                  <w:marTop w:val="0"/>
                  <w:marBottom w:val="0"/>
                  <w:divBdr>
                    <w:top w:val="none" w:sz="0" w:space="0" w:color="auto"/>
                    <w:left w:val="none" w:sz="0" w:space="0" w:color="auto"/>
                    <w:bottom w:val="none" w:sz="0" w:space="0" w:color="auto"/>
                    <w:right w:val="none" w:sz="0" w:space="0" w:color="auto"/>
                  </w:divBdr>
                  <w:divsChild>
                    <w:div w:id="291445958">
                      <w:marLeft w:val="0"/>
                      <w:marRight w:val="0"/>
                      <w:marTop w:val="0"/>
                      <w:marBottom w:val="0"/>
                      <w:divBdr>
                        <w:top w:val="none" w:sz="0" w:space="0" w:color="auto"/>
                        <w:left w:val="none" w:sz="0" w:space="0" w:color="auto"/>
                        <w:bottom w:val="none" w:sz="0" w:space="0" w:color="auto"/>
                        <w:right w:val="none" w:sz="0" w:space="0" w:color="auto"/>
                      </w:divBdr>
                    </w:div>
                    <w:div w:id="1372194577">
                      <w:marLeft w:val="0"/>
                      <w:marRight w:val="0"/>
                      <w:marTop w:val="0"/>
                      <w:marBottom w:val="0"/>
                      <w:divBdr>
                        <w:top w:val="none" w:sz="0" w:space="0" w:color="auto"/>
                        <w:left w:val="none" w:sz="0" w:space="0" w:color="auto"/>
                        <w:bottom w:val="none" w:sz="0" w:space="0" w:color="auto"/>
                        <w:right w:val="none" w:sz="0" w:space="0" w:color="auto"/>
                      </w:divBdr>
                    </w:div>
                  </w:divsChild>
                </w:div>
                <w:div w:id="1934360717">
                  <w:marLeft w:val="0"/>
                  <w:marRight w:val="0"/>
                  <w:marTop w:val="0"/>
                  <w:marBottom w:val="0"/>
                  <w:divBdr>
                    <w:top w:val="none" w:sz="0" w:space="0" w:color="auto"/>
                    <w:left w:val="none" w:sz="0" w:space="0" w:color="auto"/>
                    <w:bottom w:val="none" w:sz="0" w:space="0" w:color="auto"/>
                    <w:right w:val="none" w:sz="0" w:space="0" w:color="auto"/>
                  </w:divBdr>
                  <w:divsChild>
                    <w:div w:id="1609771614">
                      <w:marLeft w:val="0"/>
                      <w:marRight w:val="0"/>
                      <w:marTop w:val="0"/>
                      <w:marBottom w:val="0"/>
                      <w:divBdr>
                        <w:top w:val="none" w:sz="0" w:space="0" w:color="auto"/>
                        <w:left w:val="none" w:sz="0" w:space="0" w:color="auto"/>
                        <w:bottom w:val="none" w:sz="0" w:space="0" w:color="auto"/>
                        <w:right w:val="none" w:sz="0" w:space="0" w:color="auto"/>
                      </w:divBdr>
                    </w:div>
                  </w:divsChild>
                </w:div>
                <w:div w:id="2050104546">
                  <w:marLeft w:val="0"/>
                  <w:marRight w:val="0"/>
                  <w:marTop w:val="0"/>
                  <w:marBottom w:val="0"/>
                  <w:divBdr>
                    <w:top w:val="none" w:sz="0" w:space="0" w:color="auto"/>
                    <w:left w:val="none" w:sz="0" w:space="0" w:color="auto"/>
                    <w:bottom w:val="none" w:sz="0" w:space="0" w:color="auto"/>
                    <w:right w:val="none" w:sz="0" w:space="0" w:color="auto"/>
                  </w:divBdr>
                  <w:divsChild>
                    <w:div w:id="2086603086">
                      <w:marLeft w:val="0"/>
                      <w:marRight w:val="0"/>
                      <w:marTop w:val="0"/>
                      <w:marBottom w:val="0"/>
                      <w:divBdr>
                        <w:top w:val="none" w:sz="0" w:space="0" w:color="auto"/>
                        <w:left w:val="none" w:sz="0" w:space="0" w:color="auto"/>
                        <w:bottom w:val="none" w:sz="0" w:space="0" w:color="auto"/>
                        <w:right w:val="none" w:sz="0" w:space="0" w:color="auto"/>
                      </w:divBdr>
                    </w:div>
                  </w:divsChild>
                </w:div>
                <w:div w:id="2133208129">
                  <w:marLeft w:val="0"/>
                  <w:marRight w:val="0"/>
                  <w:marTop w:val="0"/>
                  <w:marBottom w:val="0"/>
                  <w:divBdr>
                    <w:top w:val="none" w:sz="0" w:space="0" w:color="auto"/>
                    <w:left w:val="none" w:sz="0" w:space="0" w:color="auto"/>
                    <w:bottom w:val="none" w:sz="0" w:space="0" w:color="auto"/>
                    <w:right w:val="none" w:sz="0" w:space="0" w:color="auto"/>
                  </w:divBdr>
                  <w:divsChild>
                    <w:div w:id="8192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243">
          <w:marLeft w:val="0"/>
          <w:marRight w:val="0"/>
          <w:marTop w:val="0"/>
          <w:marBottom w:val="0"/>
          <w:divBdr>
            <w:top w:val="none" w:sz="0" w:space="0" w:color="auto"/>
            <w:left w:val="none" w:sz="0" w:space="0" w:color="auto"/>
            <w:bottom w:val="none" w:sz="0" w:space="0" w:color="auto"/>
            <w:right w:val="none" w:sz="0" w:space="0" w:color="auto"/>
          </w:divBdr>
        </w:div>
        <w:div w:id="1954241970">
          <w:marLeft w:val="0"/>
          <w:marRight w:val="0"/>
          <w:marTop w:val="0"/>
          <w:marBottom w:val="0"/>
          <w:divBdr>
            <w:top w:val="none" w:sz="0" w:space="0" w:color="auto"/>
            <w:left w:val="none" w:sz="0" w:space="0" w:color="auto"/>
            <w:bottom w:val="none" w:sz="0" w:space="0" w:color="auto"/>
            <w:right w:val="none" w:sz="0" w:space="0" w:color="auto"/>
          </w:divBdr>
          <w:divsChild>
            <w:div w:id="112796898">
              <w:marLeft w:val="-75"/>
              <w:marRight w:val="0"/>
              <w:marTop w:val="30"/>
              <w:marBottom w:val="30"/>
              <w:divBdr>
                <w:top w:val="none" w:sz="0" w:space="0" w:color="auto"/>
                <w:left w:val="none" w:sz="0" w:space="0" w:color="auto"/>
                <w:bottom w:val="none" w:sz="0" w:space="0" w:color="auto"/>
                <w:right w:val="none" w:sz="0" w:space="0" w:color="auto"/>
              </w:divBdr>
              <w:divsChild>
                <w:div w:id="110823363">
                  <w:marLeft w:val="0"/>
                  <w:marRight w:val="0"/>
                  <w:marTop w:val="0"/>
                  <w:marBottom w:val="0"/>
                  <w:divBdr>
                    <w:top w:val="none" w:sz="0" w:space="0" w:color="auto"/>
                    <w:left w:val="none" w:sz="0" w:space="0" w:color="auto"/>
                    <w:bottom w:val="none" w:sz="0" w:space="0" w:color="auto"/>
                    <w:right w:val="none" w:sz="0" w:space="0" w:color="auto"/>
                  </w:divBdr>
                  <w:divsChild>
                    <w:div w:id="2109235083">
                      <w:marLeft w:val="0"/>
                      <w:marRight w:val="0"/>
                      <w:marTop w:val="0"/>
                      <w:marBottom w:val="0"/>
                      <w:divBdr>
                        <w:top w:val="none" w:sz="0" w:space="0" w:color="auto"/>
                        <w:left w:val="none" w:sz="0" w:space="0" w:color="auto"/>
                        <w:bottom w:val="none" w:sz="0" w:space="0" w:color="auto"/>
                        <w:right w:val="none" w:sz="0" w:space="0" w:color="auto"/>
                      </w:divBdr>
                    </w:div>
                  </w:divsChild>
                </w:div>
                <w:div w:id="137697890">
                  <w:marLeft w:val="0"/>
                  <w:marRight w:val="0"/>
                  <w:marTop w:val="0"/>
                  <w:marBottom w:val="0"/>
                  <w:divBdr>
                    <w:top w:val="none" w:sz="0" w:space="0" w:color="auto"/>
                    <w:left w:val="none" w:sz="0" w:space="0" w:color="auto"/>
                    <w:bottom w:val="none" w:sz="0" w:space="0" w:color="auto"/>
                    <w:right w:val="none" w:sz="0" w:space="0" w:color="auto"/>
                  </w:divBdr>
                  <w:divsChild>
                    <w:div w:id="182521914">
                      <w:marLeft w:val="0"/>
                      <w:marRight w:val="0"/>
                      <w:marTop w:val="0"/>
                      <w:marBottom w:val="0"/>
                      <w:divBdr>
                        <w:top w:val="none" w:sz="0" w:space="0" w:color="auto"/>
                        <w:left w:val="none" w:sz="0" w:space="0" w:color="auto"/>
                        <w:bottom w:val="none" w:sz="0" w:space="0" w:color="auto"/>
                        <w:right w:val="none" w:sz="0" w:space="0" w:color="auto"/>
                      </w:divBdr>
                    </w:div>
                  </w:divsChild>
                </w:div>
                <w:div w:id="150603865">
                  <w:marLeft w:val="0"/>
                  <w:marRight w:val="0"/>
                  <w:marTop w:val="0"/>
                  <w:marBottom w:val="0"/>
                  <w:divBdr>
                    <w:top w:val="none" w:sz="0" w:space="0" w:color="auto"/>
                    <w:left w:val="none" w:sz="0" w:space="0" w:color="auto"/>
                    <w:bottom w:val="none" w:sz="0" w:space="0" w:color="auto"/>
                    <w:right w:val="none" w:sz="0" w:space="0" w:color="auto"/>
                  </w:divBdr>
                  <w:divsChild>
                    <w:div w:id="255409070">
                      <w:marLeft w:val="0"/>
                      <w:marRight w:val="0"/>
                      <w:marTop w:val="0"/>
                      <w:marBottom w:val="0"/>
                      <w:divBdr>
                        <w:top w:val="none" w:sz="0" w:space="0" w:color="auto"/>
                        <w:left w:val="none" w:sz="0" w:space="0" w:color="auto"/>
                        <w:bottom w:val="none" w:sz="0" w:space="0" w:color="auto"/>
                        <w:right w:val="none" w:sz="0" w:space="0" w:color="auto"/>
                      </w:divBdr>
                    </w:div>
                  </w:divsChild>
                </w:div>
                <w:div w:id="244265036">
                  <w:marLeft w:val="0"/>
                  <w:marRight w:val="0"/>
                  <w:marTop w:val="0"/>
                  <w:marBottom w:val="0"/>
                  <w:divBdr>
                    <w:top w:val="none" w:sz="0" w:space="0" w:color="auto"/>
                    <w:left w:val="none" w:sz="0" w:space="0" w:color="auto"/>
                    <w:bottom w:val="none" w:sz="0" w:space="0" w:color="auto"/>
                    <w:right w:val="none" w:sz="0" w:space="0" w:color="auto"/>
                  </w:divBdr>
                  <w:divsChild>
                    <w:div w:id="416679611">
                      <w:marLeft w:val="0"/>
                      <w:marRight w:val="0"/>
                      <w:marTop w:val="0"/>
                      <w:marBottom w:val="0"/>
                      <w:divBdr>
                        <w:top w:val="none" w:sz="0" w:space="0" w:color="auto"/>
                        <w:left w:val="none" w:sz="0" w:space="0" w:color="auto"/>
                        <w:bottom w:val="none" w:sz="0" w:space="0" w:color="auto"/>
                        <w:right w:val="none" w:sz="0" w:space="0" w:color="auto"/>
                      </w:divBdr>
                    </w:div>
                    <w:div w:id="914555299">
                      <w:marLeft w:val="0"/>
                      <w:marRight w:val="0"/>
                      <w:marTop w:val="0"/>
                      <w:marBottom w:val="0"/>
                      <w:divBdr>
                        <w:top w:val="none" w:sz="0" w:space="0" w:color="auto"/>
                        <w:left w:val="none" w:sz="0" w:space="0" w:color="auto"/>
                        <w:bottom w:val="none" w:sz="0" w:space="0" w:color="auto"/>
                        <w:right w:val="none" w:sz="0" w:space="0" w:color="auto"/>
                      </w:divBdr>
                    </w:div>
                    <w:div w:id="1437675640">
                      <w:marLeft w:val="0"/>
                      <w:marRight w:val="0"/>
                      <w:marTop w:val="0"/>
                      <w:marBottom w:val="0"/>
                      <w:divBdr>
                        <w:top w:val="none" w:sz="0" w:space="0" w:color="auto"/>
                        <w:left w:val="none" w:sz="0" w:space="0" w:color="auto"/>
                        <w:bottom w:val="none" w:sz="0" w:space="0" w:color="auto"/>
                        <w:right w:val="none" w:sz="0" w:space="0" w:color="auto"/>
                      </w:divBdr>
                    </w:div>
                  </w:divsChild>
                </w:div>
                <w:div w:id="278682157">
                  <w:marLeft w:val="0"/>
                  <w:marRight w:val="0"/>
                  <w:marTop w:val="0"/>
                  <w:marBottom w:val="0"/>
                  <w:divBdr>
                    <w:top w:val="none" w:sz="0" w:space="0" w:color="auto"/>
                    <w:left w:val="none" w:sz="0" w:space="0" w:color="auto"/>
                    <w:bottom w:val="none" w:sz="0" w:space="0" w:color="auto"/>
                    <w:right w:val="none" w:sz="0" w:space="0" w:color="auto"/>
                  </w:divBdr>
                  <w:divsChild>
                    <w:div w:id="603148264">
                      <w:marLeft w:val="0"/>
                      <w:marRight w:val="0"/>
                      <w:marTop w:val="0"/>
                      <w:marBottom w:val="0"/>
                      <w:divBdr>
                        <w:top w:val="none" w:sz="0" w:space="0" w:color="auto"/>
                        <w:left w:val="none" w:sz="0" w:space="0" w:color="auto"/>
                        <w:bottom w:val="none" w:sz="0" w:space="0" w:color="auto"/>
                        <w:right w:val="none" w:sz="0" w:space="0" w:color="auto"/>
                      </w:divBdr>
                    </w:div>
                  </w:divsChild>
                </w:div>
                <w:div w:id="292950891">
                  <w:marLeft w:val="0"/>
                  <w:marRight w:val="0"/>
                  <w:marTop w:val="0"/>
                  <w:marBottom w:val="0"/>
                  <w:divBdr>
                    <w:top w:val="none" w:sz="0" w:space="0" w:color="auto"/>
                    <w:left w:val="none" w:sz="0" w:space="0" w:color="auto"/>
                    <w:bottom w:val="none" w:sz="0" w:space="0" w:color="auto"/>
                    <w:right w:val="none" w:sz="0" w:space="0" w:color="auto"/>
                  </w:divBdr>
                  <w:divsChild>
                    <w:div w:id="2107116862">
                      <w:marLeft w:val="0"/>
                      <w:marRight w:val="0"/>
                      <w:marTop w:val="0"/>
                      <w:marBottom w:val="0"/>
                      <w:divBdr>
                        <w:top w:val="none" w:sz="0" w:space="0" w:color="auto"/>
                        <w:left w:val="none" w:sz="0" w:space="0" w:color="auto"/>
                        <w:bottom w:val="none" w:sz="0" w:space="0" w:color="auto"/>
                        <w:right w:val="none" w:sz="0" w:space="0" w:color="auto"/>
                      </w:divBdr>
                    </w:div>
                  </w:divsChild>
                </w:div>
                <w:div w:id="345714506">
                  <w:marLeft w:val="0"/>
                  <w:marRight w:val="0"/>
                  <w:marTop w:val="0"/>
                  <w:marBottom w:val="0"/>
                  <w:divBdr>
                    <w:top w:val="none" w:sz="0" w:space="0" w:color="auto"/>
                    <w:left w:val="none" w:sz="0" w:space="0" w:color="auto"/>
                    <w:bottom w:val="none" w:sz="0" w:space="0" w:color="auto"/>
                    <w:right w:val="none" w:sz="0" w:space="0" w:color="auto"/>
                  </w:divBdr>
                  <w:divsChild>
                    <w:div w:id="1224411040">
                      <w:marLeft w:val="0"/>
                      <w:marRight w:val="0"/>
                      <w:marTop w:val="0"/>
                      <w:marBottom w:val="0"/>
                      <w:divBdr>
                        <w:top w:val="none" w:sz="0" w:space="0" w:color="auto"/>
                        <w:left w:val="none" w:sz="0" w:space="0" w:color="auto"/>
                        <w:bottom w:val="none" w:sz="0" w:space="0" w:color="auto"/>
                        <w:right w:val="none" w:sz="0" w:space="0" w:color="auto"/>
                      </w:divBdr>
                    </w:div>
                  </w:divsChild>
                </w:div>
                <w:div w:id="353774510">
                  <w:marLeft w:val="0"/>
                  <w:marRight w:val="0"/>
                  <w:marTop w:val="0"/>
                  <w:marBottom w:val="0"/>
                  <w:divBdr>
                    <w:top w:val="none" w:sz="0" w:space="0" w:color="auto"/>
                    <w:left w:val="none" w:sz="0" w:space="0" w:color="auto"/>
                    <w:bottom w:val="none" w:sz="0" w:space="0" w:color="auto"/>
                    <w:right w:val="none" w:sz="0" w:space="0" w:color="auto"/>
                  </w:divBdr>
                  <w:divsChild>
                    <w:div w:id="658271994">
                      <w:marLeft w:val="0"/>
                      <w:marRight w:val="0"/>
                      <w:marTop w:val="0"/>
                      <w:marBottom w:val="0"/>
                      <w:divBdr>
                        <w:top w:val="none" w:sz="0" w:space="0" w:color="auto"/>
                        <w:left w:val="none" w:sz="0" w:space="0" w:color="auto"/>
                        <w:bottom w:val="none" w:sz="0" w:space="0" w:color="auto"/>
                        <w:right w:val="none" w:sz="0" w:space="0" w:color="auto"/>
                      </w:divBdr>
                    </w:div>
                  </w:divsChild>
                </w:div>
                <w:div w:id="427654440">
                  <w:marLeft w:val="0"/>
                  <w:marRight w:val="0"/>
                  <w:marTop w:val="0"/>
                  <w:marBottom w:val="0"/>
                  <w:divBdr>
                    <w:top w:val="none" w:sz="0" w:space="0" w:color="auto"/>
                    <w:left w:val="none" w:sz="0" w:space="0" w:color="auto"/>
                    <w:bottom w:val="none" w:sz="0" w:space="0" w:color="auto"/>
                    <w:right w:val="none" w:sz="0" w:space="0" w:color="auto"/>
                  </w:divBdr>
                  <w:divsChild>
                    <w:div w:id="161553154">
                      <w:marLeft w:val="0"/>
                      <w:marRight w:val="0"/>
                      <w:marTop w:val="0"/>
                      <w:marBottom w:val="0"/>
                      <w:divBdr>
                        <w:top w:val="none" w:sz="0" w:space="0" w:color="auto"/>
                        <w:left w:val="none" w:sz="0" w:space="0" w:color="auto"/>
                        <w:bottom w:val="none" w:sz="0" w:space="0" w:color="auto"/>
                        <w:right w:val="none" w:sz="0" w:space="0" w:color="auto"/>
                      </w:divBdr>
                    </w:div>
                  </w:divsChild>
                </w:div>
                <w:div w:id="570190775">
                  <w:marLeft w:val="0"/>
                  <w:marRight w:val="0"/>
                  <w:marTop w:val="0"/>
                  <w:marBottom w:val="0"/>
                  <w:divBdr>
                    <w:top w:val="none" w:sz="0" w:space="0" w:color="auto"/>
                    <w:left w:val="none" w:sz="0" w:space="0" w:color="auto"/>
                    <w:bottom w:val="none" w:sz="0" w:space="0" w:color="auto"/>
                    <w:right w:val="none" w:sz="0" w:space="0" w:color="auto"/>
                  </w:divBdr>
                  <w:divsChild>
                    <w:div w:id="2110153709">
                      <w:marLeft w:val="0"/>
                      <w:marRight w:val="0"/>
                      <w:marTop w:val="0"/>
                      <w:marBottom w:val="0"/>
                      <w:divBdr>
                        <w:top w:val="none" w:sz="0" w:space="0" w:color="auto"/>
                        <w:left w:val="none" w:sz="0" w:space="0" w:color="auto"/>
                        <w:bottom w:val="none" w:sz="0" w:space="0" w:color="auto"/>
                        <w:right w:val="none" w:sz="0" w:space="0" w:color="auto"/>
                      </w:divBdr>
                    </w:div>
                  </w:divsChild>
                </w:div>
                <w:div w:id="576938942">
                  <w:marLeft w:val="0"/>
                  <w:marRight w:val="0"/>
                  <w:marTop w:val="0"/>
                  <w:marBottom w:val="0"/>
                  <w:divBdr>
                    <w:top w:val="none" w:sz="0" w:space="0" w:color="auto"/>
                    <w:left w:val="none" w:sz="0" w:space="0" w:color="auto"/>
                    <w:bottom w:val="none" w:sz="0" w:space="0" w:color="auto"/>
                    <w:right w:val="none" w:sz="0" w:space="0" w:color="auto"/>
                  </w:divBdr>
                  <w:divsChild>
                    <w:div w:id="450321926">
                      <w:marLeft w:val="0"/>
                      <w:marRight w:val="0"/>
                      <w:marTop w:val="0"/>
                      <w:marBottom w:val="0"/>
                      <w:divBdr>
                        <w:top w:val="none" w:sz="0" w:space="0" w:color="auto"/>
                        <w:left w:val="none" w:sz="0" w:space="0" w:color="auto"/>
                        <w:bottom w:val="none" w:sz="0" w:space="0" w:color="auto"/>
                        <w:right w:val="none" w:sz="0" w:space="0" w:color="auto"/>
                      </w:divBdr>
                    </w:div>
                  </w:divsChild>
                </w:div>
                <w:div w:id="706099382">
                  <w:marLeft w:val="0"/>
                  <w:marRight w:val="0"/>
                  <w:marTop w:val="0"/>
                  <w:marBottom w:val="0"/>
                  <w:divBdr>
                    <w:top w:val="none" w:sz="0" w:space="0" w:color="auto"/>
                    <w:left w:val="none" w:sz="0" w:space="0" w:color="auto"/>
                    <w:bottom w:val="none" w:sz="0" w:space="0" w:color="auto"/>
                    <w:right w:val="none" w:sz="0" w:space="0" w:color="auto"/>
                  </w:divBdr>
                  <w:divsChild>
                    <w:div w:id="287513409">
                      <w:marLeft w:val="0"/>
                      <w:marRight w:val="0"/>
                      <w:marTop w:val="0"/>
                      <w:marBottom w:val="0"/>
                      <w:divBdr>
                        <w:top w:val="none" w:sz="0" w:space="0" w:color="auto"/>
                        <w:left w:val="none" w:sz="0" w:space="0" w:color="auto"/>
                        <w:bottom w:val="none" w:sz="0" w:space="0" w:color="auto"/>
                        <w:right w:val="none" w:sz="0" w:space="0" w:color="auto"/>
                      </w:divBdr>
                    </w:div>
                  </w:divsChild>
                </w:div>
                <w:div w:id="731543975">
                  <w:marLeft w:val="0"/>
                  <w:marRight w:val="0"/>
                  <w:marTop w:val="0"/>
                  <w:marBottom w:val="0"/>
                  <w:divBdr>
                    <w:top w:val="none" w:sz="0" w:space="0" w:color="auto"/>
                    <w:left w:val="none" w:sz="0" w:space="0" w:color="auto"/>
                    <w:bottom w:val="none" w:sz="0" w:space="0" w:color="auto"/>
                    <w:right w:val="none" w:sz="0" w:space="0" w:color="auto"/>
                  </w:divBdr>
                  <w:divsChild>
                    <w:div w:id="2120367870">
                      <w:marLeft w:val="0"/>
                      <w:marRight w:val="0"/>
                      <w:marTop w:val="0"/>
                      <w:marBottom w:val="0"/>
                      <w:divBdr>
                        <w:top w:val="none" w:sz="0" w:space="0" w:color="auto"/>
                        <w:left w:val="none" w:sz="0" w:space="0" w:color="auto"/>
                        <w:bottom w:val="none" w:sz="0" w:space="0" w:color="auto"/>
                        <w:right w:val="none" w:sz="0" w:space="0" w:color="auto"/>
                      </w:divBdr>
                    </w:div>
                  </w:divsChild>
                </w:div>
                <w:div w:id="741634691">
                  <w:marLeft w:val="0"/>
                  <w:marRight w:val="0"/>
                  <w:marTop w:val="0"/>
                  <w:marBottom w:val="0"/>
                  <w:divBdr>
                    <w:top w:val="none" w:sz="0" w:space="0" w:color="auto"/>
                    <w:left w:val="none" w:sz="0" w:space="0" w:color="auto"/>
                    <w:bottom w:val="none" w:sz="0" w:space="0" w:color="auto"/>
                    <w:right w:val="none" w:sz="0" w:space="0" w:color="auto"/>
                  </w:divBdr>
                  <w:divsChild>
                    <w:div w:id="990791109">
                      <w:marLeft w:val="0"/>
                      <w:marRight w:val="0"/>
                      <w:marTop w:val="0"/>
                      <w:marBottom w:val="0"/>
                      <w:divBdr>
                        <w:top w:val="none" w:sz="0" w:space="0" w:color="auto"/>
                        <w:left w:val="none" w:sz="0" w:space="0" w:color="auto"/>
                        <w:bottom w:val="none" w:sz="0" w:space="0" w:color="auto"/>
                        <w:right w:val="none" w:sz="0" w:space="0" w:color="auto"/>
                      </w:divBdr>
                    </w:div>
                  </w:divsChild>
                </w:div>
                <w:div w:id="852954847">
                  <w:marLeft w:val="0"/>
                  <w:marRight w:val="0"/>
                  <w:marTop w:val="0"/>
                  <w:marBottom w:val="0"/>
                  <w:divBdr>
                    <w:top w:val="none" w:sz="0" w:space="0" w:color="auto"/>
                    <w:left w:val="none" w:sz="0" w:space="0" w:color="auto"/>
                    <w:bottom w:val="none" w:sz="0" w:space="0" w:color="auto"/>
                    <w:right w:val="none" w:sz="0" w:space="0" w:color="auto"/>
                  </w:divBdr>
                  <w:divsChild>
                    <w:div w:id="997539312">
                      <w:marLeft w:val="0"/>
                      <w:marRight w:val="0"/>
                      <w:marTop w:val="0"/>
                      <w:marBottom w:val="0"/>
                      <w:divBdr>
                        <w:top w:val="none" w:sz="0" w:space="0" w:color="auto"/>
                        <w:left w:val="none" w:sz="0" w:space="0" w:color="auto"/>
                        <w:bottom w:val="none" w:sz="0" w:space="0" w:color="auto"/>
                        <w:right w:val="none" w:sz="0" w:space="0" w:color="auto"/>
                      </w:divBdr>
                    </w:div>
                  </w:divsChild>
                </w:div>
                <w:div w:id="879437781">
                  <w:marLeft w:val="0"/>
                  <w:marRight w:val="0"/>
                  <w:marTop w:val="0"/>
                  <w:marBottom w:val="0"/>
                  <w:divBdr>
                    <w:top w:val="none" w:sz="0" w:space="0" w:color="auto"/>
                    <w:left w:val="none" w:sz="0" w:space="0" w:color="auto"/>
                    <w:bottom w:val="none" w:sz="0" w:space="0" w:color="auto"/>
                    <w:right w:val="none" w:sz="0" w:space="0" w:color="auto"/>
                  </w:divBdr>
                  <w:divsChild>
                    <w:div w:id="1951468760">
                      <w:marLeft w:val="0"/>
                      <w:marRight w:val="0"/>
                      <w:marTop w:val="0"/>
                      <w:marBottom w:val="0"/>
                      <w:divBdr>
                        <w:top w:val="none" w:sz="0" w:space="0" w:color="auto"/>
                        <w:left w:val="none" w:sz="0" w:space="0" w:color="auto"/>
                        <w:bottom w:val="none" w:sz="0" w:space="0" w:color="auto"/>
                        <w:right w:val="none" w:sz="0" w:space="0" w:color="auto"/>
                      </w:divBdr>
                    </w:div>
                  </w:divsChild>
                </w:div>
                <w:div w:id="962342813">
                  <w:marLeft w:val="0"/>
                  <w:marRight w:val="0"/>
                  <w:marTop w:val="0"/>
                  <w:marBottom w:val="0"/>
                  <w:divBdr>
                    <w:top w:val="none" w:sz="0" w:space="0" w:color="auto"/>
                    <w:left w:val="none" w:sz="0" w:space="0" w:color="auto"/>
                    <w:bottom w:val="none" w:sz="0" w:space="0" w:color="auto"/>
                    <w:right w:val="none" w:sz="0" w:space="0" w:color="auto"/>
                  </w:divBdr>
                  <w:divsChild>
                    <w:div w:id="1431387182">
                      <w:marLeft w:val="0"/>
                      <w:marRight w:val="0"/>
                      <w:marTop w:val="0"/>
                      <w:marBottom w:val="0"/>
                      <w:divBdr>
                        <w:top w:val="none" w:sz="0" w:space="0" w:color="auto"/>
                        <w:left w:val="none" w:sz="0" w:space="0" w:color="auto"/>
                        <w:bottom w:val="none" w:sz="0" w:space="0" w:color="auto"/>
                        <w:right w:val="none" w:sz="0" w:space="0" w:color="auto"/>
                      </w:divBdr>
                    </w:div>
                  </w:divsChild>
                </w:div>
                <w:div w:id="978922336">
                  <w:marLeft w:val="0"/>
                  <w:marRight w:val="0"/>
                  <w:marTop w:val="0"/>
                  <w:marBottom w:val="0"/>
                  <w:divBdr>
                    <w:top w:val="none" w:sz="0" w:space="0" w:color="auto"/>
                    <w:left w:val="none" w:sz="0" w:space="0" w:color="auto"/>
                    <w:bottom w:val="none" w:sz="0" w:space="0" w:color="auto"/>
                    <w:right w:val="none" w:sz="0" w:space="0" w:color="auto"/>
                  </w:divBdr>
                  <w:divsChild>
                    <w:div w:id="147482007">
                      <w:marLeft w:val="0"/>
                      <w:marRight w:val="0"/>
                      <w:marTop w:val="0"/>
                      <w:marBottom w:val="0"/>
                      <w:divBdr>
                        <w:top w:val="none" w:sz="0" w:space="0" w:color="auto"/>
                        <w:left w:val="none" w:sz="0" w:space="0" w:color="auto"/>
                        <w:bottom w:val="none" w:sz="0" w:space="0" w:color="auto"/>
                        <w:right w:val="none" w:sz="0" w:space="0" w:color="auto"/>
                      </w:divBdr>
                    </w:div>
                    <w:div w:id="1382553905">
                      <w:marLeft w:val="0"/>
                      <w:marRight w:val="0"/>
                      <w:marTop w:val="0"/>
                      <w:marBottom w:val="0"/>
                      <w:divBdr>
                        <w:top w:val="none" w:sz="0" w:space="0" w:color="auto"/>
                        <w:left w:val="none" w:sz="0" w:space="0" w:color="auto"/>
                        <w:bottom w:val="none" w:sz="0" w:space="0" w:color="auto"/>
                        <w:right w:val="none" w:sz="0" w:space="0" w:color="auto"/>
                      </w:divBdr>
                    </w:div>
                    <w:div w:id="1706252279">
                      <w:marLeft w:val="0"/>
                      <w:marRight w:val="0"/>
                      <w:marTop w:val="0"/>
                      <w:marBottom w:val="0"/>
                      <w:divBdr>
                        <w:top w:val="none" w:sz="0" w:space="0" w:color="auto"/>
                        <w:left w:val="none" w:sz="0" w:space="0" w:color="auto"/>
                        <w:bottom w:val="none" w:sz="0" w:space="0" w:color="auto"/>
                        <w:right w:val="none" w:sz="0" w:space="0" w:color="auto"/>
                      </w:divBdr>
                    </w:div>
                  </w:divsChild>
                </w:div>
                <w:div w:id="1016224447">
                  <w:marLeft w:val="0"/>
                  <w:marRight w:val="0"/>
                  <w:marTop w:val="0"/>
                  <w:marBottom w:val="0"/>
                  <w:divBdr>
                    <w:top w:val="none" w:sz="0" w:space="0" w:color="auto"/>
                    <w:left w:val="none" w:sz="0" w:space="0" w:color="auto"/>
                    <w:bottom w:val="none" w:sz="0" w:space="0" w:color="auto"/>
                    <w:right w:val="none" w:sz="0" w:space="0" w:color="auto"/>
                  </w:divBdr>
                  <w:divsChild>
                    <w:div w:id="1782450245">
                      <w:marLeft w:val="0"/>
                      <w:marRight w:val="0"/>
                      <w:marTop w:val="0"/>
                      <w:marBottom w:val="0"/>
                      <w:divBdr>
                        <w:top w:val="none" w:sz="0" w:space="0" w:color="auto"/>
                        <w:left w:val="none" w:sz="0" w:space="0" w:color="auto"/>
                        <w:bottom w:val="none" w:sz="0" w:space="0" w:color="auto"/>
                        <w:right w:val="none" w:sz="0" w:space="0" w:color="auto"/>
                      </w:divBdr>
                    </w:div>
                  </w:divsChild>
                </w:div>
                <w:div w:id="1016464866">
                  <w:marLeft w:val="0"/>
                  <w:marRight w:val="0"/>
                  <w:marTop w:val="0"/>
                  <w:marBottom w:val="0"/>
                  <w:divBdr>
                    <w:top w:val="none" w:sz="0" w:space="0" w:color="auto"/>
                    <w:left w:val="none" w:sz="0" w:space="0" w:color="auto"/>
                    <w:bottom w:val="none" w:sz="0" w:space="0" w:color="auto"/>
                    <w:right w:val="none" w:sz="0" w:space="0" w:color="auto"/>
                  </w:divBdr>
                  <w:divsChild>
                    <w:div w:id="1675113550">
                      <w:marLeft w:val="0"/>
                      <w:marRight w:val="0"/>
                      <w:marTop w:val="0"/>
                      <w:marBottom w:val="0"/>
                      <w:divBdr>
                        <w:top w:val="none" w:sz="0" w:space="0" w:color="auto"/>
                        <w:left w:val="none" w:sz="0" w:space="0" w:color="auto"/>
                        <w:bottom w:val="none" w:sz="0" w:space="0" w:color="auto"/>
                        <w:right w:val="none" w:sz="0" w:space="0" w:color="auto"/>
                      </w:divBdr>
                    </w:div>
                  </w:divsChild>
                </w:div>
                <w:div w:id="1031489631">
                  <w:marLeft w:val="0"/>
                  <w:marRight w:val="0"/>
                  <w:marTop w:val="0"/>
                  <w:marBottom w:val="0"/>
                  <w:divBdr>
                    <w:top w:val="none" w:sz="0" w:space="0" w:color="auto"/>
                    <w:left w:val="none" w:sz="0" w:space="0" w:color="auto"/>
                    <w:bottom w:val="none" w:sz="0" w:space="0" w:color="auto"/>
                    <w:right w:val="none" w:sz="0" w:space="0" w:color="auto"/>
                  </w:divBdr>
                  <w:divsChild>
                    <w:div w:id="408045370">
                      <w:marLeft w:val="0"/>
                      <w:marRight w:val="0"/>
                      <w:marTop w:val="0"/>
                      <w:marBottom w:val="0"/>
                      <w:divBdr>
                        <w:top w:val="none" w:sz="0" w:space="0" w:color="auto"/>
                        <w:left w:val="none" w:sz="0" w:space="0" w:color="auto"/>
                        <w:bottom w:val="none" w:sz="0" w:space="0" w:color="auto"/>
                        <w:right w:val="none" w:sz="0" w:space="0" w:color="auto"/>
                      </w:divBdr>
                    </w:div>
                    <w:div w:id="448622595">
                      <w:marLeft w:val="0"/>
                      <w:marRight w:val="0"/>
                      <w:marTop w:val="0"/>
                      <w:marBottom w:val="0"/>
                      <w:divBdr>
                        <w:top w:val="none" w:sz="0" w:space="0" w:color="auto"/>
                        <w:left w:val="none" w:sz="0" w:space="0" w:color="auto"/>
                        <w:bottom w:val="none" w:sz="0" w:space="0" w:color="auto"/>
                        <w:right w:val="none" w:sz="0" w:space="0" w:color="auto"/>
                      </w:divBdr>
                    </w:div>
                    <w:div w:id="977294916">
                      <w:marLeft w:val="0"/>
                      <w:marRight w:val="0"/>
                      <w:marTop w:val="0"/>
                      <w:marBottom w:val="0"/>
                      <w:divBdr>
                        <w:top w:val="none" w:sz="0" w:space="0" w:color="auto"/>
                        <w:left w:val="none" w:sz="0" w:space="0" w:color="auto"/>
                        <w:bottom w:val="none" w:sz="0" w:space="0" w:color="auto"/>
                        <w:right w:val="none" w:sz="0" w:space="0" w:color="auto"/>
                      </w:divBdr>
                    </w:div>
                  </w:divsChild>
                </w:div>
                <w:div w:id="1068380989">
                  <w:marLeft w:val="0"/>
                  <w:marRight w:val="0"/>
                  <w:marTop w:val="0"/>
                  <w:marBottom w:val="0"/>
                  <w:divBdr>
                    <w:top w:val="none" w:sz="0" w:space="0" w:color="auto"/>
                    <w:left w:val="none" w:sz="0" w:space="0" w:color="auto"/>
                    <w:bottom w:val="none" w:sz="0" w:space="0" w:color="auto"/>
                    <w:right w:val="none" w:sz="0" w:space="0" w:color="auto"/>
                  </w:divBdr>
                  <w:divsChild>
                    <w:div w:id="1065835024">
                      <w:marLeft w:val="0"/>
                      <w:marRight w:val="0"/>
                      <w:marTop w:val="0"/>
                      <w:marBottom w:val="0"/>
                      <w:divBdr>
                        <w:top w:val="none" w:sz="0" w:space="0" w:color="auto"/>
                        <w:left w:val="none" w:sz="0" w:space="0" w:color="auto"/>
                        <w:bottom w:val="none" w:sz="0" w:space="0" w:color="auto"/>
                        <w:right w:val="none" w:sz="0" w:space="0" w:color="auto"/>
                      </w:divBdr>
                    </w:div>
                  </w:divsChild>
                </w:div>
                <w:div w:id="1118794664">
                  <w:marLeft w:val="0"/>
                  <w:marRight w:val="0"/>
                  <w:marTop w:val="0"/>
                  <w:marBottom w:val="0"/>
                  <w:divBdr>
                    <w:top w:val="none" w:sz="0" w:space="0" w:color="auto"/>
                    <w:left w:val="none" w:sz="0" w:space="0" w:color="auto"/>
                    <w:bottom w:val="none" w:sz="0" w:space="0" w:color="auto"/>
                    <w:right w:val="none" w:sz="0" w:space="0" w:color="auto"/>
                  </w:divBdr>
                  <w:divsChild>
                    <w:div w:id="713043178">
                      <w:marLeft w:val="0"/>
                      <w:marRight w:val="0"/>
                      <w:marTop w:val="0"/>
                      <w:marBottom w:val="0"/>
                      <w:divBdr>
                        <w:top w:val="none" w:sz="0" w:space="0" w:color="auto"/>
                        <w:left w:val="none" w:sz="0" w:space="0" w:color="auto"/>
                        <w:bottom w:val="none" w:sz="0" w:space="0" w:color="auto"/>
                        <w:right w:val="none" w:sz="0" w:space="0" w:color="auto"/>
                      </w:divBdr>
                    </w:div>
                    <w:div w:id="723069206">
                      <w:marLeft w:val="0"/>
                      <w:marRight w:val="0"/>
                      <w:marTop w:val="0"/>
                      <w:marBottom w:val="0"/>
                      <w:divBdr>
                        <w:top w:val="none" w:sz="0" w:space="0" w:color="auto"/>
                        <w:left w:val="none" w:sz="0" w:space="0" w:color="auto"/>
                        <w:bottom w:val="none" w:sz="0" w:space="0" w:color="auto"/>
                        <w:right w:val="none" w:sz="0" w:space="0" w:color="auto"/>
                      </w:divBdr>
                    </w:div>
                    <w:div w:id="1122269657">
                      <w:marLeft w:val="0"/>
                      <w:marRight w:val="0"/>
                      <w:marTop w:val="0"/>
                      <w:marBottom w:val="0"/>
                      <w:divBdr>
                        <w:top w:val="none" w:sz="0" w:space="0" w:color="auto"/>
                        <w:left w:val="none" w:sz="0" w:space="0" w:color="auto"/>
                        <w:bottom w:val="none" w:sz="0" w:space="0" w:color="auto"/>
                        <w:right w:val="none" w:sz="0" w:space="0" w:color="auto"/>
                      </w:divBdr>
                    </w:div>
                  </w:divsChild>
                </w:div>
                <w:div w:id="1131555419">
                  <w:marLeft w:val="0"/>
                  <w:marRight w:val="0"/>
                  <w:marTop w:val="0"/>
                  <w:marBottom w:val="0"/>
                  <w:divBdr>
                    <w:top w:val="none" w:sz="0" w:space="0" w:color="auto"/>
                    <w:left w:val="none" w:sz="0" w:space="0" w:color="auto"/>
                    <w:bottom w:val="none" w:sz="0" w:space="0" w:color="auto"/>
                    <w:right w:val="none" w:sz="0" w:space="0" w:color="auto"/>
                  </w:divBdr>
                  <w:divsChild>
                    <w:div w:id="1620720162">
                      <w:marLeft w:val="0"/>
                      <w:marRight w:val="0"/>
                      <w:marTop w:val="0"/>
                      <w:marBottom w:val="0"/>
                      <w:divBdr>
                        <w:top w:val="none" w:sz="0" w:space="0" w:color="auto"/>
                        <w:left w:val="none" w:sz="0" w:space="0" w:color="auto"/>
                        <w:bottom w:val="none" w:sz="0" w:space="0" w:color="auto"/>
                        <w:right w:val="none" w:sz="0" w:space="0" w:color="auto"/>
                      </w:divBdr>
                    </w:div>
                  </w:divsChild>
                </w:div>
                <w:div w:id="1171723001">
                  <w:marLeft w:val="0"/>
                  <w:marRight w:val="0"/>
                  <w:marTop w:val="0"/>
                  <w:marBottom w:val="0"/>
                  <w:divBdr>
                    <w:top w:val="none" w:sz="0" w:space="0" w:color="auto"/>
                    <w:left w:val="none" w:sz="0" w:space="0" w:color="auto"/>
                    <w:bottom w:val="none" w:sz="0" w:space="0" w:color="auto"/>
                    <w:right w:val="none" w:sz="0" w:space="0" w:color="auto"/>
                  </w:divBdr>
                  <w:divsChild>
                    <w:div w:id="19940815">
                      <w:marLeft w:val="0"/>
                      <w:marRight w:val="0"/>
                      <w:marTop w:val="0"/>
                      <w:marBottom w:val="0"/>
                      <w:divBdr>
                        <w:top w:val="none" w:sz="0" w:space="0" w:color="auto"/>
                        <w:left w:val="none" w:sz="0" w:space="0" w:color="auto"/>
                        <w:bottom w:val="none" w:sz="0" w:space="0" w:color="auto"/>
                        <w:right w:val="none" w:sz="0" w:space="0" w:color="auto"/>
                      </w:divBdr>
                    </w:div>
                  </w:divsChild>
                </w:div>
                <w:div w:id="1190484691">
                  <w:marLeft w:val="0"/>
                  <w:marRight w:val="0"/>
                  <w:marTop w:val="0"/>
                  <w:marBottom w:val="0"/>
                  <w:divBdr>
                    <w:top w:val="none" w:sz="0" w:space="0" w:color="auto"/>
                    <w:left w:val="none" w:sz="0" w:space="0" w:color="auto"/>
                    <w:bottom w:val="none" w:sz="0" w:space="0" w:color="auto"/>
                    <w:right w:val="none" w:sz="0" w:space="0" w:color="auto"/>
                  </w:divBdr>
                  <w:divsChild>
                    <w:div w:id="1452868757">
                      <w:marLeft w:val="0"/>
                      <w:marRight w:val="0"/>
                      <w:marTop w:val="0"/>
                      <w:marBottom w:val="0"/>
                      <w:divBdr>
                        <w:top w:val="none" w:sz="0" w:space="0" w:color="auto"/>
                        <w:left w:val="none" w:sz="0" w:space="0" w:color="auto"/>
                        <w:bottom w:val="none" w:sz="0" w:space="0" w:color="auto"/>
                        <w:right w:val="none" w:sz="0" w:space="0" w:color="auto"/>
                      </w:divBdr>
                    </w:div>
                  </w:divsChild>
                </w:div>
                <w:div w:id="1226722757">
                  <w:marLeft w:val="0"/>
                  <w:marRight w:val="0"/>
                  <w:marTop w:val="0"/>
                  <w:marBottom w:val="0"/>
                  <w:divBdr>
                    <w:top w:val="none" w:sz="0" w:space="0" w:color="auto"/>
                    <w:left w:val="none" w:sz="0" w:space="0" w:color="auto"/>
                    <w:bottom w:val="none" w:sz="0" w:space="0" w:color="auto"/>
                    <w:right w:val="none" w:sz="0" w:space="0" w:color="auto"/>
                  </w:divBdr>
                  <w:divsChild>
                    <w:div w:id="95445317">
                      <w:marLeft w:val="0"/>
                      <w:marRight w:val="0"/>
                      <w:marTop w:val="0"/>
                      <w:marBottom w:val="0"/>
                      <w:divBdr>
                        <w:top w:val="none" w:sz="0" w:space="0" w:color="auto"/>
                        <w:left w:val="none" w:sz="0" w:space="0" w:color="auto"/>
                        <w:bottom w:val="none" w:sz="0" w:space="0" w:color="auto"/>
                        <w:right w:val="none" w:sz="0" w:space="0" w:color="auto"/>
                      </w:divBdr>
                    </w:div>
                  </w:divsChild>
                </w:div>
                <w:div w:id="1233740230">
                  <w:marLeft w:val="0"/>
                  <w:marRight w:val="0"/>
                  <w:marTop w:val="0"/>
                  <w:marBottom w:val="0"/>
                  <w:divBdr>
                    <w:top w:val="none" w:sz="0" w:space="0" w:color="auto"/>
                    <w:left w:val="none" w:sz="0" w:space="0" w:color="auto"/>
                    <w:bottom w:val="none" w:sz="0" w:space="0" w:color="auto"/>
                    <w:right w:val="none" w:sz="0" w:space="0" w:color="auto"/>
                  </w:divBdr>
                  <w:divsChild>
                    <w:div w:id="173498630">
                      <w:marLeft w:val="0"/>
                      <w:marRight w:val="0"/>
                      <w:marTop w:val="0"/>
                      <w:marBottom w:val="0"/>
                      <w:divBdr>
                        <w:top w:val="none" w:sz="0" w:space="0" w:color="auto"/>
                        <w:left w:val="none" w:sz="0" w:space="0" w:color="auto"/>
                        <w:bottom w:val="none" w:sz="0" w:space="0" w:color="auto"/>
                        <w:right w:val="none" w:sz="0" w:space="0" w:color="auto"/>
                      </w:divBdr>
                    </w:div>
                  </w:divsChild>
                </w:div>
                <w:div w:id="1351223879">
                  <w:marLeft w:val="0"/>
                  <w:marRight w:val="0"/>
                  <w:marTop w:val="0"/>
                  <w:marBottom w:val="0"/>
                  <w:divBdr>
                    <w:top w:val="none" w:sz="0" w:space="0" w:color="auto"/>
                    <w:left w:val="none" w:sz="0" w:space="0" w:color="auto"/>
                    <w:bottom w:val="none" w:sz="0" w:space="0" w:color="auto"/>
                    <w:right w:val="none" w:sz="0" w:space="0" w:color="auto"/>
                  </w:divBdr>
                  <w:divsChild>
                    <w:div w:id="1157723963">
                      <w:marLeft w:val="0"/>
                      <w:marRight w:val="0"/>
                      <w:marTop w:val="0"/>
                      <w:marBottom w:val="0"/>
                      <w:divBdr>
                        <w:top w:val="none" w:sz="0" w:space="0" w:color="auto"/>
                        <w:left w:val="none" w:sz="0" w:space="0" w:color="auto"/>
                        <w:bottom w:val="none" w:sz="0" w:space="0" w:color="auto"/>
                        <w:right w:val="none" w:sz="0" w:space="0" w:color="auto"/>
                      </w:divBdr>
                    </w:div>
                  </w:divsChild>
                </w:div>
                <w:div w:id="1367606045">
                  <w:marLeft w:val="0"/>
                  <w:marRight w:val="0"/>
                  <w:marTop w:val="0"/>
                  <w:marBottom w:val="0"/>
                  <w:divBdr>
                    <w:top w:val="none" w:sz="0" w:space="0" w:color="auto"/>
                    <w:left w:val="none" w:sz="0" w:space="0" w:color="auto"/>
                    <w:bottom w:val="none" w:sz="0" w:space="0" w:color="auto"/>
                    <w:right w:val="none" w:sz="0" w:space="0" w:color="auto"/>
                  </w:divBdr>
                  <w:divsChild>
                    <w:div w:id="1931229854">
                      <w:marLeft w:val="0"/>
                      <w:marRight w:val="0"/>
                      <w:marTop w:val="0"/>
                      <w:marBottom w:val="0"/>
                      <w:divBdr>
                        <w:top w:val="none" w:sz="0" w:space="0" w:color="auto"/>
                        <w:left w:val="none" w:sz="0" w:space="0" w:color="auto"/>
                        <w:bottom w:val="none" w:sz="0" w:space="0" w:color="auto"/>
                        <w:right w:val="none" w:sz="0" w:space="0" w:color="auto"/>
                      </w:divBdr>
                    </w:div>
                  </w:divsChild>
                </w:div>
                <w:div w:id="1380519050">
                  <w:marLeft w:val="0"/>
                  <w:marRight w:val="0"/>
                  <w:marTop w:val="0"/>
                  <w:marBottom w:val="0"/>
                  <w:divBdr>
                    <w:top w:val="none" w:sz="0" w:space="0" w:color="auto"/>
                    <w:left w:val="none" w:sz="0" w:space="0" w:color="auto"/>
                    <w:bottom w:val="none" w:sz="0" w:space="0" w:color="auto"/>
                    <w:right w:val="none" w:sz="0" w:space="0" w:color="auto"/>
                  </w:divBdr>
                  <w:divsChild>
                    <w:div w:id="2006931851">
                      <w:marLeft w:val="0"/>
                      <w:marRight w:val="0"/>
                      <w:marTop w:val="0"/>
                      <w:marBottom w:val="0"/>
                      <w:divBdr>
                        <w:top w:val="none" w:sz="0" w:space="0" w:color="auto"/>
                        <w:left w:val="none" w:sz="0" w:space="0" w:color="auto"/>
                        <w:bottom w:val="none" w:sz="0" w:space="0" w:color="auto"/>
                        <w:right w:val="none" w:sz="0" w:space="0" w:color="auto"/>
                      </w:divBdr>
                    </w:div>
                  </w:divsChild>
                </w:div>
                <w:div w:id="1388802948">
                  <w:marLeft w:val="0"/>
                  <w:marRight w:val="0"/>
                  <w:marTop w:val="0"/>
                  <w:marBottom w:val="0"/>
                  <w:divBdr>
                    <w:top w:val="none" w:sz="0" w:space="0" w:color="auto"/>
                    <w:left w:val="none" w:sz="0" w:space="0" w:color="auto"/>
                    <w:bottom w:val="none" w:sz="0" w:space="0" w:color="auto"/>
                    <w:right w:val="none" w:sz="0" w:space="0" w:color="auto"/>
                  </w:divBdr>
                  <w:divsChild>
                    <w:div w:id="50272386">
                      <w:marLeft w:val="0"/>
                      <w:marRight w:val="0"/>
                      <w:marTop w:val="0"/>
                      <w:marBottom w:val="0"/>
                      <w:divBdr>
                        <w:top w:val="none" w:sz="0" w:space="0" w:color="auto"/>
                        <w:left w:val="none" w:sz="0" w:space="0" w:color="auto"/>
                        <w:bottom w:val="none" w:sz="0" w:space="0" w:color="auto"/>
                        <w:right w:val="none" w:sz="0" w:space="0" w:color="auto"/>
                      </w:divBdr>
                    </w:div>
                  </w:divsChild>
                </w:div>
                <w:div w:id="1402563153">
                  <w:marLeft w:val="0"/>
                  <w:marRight w:val="0"/>
                  <w:marTop w:val="0"/>
                  <w:marBottom w:val="0"/>
                  <w:divBdr>
                    <w:top w:val="none" w:sz="0" w:space="0" w:color="auto"/>
                    <w:left w:val="none" w:sz="0" w:space="0" w:color="auto"/>
                    <w:bottom w:val="none" w:sz="0" w:space="0" w:color="auto"/>
                    <w:right w:val="none" w:sz="0" w:space="0" w:color="auto"/>
                  </w:divBdr>
                  <w:divsChild>
                    <w:div w:id="850412668">
                      <w:marLeft w:val="0"/>
                      <w:marRight w:val="0"/>
                      <w:marTop w:val="0"/>
                      <w:marBottom w:val="0"/>
                      <w:divBdr>
                        <w:top w:val="none" w:sz="0" w:space="0" w:color="auto"/>
                        <w:left w:val="none" w:sz="0" w:space="0" w:color="auto"/>
                        <w:bottom w:val="none" w:sz="0" w:space="0" w:color="auto"/>
                        <w:right w:val="none" w:sz="0" w:space="0" w:color="auto"/>
                      </w:divBdr>
                    </w:div>
                  </w:divsChild>
                </w:div>
                <w:div w:id="1405294259">
                  <w:marLeft w:val="0"/>
                  <w:marRight w:val="0"/>
                  <w:marTop w:val="0"/>
                  <w:marBottom w:val="0"/>
                  <w:divBdr>
                    <w:top w:val="none" w:sz="0" w:space="0" w:color="auto"/>
                    <w:left w:val="none" w:sz="0" w:space="0" w:color="auto"/>
                    <w:bottom w:val="none" w:sz="0" w:space="0" w:color="auto"/>
                    <w:right w:val="none" w:sz="0" w:space="0" w:color="auto"/>
                  </w:divBdr>
                  <w:divsChild>
                    <w:div w:id="1658875470">
                      <w:marLeft w:val="0"/>
                      <w:marRight w:val="0"/>
                      <w:marTop w:val="0"/>
                      <w:marBottom w:val="0"/>
                      <w:divBdr>
                        <w:top w:val="none" w:sz="0" w:space="0" w:color="auto"/>
                        <w:left w:val="none" w:sz="0" w:space="0" w:color="auto"/>
                        <w:bottom w:val="none" w:sz="0" w:space="0" w:color="auto"/>
                        <w:right w:val="none" w:sz="0" w:space="0" w:color="auto"/>
                      </w:divBdr>
                    </w:div>
                  </w:divsChild>
                </w:div>
                <w:div w:id="1504315653">
                  <w:marLeft w:val="0"/>
                  <w:marRight w:val="0"/>
                  <w:marTop w:val="0"/>
                  <w:marBottom w:val="0"/>
                  <w:divBdr>
                    <w:top w:val="none" w:sz="0" w:space="0" w:color="auto"/>
                    <w:left w:val="none" w:sz="0" w:space="0" w:color="auto"/>
                    <w:bottom w:val="none" w:sz="0" w:space="0" w:color="auto"/>
                    <w:right w:val="none" w:sz="0" w:space="0" w:color="auto"/>
                  </w:divBdr>
                  <w:divsChild>
                    <w:div w:id="1032848944">
                      <w:marLeft w:val="0"/>
                      <w:marRight w:val="0"/>
                      <w:marTop w:val="0"/>
                      <w:marBottom w:val="0"/>
                      <w:divBdr>
                        <w:top w:val="none" w:sz="0" w:space="0" w:color="auto"/>
                        <w:left w:val="none" w:sz="0" w:space="0" w:color="auto"/>
                        <w:bottom w:val="none" w:sz="0" w:space="0" w:color="auto"/>
                        <w:right w:val="none" w:sz="0" w:space="0" w:color="auto"/>
                      </w:divBdr>
                    </w:div>
                  </w:divsChild>
                </w:div>
                <w:div w:id="1588418349">
                  <w:marLeft w:val="0"/>
                  <w:marRight w:val="0"/>
                  <w:marTop w:val="0"/>
                  <w:marBottom w:val="0"/>
                  <w:divBdr>
                    <w:top w:val="none" w:sz="0" w:space="0" w:color="auto"/>
                    <w:left w:val="none" w:sz="0" w:space="0" w:color="auto"/>
                    <w:bottom w:val="none" w:sz="0" w:space="0" w:color="auto"/>
                    <w:right w:val="none" w:sz="0" w:space="0" w:color="auto"/>
                  </w:divBdr>
                  <w:divsChild>
                    <w:div w:id="352852292">
                      <w:marLeft w:val="0"/>
                      <w:marRight w:val="0"/>
                      <w:marTop w:val="0"/>
                      <w:marBottom w:val="0"/>
                      <w:divBdr>
                        <w:top w:val="none" w:sz="0" w:space="0" w:color="auto"/>
                        <w:left w:val="none" w:sz="0" w:space="0" w:color="auto"/>
                        <w:bottom w:val="none" w:sz="0" w:space="0" w:color="auto"/>
                        <w:right w:val="none" w:sz="0" w:space="0" w:color="auto"/>
                      </w:divBdr>
                    </w:div>
                  </w:divsChild>
                </w:div>
                <w:div w:id="1619988102">
                  <w:marLeft w:val="0"/>
                  <w:marRight w:val="0"/>
                  <w:marTop w:val="0"/>
                  <w:marBottom w:val="0"/>
                  <w:divBdr>
                    <w:top w:val="none" w:sz="0" w:space="0" w:color="auto"/>
                    <w:left w:val="none" w:sz="0" w:space="0" w:color="auto"/>
                    <w:bottom w:val="none" w:sz="0" w:space="0" w:color="auto"/>
                    <w:right w:val="none" w:sz="0" w:space="0" w:color="auto"/>
                  </w:divBdr>
                  <w:divsChild>
                    <w:div w:id="630136820">
                      <w:marLeft w:val="0"/>
                      <w:marRight w:val="0"/>
                      <w:marTop w:val="0"/>
                      <w:marBottom w:val="0"/>
                      <w:divBdr>
                        <w:top w:val="none" w:sz="0" w:space="0" w:color="auto"/>
                        <w:left w:val="none" w:sz="0" w:space="0" w:color="auto"/>
                        <w:bottom w:val="none" w:sz="0" w:space="0" w:color="auto"/>
                        <w:right w:val="none" w:sz="0" w:space="0" w:color="auto"/>
                      </w:divBdr>
                    </w:div>
                  </w:divsChild>
                </w:div>
                <w:div w:id="1689140418">
                  <w:marLeft w:val="0"/>
                  <w:marRight w:val="0"/>
                  <w:marTop w:val="0"/>
                  <w:marBottom w:val="0"/>
                  <w:divBdr>
                    <w:top w:val="none" w:sz="0" w:space="0" w:color="auto"/>
                    <w:left w:val="none" w:sz="0" w:space="0" w:color="auto"/>
                    <w:bottom w:val="none" w:sz="0" w:space="0" w:color="auto"/>
                    <w:right w:val="none" w:sz="0" w:space="0" w:color="auto"/>
                  </w:divBdr>
                  <w:divsChild>
                    <w:div w:id="369649794">
                      <w:marLeft w:val="0"/>
                      <w:marRight w:val="0"/>
                      <w:marTop w:val="0"/>
                      <w:marBottom w:val="0"/>
                      <w:divBdr>
                        <w:top w:val="none" w:sz="0" w:space="0" w:color="auto"/>
                        <w:left w:val="none" w:sz="0" w:space="0" w:color="auto"/>
                        <w:bottom w:val="none" w:sz="0" w:space="0" w:color="auto"/>
                        <w:right w:val="none" w:sz="0" w:space="0" w:color="auto"/>
                      </w:divBdr>
                    </w:div>
                  </w:divsChild>
                </w:div>
                <w:div w:id="1733040737">
                  <w:marLeft w:val="0"/>
                  <w:marRight w:val="0"/>
                  <w:marTop w:val="0"/>
                  <w:marBottom w:val="0"/>
                  <w:divBdr>
                    <w:top w:val="none" w:sz="0" w:space="0" w:color="auto"/>
                    <w:left w:val="none" w:sz="0" w:space="0" w:color="auto"/>
                    <w:bottom w:val="none" w:sz="0" w:space="0" w:color="auto"/>
                    <w:right w:val="none" w:sz="0" w:space="0" w:color="auto"/>
                  </w:divBdr>
                  <w:divsChild>
                    <w:div w:id="994407735">
                      <w:marLeft w:val="0"/>
                      <w:marRight w:val="0"/>
                      <w:marTop w:val="0"/>
                      <w:marBottom w:val="0"/>
                      <w:divBdr>
                        <w:top w:val="none" w:sz="0" w:space="0" w:color="auto"/>
                        <w:left w:val="none" w:sz="0" w:space="0" w:color="auto"/>
                        <w:bottom w:val="none" w:sz="0" w:space="0" w:color="auto"/>
                        <w:right w:val="none" w:sz="0" w:space="0" w:color="auto"/>
                      </w:divBdr>
                    </w:div>
                  </w:divsChild>
                </w:div>
                <w:div w:id="1734617633">
                  <w:marLeft w:val="0"/>
                  <w:marRight w:val="0"/>
                  <w:marTop w:val="0"/>
                  <w:marBottom w:val="0"/>
                  <w:divBdr>
                    <w:top w:val="none" w:sz="0" w:space="0" w:color="auto"/>
                    <w:left w:val="none" w:sz="0" w:space="0" w:color="auto"/>
                    <w:bottom w:val="none" w:sz="0" w:space="0" w:color="auto"/>
                    <w:right w:val="none" w:sz="0" w:space="0" w:color="auto"/>
                  </w:divBdr>
                  <w:divsChild>
                    <w:div w:id="815295615">
                      <w:marLeft w:val="0"/>
                      <w:marRight w:val="0"/>
                      <w:marTop w:val="0"/>
                      <w:marBottom w:val="0"/>
                      <w:divBdr>
                        <w:top w:val="none" w:sz="0" w:space="0" w:color="auto"/>
                        <w:left w:val="none" w:sz="0" w:space="0" w:color="auto"/>
                        <w:bottom w:val="none" w:sz="0" w:space="0" w:color="auto"/>
                        <w:right w:val="none" w:sz="0" w:space="0" w:color="auto"/>
                      </w:divBdr>
                    </w:div>
                  </w:divsChild>
                </w:div>
                <w:div w:id="1850828636">
                  <w:marLeft w:val="0"/>
                  <w:marRight w:val="0"/>
                  <w:marTop w:val="0"/>
                  <w:marBottom w:val="0"/>
                  <w:divBdr>
                    <w:top w:val="none" w:sz="0" w:space="0" w:color="auto"/>
                    <w:left w:val="none" w:sz="0" w:space="0" w:color="auto"/>
                    <w:bottom w:val="none" w:sz="0" w:space="0" w:color="auto"/>
                    <w:right w:val="none" w:sz="0" w:space="0" w:color="auto"/>
                  </w:divBdr>
                  <w:divsChild>
                    <w:div w:id="1832524995">
                      <w:marLeft w:val="0"/>
                      <w:marRight w:val="0"/>
                      <w:marTop w:val="0"/>
                      <w:marBottom w:val="0"/>
                      <w:divBdr>
                        <w:top w:val="none" w:sz="0" w:space="0" w:color="auto"/>
                        <w:left w:val="none" w:sz="0" w:space="0" w:color="auto"/>
                        <w:bottom w:val="none" w:sz="0" w:space="0" w:color="auto"/>
                        <w:right w:val="none" w:sz="0" w:space="0" w:color="auto"/>
                      </w:divBdr>
                    </w:div>
                  </w:divsChild>
                </w:div>
                <w:div w:id="1854417529">
                  <w:marLeft w:val="0"/>
                  <w:marRight w:val="0"/>
                  <w:marTop w:val="0"/>
                  <w:marBottom w:val="0"/>
                  <w:divBdr>
                    <w:top w:val="none" w:sz="0" w:space="0" w:color="auto"/>
                    <w:left w:val="none" w:sz="0" w:space="0" w:color="auto"/>
                    <w:bottom w:val="none" w:sz="0" w:space="0" w:color="auto"/>
                    <w:right w:val="none" w:sz="0" w:space="0" w:color="auto"/>
                  </w:divBdr>
                  <w:divsChild>
                    <w:div w:id="594436145">
                      <w:marLeft w:val="0"/>
                      <w:marRight w:val="0"/>
                      <w:marTop w:val="0"/>
                      <w:marBottom w:val="0"/>
                      <w:divBdr>
                        <w:top w:val="none" w:sz="0" w:space="0" w:color="auto"/>
                        <w:left w:val="none" w:sz="0" w:space="0" w:color="auto"/>
                        <w:bottom w:val="none" w:sz="0" w:space="0" w:color="auto"/>
                        <w:right w:val="none" w:sz="0" w:space="0" w:color="auto"/>
                      </w:divBdr>
                    </w:div>
                  </w:divsChild>
                </w:div>
                <w:div w:id="1854611780">
                  <w:marLeft w:val="0"/>
                  <w:marRight w:val="0"/>
                  <w:marTop w:val="0"/>
                  <w:marBottom w:val="0"/>
                  <w:divBdr>
                    <w:top w:val="none" w:sz="0" w:space="0" w:color="auto"/>
                    <w:left w:val="none" w:sz="0" w:space="0" w:color="auto"/>
                    <w:bottom w:val="none" w:sz="0" w:space="0" w:color="auto"/>
                    <w:right w:val="none" w:sz="0" w:space="0" w:color="auto"/>
                  </w:divBdr>
                  <w:divsChild>
                    <w:div w:id="1429813668">
                      <w:marLeft w:val="0"/>
                      <w:marRight w:val="0"/>
                      <w:marTop w:val="0"/>
                      <w:marBottom w:val="0"/>
                      <w:divBdr>
                        <w:top w:val="none" w:sz="0" w:space="0" w:color="auto"/>
                        <w:left w:val="none" w:sz="0" w:space="0" w:color="auto"/>
                        <w:bottom w:val="none" w:sz="0" w:space="0" w:color="auto"/>
                        <w:right w:val="none" w:sz="0" w:space="0" w:color="auto"/>
                      </w:divBdr>
                    </w:div>
                  </w:divsChild>
                </w:div>
                <w:div w:id="1918781462">
                  <w:marLeft w:val="0"/>
                  <w:marRight w:val="0"/>
                  <w:marTop w:val="0"/>
                  <w:marBottom w:val="0"/>
                  <w:divBdr>
                    <w:top w:val="none" w:sz="0" w:space="0" w:color="auto"/>
                    <w:left w:val="none" w:sz="0" w:space="0" w:color="auto"/>
                    <w:bottom w:val="none" w:sz="0" w:space="0" w:color="auto"/>
                    <w:right w:val="none" w:sz="0" w:space="0" w:color="auto"/>
                  </w:divBdr>
                  <w:divsChild>
                    <w:div w:id="691226715">
                      <w:marLeft w:val="0"/>
                      <w:marRight w:val="0"/>
                      <w:marTop w:val="0"/>
                      <w:marBottom w:val="0"/>
                      <w:divBdr>
                        <w:top w:val="none" w:sz="0" w:space="0" w:color="auto"/>
                        <w:left w:val="none" w:sz="0" w:space="0" w:color="auto"/>
                        <w:bottom w:val="none" w:sz="0" w:space="0" w:color="auto"/>
                        <w:right w:val="none" w:sz="0" w:space="0" w:color="auto"/>
                      </w:divBdr>
                    </w:div>
                  </w:divsChild>
                </w:div>
                <w:div w:id="1959987030">
                  <w:marLeft w:val="0"/>
                  <w:marRight w:val="0"/>
                  <w:marTop w:val="0"/>
                  <w:marBottom w:val="0"/>
                  <w:divBdr>
                    <w:top w:val="none" w:sz="0" w:space="0" w:color="auto"/>
                    <w:left w:val="none" w:sz="0" w:space="0" w:color="auto"/>
                    <w:bottom w:val="none" w:sz="0" w:space="0" w:color="auto"/>
                    <w:right w:val="none" w:sz="0" w:space="0" w:color="auto"/>
                  </w:divBdr>
                  <w:divsChild>
                    <w:div w:id="1114520323">
                      <w:marLeft w:val="0"/>
                      <w:marRight w:val="0"/>
                      <w:marTop w:val="0"/>
                      <w:marBottom w:val="0"/>
                      <w:divBdr>
                        <w:top w:val="none" w:sz="0" w:space="0" w:color="auto"/>
                        <w:left w:val="none" w:sz="0" w:space="0" w:color="auto"/>
                        <w:bottom w:val="none" w:sz="0" w:space="0" w:color="auto"/>
                        <w:right w:val="none" w:sz="0" w:space="0" w:color="auto"/>
                      </w:divBdr>
                    </w:div>
                  </w:divsChild>
                </w:div>
                <w:div w:id="2048872619">
                  <w:marLeft w:val="0"/>
                  <w:marRight w:val="0"/>
                  <w:marTop w:val="0"/>
                  <w:marBottom w:val="0"/>
                  <w:divBdr>
                    <w:top w:val="none" w:sz="0" w:space="0" w:color="auto"/>
                    <w:left w:val="none" w:sz="0" w:space="0" w:color="auto"/>
                    <w:bottom w:val="none" w:sz="0" w:space="0" w:color="auto"/>
                    <w:right w:val="none" w:sz="0" w:space="0" w:color="auto"/>
                  </w:divBdr>
                  <w:divsChild>
                    <w:div w:id="14546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0438">
          <w:marLeft w:val="0"/>
          <w:marRight w:val="0"/>
          <w:marTop w:val="0"/>
          <w:marBottom w:val="0"/>
          <w:divBdr>
            <w:top w:val="none" w:sz="0" w:space="0" w:color="auto"/>
            <w:left w:val="none" w:sz="0" w:space="0" w:color="auto"/>
            <w:bottom w:val="none" w:sz="0" w:space="0" w:color="auto"/>
            <w:right w:val="none" w:sz="0" w:space="0" w:color="auto"/>
          </w:divBdr>
        </w:div>
        <w:div w:id="2088646360">
          <w:marLeft w:val="0"/>
          <w:marRight w:val="0"/>
          <w:marTop w:val="0"/>
          <w:marBottom w:val="0"/>
          <w:divBdr>
            <w:top w:val="none" w:sz="0" w:space="0" w:color="auto"/>
            <w:left w:val="none" w:sz="0" w:space="0" w:color="auto"/>
            <w:bottom w:val="none" w:sz="0" w:space="0" w:color="auto"/>
            <w:right w:val="none" w:sz="0" w:space="0" w:color="auto"/>
          </w:divBdr>
        </w:div>
      </w:divsChild>
    </w:div>
    <w:div w:id="423040917">
      <w:bodyDiv w:val="1"/>
      <w:marLeft w:val="0"/>
      <w:marRight w:val="0"/>
      <w:marTop w:val="0"/>
      <w:marBottom w:val="0"/>
      <w:divBdr>
        <w:top w:val="none" w:sz="0" w:space="0" w:color="auto"/>
        <w:left w:val="none" w:sz="0" w:space="0" w:color="auto"/>
        <w:bottom w:val="none" w:sz="0" w:space="0" w:color="auto"/>
        <w:right w:val="none" w:sz="0" w:space="0" w:color="auto"/>
      </w:divBdr>
    </w:div>
    <w:div w:id="1270699097">
      <w:bodyDiv w:val="1"/>
      <w:marLeft w:val="0"/>
      <w:marRight w:val="0"/>
      <w:marTop w:val="0"/>
      <w:marBottom w:val="0"/>
      <w:divBdr>
        <w:top w:val="none" w:sz="0" w:space="0" w:color="auto"/>
        <w:left w:val="none" w:sz="0" w:space="0" w:color="auto"/>
        <w:bottom w:val="none" w:sz="0" w:space="0" w:color="auto"/>
        <w:right w:val="none" w:sz="0" w:space="0" w:color="auto"/>
      </w:divBdr>
      <w:divsChild>
        <w:div w:id="554780776">
          <w:marLeft w:val="0"/>
          <w:marRight w:val="0"/>
          <w:marTop w:val="0"/>
          <w:marBottom w:val="0"/>
          <w:divBdr>
            <w:top w:val="none" w:sz="0" w:space="0" w:color="auto"/>
            <w:left w:val="none" w:sz="0" w:space="0" w:color="auto"/>
            <w:bottom w:val="none" w:sz="0" w:space="0" w:color="auto"/>
            <w:right w:val="none" w:sz="0" w:space="0" w:color="auto"/>
          </w:divBdr>
        </w:div>
      </w:divsChild>
    </w:div>
    <w:div w:id="1405563058">
      <w:bodyDiv w:val="1"/>
      <w:marLeft w:val="0"/>
      <w:marRight w:val="0"/>
      <w:marTop w:val="0"/>
      <w:marBottom w:val="0"/>
      <w:divBdr>
        <w:top w:val="none" w:sz="0" w:space="0" w:color="auto"/>
        <w:left w:val="none" w:sz="0" w:space="0" w:color="auto"/>
        <w:bottom w:val="none" w:sz="0" w:space="0" w:color="auto"/>
        <w:right w:val="none" w:sz="0" w:space="0" w:color="auto"/>
      </w:divBdr>
    </w:div>
    <w:div w:id="1806506739">
      <w:bodyDiv w:val="1"/>
      <w:marLeft w:val="0"/>
      <w:marRight w:val="0"/>
      <w:marTop w:val="0"/>
      <w:marBottom w:val="0"/>
      <w:divBdr>
        <w:top w:val="none" w:sz="0" w:space="0" w:color="auto"/>
        <w:left w:val="none" w:sz="0" w:space="0" w:color="auto"/>
        <w:bottom w:val="none" w:sz="0" w:space="0" w:color="auto"/>
        <w:right w:val="none" w:sz="0" w:space="0" w:color="auto"/>
      </w:divBdr>
      <w:divsChild>
        <w:div w:id="17659781">
          <w:marLeft w:val="0"/>
          <w:marRight w:val="0"/>
          <w:marTop w:val="0"/>
          <w:marBottom w:val="0"/>
          <w:divBdr>
            <w:top w:val="none" w:sz="0" w:space="0" w:color="auto"/>
            <w:left w:val="none" w:sz="0" w:space="0" w:color="auto"/>
            <w:bottom w:val="none" w:sz="0" w:space="0" w:color="auto"/>
            <w:right w:val="none" w:sz="0" w:space="0" w:color="auto"/>
          </w:divBdr>
        </w:div>
        <w:div w:id="25954268">
          <w:marLeft w:val="0"/>
          <w:marRight w:val="0"/>
          <w:marTop w:val="0"/>
          <w:marBottom w:val="0"/>
          <w:divBdr>
            <w:top w:val="none" w:sz="0" w:space="0" w:color="auto"/>
            <w:left w:val="none" w:sz="0" w:space="0" w:color="auto"/>
            <w:bottom w:val="none" w:sz="0" w:space="0" w:color="auto"/>
            <w:right w:val="none" w:sz="0" w:space="0" w:color="auto"/>
          </w:divBdr>
        </w:div>
        <w:div w:id="71242599">
          <w:marLeft w:val="0"/>
          <w:marRight w:val="0"/>
          <w:marTop w:val="0"/>
          <w:marBottom w:val="0"/>
          <w:divBdr>
            <w:top w:val="none" w:sz="0" w:space="0" w:color="auto"/>
            <w:left w:val="none" w:sz="0" w:space="0" w:color="auto"/>
            <w:bottom w:val="none" w:sz="0" w:space="0" w:color="auto"/>
            <w:right w:val="none" w:sz="0" w:space="0" w:color="auto"/>
          </w:divBdr>
        </w:div>
        <w:div w:id="226766523">
          <w:marLeft w:val="0"/>
          <w:marRight w:val="0"/>
          <w:marTop w:val="0"/>
          <w:marBottom w:val="0"/>
          <w:divBdr>
            <w:top w:val="none" w:sz="0" w:space="0" w:color="auto"/>
            <w:left w:val="none" w:sz="0" w:space="0" w:color="auto"/>
            <w:bottom w:val="none" w:sz="0" w:space="0" w:color="auto"/>
            <w:right w:val="none" w:sz="0" w:space="0" w:color="auto"/>
          </w:divBdr>
        </w:div>
        <w:div w:id="439374141">
          <w:marLeft w:val="0"/>
          <w:marRight w:val="0"/>
          <w:marTop w:val="0"/>
          <w:marBottom w:val="0"/>
          <w:divBdr>
            <w:top w:val="none" w:sz="0" w:space="0" w:color="auto"/>
            <w:left w:val="none" w:sz="0" w:space="0" w:color="auto"/>
            <w:bottom w:val="none" w:sz="0" w:space="0" w:color="auto"/>
            <w:right w:val="none" w:sz="0" w:space="0" w:color="auto"/>
          </w:divBdr>
        </w:div>
        <w:div w:id="495191195">
          <w:marLeft w:val="0"/>
          <w:marRight w:val="0"/>
          <w:marTop w:val="0"/>
          <w:marBottom w:val="0"/>
          <w:divBdr>
            <w:top w:val="none" w:sz="0" w:space="0" w:color="auto"/>
            <w:left w:val="none" w:sz="0" w:space="0" w:color="auto"/>
            <w:bottom w:val="none" w:sz="0" w:space="0" w:color="auto"/>
            <w:right w:val="none" w:sz="0" w:space="0" w:color="auto"/>
          </w:divBdr>
        </w:div>
        <w:div w:id="623466120">
          <w:marLeft w:val="0"/>
          <w:marRight w:val="0"/>
          <w:marTop w:val="0"/>
          <w:marBottom w:val="0"/>
          <w:divBdr>
            <w:top w:val="none" w:sz="0" w:space="0" w:color="auto"/>
            <w:left w:val="none" w:sz="0" w:space="0" w:color="auto"/>
            <w:bottom w:val="none" w:sz="0" w:space="0" w:color="auto"/>
            <w:right w:val="none" w:sz="0" w:space="0" w:color="auto"/>
          </w:divBdr>
        </w:div>
        <w:div w:id="751506218">
          <w:marLeft w:val="0"/>
          <w:marRight w:val="0"/>
          <w:marTop w:val="0"/>
          <w:marBottom w:val="0"/>
          <w:divBdr>
            <w:top w:val="none" w:sz="0" w:space="0" w:color="auto"/>
            <w:left w:val="none" w:sz="0" w:space="0" w:color="auto"/>
            <w:bottom w:val="none" w:sz="0" w:space="0" w:color="auto"/>
            <w:right w:val="none" w:sz="0" w:space="0" w:color="auto"/>
          </w:divBdr>
        </w:div>
        <w:div w:id="974067780">
          <w:marLeft w:val="0"/>
          <w:marRight w:val="0"/>
          <w:marTop w:val="0"/>
          <w:marBottom w:val="0"/>
          <w:divBdr>
            <w:top w:val="none" w:sz="0" w:space="0" w:color="auto"/>
            <w:left w:val="none" w:sz="0" w:space="0" w:color="auto"/>
            <w:bottom w:val="none" w:sz="0" w:space="0" w:color="auto"/>
            <w:right w:val="none" w:sz="0" w:space="0" w:color="auto"/>
          </w:divBdr>
        </w:div>
        <w:div w:id="1014914446">
          <w:marLeft w:val="0"/>
          <w:marRight w:val="0"/>
          <w:marTop w:val="0"/>
          <w:marBottom w:val="0"/>
          <w:divBdr>
            <w:top w:val="none" w:sz="0" w:space="0" w:color="auto"/>
            <w:left w:val="none" w:sz="0" w:space="0" w:color="auto"/>
            <w:bottom w:val="none" w:sz="0" w:space="0" w:color="auto"/>
            <w:right w:val="none" w:sz="0" w:space="0" w:color="auto"/>
          </w:divBdr>
        </w:div>
        <w:div w:id="1039665614">
          <w:marLeft w:val="0"/>
          <w:marRight w:val="0"/>
          <w:marTop w:val="0"/>
          <w:marBottom w:val="0"/>
          <w:divBdr>
            <w:top w:val="none" w:sz="0" w:space="0" w:color="auto"/>
            <w:left w:val="none" w:sz="0" w:space="0" w:color="auto"/>
            <w:bottom w:val="none" w:sz="0" w:space="0" w:color="auto"/>
            <w:right w:val="none" w:sz="0" w:space="0" w:color="auto"/>
          </w:divBdr>
        </w:div>
        <w:div w:id="1061948594">
          <w:marLeft w:val="0"/>
          <w:marRight w:val="0"/>
          <w:marTop w:val="0"/>
          <w:marBottom w:val="0"/>
          <w:divBdr>
            <w:top w:val="none" w:sz="0" w:space="0" w:color="auto"/>
            <w:left w:val="none" w:sz="0" w:space="0" w:color="auto"/>
            <w:bottom w:val="none" w:sz="0" w:space="0" w:color="auto"/>
            <w:right w:val="none" w:sz="0" w:space="0" w:color="auto"/>
          </w:divBdr>
        </w:div>
        <w:div w:id="1088963191">
          <w:marLeft w:val="0"/>
          <w:marRight w:val="0"/>
          <w:marTop w:val="0"/>
          <w:marBottom w:val="0"/>
          <w:divBdr>
            <w:top w:val="none" w:sz="0" w:space="0" w:color="auto"/>
            <w:left w:val="none" w:sz="0" w:space="0" w:color="auto"/>
            <w:bottom w:val="none" w:sz="0" w:space="0" w:color="auto"/>
            <w:right w:val="none" w:sz="0" w:space="0" w:color="auto"/>
          </w:divBdr>
        </w:div>
        <w:div w:id="1107895058">
          <w:marLeft w:val="0"/>
          <w:marRight w:val="0"/>
          <w:marTop w:val="0"/>
          <w:marBottom w:val="0"/>
          <w:divBdr>
            <w:top w:val="none" w:sz="0" w:space="0" w:color="auto"/>
            <w:left w:val="none" w:sz="0" w:space="0" w:color="auto"/>
            <w:bottom w:val="none" w:sz="0" w:space="0" w:color="auto"/>
            <w:right w:val="none" w:sz="0" w:space="0" w:color="auto"/>
          </w:divBdr>
        </w:div>
        <w:div w:id="1170606514">
          <w:marLeft w:val="0"/>
          <w:marRight w:val="0"/>
          <w:marTop w:val="0"/>
          <w:marBottom w:val="0"/>
          <w:divBdr>
            <w:top w:val="none" w:sz="0" w:space="0" w:color="auto"/>
            <w:left w:val="none" w:sz="0" w:space="0" w:color="auto"/>
            <w:bottom w:val="none" w:sz="0" w:space="0" w:color="auto"/>
            <w:right w:val="none" w:sz="0" w:space="0" w:color="auto"/>
          </w:divBdr>
        </w:div>
        <w:div w:id="1279140298">
          <w:marLeft w:val="0"/>
          <w:marRight w:val="0"/>
          <w:marTop w:val="0"/>
          <w:marBottom w:val="0"/>
          <w:divBdr>
            <w:top w:val="none" w:sz="0" w:space="0" w:color="auto"/>
            <w:left w:val="none" w:sz="0" w:space="0" w:color="auto"/>
            <w:bottom w:val="none" w:sz="0" w:space="0" w:color="auto"/>
            <w:right w:val="none" w:sz="0" w:space="0" w:color="auto"/>
          </w:divBdr>
        </w:div>
        <w:div w:id="1310281519">
          <w:marLeft w:val="0"/>
          <w:marRight w:val="0"/>
          <w:marTop w:val="0"/>
          <w:marBottom w:val="0"/>
          <w:divBdr>
            <w:top w:val="none" w:sz="0" w:space="0" w:color="auto"/>
            <w:left w:val="none" w:sz="0" w:space="0" w:color="auto"/>
            <w:bottom w:val="none" w:sz="0" w:space="0" w:color="auto"/>
            <w:right w:val="none" w:sz="0" w:space="0" w:color="auto"/>
          </w:divBdr>
        </w:div>
        <w:div w:id="1339625201">
          <w:marLeft w:val="0"/>
          <w:marRight w:val="0"/>
          <w:marTop w:val="0"/>
          <w:marBottom w:val="0"/>
          <w:divBdr>
            <w:top w:val="none" w:sz="0" w:space="0" w:color="auto"/>
            <w:left w:val="none" w:sz="0" w:space="0" w:color="auto"/>
            <w:bottom w:val="none" w:sz="0" w:space="0" w:color="auto"/>
            <w:right w:val="none" w:sz="0" w:space="0" w:color="auto"/>
          </w:divBdr>
        </w:div>
        <w:div w:id="1556233708">
          <w:marLeft w:val="0"/>
          <w:marRight w:val="0"/>
          <w:marTop w:val="0"/>
          <w:marBottom w:val="0"/>
          <w:divBdr>
            <w:top w:val="none" w:sz="0" w:space="0" w:color="auto"/>
            <w:left w:val="none" w:sz="0" w:space="0" w:color="auto"/>
            <w:bottom w:val="none" w:sz="0" w:space="0" w:color="auto"/>
            <w:right w:val="none" w:sz="0" w:space="0" w:color="auto"/>
          </w:divBdr>
        </w:div>
        <w:div w:id="1635019063">
          <w:marLeft w:val="0"/>
          <w:marRight w:val="0"/>
          <w:marTop w:val="0"/>
          <w:marBottom w:val="0"/>
          <w:divBdr>
            <w:top w:val="none" w:sz="0" w:space="0" w:color="auto"/>
            <w:left w:val="none" w:sz="0" w:space="0" w:color="auto"/>
            <w:bottom w:val="none" w:sz="0" w:space="0" w:color="auto"/>
            <w:right w:val="none" w:sz="0" w:space="0" w:color="auto"/>
          </w:divBdr>
        </w:div>
        <w:div w:id="1639265841">
          <w:marLeft w:val="0"/>
          <w:marRight w:val="0"/>
          <w:marTop w:val="0"/>
          <w:marBottom w:val="0"/>
          <w:divBdr>
            <w:top w:val="none" w:sz="0" w:space="0" w:color="auto"/>
            <w:left w:val="none" w:sz="0" w:space="0" w:color="auto"/>
            <w:bottom w:val="none" w:sz="0" w:space="0" w:color="auto"/>
            <w:right w:val="none" w:sz="0" w:space="0" w:color="auto"/>
          </w:divBdr>
        </w:div>
        <w:div w:id="1718891017">
          <w:marLeft w:val="0"/>
          <w:marRight w:val="0"/>
          <w:marTop w:val="0"/>
          <w:marBottom w:val="0"/>
          <w:divBdr>
            <w:top w:val="none" w:sz="0" w:space="0" w:color="auto"/>
            <w:left w:val="none" w:sz="0" w:space="0" w:color="auto"/>
            <w:bottom w:val="none" w:sz="0" w:space="0" w:color="auto"/>
            <w:right w:val="none" w:sz="0" w:space="0" w:color="auto"/>
          </w:divBdr>
        </w:div>
        <w:div w:id="1737625017">
          <w:marLeft w:val="0"/>
          <w:marRight w:val="0"/>
          <w:marTop w:val="0"/>
          <w:marBottom w:val="0"/>
          <w:divBdr>
            <w:top w:val="none" w:sz="0" w:space="0" w:color="auto"/>
            <w:left w:val="none" w:sz="0" w:space="0" w:color="auto"/>
            <w:bottom w:val="none" w:sz="0" w:space="0" w:color="auto"/>
            <w:right w:val="none" w:sz="0" w:space="0" w:color="auto"/>
          </w:divBdr>
        </w:div>
        <w:div w:id="1823156746">
          <w:marLeft w:val="0"/>
          <w:marRight w:val="0"/>
          <w:marTop w:val="0"/>
          <w:marBottom w:val="0"/>
          <w:divBdr>
            <w:top w:val="none" w:sz="0" w:space="0" w:color="auto"/>
            <w:left w:val="none" w:sz="0" w:space="0" w:color="auto"/>
            <w:bottom w:val="none" w:sz="0" w:space="0" w:color="auto"/>
            <w:right w:val="none" w:sz="0" w:space="0" w:color="auto"/>
          </w:divBdr>
        </w:div>
        <w:div w:id="1968733880">
          <w:marLeft w:val="0"/>
          <w:marRight w:val="0"/>
          <w:marTop w:val="0"/>
          <w:marBottom w:val="0"/>
          <w:divBdr>
            <w:top w:val="none" w:sz="0" w:space="0" w:color="auto"/>
            <w:left w:val="none" w:sz="0" w:space="0" w:color="auto"/>
            <w:bottom w:val="none" w:sz="0" w:space="0" w:color="auto"/>
            <w:right w:val="none" w:sz="0" w:space="0" w:color="auto"/>
          </w:divBdr>
        </w:div>
        <w:div w:id="199028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qbcc.qld.gov.au/sites/default/files/QBCC_Organisational_Cha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wa.gov.au/legislation/statutes.nsf/main_mrtitle_12698_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fe5f515-21e2-4430-b2c5-8938785ae444">
      <UserInfo>
        <DisplayName>Patrick Brownlee</DisplayName>
        <AccountId>1941</AccountId>
        <AccountType/>
      </UserInfo>
      <UserInfo>
        <DisplayName>Subho Banerjee</DisplayName>
        <AccountId>1219</AccountId>
        <AccountType/>
      </UserInfo>
      <UserInfo>
        <DisplayName>Andrew Bushnell</DisplayName>
        <AccountId>1792</AccountId>
        <AccountType/>
      </UserInfo>
      <UserInfo>
        <DisplayName>Ben Ruse</DisplayName>
        <AccountId>19</AccountId>
        <AccountType/>
      </UserInfo>
    </SharedWithUsers>
    <lcf76f155ced4ddcb4097134ff3c332f xmlns="941e4863-408d-4232-9006-e4ece879a4b8">
      <Terms xmlns="http://schemas.microsoft.com/office/infopath/2007/PartnerControls"/>
    </lcf76f155ced4ddcb4097134ff3c332f>
    <TaxCatchAll xmlns="5fe5f515-21e2-4430-b2c5-8938785ae44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5143C-631C-4541-A3EE-443C3C7DD378}">
  <ds:schemaRefs>
    <ds:schemaRef ds:uri="http://schemas.microsoft.com/office/2006/metadata/properties"/>
    <ds:schemaRef ds:uri="http://schemas.microsoft.com/office/infopath/2007/PartnerControls"/>
    <ds:schemaRef ds:uri="http://schemas.microsoft.com/sharepoint/v3"/>
    <ds:schemaRef ds:uri="5fe5f515-21e2-4430-b2c5-8938785ae444"/>
    <ds:schemaRef ds:uri="941e4863-408d-4232-9006-e4ece879a4b8"/>
  </ds:schemaRefs>
</ds:datastoreItem>
</file>

<file path=customXml/itemProps2.xml><?xml version="1.0" encoding="utf-8"?>
<ds:datastoreItem xmlns:ds="http://schemas.openxmlformats.org/officeDocument/2006/customXml" ds:itemID="{C481F726-2A2E-4FCC-A30C-7A30E988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82812-F587-4796-BDED-1EB84442DB5D}">
  <ds:schemaRefs>
    <ds:schemaRef ds:uri="http://schemas.openxmlformats.org/officeDocument/2006/bibliography"/>
  </ds:schemaRefs>
</ds:datastoreItem>
</file>

<file path=customXml/itemProps4.xml><?xml version="1.0" encoding="utf-8"?>
<ds:datastoreItem xmlns:ds="http://schemas.openxmlformats.org/officeDocument/2006/customXml" ds:itemID="{A9663A6A-EB28-4E23-8109-440738F27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19772</Words>
  <Characters>112707</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Bushnell</dc:creator>
  <cp:keywords/>
  <dc:description/>
  <cp:lastModifiedBy>Amelia Choy-Phelps</cp:lastModifiedBy>
  <cp:revision>5</cp:revision>
  <cp:lastPrinted>2022-04-11T09:57:00Z</cp:lastPrinted>
  <dcterms:created xsi:type="dcterms:W3CDTF">2022-08-01T04:22:00Z</dcterms:created>
  <dcterms:modified xsi:type="dcterms:W3CDTF">2022-08-01T05:05:00Z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