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8"/>
          <w:szCs w:val="28"/>
          <w:u w:val="single"/>
        </w:rPr>
        <w:id w:val="1991524531"/>
        <w:docPartObj>
          <w:docPartGallery w:val="Cover Pages"/>
          <w:docPartUnique/>
        </w:docPartObj>
      </w:sdtPr>
      <w:sdtEndPr/>
      <w:sdtContent>
        <w:sdt>
          <w:sdtPr>
            <w:rPr>
              <w:rFonts w:ascii="Arial" w:hAnsi="Arial" w:cs="Arial"/>
            </w:rPr>
            <w:id w:val="1493991837"/>
            <w:docPartObj>
              <w:docPartGallery w:val="Cover Pages"/>
              <w:docPartUnique/>
            </w:docPartObj>
          </w:sdtPr>
          <w:sdtEndPr>
            <w:rPr>
              <w:sz w:val="40"/>
              <w:szCs w:val="40"/>
            </w:rPr>
          </w:sdtEndPr>
          <w:sdtContent>
            <w:p w14:paraId="03701DD4" w14:textId="77777777" w:rsidR="00AD4156" w:rsidRPr="00D720DA" w:rsidRDefault="00AD4156" w:rsidP="00AD4156">
              <w:pPr>
                <w:rPr>
                  <w:rFonts w:ascii="Arial" w:hAnsi="Arial" w:cs="Arial"/>
                </w:rPr>
              </w:pPr>
            </w:p>
            <w:p w14:paraId="501970D4" w14:textId="76436A03" w:rsidR="00C161A4" w:rsidRPr="00D720DA" w:rsidRDefault="00AD4156" w:rsidP="00AD4156">
              <w:pPr>
                <w:rPr>
                  <w:rFonts w:ascii="Arial" w:hAnsi="Arial" w:cs="Arial"/>
                </w:rPr>
              </w:pPr>
              <w:r w:rsidRPr="00D720DA">
                <w:rPr>
                  <w:rFonts w:ascii="Arial" w:hAnsi="Arial" w:cs="Arial"/>
                  <w:sz w:val="40"/>
                  <w:szCs w:val="40"/>
                </w:rPr>
                <w:br w:type="page"/>
              </w:r>
              <w:r w:rsidRPr="00D720DA">
                <w:rPr>
                  <w:rFonts w:ascii="Arial" w:hAnsi="Arial" w:cs="Arial"/>
                  <w:noProof/>
                </w:rPr>
                <mc:AlternateContent>
                  <mc:Choice Requires="wps">
                    <w:drawing>
                      <wp:anchor distT="0" distB="0" distL="114300" distR="114300" simplePos="0" relativeHeight="251660288" behindDoc="0" locked="0" layoutInCell="1" allowOverlap="1" wp14:anchorId="47CA794A" wp14:editId="3D9BF828">
                        <wp:simplePos x="0" y="0"/>
                        <wp:positionH relativeFrom="column">
                          <wp:posOffset>2028498</wp:posOffset>
                        </wp:positionH>
                        <wp:positionV relativeFrom="paragraph">
                          <wp:posOffset>2175641</wp:posOffset>
                        </wp:positionV>
                        <wp:extent cx="3962400" cy="4813738"/>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962400" cy="4813738"/>
                                </a:xfrm>
                                <a:prstGeom prst="rect">
                                  <a:avLst/>
                                </a:prstGeom>
                                <a:noFill/>
                                <a:ln w="6350">
                                  <a:noFill/>
                                </a:ln>
                              </wps:spPr>
                              <wps:txbx>
                                <w:txbxContent>
                                  <w:p w14:paraId="668DDC38" w14:textId="77777777" w:rsidR="00AD4156" w:rsidRDefault="00AD4156" w:rsidP="00AD4156">
                                    <w:pPr>
                                      <w:rPr>
                                        <w:rFonts w:ascii="Arial" w:hAnsi="Arial" w:cs="Arial"/>
                                        <w:color w:val="FFFFFF" w:themeColor="background1"/>
                                        <w:sz w:val="92"/>
                                        <w:szCs w:val="92"/>
                                      </w:rPr>
                                    </w:pPr>
                                    <w:r>
                                      <w:rPr>
                                        <w:rFonts w:ascii="Arial" w:hAnsi="Arial" w:cs="Arial"/>
                                        <w:color w:val="FFFFFF" w:themeColor="background1"/>
                                        <w:sz w:val="92"/>
                                        <w:szCs w:val="92"/>
                                      </w:rPr>
                                      <w:t>Senior Executive Service</w:t>
                                    </w:r>
                                  </w:p>
                                  <w:p w14:paraId="6B464FCB" w14:textId="181A6387" w:rsidR="00AD4156" w:rsidRPr="002A2955" w:rsidRDefault="00AD4156" w:rsidP="00AD4156">
                                    <w:pPr>
                                      <w:rPr>
                                        <w:rFonts w:ascii="Arial" w:hAnsi="Arial" w:cs="Arial"/>
                                        <w:sz w:val="92"/>
                                        <w:szCs w:val="92"/>
                                      </w:rPr>
                                    </w:pPr>
                                    <w:r>
                                      <w:rPr>
                                        <w:rFonts w:ascii="Arial" w:hAnsi="Arial" w:cs="Arial"/>
                                        <w:color w:val="FFFFFF" w:themeColor="background1"/>
                                        <w:sz w:val="92"/>
                                        <w:szCs w:val="92"/>
                                      </w:rPr>
                                      <w:t>Case Study – Tasmania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A794A" id="_x0000_t202" coordsize="21600,21600" o:spt="202" path="m,l,21600r21600,l21600,xe">
                        <v:stroke joinstyle="miter"/>
                        <v:path gradientshapeok="t" o:connecttype="rect"/>
                      </v:shapetype>
                      <v:shape id="Text Box 26" o:spid="_x0000_s1026" type="#_x0000_t202" style="position:absolute;margin-left:159.7pt;margin-top:171.3pt;width:312pt;height:37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" filled="f" stroked="f" strokeweight=".5pt">
                        <v:textbox>
                          <w:txbxContent>
                            <w:p w14:paraId="668DDC38" w14:textId="77777777" w:rsidR="00AD4156" w:rsidRDefault="00AD4156" w:rsidP="00AD4156">
                              <w:pPr>
                                <w:rPr>
                                  <w:rFonts w:ascii="Arial" w:hAnsi="Arial" w:cs="Arial"/>
                                  <w:color w:val="FFFFFF" w:themeColor="background1"/>
                                  <w:sz w:val="92"/>
                                  <w:szCs w:val="92"/>
                                </w:rPr>
                              </w:pPr>
                              <w:r>
                                <w:rPr>
                                  <w:rFonts w:ascii="Arial" w:hAnsi="Arial" w:cs="Arial"/>
                                  <w:color w:val="FFFFFF" w:themeColor="background1"/>
                                  <w:sz w:val="92"/>
                                  <w:szCs w:val="92"/>
                                </w:rPr>
                                <w:t>Senior Executive Service</w:t>
                              </w:r>
                            </w:p>
                            <w:p w14:paraId="6B464FCB" w14:textId="181A6387" w:rsidR="00AD4156" w:rsidRPr="002A2955" w:rsidRDefault="00AD4156" w:rsidP="00AD4156">
                              <w:pPr>
                                <w:rPr>
                                  <w:rFonts w:ascii="Arial" w:hAnsi="Arial" w:cs="Arial"/>
                                  <w:sz w:val="92"/>
                                  <w:szCs w:val="92"/>
                                </w:rPr>
                              </w:pPr>
                              <w:r>
                                <w:rPr>
                                  <w:rFonts w:ascii="Arial" w:hAnsi="Arial" w:cs="Arial"/>
                                  <w:color w:val="FFFFFF" w:themeColor="background1"/>
                                  <w:sz w:val="92"/>
                                  <w:szCs w:val="92"/>
                                </w:rPr>
                                <w:t>Case Study – Tasmania</w:t>
                              </w:r>
                            </w:p>
                          </w:txbxContent>
                        </v:textbox>
                      </v:shape>
                    </w:pict>
                  </mc:Fallback>
                </mc:AlternateContent>
              </w:r>
              <w:r w:rsidRPr="00D720DA">
                <w:rPr>
                  <w:rFonts w:ascii="Arial" w:hAnsi="Arial" w:cs="Arial"/>
                  <w:noProof/>
                </w:rPr>
                <w:drawing>
                  <wp:anchor distT="0" distB="0" distL="114300" distR="114300" simplePos="0" relativeHeight="251659264" behindDoc="1" locked="0" layoutInCell="1" allowOverlap="1" wp14:anchorId="238BDC11" wp14:editId="4786413B">
                    <wp:simplePos x="0" y="0"/>
                    <wp:positionH relativeFrom="page">
                      <wp:posOffset>0</wp:posOffset>
                    </wp:positionH>
                    <wp:positionV relativeFrom="page">
                      <wp:posOffset>0</wp:posOffset>
                    </wp:positionV>
                    <wp:extent cx="7556400" cy="10692000"/>
                    <wp:effectExtent l="0" t="0" r="635"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SOG Research insights covers BLANK FOR WORD.pdf"/>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sdtContent>
        </w:sdt>
      </w:sdtContent>
    </w:sdt>
    <w:p w14:paraId="64A20A50" w14:textId="51D4143E" w:rsidR="00F824D6" w:rsidRPr="00D720DA" w:rsidRDefault="00040D87" w:rsidP="007E2501">
      <w:pPr>
        <w:jc w:val="center"/>
        <w:rPr>
          <w:rFonts w:ascii="Arial" w:hAnsi="Arial" w:cs="Arial"/>
          <w:b/>
          <w:sz w:val="28"/>
          <w:szCs w:val="28"/>
          <w:u w:val="single"/>
        </w:rPr>
      </w:pPr>
      <w:r w:rsidRPr="00D720DA">
        <w:rPr>
          <w:rFonts w:ascii="Arial" w:hAnsi="Arial" w:cs="Arial"/>
          <w:b/>
          <w:sz w:val="28"/>
          <w:szCs w:val="28"/>
          <w:u w:val="single"/>
        </w:rPr>
        <w:lastRenderedPageBreak/>
        <w:t xml:space="preserve">Senior Executive Service </w:t>
      </w:r>
      <w:r w:rsidR="005B179E" w:rsidRPr="00D720DA">
        <w:rPr>
          <w:rFonts w:ascii="Arial" w:hAnsi="Arial" w:cs="Arial"/>
          <w:b/>
          <w:sz w:val="28"/>
          <w:szCs w:val="28"/>
          <w:u w:val="single"/>
        </w:rPr>
        <w:t xml:space="preserve">Case Study – </w:t>
      </w:r>
      <w:r w:rsidR="003C720D" w:rsidRPr="00D720DA">
        <w:rPr>
          <w:rFonts w:ascii="Arial" w:hAnsi="Arial" w:cs="Arial"/>
          <w:b/>
          <w:sz w:val="28"/>
          <w:szCs w:val="28"/>
          <w:u w:val="single"/>
        </w:rPr>
        <w:t>TASMANIA</w:t>
      </w:r>
      <w:r w:rsidR="0058775F" w:rsidRPr="00D720DA">
        <w:rPr>
          <w:rFonts w:ascii="Arial" w:hAnsi="Arial" w:cs="Arial"/>
          <w:b/>
          <w:sz w:val="28"/>
          <w:szCs w:val="28"/>
          <w:u w:val="single"/>
        </w:rPr>
        <w:t xml:space="preserve"> </w:t>
      </w:r>
    </w:p>
    <w:p w14:paraId="78D1C506" w14:textId="0F088193" w:rsidR="001A7D7C" w:rsidRPr="00D720DA" w:rsidRDefault="000B021F" w:rsidP="001A7D7C">
      <w:pPr>
        <w:jc w:val="center"/>
        <w:rPr>
          <w:rFonts w:ascii="Arial" w:hAnsi="Arial" w:cs="Arial"/>
          <w:b/>
          <w:bCs/>
        </w:rPr>
      </w:pPr>
      <w:r w:rsidRPr="00D720DA">
        <w:rPr>
          <w:rFonts w:ascii="Arial" w:hAnsi="Arial" w:cs="Arial"/>
          <w:b/>
          <w:bCs/>
        </w:rPr>
        <w:t xml:space="preserve">By </w:t>
      </w:r>
      <w:r w:rsidR="001A7D7C" w:rsidRPr="00D720DA">
        <w:rPr>
          <w:rFonts w:ascii="Arial" w:hAnsi="Arial" w:cs="Arial"/>
          <w:b/>
          <w:bCs/>
        </w:rPr>
        <w:t>Professor Brian Head (UQ) and A/Prof Linda Colley (CQU)</w:t>
      </w:r>
    </w:p>
    <w:p w14:paraId="71F0A8CE" w14:textId="77777777" w:rsidR="000B021F" w:rsidRPr="00D720DA" w:rsidRDefault="000B021F" w:rsidP="001A7D7C">
      <w:pPr>
        <w:jc w:val="center"/>
        <w:rPr>
          <w:rFonts w:ascii="Arial" w:hAnsi="Arial" w:cs="Arial"/>
          <w:b/>
          <w:bCs/>
        </w:rPr>
      </w:pPr>
    </w:p>
    <w:p w14:paraId="2A3EC5A1" w14:textId="77777777" w:rsidR="000B021F" w:rsidRPr="00D720DA" w:rsidRDefault="000B021F" w:rsidP="001A7D7C">
      <w:pPr>
        <w:jc w:val="center"/>
        <w:rPr>
          <w:rFonts w:ascii="Arial" w:hAnsi="Arial" w:cs="Arial"/>
          <w:b/>
          <w:bCs/>
        </w:rPr>
      </w:pPr>
    </w:p>
    <w:p w14:paraId="77738BA6" w14:textId="77777777" w:rsidR="000B021F" w:rsidRPr="00D720DA" w:rsidRDefault="000B021F" w:rsidP="000B021F">
      <w:pPr>
        <w:rPr>
          <w:rFonts w:ascii="Arial" w:hAnsi="Arial" w:cs="Arial"/>
          <w:b/>
          <w:bCs/>
          <w:sz w:val="26"/>
          <w:szCs w:val="26"/>
          <w:u w:val="single"/>
        </w:rPr>
      </w:pPr>
      <w:r w:rsidRPr="00D720DA">
        <w:rPr>
          <w:rFonts w:ascii="Arial" w:hAnsi="Arial" w:cs="Arial"/>
          <w:b/>
          <w:bCs/>
          <w:sz w:val="26"/>
          <w:szCs w:val="26"/>
          <w:u w:val="single"/>
        </w:rPr>
        <w:t>PREFACE</w:t>
      </w:r>
    </w:p>
    <w:p w14:paraId="26C14968" w14:textId="77777777" w:rsidR="000B021F" w:rsidRPr="00D720DA" w:rsidRDefault="000B021F" w:rsidP="000B021F">
      <w:pPr>
        <w:rPr>
          <w:rFonts w:ascii="Arial" w:hAnsi="Arial" w:cs="Arial"/>
          <w:sz w:val="26"/>
          <w:szCs w:val="26"/>
        </w:rPr>
      </w:pPr>
    </w:p>
    <w:p w14:paraId="6029D60C" w14:textId="77777777" w:rsidR="000B021F" w:rsidRPr="00D720DA" w:rsidRDefault="000B021F" w:rsidP="000B021F">
      <w:pPr>
        <w:rPr>
          <w:rFonts w:ascii="Arial" w:hAnsi="Arial" w:cs="Arial"/>
          <w:sz w:val="26"/>
          <w:szCs w:val="26"/>
        </w:rPr>
      </w:pPr>
      <w:r w:rsidRPr="00D720DA">
        <w:rPr>
          <w:rFonts w:ascii="Arial" w:hAnsi="Arial" w:cs="Arial"/>
          <w:sz w:val="26"/>
          <w:szCs w:val="26"/>
        </w:rPr>
        <w:t xml:space="preserve">This ANZSOG Research Insights paper is one of a series of eight case studies which summarise how senior executive arrangements in the public service have evolved since the 1980s in Australia. The series includes the Commonwealth, all six states and the Northern Territory. The papers cover the legislative and policy changes that have influenced the work of each public service over recent </w:t>
      </w:r>
      <w:proofErr w:type="gramStart"/>
      <w:r w:rsidRPr="00D720DA">
        <w:rPr>
          <w:rFonts w:ascii="Arial" w:hAnsi="Arial" w:cs="Arial"/>
          <w:sz w:val="26"/>
          <w:szCs w:val="26"/>
        </w:rPr>
        <w:t>decades, and</w:t>
      </w:r>
      <w:proofErr w:type="gramEnd"/>
      <w:r w:rsidRPr="00D720DA">
        <w:rPr>
          <w:rFonts w:ascii="Arial" w:hAnsi="Arial" w:cs="Arial"/>
          <w:sz w:val="26"/>
          <w:szCs w:val="26"/>
        </w:rPr>
        <w:t xml:space="preserve"> provide a snapshot of recent arrangements for senior public servants in each jurisdiction through to around 2021.</w:t>
      </w:r>
    </w:p>
    <w:p w14:paraId="40057E33" w14:textId="77777777" w:rsidR="000B021F" w:rsidRPr="00D720DA" w:rsidRDefault="000B021F" w:rsidP="000B021F">
      <w:pPr>
        <w:rPr>
          <w:rFonts w:ascii="Arial" w:hAnsi="Arial" w:cs="Arial"/>
          <w:sz w:val="26"/>
          <w:szCs w:val="26"/>
        </w:rPr>
      </w:pPr>
    </w:p>
    <w:p w14:paraId="2DC73D53" w14:textId="77777777" w:rsidR="000B021F" w:rsidRPr="00D720DA" w:rsidRDefault="000B021F" w:rsidP="000B021F">
      <w:pPr>
        <w:rPr>
          <w:rFonts w:ascii="Arial" w:hAnsi="Arial" w:cs="Arial"/>
          <w:sz w:val="26"/>
          <w:szCs w:val="26"/>
        </w:rPr>
      </w:pPr>
      <w:r w:rsidRPr="00D720DA">
        <w:rPr>
          <w:rFonts w:ascii="Arial" w:hAnsi="Arial" w:cs="Arial"/>
          <w:sz w:val="26"/>
          <w:szCs w:val="26"/>
        </w:rPr>
        <w:t>The papers are being published as a resource that may assist students and researchers who want to understand more about the comparative arrangements across jurisdictions.  </w:t>
      </w:r>
    </w:p>
    <w:p w14:paraId="4F8867FA" w14:textId="77777777" w:rsidR="000B021F" w:rsidRPr="00D720DA" w:rsidRDefault="000B021F" w:rsidP="000B021F">
      <w:pPr>
        <w:rPr>
          <w:rFonts w:ascii="Arial" w:hAnsi="Arial" w:cs="Arial"/>
          <w:sz w:val="26"/>
          <w:szCs w:val="26"/>
        </w:rPr>
      </w:pPr>
    </w:p>
    <w:p w14:paraId="3F09BEF5" w14:textId="77777777" w:rsidR="000B021F" w:rsidRPr="00D720DA" w:rsidRDefault="000B021F" w:rsidP="000B021F">
      <w:pPr>
        <w:rPr>
          <w:rFonts w:ascii="Arial" w:hAnsi="Arial" w:cs="Arial"/>
          <w:sz w:val="26"/>
          <w:szCs w:val="26"/>
        </w:rPr>
      </w:pPr>
      <w:r w:rsidRPr="00D720DA">
        <w:rPr>
          <w:rFonts w:ascii="Arial" w:hAnsi="Arial" w:cs="Arial"/>
          <w:sz w:val="26"/>
          <w:szCs w:val="26"/>
        </w:rPr>
        <w:t>The papers were compiled by a research team led by Brian Head, Professor of Public Policy at the University of Queensland, and Linda Colley, Professor of Work and Employment at CQUniversity. Valuable research assistance was provided by Shelley Woods, Chris Salisbury and Prue Brown. The research team is grateful to a network of contact officers in each jurisdiction who assisted in checking the accuracy of the materials. They are not responsible for any errors or oversights that remain.</w:t>
      </w:r>
    </w:p>
    <w:p w14:paraId="73EF8E60" w14:textId="77777777" w:rsidR="000B021F" w:rsidRPr="00D720DA" w:rsidRDefault="000B021F" w:rsidP="000B021F">
      <w:pPr>
        <w:rPr>
          <w:rFonts w:ascii="Arial" w:hAnsi="Arial" w:cs="Arial"/>
          <w:sz w:val="26"/>
          <w:szCs w:val="26"/>
        </w:rPr>
      </w:pPr>
    </w:p>
    <w:p w14:paraId="4835DCC1" w14:textId="77777777" w:rsidR="000B021F" w:rsidRPr="00D720DA" w:rsidRDefault="000B021F" w:rsidP="000B021F">
      <w:pPr>
        <w:rPr>
          <w:rFonts w:ascii="Arial" w:hAnsi="Arial" w:cs="Arial"/>
          <w:sz w:val="26"/>
          <w:szCs w:val="26"/>
        </w:rPr>
      </w:pPr>
      <w:r w:rsidRPr="00D720DA">
        <w:rPr>
          <w:rFonts w:ascii="Arial" w:hAnsi="Arial" w:cs="Arial"/>
          <w:sz w:val="26"/>
          <w:szCs w:val="26"/>
        </w:rPr>
        <w:t>The production of these reports has been made possible by funding from the Australian Research Council (DP180102592).</w:t>
      </w:r>
    </w:p>
    <w:p w14:paraId="708C3C23" w14:textId="77777777" w:rsidR="000B021F" w:rsidRPr="00D720DA" w:rsidRDefault="000B021F" w:rsidP="001A7D7C">
      <w:pPr>
        <w:jc w:val="center"/>
        <w:rPr>
          <w:rFonts w:ascii="Arial" w:hAnsi="Arial" w:cs="Arial"/>
          <w:b/>
          <w:bCs/>
        </w:rPr>
      </w:pPr>
    </w:p>
    <w:p w14:paraId="7503542C" w14:textId="77777777" w:rsidR="000B021F" w:rsidRPr="00D720DA" w:rsidRDefault="000B021F" w:rsidP="001A7D7C">
      <w:pPr>
        <w:jc w:val="center"/>
        <w:rPr>
          <w:rFonts w:ascii="Arial" w:hAnsi="Arial" w:cs="Arial"/>
          <w:b/>
          <w:bCs/>
        </w:rPr>
      </w:pPr>
    </w:p>
    <w:p w14:paraId="2BF0BD62" w14:textId="77777777" w:rsidR="000B021F" w:rsidRPr="00D720DA" w:rsidRDefault="000B021F" w:rsidP="001A7D7C">
      <w:pPr>
        <w:jc w:val="center"/>
        <w:rPr>
          <w:rFonts w:ascii="Arial" w:hAnsi="Arial" w:cs="Arial"/>
          <w:b/>
          <w:bCs/>
        </w:rPr>
      </w:pPr>
    </w:p>
    <w:p w14:paraId="44EE79AB" w14:textId="77777777" w:rsidR="000B021F" w:rsidRPr="00D720DA" w:rsidRDefault="000B021F" w:rsidP="001A7D7C">
      <w:pPr>
        <w:jc w:val="center"/>
        <w:rPr>
          <w:rFonts w:ascii="Arial" w:hAnsi="Arial" w:cs="Arial"/>
          <w:b/>
          <w:bCs/>
        </w:rPr>
      </w:pPr>
    </w:p>
    <w:p w14:paraId="2399C634" w14:textId="77777777" w:rsidR="000B021F" w:rsidRPr="00D720DA" w:rsidRDefault="000B021F" w:rsidP="001A7D7C">
      <w:pPr>
        <w:jc w:val="center"/>
        <w:rPr>
          <w:rFonts w:ascii="Arial" w:hAnsi="Arial" w:cs="Arial"/>
          <w:b/>
          <w:bCs/>
        </w:rPr>
      </w:pPr>
    </w:p>
    <w:p w14:paraId="36A8C495" w14:textId="77777777" w:rsidR="000B021F" w:rsidRPr="00D720DA" w:rsidRDefault="000B021F" w:rsidP="001A7D7C">
      <w:pPr>
        <w:jc w:val="center"/>
        <w:rPr>
          <w:rFonts w:ascii="Arial" w:hAnsi="Arial" w:cs="Arial"/>
          <w:b/>
          <w:bCs/>
        </w:rPr>
      </w:pPr>
    </w:p>
    <w:p w14:paraId="6BC0FC96" w14:textId="77777777" w:rsidR="000B021F" w:rsidRPr="00D720DA" w:rsidRDefault="000B021F" w:rsidP="001A7D7C">
      <w:pPr>
        <w:jc w:val="center"/>
        <w:rPr>
          <w:rFonts w:ascii="Arial" w:hAnsi="Arial" w:cs="Arial"/>
          <w:b/>
          <w:bCs/>
        </w:rPr>
      </w:pPr>
    </w:p>
    <w:p w14:paraId="52401D47" w14:textId="77777777" w:rsidR="000B021F" w:rsidRPr="00D720DA" w:rsidRDefault="000B021F" w:rsidP="001A7D7C">
      <w:pPr>
        <w:jc w:val="center"/>
        <w:rPr>
          <w:rFonts w:ascii="Arial" w:hAnsi="Arial" w:cs="Arial"/>
          <w:b/>
          <w:bCs/>
        </w:rPr>
      </w:pPr>
    </w:p>
    <w:p w14:paraId="7C546283" w14:textId="77777777" w:rsidR="000B021F" w:rsidRPr="00D720DA" w:rsidRDefault="000B021F" w:rsidP="001A7D7C">
      <w:pPr>
        <w:jc w:val="center"/>
        <w:rPr>
          <w:rFonts w:ascii="Arial" w:hAnsi="Arial" w:cs="Arial"/>
          <w:b/>
          <w:bCs/>
        </w:rPr>
      </w:pPr>
    </w:p>
    <w:p w14:paraId="548FAE97" w14:textId="77777777" w:rsidR="000B021F" w:rsidRPr="00D720DA" w:rsidRDefault="000B021F" w:rsidP="001A7D7C">
      <w:pPr>
        <w:jc w:val="center"/>
        <w:rPr>
          <w:rFonts w:ascii="Arial" w:hAnsi="Arial" w:cs="Arial"/>
          <w:b/>
          <w:bCs/>
        </w:rPr>
      </w:pPr>
    </w:p>
    <w:p w14:paraId="5A045387" w14:textId="77777777" w:rsidR="000B021F" w:rsidRPr="00D720DA" w:rsidRDefault="000B021F" w:rsidP="00652E35">
      <w:pPr>
        <w:rPr>
          <w:rFonts w:ascii="Arial" w:hAnsi="Arial" w:cs="Arial"/>
          <w:b/>
          <w:bCs/>
        </w:rPr>
      </w:pPr>
    </w:p>
    <w:sdt>
      <w:sdtPr>
        <w:rPr>
          <w:rFonts w:ascii="Arial" w:eastAsiaTheme="minorHAnsi" w:hAnsi="Arial" w:cs="Arial"/>
          <w:color w:val="auto"/>
          <w:sz w:val="22"/>
          <w:szCs w:val="22"/>
          <w:lang w:val="en-AU"/>
        </w:rPr>
        <w:id w:val="1686328706"/>
        <w:docPartObj>
          <w:docPartGallery w:val="Table of Contents"/>
          <w:docPartUnique/>
        </w:docPartObj>
      </w:sdtPr>
      <w:sdtEndPr>
        <w:rPr>
          <w:b/>
          <w:bCs/>
          <w:noProof/>
          <w:sz w:val="24"/>
        </w:rPr>
      </w:sdtEndPr>
      <w:sdtContent>
        <w:p w14:paraId="37727BE6" w14:textId="77777777" w:rsidR="00955D6A" w:rsidRPr="00D720DA" w:rsidRDefault="00955D6A">
          <w:pPr>
            <w:pStyle w:val="TOCHeading"/>
            <w:rPr>
              <w:rStyle w:val="Heading1Char"/>
              <w:rFonts w:ascii="Arial" w:hAnsi="Arial" w:cs="Arial"/>
              <w:color w:val="auto"/>
            </w:rPr>
          </w:pPr>
          <w:r w:rsidRPr="00D720DA">
            <w:rPr>
              <w:rStyle w:val="Heading1Char"/>
              <w:rFonts w:ascii="Arial" w:hAnsi="Arial" w:cs="Arial"/>
              <w:color w:val="auto"/>
            </w:rPr>
            <w:t>Contents</w:t>
          </w:r>
        </w:p>
        <w:p w14:paraId="443B7095" w14:textId="2C64091A" w:rsidR="00B010A4" w:rsidRPr="00D720DA" w:rsidRDefault="00955D6A">
          <w:pPr>
            <w:pStyle w:val="TOC1"/>
            <w:tabs>
              <w:tab w:val="left" w:pos="440"/>
              <w:tab w:val="right" w:leader="dot" w:pos="10194"/>
            </w:tabs>
            <w:rPr>
              <w:rFonts w:ascii="Arial" w:eastAsiaTheme="minorEastAsia" w:hAnsi="Arial" w:cs="Arial"/>
              <w:noProof/>
              <w:sz w:val="22"/>
              <w:lang w:val="en-US"/>
            </w:rPr>
          </w:pPr>
          <w:r w:rsidRPr="00D720DA">
            <w:rPr>
              <w:rFonts w:ascii="Arial" w:hAnsi="Arial" w:cs="Arial"/>
              <w:b/>
              <w:bCs/>
              <w:noProof/>
            </w:rPr>
            <w:fldChar w:fldCharType="begin"/>
          </w:r>
          <w:r w:rsidRPr="00D720DA">
            <w:rPr>
              <w:rFonts w:ascii="Arial" w:hAnsi="Arial" w:cs="Arial"/>
              <w:b/>
              <w:bCs/>
              <w:noProof/>
            </w:rPr>
            <w:instrText xml:space="preserve"> TOC \o "1-3" \h \z \u </w:instrText>
          </w:r>
          <w:r w:rsidRPr="00D720DA">
            <w:rPr>
              <w:rFonts w:ascii="Arial" w:hAnsi="Arial" w:cs="Arial"/>
              <w:b/>
              <w:bCs/>
              <w:noProof/>
            </w:rPr>
            <w:fldChar w:fldCharType="separate"/>
          </w:r>
          <w:hyperlink w:anchor="_Toc77356787" w:history="1">
            <w:r w:rsidR="00B010A4" w:rsidRPr="00D720DA">
              <w:rPr>
                <w:rStyle w:val="Hyperlink"/>
                <w:rFonts w:ascii="Arial" w:hAnsi="Arial" w:cs="Arial"/>
                <w:noProof/>
                <w:lang w:val="en-US"/>
              </w:rPr>
              <w:t>1</w:t>
            </w:r>
            <w:r w:rsidR="00B010A4" w:rsidRPr="00D720DA">
              <w:rPr>
                <w:rFonts w:ascii="Arial" w:eastAsiaTheme="minorEastAsia" w:hAnsi="Arial" w:cs="Arial"/>
                <w:noProof/>
                <w:sz w:val="22"/>
                <w:lang w:val="en-US"/>
              </w:rPr>
              <w:tab/>
            </w:r>
            <w:r w:rsidR="00B010A4" w:rsidRPr="00D720DA">
              <w:rPr>
                <w:rStyle w:val="Hyperlink"/>
                <w:rFonts w:ascii="Arial" w:hAnsi="Arial" w:cs="Arial"/>
                <w:noProof/>
                <w:lang w:val="en-US"/>
              </w:rPr>
              <w:t>Tasmanian governments, public service institutions and commissioners</w:t>
            </w:r>
            <w:r w:rsidR="00B010A4" w:rsidRPr="00D720DA">
              <w:rPr>
                <w:rFonts w:ascii="Arial" w:hAnsi="Arial" w:cs="Arial"/>
                <w:noProof/>
                <w:webHidden/>
              </w:rPr>
              <w:tab/>
            </w:r>
            <w:r w:rsidR="00B010A4" w:rsidRPr="00D720DA">
              <w:rPr>
                <w:rFonts w:ascii="Arial" w:hAnsi="Arial" w:cs="Arial"/>
                <w:noProof/>
                <w:webHidden/>
              </w:rPr>
              <w:fldChar w:fldCharType="begin"/>
            </w:r>
            <w:r w:rsidR="00B010A4" w:rsidRPr="00D720DA">
              <w:rPr>
                <w:rFonts w:ascii="Arial" w:hAnsi="Arial" w:cs="Arial"/>
                <w:noProof/>
                <w:webHidden/>
              </w:rPr>
              <w:instrText xml:space="preserve"> PAGEREF _Toc77356787 \h </w:instrText>
            </w:r>
            <w:r w:rsidR="00B010A4" w:rsidRPr="00D720DA">
              <w:rPr>
                <w:rFonts w:ascii="Arial" w:hAnsi="Arial" w:cs="Arial"/>
                <w:noProof/>
                <w:webHidden/>
              </w:rPr>
            </w:r>
            <w:r w:rsidR="00B010A4" w:rsidRPr="00D720DA">
              <w:rPr>
                <w:rFonts w:ascii="Arial" w:hAnsi="Arial" w:cs="Arial"/>
                <w:noProof/>
                <w:webHidden/>
              </w:rPr>
              <w:fldChar w:fldCharType="separate"/>
            </w:r>
            <w:r w:rsidR="00652E35">
              <w:rPr>
                <w:rFonts w:ascii="Arial" w:hAnsi="Arial" w:cs="Arial"/>
                <w:noProof/>
                <w:webHidden/>
              </w:rPr>
              <w:t>3</w:t>
            </w:r>
            <w:r w:rsidR="00B010A4" w:rsidRPr="00D720DA">
              <w:rPr>
                <w:rFonts w:ascii="Arial" w:hAnsi="Arial" w:cs="Arial"/>
                <w:noProof/>
                <w:webHidden/>
              </w:rPr>
              <w:fldChar w:fldCharType="end"/>
            </w:r>
          </w:hyperlink>
        </w:p>
        <w:p w14:paraId="375ACA1D" w14:textId="0BF10BC0" w:rsidR="00B010A4" w:rsidRPr="00D720DA" w:rsidRDefault="00E00C0A">
          <w:pPr>
            <w:pStyle w:val="TOC1"/>
            <w:tabs>
              <w:tab w:val="left" w:pos="440"/>
              <w:tab w:val="right" w:leader="dot" w:pos="10194"/>
            </w:tabs>
            <w:rPr>
              <w:rFonts w:ascii="Arial" w:eastAsiaTheme="minorEastAsia" w:hAnsi="Arial" w:cs="Arial"/>
              <w:noProof/>
              <w:sz w:val="22"/>
              <w:lang w:val="en-US"/>
            </w:rPr>
          </w:pPr>
          <w:hyperlink w:anchor="_Toc77356788" w:history="1">
            <w:r w:rsidR="00B010A4" w:rsidRPr="00D720DA">
              <w:rPr>
                <w:rStyle w:val="Hyperlink"/>
                <w:rFonts w:ascii="Arial" w:hAnsi="Arial" w:cs="Arial"/>
                <w:noProof/>
                <w:lang w:val="en-US"/>
              </w:rPr>
              <w:t>2</w:t>
            </w:r>
            <w:r w:rsidR="00B010A4" w:rsidRPr="00D720DA">
              <w:rPr>
                <w:rFonts w:ascii="Arial" w:eastAsiaTheme="minorEastAsia" w:hAnsi="Arial" w:cs="Arial"/>
                <w:noProof/>
                <w:sz w:val="22"/>
                <w:lang w:val="en-US"/>
              </w:rPr>
              <w:tab/>
            </w:r>
            <w:r w:rsidR="00B010A4" w:rsidRPr="00D720DA">
              <w:rPr>
                <w:rStyle w:val="Hyperlink"/>
                <w:rFonts w:ascii="Arial" w:hAnsi="Arial" w:cs="Arial"/>
                <w:noProof/>
                <w:lang w:val="en-US"/>
              </w:rPr>
              <w:t>Tasmanian reform context</w:t>
            </w:r>
            <w:r w:rsidR="00B010A4" w:rsidRPr="00D720DA">
              <w:rPr>
                <w:rFonts w:ascii="Arial" w:hAnsi="Arial" w:cs="Arial"/>
                <w:noProof/>
                <w:webHidden/>
              </w:rPr>
              <w:tab/>
            </w:r>
            <w:r w:rsidR="00B010A4" w:rsidRPr="00D720DA">
              <w:rPr>
                <w:rFonts w:ascii="Arial" w:hAnsi="Arial" w:cs="Arial"/>
                <w:noProof/>
                <w:webHidden/>
              </w:rPr>
              <w:fldChar w:fldCharType="begin"/>
            </w:r>
            <w:r w:rsidR="00B010A4" w:rsidRPr="00D720DA">
              <w:rPr>
                <w:rFonts w:ascii="Arial" w:hAnsi="Arial" w:cs="Arial"/>
                <w:noProof/>
                <w:webHidden/>
              </w:rPr>
              <w:instrText xml:space="preserve"> PAGEREF _Toc77356788 \h </w:instrText>
            </w:r>
            <w:r w:rsidR="00B010A4" w:rsidRPr="00D720DA">
              <w:rPr>
                <w:rFonts w:ascii="Arial" w:hAnsi="Arial" w:cs="Arial"/>
                <w:noProof/>
                <w:webHidden/>
              </w:rPr>
            </w:r>
            <w:r w:rsidR="00B010A4" w:rsidRPr="00D720DA">
              <w:rPr>
                <w:rFonts w:ascii="Arial" w:hAnsi="Arial" w:cs="Arial"/>
                <w:noProof/>
                <w:webHidden/>
              </w:rPr>
              <w:fldChar w:fldCharType="separate"/>
            </w:r>
            <w:r w:rsidR="00652E35">
              <w:rPr>
                <w:rFonts w:ascii="Arial" w:hAnsi="Arial" w:cs="Arial"/>
                <w:noProof/>
                <w:webHidden/>
              </w:rPr>
              <w:t>4</w:t>
            </w:r>
            <w:r w:rsidR="00B010A4" w:rsidRPr="00D720DA">
              <w:rPr>
                <w:rFonts w:ascii="Arial" w:hAnsi="Arial" w:cs="Arial"/>
                <w:noProof/>
                <w:webHidden/>
              </w:rPr>
              <w:fldChar w:fldCharType="end"/>
            </w:r>
          </w:hyperlink>
        </w:p>
        <w:p w14:paraId="3108870A" w14:textId="63F0662D" w:rsidR="00B010A4" w:rsidRPr="00D720DA" w:rsidRDefault="00E00C0A">
          <w:pPr>
            <w:pStyle w:val="TOC2"/>
            <w:tabs>
              <w:tab w:val="left" w:pos="880"/>
              <w:tab w:val="right" w:leader="dot" w:pos="10194"/>
            </w:tabs>
            <w:rPr>
              <w:rFonts w:ascii="Arial" w:eastAsiaTheme="minorEastAsia" w:hAnsi="Arial" w:cs="Arial"/>
              <w:noProof/>
              <w:sz w:val="22"/>
              <w:lang w:val="en-US"/>
            </w:rPr>
          </w:pPr>
          <w:hyperlink w:anchor="_Toc77356789" w:history="1">
            <w:r w:rsidR="00B010A4" w:rsidRPr="00D720DA">
              <w:rPr>
                <w:rStyle w:val="Hyperlink"/>
                <w:rFonts w:ascii="Arial" w:hAnsi="Arial" w:cs="Arial"/>
                <w:noProof/>
              </w:rPr>
              <w:t>2.1</w:t>
            </w:r>
            <w:r w:rsidR="00B010A4" w:rsidRPr="00D720DA">
              <w:rPr>
                <w:rFonts w:ascii="Arial" w:eastAsiaTheme="minorEastAsia" w:hAnsi="Arial" w:cs="Arial"/>
                <w:noProof/>
                <w:sz w:val="22"/>
                <w:lang w:val="en-US"/>
              </w:rPr>
              <w:tab/>
            </w:r>
            <w:r w:rsidR="00B010A4" w:rsidRPr="00D720DA">
              <w:rPr>
                <w:rStyle w:val="Hyperlink"/>
                <w:rFonts w:ascii="Arial" w:hAnsi="Arial" w:cs="Arial"/>
                <w:noProof/>
              </w:rPr>
              <w:t>1970s</w:t>
            </w:r>
            <w:r w:rsidR="00B010A4" w:rsidRPr="00D720DA">
              <w:rPr>
                <w:rFonts w:ascii="Arial" w:hAnsi="Arial" w:cs="Arial"/>
                <w:noProof/>
                <w:webHidden/>
              </w:rPr>
              <w:tab/>
            </w:r>
            <w:r w:rsidR="00B010A4" w:rsidRPr="00D720DA">
              <w:rPr>
                <w:rFonts w:ascii="Arial" w:hAnsi="Arial" w:cs="Arial"/>
                <w:noProof/>
                <w:webHidden/>
              </w:rPr>
              <w:fldChar w:fldCharType="begin"/>
            </w:r>
            <w:r w:rsidR="00B010A4" w:rsidRPr="00D720DA">
              <w:rPr>
                <w:rFonts w:ascii="Arial" w:hAnsi="Arial" w:cs="Arial"/>
                <w:noProof/>
                <w:webHidden/>
              </w:rPr>
              <w:instrText xml:space="preserve"> PAGEREF _Toc77356789 \h </w:instrText>
            </w:r>
            <w:r w:rsidR="00B010A4" w:rsidRPr="00D720DA">
              <w:rPr>
                <w:rFonts w:ascii="Arial" w:hAnsi="Arial" w:cs="Arial"/>
                <w:noProof/>
                <w:webHidden/>
              </w:rPr>
            </w:r>
            <w:r w:rsidR="00B010A4" w:rsidRPr="00D720DA">
              <w:rPr>
                <w:rFonts w:ascii="Arial" w:hAnsi="Arial" w:cs="Arial"/>
                <w:noProof/>
                <w:webHidden/>
              </w:rPr>
              <w:fldChar w:fldCharType="separate"/>
            </w:r>
            <w:r w:rsidR="00652E35">
              <w:rPr>
                <w:rFonts w:ascii="Arial" w:hAnsi="Arial" w:cs="Arial"/>
                <w:noProof/>
                <w:webHidden/>
              </w:rPr>
              <w:t>5</w:t>
            </w:r>
            <w:r w:rsidR="00B010A4" w:rsidRPr="00D720DA">
              <w:rPr>
                <w:rFonts w:ascii="Arial" w:hAnsi="Arial" w:cs="Arial"/>
                <w:noProof/>
                <w:webHidden/>
              </w:rPr>
              <w:fldChar w:fldCharType="end"/>
            </w:r>
          </w:hyperlink>
        </w:p>
        <w:p w14:paraId="2F314F91" w14:textId="3D514C58" w:rsidR="00B010A4" w:rsidRPr="00D720DA" w:rsidRDefault="00E00C0A">
          <w:pPr>
            <w:pStyle w:val="TOC2"/>
            <w:tabs>
              <w:tab w:val="left" w:pos="880"/>
              <w:tab w:val="right" w:leader="dot" w:pos="10194"/>
            </w:tabs>
            <w:rPr>
              <w:rFonts w:ascii="Arial" w:eastAsiaTheme="minorEastAsia" w:hAnsi="Arial" w:cs="Arial"/>
              <w:noProof/>
              <w:sz w:val="22"/>
              <w:lang w:val="en-US"/>
            </w:rPr>
          </w:pPr>
          <w:hyperlink w:anchor="_Toc77356790" w:history="1">
            <w:r w:rsidR="00B010A4" w:rsidRPr="00D720DA">
              <w:rPr>
                <w:rStyle w:val="Hyperlink"/>
                <w:rFonts w:ascii="Arial" w:hAnsi="Arial" w:cs="Arial"/>
                <w:noProof/>
              </w:rPr>
              <w:t>2.2</w:t>
            </w:r>
            <w:r w:rsidR="00B010A4" w:rsidRPr="00D720DA">
              <w:rPr>
                <w:rFonts w:ascii="Arial" w:eastAsiaTheme="minorEastAsia" w:hAnsi="Arial" w:cs="Arial"/>
                <w:noProof/>
                <w:sz w:val="22"/>
                <w:lang w:val="en-US"/>
              </w:rPr>
              <w:tab/>
            </w:r>
            <w:r w:rsidR="00B010A4" w:rsidRPr="00D720DA">
              <w:rPr>
                <w:rStyle w:val="Hyperlink"/>
                <w:rFonts w:ascii="Arial" w:hAnsi="Arial" w:cs="Arial"/>
                <w:noProof/>
              </w:rPr>
              <w:t>1980s and 1990s</w:t>
            </w:r>
            <w:r w:rsidR="00B010A4" w:rsidRPr="00D720DA">
              <w:rPr>
                <w:rFonts w:ascii="Arial" w:hAnsi="Arial" w:cs="Arial"/>
                <w:noProof/>
                <w:webHidden/>
              </w:rPr>
              <w:tab/>
            </w:r>
            <w:r w:rsidR="00B010A4" w:rsidRPr="00D720DA">
              <w:rPr>
                <w:rFonts w:ascii="Arial" w:hAnsi="Arial" w:cs="Arial"/>
                <w:noProof/>
                <w:webHidden/>
              </w:rPr>
              <w:fldChar w:fldCharType="begin"/>
            </w:r>
            <w:r w:rsidR="00B010A4" w:rsidRPr="00D720DA">
              <w:rPr>
                <w:rFonts w:ascii="Arial" w:hAnsi="Arial" w:cs="Arial"/>
                <w:noProof/>
                <w:webHidden/>
              </w:rPr>
              <w:instrText xml:space="preserve"> PAGEREF _Toc77356790 \h </w:instrText>
            </w:r>
            <w:r w:rsidR="00B010A4" w:rsidRPr="00D720DA">
              <w:rPr>
                <w:rFonts w:ascii="Arial" w:hAnsi="Arial" w:cs="Arial"/>
                <w:noProof/>
                <w:webHidden/>
              </w:rPr>
            </w:r>
            <w:r w:rsidR="00B010A4" w:rsidRPr="00D720DA">
              <w:rPr>
                <w:rFonts w:ascii="Arial" w:hAnsi="Arial" w:cs="Arial"/>
                <w:noProof/>
                <w:webHidden/>
              </w:rPr>
              <w:fldChar w:fldCharType="separate"/>
            </w:r>
            <w:r w:rsidR="00652E35">
              <w:rPr>
                <w:rFonts w:ascii="Arial" w:hAnsi="Arial" w:cs="Arial"/>
                <w:noProof/>
                <w:webHidden/>
              </w:rPr>
              <w:t>5</w:t>
            </w:r>
            <w:r w:rsidR="00B010A4" w:rsidRPr="00D720DA">
              <w:rPr>
                <w:rFonts w:ascii="Arial" w:hAnsi="Arial" w:cs="Arial"/>
                <w:noProof/>
                <w:webHidden/>
              </w:rPr>
              <w:fldChar w:fldCharType="end"/>
            </w:r>
          </w:hyperlink>
        </w:p>
        <w:p w14:paraId="11C64BB7" w14:textId="17099555" w:rsidR="00B010A4" w:rsidRPr="00D720DA" w:rsidRDefault="00E00C0A">
          <w:pPr>
            <w:pStyle w:val="TOC2"/>
            <w:tabs>
              <w:tab w:val="left" w:pos="880"/>
              <w:tab w:val="right" w:leader="dot" w:pos="10194"/>
            </w:tabs>
            <w:rPr>
              <w:rFonts w:ascii="Arial" w:eastAsiaTheme="minorEastAsia" w:hAnsi="Arial" w:cs="Arial"/>
              <w:noProof/>
              <w:sz w:val="22"/>
              <w:lang w:val="en-US"/>
            </w:rPr>
          </w:pPr>
          <w:hyperlink w:anchor="_Toc77356791" w:history="1">
            <w:r w:rsidR="00B010A4" w:rsidRPr="00D720DA">
              <w:rPr>
                <w:rStyle w:val="Hyperlink"/>
                <w:rFonts w:ascii="Arial" w:hAnsi="Arial" w:cs="Arial"/>
                <w:noProof/>
              </w:rPr>
              <w:t>2.3</w:t>
            </w:r>
            <w:r w:rsidR="00B010A4" w:rsidRPr="00D720DA">
              <w:rPr>
                <w:rFonts w:ascii="Arial" w:eastAsiaTheme="minorEastAsia" w:hAnsi="Arial" w:cs="Arial"/>
                <w:noProof/>
                <w:sz w:val="22"/>
                <w:lang w:val="en-US"/>
              </w:rPr>
              <w:tab/>
            </w:r>
            <w:r w:rsidR="00B010A4" w:rsidRPr="00D720DA">
              <w:rPr>
                <w:rStyle w:val="Hyperlink"/>
                <w:rFonts w:ascii="Arial" w:hAnsi="Arial" w:cs="Arial"/>
                <w:noProof/>
              </w:rPr>
              <w:t>2000s</w:t>
            </w:r>
            <w:r w:rsidR="00B010A4" w:rsidRPr="00D720DA">
              <w:rPr>
                <w:rFonts w:ascii="Arial" w:hAnsi="Arial" w:cs="Arial"/>
                <w:noProof/>
                <w:webHidden/>
              </w:rPr>
              <w:tab/>
            </w:r>
            <w:r w:rsidR="00B010A4" w:rsidRPr="00D720DA">
              <w:rPr>
                <w:rFonts w:ascii="Arial" w:hAnsi="Arial" w:cs="Arial"/>
                <w:noProof/>
                <w:webHidden/>
              </w:rPr>
              <w:fldChar w:fldCharType="begin"/>
            </w:r>
            <w:r w:rsidR="00B010A4" w:rsidRPr="00D720DA">
              <w:rPr>
                <w:rFonts w:ascii="Arial" w:hAnsi="Arial" w:cs="Arial"/>
                <w:noProof/>
                <w:webHidden/>
              </w:rPr>
              <w:instrText xml:space="preserve"> PAGEREF _Toc77356791 \h </w:instrText>
            </w:r>
            <w:r w:rsidR="00B010A4" w:rsidRPr="00D720DA">
              <w:rPr>
                <w:rFonts w:ascii="Arial" w:hAnsi="Arial" w:cs="Arial"/>
                <w:noProof/>
                <w:webHidden/>
              </w:rPr>
            </w:r>
            <w:r w:rsidR="00B010A4" w:rsidRPr="00D720DA">
              <w:rPr>
                <w:rFonts w:ascii="Arial" w:hAnsi="Arial" w:cs="Arial"/>
                <w:noProof/>
                <w:webHidden/>
              </w:rPr>
              <w:fldChar w:fldCharType="separate"/>
            </w:r>
            <w:r w:rsidR="00652E35">
              <w:rPr>
                <w:rFonts w:ascii="Arial" w:hAnsi="Arial" w:cs="Arial"/>
                <w:noProof/>
                <w:webHidden/>
              </w:rPr>
              <w:t>6</w:t>
            </w:r>
            <w:r w:rsidR="00B010A4" w:rsidRPr="00D720DA">
              <w:rPr>
                <w:rFonts w:ascii="Arial" w:hAnsi="Arial" w:cs="Arial"/>
                <w:noProof/>
                <w:webHidden/>
              </w:rPr>
              <w:fldChar w:fldCharType="end"/>
            </w:r>
          </w:hyperlink>
        </w:p>
        <w:p w14:paraId="7F535D61" w14:textId="556DE469" w:rsidR="00B010A4" w:rsidRPr="00D720DA" w:rsidRDefault="00E00C0A">
          <w:pPr>
            <w:pStyle w:val="TOC2"/>
            <w:tabs>
              <w:tab w:val="left" w:pos="880"/>
              <w:tab w:val="right" w:leader="dot" w:pos="10194"/>
            </w:tabs>
            <w:rPr>
              <w:rFonts w:ascii="Arial" w:eastAsiaTheme="minorEastAsia" w:hAnsi="Arial" w:cs="Arial"/>
              <w:noProof/>
              <w:sz w:val="22"/>
              <w:lang w:val="en-US"/>
            </w:rPr>
          </w:pPr>
          <w:hyperlink w:anchor="_Toc77356792" w:history="1">
            <w:r w:rsidR="00B010A4" w:rsidRPr="00D720DA">
              <w:rPr>
                <w:rStyle w:val="Hyperlink"/>
                <w:rFonts w:ascii="Arial" w:hAnsi="Arial" w:cs="Arial"/>
                <w:noProof/>
              </w:rPr>
              <w:t>2.4</w:t>
            </w:r>
            <w:r w:rsidR="00B010A4" w:rsidRPr="00D720DA">
              <w:rPr>
                <w:rFonts w:ascii="Arial" w:eastAsiaTheme="minorEastAsia" w:hAnsi="Arial" w:cs="Arial"/>
                <w:noProof/>
                <w:sz w:val="22"/>
                <w:lang w:val="en-US"/>
              </w:rPr>
              <w:tab/>
            </w:r>
            <w:r w:rsidR="00B010A4" w:rsidRPr="00D720DA">
              <w:rPr>
                <w:rStyle w:val="Hyperlink"/>
                <w:rFonts w:ascii="Arial" w:hAnsi="Arial" w:cs="Arial"/>
                <w:noProof/>
              </w:rPr>
              <w:t>Current government</w:t>
            </w:r>
            <w:r w:rsidR="00B010A4" w:rsidRPr="00D720DA">
              <w:rPr>
                <w:rFonts w:ascii="Arial" w:hAnsi="Arial" w:cs="Arial"/>
                <w:noProof/>
                <w:webHidden/>
              </w:rPr>
              <w:tab/>
            </w:r>
            <w:r w:rsidR="00B010A4" w:rsidRPr="00D720DA">
              <w:rPr>
                <w:rFonts w:ascii="Arial" w:hAnsi="Arial" w:cs="Arial"/>
                <w:noProof/>
                <w:webHidden/>
              </w:rPr>
              <w:fldChar w:fldCharType="begin"/>
            </w:r>
            <w:r w:rsidR="00B010A4" w:rsidRPr="00D720DA">
              <w:rPr>
                <w:rFonts w:ascii="Arial" w:hAnsi="Arial" w:cs="Arial"/>
                <w:noProof/>
                <w:webHidden/>
              </w:rPr>
              <w:instrText xml:space="preserve"> PAGEREF _Toc77356792 \h </w:instrText>
            </w:r>
            <w:r w:rsidR="00B010A4" w:rsidRPr="00D720DA">
              <w:rPr>
                <w:rFonts w:ascii="Arial" w:hAnsi="Arial" w:cs="Arial"/>
                <w:noProof/>
                <w:webHidden/>
              </w:rPr>
            </w:r>
            <w:r w:rsidR="00B010A4" w:rsidRPr="00D720DA">
              <w:rPr>
                <w:rFonts w:ascii="Arial" w:hAnsi="Arial" w:cs="Arial"/>
                <w:noProof/>
                <w:webHidden/>
              </w:rPr>
              <w:fldChar w:fldCharType="separate"/>
            </w:r>
            <w:r w:rsidR="00652E35">
              <w:rPr>
                <w:rFonts w:ascii="Arial" w:hAnsi="Arial" w:cs="Arial"/>
                <w:noProof/>
                <w:webHidden/>
              </w:rPr>
              <w:t>7</w:t>
            </w:r>
            <w:r w:rsidR="00B010A4" w:rsidRPr="00D720DA">
              <w:rPr>
                <w:rFonts w:ascii="Arial" w:hAnsi="Arial" w:cs="Arial"/>
                <w:noProof/>
                <w:webHidden/>
              </w:rPr>
              <w:fldChar w:fldCharType="end"/>
            </w:r>
          </w:hyperlink>
        </w:p>
        <w:p w14:paraId="3C325164" w14:textId="13F14B15" w:rsidR="00B010A4" w:rsidRPr="00D720DA" w:rsidRDefault="00E00C0A">
          <w:pPr>
            <w:pStyle w:val="TOC2"/>
            <w:tabs>
              <w:tab w:val="left" w:pos="880"/>
              <w:tab w:val="right" w:leader="dot" w:pos="10194"/>
            </w:tabs>
            <w:rPr>
              <w:rFonts w:ascii="Arial" w:eastAsiaTheme="minorEastAsia" w:hAnsi="Arial" w:cs="Arial"/>
              <w:noProof/>
              <w:sz w:val="22"/>
              <w:lang w:val="en-US"/>
            </w:rPr>
          </w:pPr>
          <w:hyperlink w:anchor="_Toc77356793" w:history="1">
            <w:r w:rsidR="00B010A4" w:rsidRPr="00D720DA">
              <w:rPr>
                <w:rStyle w:val="Hyperlink"/>
                <w:rFonts w:ascii="Arial" w:hAnsi="Arial" w:cs="Arial"/>
                <w:noProof/>
              </w:rPr>
              <w:t>2.5</w:t>
            </w:r>
            <w:r w:rsidR="00B010A4" w:rsidRPr="00D720DA">
              <w:rPr>
                <w:rFonts w:ascii="Arial" w:eastAsiaTheme="minorEastAsia" w:hAnsi="Arial" w:cs="Arial"/>
                <w:noProof/>
                <w:sz w:val="22"/>
                <w:lang w:val="en-US"/>
              </w:rPr>
              <w:tab/>
            </w:r>
            <w:r w:rsidR="00B010A4" w:rsidRPr="00D720DA">
              <w:rPr>
                <w:rStyle w:val="Hyperlink"/>
                <w:rFonts w:ascii="Arial" w:hAnsi="Arial" w:cs="Arial"/>
                <w:noProof/>
              </w:rPr>
              <w:t>State Service Review</w:t>
            </w:r>
            <w:r w:rsidR="00B010A4" w:rsidRPr="00D720DA">
              <w:rPr>
                <w:rFonts w:ascii="Arial" w:hAnsi="Arial" w:cs="Arial"/>
                <w:noProof/>
                <w:webHidden/>
              </w:rPr>
              <w:tab/>
            </w:r>
            <w:r w:rsidR="00B010A4" w:rsidRPr="00D720DA">
              <w:rPr>
                <w:rFonts w:ascii="Arial" w:hAnsi="Arial" w:cs="Arial"/>
                <w:noProof/>
                <w:webHidden/>
              </w:rPr>
              <w:fldChar w:fldCharType="begin"/>
            </w:r>
            <w:r w:rsidR="00B010A4" w:rsidRPr="00D720DA">
              <w:rPr>
                <w:rFonts w:ascii="Arial" w:hAnsi="Arial" w:cs="Arial"/>
                <w:noProof/>
                <w:webHidden/>
              </w:rPr>
              <w:instrText xml:space="preserve"> PAGEREF _Toc77356793 \h </w:instrText>
            </w:r>
            <w:r w:rsidR="00B010A4" w:rsidRPr="00D720DA">
              <w:rPr>
                <w:rFonts w:ascii="Arial" w:hAnsi="Arial" w:cs="Arial"/>
                <w:noProof/>
                <w:webHidden/>
              </w:rPr>
            </w:r>
            <w:r w:rsidR="00B010A4" w:rsidRPr="00D720DA">
              <w:rPr>
                <w:rFonts w:ascii="Arial" w:hAnsi="Arial" w:cs="Arial"/>
                <w:noProof/>
                <w:webHidden/>
              </w:rPr>
              <w:fldChar w:fldCharType="separate"/>
            </w:r>
            <w:r w:rsidR="00652E35">
              <w:rPr>
                <w:rFonts w:ascii="Arial" w:hAnsi="Arial" w:cs="Arial"/>
                <w:noProof/>
                <w:webHidden/>
              </w:rPr>
              <w:t>8</w:t>
            </w:r>
            <w:r w:rsidR="00B010A4" w:rsidRPr="00D720DA">
              <w:rPr>
                <w:rFonts w:ascii="Arial" w:hAnsi="Arial" w:cs="Arial"/>
                <w:noProof/>
                <w:webHidden/>
              </w:rPr>
              <w:fldChar w:fldCharType="end"/>
            </w:r>
          </w:hyperlink>
        </w:p>
        <w:p w14:paraId="71694C9B" w14:textId="29A0B4BE" w:rsidR="00B010A4" w:rsidRPr="00D720DA" w:rsidRDefault="00E00C0A">
          <w:pPr>
            <w:pStyle w:val="TOC1"/>
            <w:tabs>
              <w:tab w:val="left" w:pos="440"/>
              <w:tab w:val="right" w:leader="dot" w:pos="10194"/>
            </w:tabs>
            <w:rPr>
              <w:rFonts w:ascii="Arial" w:eastAsiaTheme="minorEastAsia" w:hAnsi="Arial" w:cs="Arial"/>
              <w:noProof/>
              <w:sz w:val="22"/>
              <w:lang w:val="en-US"/>
            </w:rPr>
          </w:pPr>
          <w:hyperlink w:anchor="_Toc77356794" w:history="1">
            <w:r w:rsidR="00B010A4" w:rsidRPr="00D720DA">
              <w:rPr>
                <w:rStyle w:val="Hyperlink"/>
                <w:rFonts w:ascii="Arial" w:hAnsi="Arial" w:cs="Arial"/>
                <w:noProof/>
              </w:rPr>
              <w:t>3</w:t>
            </w:r>
            <w:r w:rsidR="00B010A4" w:rsidRPr="00D720DA">
              <w:rPr>
                <w:rFonts w:ascii="Arial" w:eastAsiaTheme="minorEastAsia" w:hAnsi="Arial" w:cs="Arial"/>
                <w:noProof/>
                <w:sz w:val="22"/>
                <w:lang w:val="en-US"/>
              </w:rPr>
              <w:tab/>
            </w:r>
            <w:r w:rsidR="00B010A4" w:rsidRPr="00D720DA">
              <w:rPr>
                <w:rStyle w:val="Hyperlink"/>
                <w:rFonts w:ascii="Arial" w:hAnsi="Arial" w:cs="Arial"/>
                <w:noProof/>
              </w:rPr>
              <w:t>The State Service under global crises</w:t>
            </w:r>
            <w:r w:rsidR="00B010A4" w:rsidRPr="00D720DA">
              <w:rPr>
                <w:rFonts w:ascii="Arial" w:hAnsi="Arial" w:cs="Arial"/>
                <w:noProof/>
                <w:webHidden/>
              </w:rPr>
              <w:tab/>
            </w:r>
            <w:r w:rsidR="00B010A4" w:rsidRPr="00D720DA">
              <w:rPr>
                <w:rFonts w:ascii="Arial" w:hAnsi="Arial" w:cs="Arial"/>
                <w:noProof/>
                <w:webHidden/>
              </w:rPr>
              <w:fldChar w:fldCharType="begin"/>
            </w:r>
            <w:r w:rsidR="00B010A4" w:rsidRPr="00D720DA">
              <w:rPr>
                <w:rFonts w:ascii="Arial" w:hAnsi="Arial" w:cs="Arial"/>
                <w:noProof/>
                <w:webHidden/>
              </w:rPr>
              <w:instrText xml:space="preserve"> PAGEREF _Toc77356794 \h </w:instrText>
            </w:r>
            <w:r w:rsidR="00B010A4" w:rsidRPr="00D720DA">
              <w:rPr>
                <w:rFonts w:ascii="Arial" w:hAnsi="Arial" w:cs="Arial"/>
                <w:noProof/>
                <w:webHidden/>
              </w:rPr>
            </w:r>
            <w:r w:rsidR="00B010A4" w:rsidRPr="00D720DA">
              <w:rPr>
                <w:rFonts w:ascii="Arial" w:hAnsi="Arial" w:cs="Arial"/>
                <w:noProof/>
                <w:webHidden/>
              </w:rPr>
              <w:fldChar w:fldCharType="separate"/>
            </w:r>
            <w:r w:rsidR="00652E35">
              <w:rPr>
                <w:rFonts w:ascii="Arial" w:hAnsi="Arial" w:cs="Arial"/>
                <w:noProof/>
                <w:webHidden/>
              </w:rPr>
              <w:t>11</w:t>
            </w:r>
            <w:r w:rsidR="00B010A4" w:rsidRPr="00D720DA">
              <w:rPr>
                <w:rFonts w:ascii="Arial" w:hAnsi="Arial" w:cs="Arial"/>
                <w:noProof/>
                <w:webHidden/>
              </w:rPr>
              <w:fldChar w:fldCharType="end"/>
            </w:r>
          </w:hyperlink>
        </w:p>
        <w:p w14:paraId="6FACC9FF" w14:textId="16636EB3" w:rsidR="00B010A4" w:rsidRPr="00D720DA" w:rsidRDefault="00E00C0A">
          <w:pPr>
            <w:pStyle w:val="TOC1"/>
            <w:tabs>
              <w:tab w:val="left" w:pos="440"/>
              <w:tab w:val="right" w:leader="dot" w:pos="10194"/>
            </w:tabs>
            <w:rPr>
              <w:rFonts w:ascii="Arial" w:eastAsiaTheme="minorEastAsia" w:hAnsi="Arial" w:cs="Arial"/>
              <w:noProof/>
              <w:sz w:val="22"/>
              <w:lang w:val="en-US"/>
            </w:rPr>
          </w:pPr>
          <w:hyperlink w:anchor="_Toc77356795" w:history="1">
            <w:r w:rsidR="00B010A4" w:rsidRPr="00D720DA">
              <w:rPr>
                <w:rStyle w:val="Hyperlink"/>
                <w:rFonts w:ascii="Arial" w:hAnsi="Arial" w:cs="Arial"/>
                <w:noProof/>
              </w:rPr>
              <w:t>4</w:t>
            </w:r>
            <w:r w:rsidR="00B010A4" w:rsidRPr="00D720DA">
              <w:rPr>
                <w:rFonts w:ascii="Arial" w:eastAsiaTheme="minorEastAsia" w:hAnsi="Arial" w:cs="Arial"/>
                <w:noProof/>
                <w:sz w:val="22"/>
                <w:lang w:val="en-US"/>
              </w:rPr>
              <w:tab/>
            </w:r>
            <w:r w:rsidR="00B010A4" w:rsidRPr="00D720DA">
              <w:rPr>
                <w:rStyle w:val="Hyperlink"/>
                <w:rFonts w:ascii="Arial" w:hAnsi="Arial" w:cs="Arial"/>
                <w:noProof/>
              </w:rPr>
              <w:t>Tasmanian public service legislation</w:t>
            </w:r>
            <w:r w:rsidR="00B010A4" w:rsidRPr="00D720DA">
              <w:rPr>
                <w:rFonts w:ascii="Arial" w:hAnsi="Arial" w:cs="Arial"/>
                <w:noProof/>
                <w:webHidden/>
              </w:rPr>
              <w:tab/>
            </w:r>
            <w:r w:rsidR="00B010A4" w:rsidRPr="00D720DA">
              <w:rPr>
                <w:rFonts w:ascii="Arial" w:hAnsi="Arial" w:cs="Arial"/>
                <w:noProof/>
                <w:webHidden/>
              </w:rPr>
              <w:fldChar w:fldCharType="begin"/>
            </w:r>
            <w:r w:rsidR="00B010A4" w:rsidRPr="00D720DA">
              <w:rPr>
                <w:rFonts w:ascii="Arial" w:hAnsi="Arial" w:cs="Arial"/>
                <w:noProof/>
                <w:webHidden/>
              </w:rPr>
              <w:instrText xml:space="preserve"> PAGEREF _Toc77356795 \h </w:instrText>
            </w:r>
            <w:r w:rsidR="00B010A4" w:rsidRPr="00D720DA">
              <w:rPr>
                <w:rFonts w:ascii="Arial" w:hAnsi="Arial" w:cs="Arial"/>
                <w:noProof/>
                <w:webHidden/>
              </w:rPr>
            </w:r>
            <w:r w:rsidR="00B010A4" w:rsidRPr="00D720DA">
              <w:rPr>
                <w:rFonts w:ascii="Arial" w:hAnsi="Arial" w:cs="Arial"/>
                <w:noProof/>
                <w:webHidden/>
              </w:rPr>
              <w:fldChar w:fldCharType="separate"/>
            </w:r>
            <w:r w:rsidR="00652E35">
              <w:rPr>
                <w:rFonts w:ascii="Arial" w:hAnsi="Arial" w:cs="Arial"/>
                <w:noProof/>
                <w:webHidden/>
              </w:rPr>
              <w:t>12</w:t>
            </w:r>
            <w:r w:rsidR="00B010A4" w:rsidRPr="00D720DA">
              <w:rPr>
                <w:rFonts w:ascii="Arial" w:hAnsi="Arial" w:cs="Arial"/>
                <w:noProof/>
                <w:webHidden/>
              </w:rPr>
              <w:fldChar w:fldCharType="end"/>
            </w:r>
          </w:hyperlink>
        </w:p>
        <w:p w14:paraId="52CE26DC" w14:textId="269180C1" w:rsidR="00B010A4" w:rsidRPr="00D720DA" w:rsidRDefault="00E00C0A">
          <w:pPr>
            <w:pStyle w:val="TOC2"/>
            <w:tabs>
              <w:tab w:val="left" w:pos="880"/>
              <w:tab w:val="right" w:leader="dot" w:pos="10194"/>
            </w:tabs>
            <w:rPr>
              <w:rFonts w:ascii="Arial" w:eastAsiaTheme="minorEastAsia" w:hAnsi="Arial" w:cs="Arial"/>
              <w:noProof/>
              <w:sz w:val="22"/>
              <w:lang w:val="en-US"/>
            </w:rPr>
          </w:pPr>
          <w:hyperlink w:anchor="_Toc77356796" w:history="1">
            <w:r w:rsidR="00B010A4" w:rsidRPr="00D720DA">
              <w:rPr>
                <w:rStyle w:val="Hyperlink"/>
                <w:rFonts w:ascii="Arial" w:hAnsi="Arial" w:cs="Arial"/>
                <w:noProof/>
              </w:rPr>
              <w:t>4.1</w:t>
            </w:r>
            <w:r w:rsidR="00B010A4" w:rsidRPr="00D720DA">
              <w:rPr>
                <w:rFonts w:ascii="Arial" w:eastAsiaTheme="minorEastAsia" w:hAnsi="Arial" w:cs="Arial"/>
                <w:noProof/>
                <w:sz w:val="22"/>
                <w:lang w:val="en-US"/>
              </w:rPr>
              <w:tab/>
            </w:r>
            <w:r w:rsidR="00B010A4" w:rsidRPr="00D720DA">
              <w:rPr>
                <w:rStyle w:val="Hyperlink"/>
                <w:rFonts w:ascii="Arial" w:hAnsi="Arial" w:cs="Arial"/>
                <w:noProof/>
              </w:rPr>
              <w:t>Historical background</w:t>
            </w:r>
            <w:r w:rsidR="00B010A4" w:rsidRPr="00D720DA">
              <w:rPr>
                <w:rFonts w:ascii="Arial" w:hAnsi="Arial" w:cs="Arial"/>
                <w:noProof/>
                <w:webHidden/>
              </w:rPr>
              <w:tab/>
            </w:r>
            <w:r w:rsidR="00B010A4" w:rsidRPr="00D720DA">
              <w:rPr>
                <w:rFonts w:ascii="Arial" w:hAnsi="Arial" w:cs="Arial"/>
                <w:noProof/>
                <w:webHidden/>
              </w:rPr>
              <w:fldChar w:fldCharType="begin"/>
            </w:r>
            <w:r w:rsidR="00B010A4" w:rsidRPr="00D720DA">
              <w:rPr>
                <w:rFonts w:ascii="Arial" w:hAnsi="Arial" w:cs="Arial"/>
                <w:noProof/>
                <w:webHidden/>
              </w:rPr>
              <w:instrText xml:space="preserve"> PAGEREF _Toc77356796 \h </w:instrText>
            </w:r>
            <w:r w:rsidR="00B010A4" w:rsidRPr="00D720DA">
              <w:rPr>
                <w:rFonts w:ascii="Arial" w:hAnsi="Arial" w:cs="Arial"/>
                <w:noProof/>
                <w:webHidden/>
              </w:rPr>
            </w:r>
            <w:r w:rsidR="00B010A4" w:rsidRPr="00D720DA">
              <w:rPr>
                <w:rFonts w:ascii="Arial" w:hAnsi="Arial" w:cs="Arial"/>
                <w:noProof/>
                <w:webHidden/>
              </w:rPr>
              <w:fldChar w:fldCharType="separate"/>
            </w:r>
            <w:r w:rsidR="00652E35">
              <w:rPr>
                <w:rFonts w:ascii="Arial" w:hAnsi="Arial" w:cs="Arial"/>
                <w:noProof/>
                <w:webHidden/>
              </w:rPr>
              <w:t>12</w:t>
            </w:r>
            <w:r w:rsidR="00B010A4" w:rsidRPr="00D720DA">
              <w:rPr>
                <w:rFonts w:ascii="Arial" w:hAnsi="Arial" w:cs="Arial"/>
                <w:noProof/>
                <w:webHidden/>
              </w:rPr>
              <w:fldChar w:fldCharType="end"/>
            </w:r>
          </w:hyperlink>
        </w:p>
        <w:p w14:paraId="49B59D10" w14:textId="6F2AFBCB" w:rsidR="00B010A4" w:rsidRPr="00D720DA" w:rsidRDefault="00E00C0A">
          <w:pPr>
            <w:pStyle w:val="TOC2"/>
            <w:tabs>
              <w:tab w:val="left" w:pos="880"/>
              <w:tab w:val="right" w:leader="dot" w:pos="10194"/>
            </w:tabs>
            <w:rPr>
              <w:rFonts w:ascii="Arial" w:eastAsiaTheme="minorEastAsia" w:hAnsi="Arial" w:cs="Arial"/>
              <w:noProof/>
              <w:sz w:val="22"/>
              <w:lang w:val="en-US"/>
            </w:rPr>
          </w:pPr>
          <w:hyperlink w:anchor="_Toc77356797" w:history="1">
            <w:r w:rsidR="00B010A4" w:rsidRPr="00D720DA">
              <w:rPr>
                <w:rStyle w:val="Hyperlink"/>
                <w:rFonts w:ascii="Arial" w:hAnsi="Arial" w:cs="Arial"/>
                <w:noProof/>
              </w:rPr>
              <w:t>4.2</w:t>
            </w:r>
            <w:r w:rsidR="00B010A4" w:rsidRPr="00D720DA">
              <w:rPr>
                <w:rFonts w:ascii="Arial" w:eastAsiaTheme="minorEastAsia" w:hAnsi="Arial" w:cs="Arial"/>
                <w:noProof/>
                <w:sz w:val="22"/>
                <w:lang w:val="en-US"/>
              </w:rPr>
              <w:tab/>
            </w:r>
            <w:r w:rsidR="00B010A4" w:rsidRPr="00D720DA">
              <w:rPr>
                <w:rStyle w:val="Hyperlink"/>
                <w:rFonts w:ascii="Arial" w:hAnsi="Arial" w:cs="Arial"/>
                <w:noProof/>
              </w:rPr>
              <w:t>State Service Act 2000</w:t>
            </w:r>
            <w:r w:rsidR="00B010A4" w:rsidRPr="00D720DA">
              <w:rPr>
                <w:rFonts w:ascii="Arial" w:hAnsi="Arial" w:cs="Arial"/>
                <w:noProof/>
                <w:webHidden/>
              </w:rPr>
              <w:tab/>
            </w:r>
            <w:r w:rsidR="00B010A4" w:rsidRPr="00D720DA">
              <w:rPr>
                <w:rFonts w:ascii="Arial" w:hAnsi="Arial" w:cs="Arial"/>
                <w:noProof/>
                <w:webHidden/>
              </w:rPr>
              <w:fldChar w:fldCharType="begin"/>
            </w:r>
            <w:r w:rsidR="00B010A4" w:rsidRPr="00D720DA">
              <w:rPr>
                <w:rFonts w:ascii="Arial" w:hAnsi="Arial" w:cs="Arial"/>
                <w:noProof/>
                <w:webHidden/>
              </w:rPr>
              <w:instrText xml:space="preserve"> PAGEREF _Toc77356797 \h </w:instrText>
            </w:r>
            <w:r w:rsidR="00B010A4" w:rsidRPr="00D720DA">
              <w:rPr>
                <w:rFonts w:ascii="Arial" w:hAnsi="Arial" w:cs="Arial"/>
                <w:noProof/>
                <w:webHidden/>
              </w:rPr>
            </w:r>
            <w:r w:rsidR="00B010A4" w:rsidRPr="00D720DA">
              <w:rPr>
                <w:rFonts w:ascii="Arial" w:hAnsi="Arial" w:cs="Arial"/>
                <w:noProof/>
                <w:webHidden/>
              </w:rPr>
              <w:fldChar w:fldCharType="separate"/>
            </w:r>
            <w:r w:rsidR="00652E35">
              <w:rPr>
                <w:rFonts w:ascii="Arial" w:hAnsi="Arial" w:cs="Arial"/>
                <w:noProof/>
                <w:webHidden/>
              </w:rPr>
              <w:t>13</w:t>
            </w:r>
            <w:r w:rsidR="00B010A4" w:rsidRPr="00D720DA">
              <w:rPr>
                <w:rFonts w:ascii="Arial" w:hAnsi="Arial" w:cs="Arial"/>
                <w:noProof/>
                <w:webHidden/>
              </w:rPr>
              <w:fldChar w:fldCharType="end"/>
            </w:r>
          </w:hyperlink>
        </w:p>
        <w:p w14:paraId="5757522B" w14:textId="5111574A" w:rsidR="00B010A4" w:rsidRPr="00D720DA" w:rsidRDefault="00E00C0A">
          <w:pPr>
            <w:pStyle w:val="TOC1"/>
            <w:tabs>
              <w:tab w:val="left" w:pos="440"/>
              <w:tab w:val="right" w:leader="dot" w:pos="10194"/>
            </w:tabs>
            <w:rPr>
              <w:rFonts w:ascii="Arial" w:eastAsiaTheme="minorEastAsia" w:hAnsi="Arial" w:cs="Arial"/>
              <w:noProof/>
              <w:sz w:val="22"/>
              <w:lang w:val="en-US"/>
            </w:rPr>
          </w:pPr>
          <w:hyperlink w:anchor="_Toc77356798" w:history="1">
            <w:r w:rsidR="00B010A4" w:rsidRPr="00D720DA">
              <w:rPr>
                <w:rStyle w:val="Hyperlink"/>
                <w:rFonts w:ascii="Arial" w:hAnsi="Arial" w:cs="Arial"/>
                <w:noProof/>
              </w:rPr>
              <w:t>5</w:t>
            </w:r>
            <w:r w:rsidR="00B010A4" w:rsidRPr="00D720DA">
              <w:rPr>
                <w:rFonts w:ascii="Arial" w:eastAsiaTheme="minorEastAsia" w:hAnsi="Arial" w:cs="Arial"/>
                <w:noProof/>
                <w:sz w:val="22"/>
                <w:lang w:val="en-US"/>
              </w:rPr>
              <w:tab/>
            </w:r>
            <w:r w:rsidR="00B010A4" w:rsidRPr="00D720DA">
              <w:rPr>
                <w:rStyle w:val="Hyperlink"/>
                <w:rFonts w:ascii="Arial" w:hAnsi="Arial" w:cs="Arial"/>
                <w:noProof/>
              </w:rPr>
              <w:t>Tasmanian SES policy changes</w:t>
            </w:r>
            <w:r w:rsidR="00B010A4" w:rsidRPr="00D720DA">
              <w:rPr>
                <w:rFonts w:ascii="Arial" w:hAnsi="Arial" w:cs="Arial"/>
                <w:noProof/>
                <w:webHidden/>
              </w:rPr>
              <w:tab/>
            </w:r>
            <w:r w:rsidR="00B010A4" w:rsidRPr="00D720DA">
              <w:rPr>
                <w:rFonts w:ascii="Arial" w:hAnsi="Arial" w:cs="Arial"/>
                <w:noProof/>
                <w:webHidden/>
              </w:rPr>
              <w:fldChar w:fldCharType="begin"/>
            </w:r>
            <w:r w:rsidR="00B010A4" w:rsidRPr="00D720DA">
              <w:rPr>
                <w:rFonts w:ascii="Arial" w:hAnsi="Arial" w:cs="Arial"/>
                <w:noProof/>
                <w:webHidden/>
              </w:rPr>
              <w:instrText xml:space="preserve"> PAGEREF _Toc77356798 \h </w:instrText>
            </w:r>
            <w:r w:rsidR="00B010A4" w:rsidRPr="00D720DA">
              <w:rPr>
                <w:rFonts w:ascii="Arial" w:hAnsi="Arial" w:cs="Arial"/>
                <w:noProof/>
                <w:webHidden/>
              </w:rPr>
            </w:r>
            <w:r w:rsidR="00B010A4" w:rsidRPr="00D720DA">
              <w:rPr>
                <w:rFonts w:ascii="Arial" w:hAnsi="Arial" w:cs="Arial"/>
                <w:noProof/>
                <w:webHidden/>
              </w:rPr>
              <w:fldChar w:fldCharType="separate"/>
            </w:r>
            <w:r w:rsidR="00652E35">
              <w:rPr>
                <w:rFonts w:ascii="Arial" w:hAnsi="Arial" w:cs="Arial"/>
                <w:noProof/>
                <w:webHidden/>
              </w:rPr>
              <w:t>14</w:t>
            </w:r>
            <w:r w:rsidR="00B010A4" w:rsidRPr="00D720DA">
              <w:rPr>
                <w:rFonts w:ascii="Arial" w:hAnsi="Arial" w:cs="Arial"/>
                <w:noProof/>
                <w:webHidden/>
              </w:rPr>
              <w:fldChar w:fldCharType="end"/>
            </w:r>
          </w:hyperlink>
        </w:p>
        <w:p w14:paraId="4BF80FEA" w14:textId="41EF3ED9" w:rsidR="00B010A4" w:rsidRPr="00D720DA" w:rsidRDefault="00E00C0A">
          <w:pPr>
            <w:pStyle w:val="TOC2"/>
            <w:tabs>
              <w:tab w:val="left" w:pos="880"/>
              <w:tab w:val="right" w:leader="dot" w:pos="10194"/>
            </w:tabs>
            <w:rPr>
              <w:rFonts w:ascii="Arial" w:eastAsiaTheme="minorEastAsia" w:hAnsi="Arial" w:cs="Arial"/>
              <w:noProof/>
              <w:sz w:val="22"/>
              <w:lang w:val="en-US"/>
            </w:rPr>
          </w:pPr>
          <w:hyperlink w:anchor="_Toc77356799" w:history="1">
            <w:r w:rsidR="00B010A4" w:rsidRPr="00D720DA">
              <w:rPr>
                <w:rStyle w:val="Hyperlink"/>
                <w:rFonts w:ascii="Arial" w:hAnsi="Arial" w:cs="Arial"/>
                <w:noProof/>
              </w:rPr>
              <w:t>5.1</w:t>
            </w:r>
            <w:r w:rsidR="00B010A4" w:rsidRPr="00D720DA">
              <w:rPr>
                <w:rFonts w:ascii="Arial" w:eastAsiaTheme="minorEastAsia" w:hAnsi="Arial" w:cs="Arial"/>
                <w:noProof/>
                <w:sz w:val="22"/>
                <w:lang w:val="en-US"/>
              </w:rPr>
              <w:tab/>
            </w:r>
            <w:r w:rsidR="00B010A4" w:rsidRPr="00D720DA">
              <w:rPr>
                <w:rStyle w:val="Hyperlink"/>
                <w:rFonts w:ascii="Arial" w:hAnsi="Arial" w:cs="Arial"/>
                <w:noProof/>
              </w:rPr>
              <w:t>Discussion</w:t>
            </w:r>
            <w:r w:rsidR="00B010A4" w:rsidRPr="00D720DA">
              <w:rPr>
                <w:rFonts w:ascii="Arial" w:hAnsi="Arial" w:cs="Arial"/>
                <w:noProof/>
                <w:webHidden/>
              </w:rPr>
              <w:tab/>
            </w:r>
            <w:r w:rsidR="00B010A4" w:rsidRPr="00D720DA">
              <w:rPr>
                <w:rFonts w:ascii="Arial" w:hAnsi="Arial" w:cs="Arial"/>
                <w:noProof/>
                <w:webHidden/>
              </w:rPr>
              <w:fldChar w:fldCharType="begin"/>
            </w:r>
            <w:r w:rsidR="00B010A4" w:rsidRPr="00D720DA">
              <w:rPr>
                <w:rFonts w:ascii="Arial" w:hAnsi="Arial" w:cs="Arial"/>
                <w:noProof/>
                <w:webHidden/>
              </w:rPr>
              <w:instrText xml:space="preserve"> PAGEREF _Toc77356799 \h </w:instrText>
            </w:r>
            <w:r w:rsidR="00B010A4" w:rsidRPr="00D720DA">
              <w:rPr>
                <w:rFonts w:ascii="Arial" w:hAnsi="Arial" w:cs="Arial"/>
                <w:noProof/>
                <w:webHidden/>
              </w:rPr>
            </w:r>
            <w:r w:rsidR="00B010A4" w:rsidRPr="00D720DA">
              <w:rPr>
                <w:rFonts w:ascii="Arial" w:hAnsi="Arial" w:cs="Arial"/>
                <w:noProof/>
                <w:webHidden/>
              </w:rPr>
              <w:fldChar w:fldCharType="separate"/>
            </w:r>
            <w:r w:rsidR="00652E35">
              <w:rPr>
                <w:rFonts w:ascii="Arial" w:hAnsi="Arial" w:cs="Arial"/>
                <w:noProof/>
                <w:webHidden/>
              </w:rPr>
              <w:t>14</w:t>
            </w:r>
            <w:r w:rsidR="00B010A4" w:rsidRPr="00D720DA">
              <w:rPr>
                <w:rFonts w:ascii="Arial" w:hAnsi="Arial" w:cs="Arial"/>
                <w:noProof/>
                <w:webHidden/>
              </w:rPr>
              <w:fldChar w:fldCharType="end"/>
            </w:r>
          </w:hyperlink>
        </w:p>
        <w:p w14:paraId="06876B1D" w14:textId="4E690278" w:rsidR="00B010A4" w:rsidRPr="00D720DA" w:rsidRDefault="00E00C0A">
          <w:pPr>
            <w:pStyle w:val="TOC1"/>
            <w:tabs>
              <w:tab w:val="left" w:pos="440"/>
              <w:tab w:val="right" w:leader="dot" w:pos="10194"/>
            </w:tabs>
            <w:rPr>
              <w:rFonts w:ascii="Arial" w:eastAsiaTheme="minorEastAsia" w:hAnsi="Arial" w:cs="Arial"/>
              <w:noProof/>
              <w:sz w:val="22"/>
              <w:lang w:val="en-US"/>
            </w:rPr>
          </w:pPr>
          <w:hyperlink w:anchor="_Toc77356800" w:history="1">
            <w:r w:rsidR="00B010A4" w:rsidRPr="00D720DA">
              <w:rPr>
                <w:rStyle w:val="Hyperlink"/>
                <w:rFonts w:ascii="Arial" w:hAnsi="Arial" w:cs="Arial"/>
                <w:noProof/>
              </w:rPr>
              <w:t>6</w:t>
            </w:r>
            <w:r w:rsidR="00B010A4" w:rsidRPr="00D720DA">
              <w:rPr>
                <w:rFonts w:ascii="Arial" w:eastAsiaTheme="minorEastAsia" w:hAnsi="Arial" w:cs="Arial"/>
                <w:noProof/>
                <w:sz w:val="22"/>
                <w:lang w:val="en-US"/>
              </w:rPr>
              <w:tab/>
            </w:r>
            <w:r w:rsidR="00B010A4" w:rsidRPr="00D720DA">
              <w:rPr>
                <w:rStyle w:val="Hyperlink"/>
                <w:rFonts w:ascii="Arial" w:hAnsi="Arial" w:cs="Arial"/>
                <w:noProof/>
              </w:rPr>
              <w:t>Workforce data</w:t>
            </w:r>
            <w:r w:rsidR="00B010A4" w:rsidRPr="00D720DA">
              <w:rPr>
                <w:rFonts w:ascii="Arial" w:hAnsi="Arial" w:cs="Arial"/>
                <w:noProof/>
                <w:webHidden/>
              </w:rPr>
              <w:tab/>
            </w:r>
            <w:r w:rsidR="00B010A4" w:rsidRPr="00D720DA">
              <w:rPr>
                <w:rFonts w:ascii="Arial" w:hAnsi="Arial" w:cs="Arial"/>
                <w:noProof/>
                <w:webHidden/>
              </w:rPr>
              <w:fldChar w:fldCharType="begin"/>
            </w:r>
            <w:r w:rsidR="00B010A4" w:rsidRPr="00D720DA">
              <w:rPr>
                <w:rFonts w:ascii="Arial" w:hAnsi="Arial" w:cs="Arial"/>
                <w:noProof/>
                <w:webHidden/>
              </w:rPr>
              <w:instrText xml:space="preserve"> PAGEREF _Toc77356800 \h </w:instrText>
            </w:r>
            <w:r w:rsidR="00B010A4" w:rsidRPr="00D720DA">
              <w:rPr>
                <w:rFonts w:ascii="Arial" w:hAnsi="Arial" w:cs="Arial"/>
                <w:noProof/>
                <w:webHidden/>
              </w:rPr>
            </w:r>
            <w:r w:rsidR="00B010A4" w:rsidRPr="00D720DA">
              <w:rPr>
                <w:rFonts w:ascii="Arial" w:hAnsi="Arial" w:cs="Arial"/>
                <w:noProof/>
                <w:webHidden/>
              </w:rPr>
              <w:fldChar w:fldCharType="separate"/>
            </w:r>
            <w:r w:rsidR="00652E35">
              <w:rPr>
                <w:rFonts w:ascii="Arial" w:hAnsi="Arial" w:cs="Arial"/>
                <w:noProof/>
                <w:webHidden/>
              </w:rPr>
              <w:t>19</w:t>
            </w:r>
            <w:r w:rsidR="00B010A4" w:rsidRPr="00D720DA">
              <w:rPr>
                <w:rFonts w:ascii="Arial" w:hAnsi="Arial" w:cs="Arial"/>
                <w:noProof/>
                <w:webHidden/>
              </w:rPr>
              <w:fldChar w:fldCharType="end"/>
            </w:r>
          </w:hyperlink>
        </w:p>
        <w:p w14:paraId="1424E89E" w14:textId="7B88A9B4" w:rsidR="00B010A4" w:rsidRPr="00D720DA" w:rsidRDefault="00E00C0A">
          <w:pPr>
            <w:pStyle w:val="TOC2"/>
            <w:tabs>
              <w:tab w:val="left" w:pos="880"/>
              <w:tab w:val="right" w:leader="dot" w:pos="10194"/>
            </w:tabs>
            <w:rPr>
              <w:rFonts w:ascii="Arial" w:eastAsiaTheme="minorEastAsia" w:hAnsi="Arial" w:cs="Arial"/>
              <w:noProof/>
              <w:sz w:val="22"/>
              <w:lang w:val="en-US"/>
            </w:rPr>
          </w:pPr>
          <w:hyperlink w:anchor="_Toc77356801" w:history="1">
            <w:r w:rsidR="00B010A4" w:rsidRPr="00D720DA">
              <w:rPr>
                <w:rStyle w:val="Hyperlink"/>
                <w:rFonts w:ascii="Arial" w:hAnsi="Arial" w:cs="Arial"/>
                <w:noProof/>
              </w:rPr>
              <w:t>6.1</w:t>
            </w:r>
            <w:r w:rsidR="00B010A4" w:rsidRPr="00D720DA">
              <w:rPr>
                <w:rFonts w:ascii="Arial" w:eastAsiaTheme="minorEastAsia" w:hAnsi="Arial" w:cs="Arial"/>
                <w:noProof/>
                <w:sz w:val="22"/>
                <w:lang w:val="en-US"/>
              </w:rPr>
              <w:tab/>
            </w:r>
            <w:r w:rsidR="00B010A4" w:rsidRPr="00D720DA">
              <w:rPr>
                <w:rStyle w:val="Hyperlink"/>
                <w:rFonts w:ascii="Arial" w:hAnsi="Arial" w:cs="Arial"/>
                <w:noProof/>
              </w:rPr>
              <w:t>State Service Workforce</w:t>
            </w:r>
            <w:r w:rsidR="00B010A4" w:rsidRPr="00D720DA">
              <w:rPr>
                <w:rFonts w:ascii="Arial" w:hAnsi="Arial" w:cs="Arial"/>
                <w:noProof/>
                <w:webHidden/>
              </w:rPr>
              <w:tab/>
            </w:r>
            <w:r w:rsidR="00B010A4" w:rsidRPr="00D720DA">
              <w:rPr>
                <w:rFonts w:ascii="Arial" w:hAnsi="Arial" w:cs="Arial"/>
                <w:noProof/>
                <w:webHidden/>
              </w:rPr>
              <w:fldChar w:fldCharType="begin"/>
            </w:r>
            <w:r w:rsidR="00B010A4" w:rsidRPr="00D720DA">
              <w:rPr>
                <w:rFonts w:ascii="Arial" w:hAnsi="Arial" w:cs="Arial"/>
                <w:noProof/>
                <w:webHidden/>
              </w:rPr>
              <w:instrText xml:space="preserve"> PAGEREF _Toc77356801 \h </w:instrText>
            </w:r>
            <w:r w:rsidR="00B010A4" w:rsidRPr="00D720DA">
              <w:rPr>
                <w:rFonts w:ascii="Arial" w:hAnsi="Arial" w:cs="Arial"/>
                <w:noProof/>
                <w:webHidden/>
              </w:rPr>
            </w:r>
            <w:r w:rsidR="00B010A4" w:rsidRPr="00D720DA">
              <w:rPr>
                <w:rFonts w:ascii="Arial" w:hAnsi="Arial" w:cs="Arial"/>
                <w:noProof/>
                <w:webHidden/>
              </w:rPr>
              <w:fldChar w:fldCharType="separate"/>
            </w:r>
            <w:r w:rsidR="00652E35">
              <w:rPr>
                <w:rFonts w:ascii="Arial" w:hAnsi="Arial" w:cs="Arial"/>
                <w:noProof/>
                <w:webHidden/>
              </w:rPr>
              <w:t>19</w:t>
            </w:r>
            <w:r w:rsidR="00B010A4" w:rsidRPr="00D720DA">
              <w:rPr>
                <w:rFonts w:ascii="Arial" w:hAnsi="Arial" w:cs="Arial"/>
                <w:noProof/>
                <w:webHidden/>
              </w:rPr>
              <w:fldChar w:fldCharType="end"/>
            </w:r>
          </w:hyperlink>
        </w:p>
        <w:p w14:paraId="66FCA7E6" w14:textId="7A11379B" w:rsidR="00B010A4" w:rsidRPr="00D720DA" w:rsidRDefault="00E00C0A">
          <w:pPr>
            <w:pStyle w:val="TOC2"/>
            <w:tabs>
              <w:tab w:val="left" w:pos="880"/>
              <w:tab w:val="right" w:leader="dot" w:pos="10194"/>
            </w:tabs>
            <w:rPr>
              <w:rFonts w:ascii="Arial" w:eastAsiaTheme="minorEastAsia" w:hAnsi="Arial" w:cs="Arial"/>
              <w:noProof/>
              <w:sz w:val="22"/>
              <w:lang w:val="en-US"/>
            </w:rPr>
          </w:pPr>
          <w:hyperlink w:anchor="_Toc77356802" w:history="1">
            <w:r w:rsidR="00B010A4" w:rsidRPr="00D720DA">
              <w:rPr>
                <w:rStyle w:val="Hyperlink"/>
                <w:rFonts w:ascii="Arial" w:hAnsi="Arial" w:cs="Arial"/>
                <w:noProof/>
              </w:rPr>
              <w:t>6.2</w:t>
            </w:r>
            <w:r w:rsidR="00B010A4" w:rsidRPr="00D720DA">
              <w:rPr>
                <w:rFonts w:ascii="Arial" w:eastAsiaTheme="minorEastAsia" w:hAnsi="Arial" w:cs="Arial"/>
                <w:noProof/>
                <w:sz w:val="22"/>
                <w:lang w:val="en-US"/>
              </w:rPr>
              <w:tab/>
            </w:r>
            <w:r w:rsidR="00B010A4" w:rsidRPr="00D720DA">
              <w:rPr>
                <w:rStyle w:val="Hyperlink"/>
                <w:rFonts w:ascii="Arial" w:hAnsi="Arial" w:cs="Arial"/>
                <w:noProof/>
              </w:rPr>
              <w:t>Senior Executive Service</w:t>
            </w:r>
            <w:r w:rsidR="00B010A4" w:rsidRPr="00D720DA">
              <w:rPr>
                <w:rFonts w:ascii="Arial" w:hAnsi="Arial" w:cs="Arial"/>
                <w:noProof/>
                <w:webHidden/>
              </w:rPr>
              <w:tab/>
            </w:r>
            <w:r w:rsidR="00B010A4" w:rsidRPr="00D720DA">
              <w:rPr>
                <w:rFonts w:ascii="Arial" w:hAnsi="Arial" w:cs="Arial"/>
                <w:noProof/>
                <w:webHidden/>
              </w:rPr>
              <w:fldChar w:fldCharType="begin"/>
            </w:r>
            <w:r w:rsidR="00B010A4" w:rsidRPr="00D720DA">
              <w:rPr>
                <w:rFonts w:ascii="Arial" w:hAnsi="Arial" w:cs="Arial"/>
                <w:noProof/>
                <w:webHidden/>
              </w:rPr>
              <w:instrText xml:space="preserve"> PAGEREF _Toc77356802 \h </w:instrText>
            </w:r>
            <w:r w:rsidR="00B010A4" w:rsidRPr="00D720DA">
              <w:rPr>
                <w:rFonts w:ascii="Arial" w:hAnsi="Arial" w:cs="Arial"/>
                <w:noProof/>
                <w:webHidden/>
              </w:rPr>
            </w:r>
            <w:r w:rsidR="00B010A4" w:rsidRPr="00D720DA">
              <w:rPr>
                <w:rFonts w:ascii="Arial" w:hAnsi="Arial" w:cs="Arial"/>
                <w:noProof/>
                <w:webHidden/>
              </w:rPr>
              <w:fldChar w:fldCharType="separate"/>
            </w:r>
            <w:r w:rsidR="00652E35">
              <w:rPr>
                <w:rFonts w:ascii="Arial" w:hAnsi="Arial" w:cs="Arial"/>
                <w:noProof/>
                <w:webHidden/>
              </w:rPr>
              <w:t>19</w:t>
            </w:r>
            <w:r w:rsidR="00B010A4" w:rsidRPr="00D720DA">
              <w:rPr>
                <w:rFonts w:ascii="Arial" w:hAnsi="Arial" w:cs="Arial"/>
                <w:noProof/>
                <w:webHidden/>
              </w:rPr>
              <w:fldChar w:fldCharType="end"/>
            </w:r>
          </w:hyperlink>
        </w:p>
        <w:p w14:paraId="05C20CBB" w14:textId="3C42ED7F" w:rsidR="00B010A4" w:rsidRPr="00D720DA" w:rsidRDefault="00E00C0A">
          <w:pPr>
            <w:pStyle w:val="TOC2"/>
            <w:tabs>
              <w:tab w:val="left" w:pos="880"/>
              <w:tab w:val="right" w:leader="dot" w:pos="10194"/>
            </w:tabs>
            <w:rPr>
              <w:rFonts w:ascii="Arial" w:eastAsiaTheme="minorEastAsia" w:hAnsi="Arial" w:cs="Arial"/>
              <w:noProof/>
              <w:sz w:val="22"/>
              <w:lang w:val="en-US"/>
            </w:rPr>
          </w:pPr>
          <w:hyperlink w:anchor="_Toc77356803" w:history="1">
            <w:r w:rsidR="00B010A4" w:rsidRPr="00D720DA">
              <w:rPr>
                <w:rStyle w:val="Hyperlink"/>
                <w:rFonts w:ascii="Arial" w:hAnsi="Arial" w:cs="Arial"/>
                <w:noProof/>
              </w:rPr>
              <w:t>6.3</w:t>
            </w:r>
            <w:r w:rsidR="00B010A4" w:rsidRPr="00D720DA">
              <w:rPr>
                <w:rFonts w:ascii="Arial" w:eastAsiaTheme="minorEastAsia" w:hAnsi="Arial" w:cs="Arial"/>
                <w:noProof/>
                <w:sz w:val="22"/>
                <w:lang w:val="en-US"/>
              </w:rPr>
              <w:tab/>
            </w:r>
            <w:r w:rsidR="00B010A4" w:rsidRPr="00D720DA">
              <w:rPr>
                <w:rStyle w:val="Hyperlink"/>
                <w:rFonts w:ascii="Arial" w:hAnsi="Arial" w:cs="Arial"/>
                <w:noProof/>
              </w:rPr>
              <w:t>Table – Tasmania State Service permanent employees 1999, 2009 and 2019</w:t>
            </w:r>
            <w:r w:rsidR="00B010A4" w:rsidRPr="00D720DA">
              <w:rPr>
                <w:rFonts w:ascii="Arial" w:hAnsi="Arial" w:cs="Arial"/>
                <w:noProof/>
                <w:webHidden/>
              </w:rPr>
              <w:tab/>
            </w:r>
            <w:r w:rsidR="00B010A4" w:rsidRPr="00D720DA">
              <w:rPr>
                <w:rFonts w:ascii="Arial" w:hAnsi="Arial" w:cs="Arial"/>
                <w:noProof/>
                <w:webHidden/>
              </w:rPr>
              <w:fldChar w:fldCharType="begin"/>
            </w:r>
            <w:r w:rsidR="00B010A4" w:rsidRPr="00D720DA">
              <w:rPr>
                <w:rFonts w:ascii="Arial" w:hAnsi="Arial" w:cs="Arial"/>
                <w:noProof/>
                <w:webHidden/>
              </w:rPr>
              <w:instrText xml:space="preserve"> PAGEREF _Toc77356803 \h </w:instrText>
            </w:r>
            <w:r w:rsidR="00B010A4" w:rsidRPr="00D720DA">
              <w:rPr>
                <w:rFonts w:ascii="Arial" w:hAnsi="Arial" w:cs="Arial"/>
                <w:noProof/>
                <w:webHidden/>
              </w:rPr>
            </w:r>
            <w:r w:rsidR="00B010A4" w:rsidRPr="00D720DA">
              <w:rPr>
                <w:rFonts w:ascii="Arial" w:hAnsi="Arial" w:cs="Arial"/>
                <w:noProof/>
                <w:webHidden/>
              </w:rPr>
              <w:fldChar w:fldCharType="separate"/>
            </w:r>
            <w:r w:rsidR="00652E35">
              <w:rPr>
                <w:rFonts w:ascii="Arial" w:hAnsi="Arial" w:cs="Arial"/>
                <w:noProof/>
                <w:webHidden/>
              </w:rPr>
              <w:t>20</w:t>
            </w:r>
            <w:r w:rsidR="00B010A4" w:rsidRPr="00D720DA">
              <w:rPr>
                <w:rFonts w:ascii="Arial" w:hAnsi="Arial" w:cs="Arial"/>
                <w:noProof/>
                <w:webHidden/>
              </w:rPr>
              <w:fldChar w:fldCharType="end"/>
            </w:r>
          </w:hyperlink>
        </w:p>
        <w:p w14:paraId="006F242D" w14:textId="5F27CF00" w:rsidR="00B010A4" w:rsidRPr="00D720DA" w:rsidRDefault="00E00C0A">
          <w:pPr>
            <w:pStyle w:val="TOC1"/>
            <w:tabs>
              <w:tab w:val="left" w:pos="440"/>
              <w:tab w:val="right" w:leader="dot" w:pos="10194"/>
            </w:tabs>
            <w:rPr>
              <w:rFonts w:ascii="Arial" w:eastAsiaTheme="minorEastAsia" w:hAnsi="Arial" w:cs="Arial"/>
              <w:noProof/>
              <w:sz w:val="22"/>
              <w:lang w:val="en-US"/>
            </w:rPr>
          </w:pPr>
          <w:hyperlink w:anchor="_Toc77356804" w:history="1">
            <w:r w:rsidR="00B010A4" w:rsidRPr="00D720DA">
              <w:rPr>
                <w:rStyle w:val="Hyperlink"/>
                <w:rFonts w:ascii="Arial" w:hAnsi="Arial" w:cs="Arial"/>
                <w:noProof/>
              </w:rPr>
              <w:t>7</w:t>
            </w:r>
            <w:r w:rsidR="00B010A4" w:rsidRPr="00D720DA">
              <w:rPr>
                <w:rFonts w:ascii="Arial" w:eastAsiaTheme="minorEastAsia" w:hAnsi="Arial" w:cs="Arial"/>
                <w:noProof/>
                <w:sz w:val="22"/>
                <w:lang w:val="en-US"/>
              </w:rPr>
              <w:tab/>
            </w:r>
            <w:r w:rsidR="00B010A4" w:rsidRPr="00D720DA">
              <w:rPr>
                <w:rStyle w:val="Hyperlink"/>
                <w:rFonts w:ascii="Arial" w:hAnsi="Arial" w:cs="Arial"/>
                <w:noProof/>
              </w:rPr>
              <w:t>References</w:t>
            </w:r>
            <w:r w:rsidR="00B010A4" w:rsidRPr="00D720DA">
              <w:rPr>
                <w:rFonts w:ascii="Arial" w:hAnsi="Arial" w:cs="Arial"/>
                <w:noProof/>
                <w:webHidden/>
              </w:rPr>
              <w:tab/>
            </w:r>
            <w:r w:rsidR="00B010A4" w:rsidRPr="00D720DA">
              <w:rPr>
                <w:rFonts w:ascii="Arial" w:hAnsi="Arial" w:cs="Arial"/>
                <w:noProof/>
                <w:webHidden/>
              </w:rPr>
              <w:fldChar w:fldCharType="begin"/>
            </w:r>
            <w:r w:rsidR="00B010A4" w:rsidRPr="00D720DA">
              <w:rPr>
                <w:rFonts w:ascii="Arial" w:hAnsi="Arial" w:cs="Arial"/>
                <w:noProof/>
                <w:webHidden/>
              </w:rPr>
              <w:instrText xml:space="preserve"> PAGEREF _Toc77356804 \h </w:instrText>
            </w:r>
            <w:r w:rsidR="00B010A4" w:rsidRPr="00D720DA">
              <w:rPr>
                <w:rFonts w:ascii="Arial" w:hAnsi="Arial" w:cs="Arial"/>
                <w:noProof/>
                <w:webHidden/>
              </w:rPr>
            </w:r>
            <w:r w:rsidR="00B010A4" w:rsidRPr="00D720DA">
              <w:rPr>
                <w:rFonts w:ascii="Arial" w:hAnsi="Arial" w:cs="Arial"/>
                <w:noProof/>
                <w:webHidden/>
              </w:rPr>
              <w:fldChar w:fldCharType="separate"/>
            </w:r>
            <w:r w:rsidR="00652E35">
              <w:rPr>
                <w:rFonts w:ascii="Arial" w:hAnsi="Arial" w:cs="Arial"/>
                <w:noProof/>
                <w:webHidden/>
              </w:rPr>
              <w:t>22</w:t>
            </w:r>
            <w:r w:rsidR="00B010A4" w:rsidRPr="00D720DA">
              <w:rPr>
                <w:rFonts w:ascii="Arial" w:hAnsi="Arial" w:cs="Arial"/>
                <w:noProof/>
                <w:webHidden/>
              </w:rPr>
              <w:fldChar w:fldCharType="end"/>
            </w:r>
          </w:hyperlink>
        </w:p>
        <w:p w14:paraId="42CB7557" w14:textId="48C8A84C" w:rsidR="00B010A4" w:rsidRPr="00D720DA" w:rsidRDefault="00E00C0A">
          <w:pPr>
            <w:pStyle w:val="TOC1"/>
            <w:tabs>
              <w:tab w:val="left" w:pos="440"/>
              <w:tab w:val="right" w:leader="dot" w:pos="10194"/>
            </w:tabs>
            <w:rPr>
              <w:rFonts w:ascii="Arial" w:eastAsiaTheme="minorEastAsia" w:hAnsi="Arial" w:cs="Arial"/>
              <w:noProof/>
              <w:sz w:val="22"/>
              <w:lang w:val="en-US"/>
            </w:rPr>
          </w:pPr>
          <w:hyperlink w:anchor="_Toc77356805" w:history="1">
            <w:r w:rsidR="00B010A4" w:rsidRPr="00D720DA">
              <w:rPr>
                <w:rStyle w:val="Hyperlink"/>
                <w:rFonts w:ascii="Arial" w:hAnsi="Arial" w:cs="Arial"/>
                <w:bCs/>
                <w:noProof/>
              </w:rPr>
              <w:t>8</w:t>
            </w:r>
            <w:r w:rsidR="00B010A4" w:rsidRPr="00D720DA">
              <w:rPr>
                <w:rFonts w:ascii="Arial" w:eastAsiaTheme="minorEastAsia" w:hAnsi="Arial" w:cs="Arial"/>
                <w:noProof/>
                <w:sz w:val="22"/>
                <w:lang w:val="en-US"/>
              </w:rPr>
              <w:tab/>
            </w:r>
            <w:r w:rsidR="00B010A4" w:rsidRPr="00D720DA">
              <w:rPr>
                <w:rStyle w:val="Hyperlink"/>
                <w:rFonts w:ascii="Arial" w:hAnsi="Arial" w:cs="Arial"/>
                <w:noProof/>
              </w:rPr>
              <w:t xml:space="preserve">Appendix– </w:t>
            </w:r>
            <w:r w:rsidR="00B010A4" w:rsidRPr="00D720DA">
              <w:rPr>
                <w:rStyle w:val="Hyperlink"/>
                <w:rFonts w:ascii="Arial" w:hAnsi="Arial" w:cs="Arial"/>
                <w:bCs/>
                <w:noProof/>
              </w:rPr>
              <w:t>Extracts from Annual Reports, State Service Directions and Policies, Legislation</w:t>
            </w:r>
            <w:r w:rsidR="00B010A4" w:rsidRPr="00D720DA">
              <w:rPr>
                <w:rFonts w:ascii="Arial" w:hAnsi="Arial" w:cs="Arial"/>
                <w:noProof/>
                <w:webHidden/>
              </w:rPr>
              <w:tab/>
            </w:r>
            <w:r w:rsidR="00B010A4" w:rsidRPr="00D720DA">
              <w:rPr>
                <w:rFonts w:ascii="Arial" w:hAnsi="Arial" w:cs="Arial"/>
                <w:noProof/>
                <w:webHidden/>
              </w:rPr>
              <w:fldChar w:fldCharType="begin"/>
            </w:r>
            <w:r w:rsidR="00B010A4" w:rsidRPr="00D720DA">
              <w:rPr>
                <w:rFonts w:ascii="Arial" w:hAnsi="Arial" w:cs="Arial"/>
                <w:noProof/>
                <w:webHidden/>
              </w:rPr>
              <w:instrText xml:space="preserve"> PAGEREF _Toc77356805 \h </w:instrText>
            </w:r>
            <w:r w:rsidR="00B010A4" w:rsidRPr="00D720DA">
              <w:rPr>
                <w:rFonts w:ascii="Arial" w:hAnsi="Arial" w:cs="Arial"/>
                <w:noProof/>
                <w:webHidden/>
              </w:rPr>
            </w:r>
            <w:r w:rsidR="00B010A4" w:rsidRPr="00D720DA">
              <w:rPr>
                <w:rFonts w:ascii="Arial" w:hAnsi="Arial" w:cs="Arial"/>
                <w:noProof/>
                <w:webHidden/>
              </w:rPr>
              <w:fldChar w:fldCharType="separate"/>
            </w:r>
            <w:r w:rsidR="00652E35">
              <w:rPr>
                <w:rFonts w:ascii="Arial" w:hAnsi="Arial" w:cs="Arial"/>
                <w:noProof/>
                <w:webHidden/>
              </w:rPr>
              <w:t>28</w:t>
            </w:r>
            <w:r w:rsidR="00B010A4" w:rsidRPr="00D720DA">
              <w:rPr>
                <w:rFonts w:ascii="Arial" w:hAnsi="Arial" w:cs="Arial"/>
                <w:noProof/>
                <w:webHidden/>
              </w:rPr>
              <w:fldChar w:fldCharType="end"/>
            </w:r>
          </w:hyperlink>
        </w:p>
        <w:p w14:paraId="497C15BE" w14:textId="3DCD34A8" w:rsidR="003237AD" w:rsidRPr="00D720DA" w:rsidRDefault="00955D6A" w:rsidP="00D720DA">
          <w:pPr>
            <w:rPr>
              <w:rFonts w:ascii="Arial" w:hAnsi="Arial" w:cs="Arial"/>
            </w:rPr>
          </w:pPr>
          <w:r w:rsidRPr="00D720DA">
            <w:rPr>
              <w:rFonts w:ascii="Arial" w:hAnsi="Arial" w:cs="Arial"/>
              <w:b/>
              <w:bCs/>
              <w:noProof/>
            </w:rPr>
            <w:fldChar w:fldCharType="end"/>
          </w:r>
        </w:p>
      </w:sdtContent>
    </w:sdt>
    <w:p w14:paraId="582A3C55" w14:textId="38CA71CA" w:rsidR="00152F59" w:rsidRPr="00D720DA" w:rsidRDefault="005B179E" w:rsidP="00152F59">
      <w:pPr>
        <w:spacing w:after="0"/>
        <w:rPr>
          <w:rFonts w:ascii="Arial" w:hAnsi="Arial" w:cs="Arial"/>
          <w:b/>
          <w:szCs w:val="24"/>
          <w:u w:val="single"/>
        </w:rPr>
      </w:pPr>
      <w:r w:rsidRPr="00D720DA">
        <w:rPr>
          <w:rFonts w:ascii="Arial" w:hAnsi="Arial" w:cs="Arial"/>
          <w:b/>
          <w:szCs w:val="24"/>
          <w:u w:val="single"/>
        </w:rPr>
        <w:t>Glossary</w:t>
      </w:r>
    </w:p>
    <w:p w14:paraId="2F136A30" w14:textId="16DD845D" w:rsidR="00152F59" w:rsidRPr="00D720DA" w:rsidRDefault="00152F59" w:rsidP="00152F59">
      <w:pPr>
        <w:spacing w:after="0"/>
        <w:rPr>
          <w:rFonts w:ascii="Arial" w:hAnsi="Arial" w:cs="Arial"/>
          <w:b/>
          <w:sz w:val="28"/>
          <w:szCs w:val="28"/>
          <w:u w:val="single"/>
        </w:rPr>
      </w:pPr>
    </w:p>
    <w:p w14:paraId="2F94715F" w14:textId="3B3C9FCB" w:rsidR="00847BC3" w:rsidRPr="00D720DA" w:rsidRDefault="00847BC3" w:rsidP="003237AD">
      <w:pPr>
        <w:spacing w:after="0" w:line="360" w:lineRule="auto"/>
        <w:rPr>
          <w:rFonts w:ascii="Arial" w:hAnsi="Arial" w:cs="Arial"/>
          <w:bCs/>
        </w:rPr>
      </w:pPr>
      <w:r w:rsidRPr="00D720DA">
        <w:rPr>
          <w:rFonts w:ascii="Arial" w:hAnsi="Arial" w:cs="Arial"/>
          <w:bCs/>
        </w:rPr>
        <w:t>OSSC – Office of the State Service Commissioner</w:t>
      </w:r>
    </w:p>
    <w:p w14:paraId="4B2B9DDB" w14:textId="2CD2D725" w:rsidR="00152F59" w:rsidRPr="00D720DA" w:rsidRDefault="00152F59" w:rsidP="003237AD">
      <w:pPr>
        <w:spacing w:after="0" w:line="360" w:lineRule="auto"/>
        <w:rPr>
          <w:rFonts w:ascii="Arial" w:hAnsi="Arial" w:cs="Arial"/>
          <w:bCs/>
        </w:rPr>
      </w:pPr>
      <w:r w:rsidRPr="00D720DA">
        <w:rPr>
          <w:rFonts w:ascii="Arial" w:hAnsi="Arial" w:cs="Arial"/>
          <w:bCs/>
        </w:rPr>
        <w:t>SSA – State Service Act</w:t>
      </w:r>
    </w:p>
    <w:p w14:paraId="2D77688C" w14:textId="1561F2CC" w:rsidR="00152F59" w:rsidRPr="00D720DA" w:rsidRDefault="00152F59" w:rsidP="003237AD">
      <w:pPr>
        <w:spacing w:after="0" w:line="360" w:lineRule="auto"/>
        <w:rPr>
          <w:rFonts w:ascii="Arial" w:hAnsi="Arial" w:cs="Arial"/>
          <w:bCs/>
        </w:rPr>
      </w:pPr>
      <w:r w:rsidRPr="00D720DA">
        <w:rPr>
          <w:rFonts w:ascii="Arial" w:hAnsi="Arial" w:cs="Arial"/>
          <w:bCs/>
        </w:rPr>
        <w:t>SSMO – State Service Management Office</w:t>
      </w:r>
    </w:p>
    <w:p w14:paraId="69AC441D" w14:textId="0B494286" w:rsidR="00847BC3" w:rsidRPr="00D720DA" w:rsidRDefault="00847BC3" w:rsidP="003237AD">
      <w:pPr>
        <w:spacing w:after="0" w:line="360" w:lineRule="auto"/>
        <w:rPr>
          <w:rFonts w:ascii="Arial" w:hAnsi="Arial" w:cs="Arial"/>
          <w:bCs/>
        </w:rPr>
      </w:pPr>
      <w:r w:rsidRPr="00D720DA">
        <w:rPr>
          <w:rFonts w:ascii="Arial" w:hAnsi="Arial" w:cs="Arial"/>
          <w:bCs/>
        </w:rPr>
        <w:t>TSS – Tasmania</w:t>
      </w:r>
      <w:r w:rsidR="00C1319D" w:rsidRPr="00D720DA">
        <w:rPr>
          <w:rFonts w:ascii="Arial" w:hAnsi="Arial" w:cs="Arial"/>
          <w:bCs/>
        </w:rPr>
        <w:t>n</w:t>
      </w:r>
      <w:r w:rsidRPr="00D720DA">
        <w:rPr>
          <w:rFonts w:ascii="Arial" w:hAnsi="Arial" w:cs="Arial"/>
          <w:bCs/>
        </w:rPr>
        <w:t xml:space="preserve"> State Service</w:t>
      </w:r>
    </w:p>
    <w:p w14:paraId="4DDBBA63" w14:textId="64A7714D" w:rsidR="005210BB" w:rsidRPr="00D720DA" w:rsidRDefault="005210BB" w:rsidP="003237AD">
      <w:pPr>
        <w:spacing w:after="0" w:line="360" w:lineRule="auto"/>
        <w:rPr>
          <w:rFonts w:ascii="Arial" w:hAnsi="Arial" w:cs="Arial"/>
          <w:bCs/>
        </w:rPr>
      </w:pPr>
      <w:r w:rsidRPr="00D720DA">
        <w:rPr>
          <w:rFonts w:ascii="Arial" w:hAnsi="Arial" w:cs="Arial"/>
          <w:bCs/>
        </w:rPr>
        <w:t>WRIP – Workforce Renewal Incentive Program</w:t>
      </w:r>
    </w:p>
    <w:p w14:paraId="4EE2A10D" w14:textId="77777777" w:rsidR="000B021F" w:rsidRPr="00D720DA" w:rsidRDefault="000B021F" w:rsidP="003237AD">
      <w:pPr>
        <w:spacing w:after="0" w:line="360" w:lineRule="auto"/>
        <w:rPr>
          <w:rFonts w:ascii="Arial" w:hAnsi="Arial" w:cs="Arial"/>
          <w:bCs/>
        </w:rPr>
      </w:pPr>
    </w:p>
    <w:p w14:paraId="2E5F847F" w14:textId="77777777" w:rsidR="00652E35" w:rsidRDefault="00652E35">
      <w:pPr>
        <w:spacing w:before="0" w:after="200" w:line="276" w:lineRule="auto"/>
        <w:rPr>
          <w:rFonts w:ascii="Arial" w:eastAsiaTheme="majorEastAsia" w:hAnsi="Arial" w:cs="Arial"/>
          <w:b/>
          <w:sz w:val="28"/>
          <w:szCs w:val="32"/>
          <w:u w:val="single"/>
          <w:lang w:val="en-US"/>
        </w:rPr>
      </w:pPr>
      <w:bookmarkStart w:id="0" w:name="_Toc77356787"/>
      <w:bookmarkStart w:id="1" w:name="_Toc506554096"/>
      <w:bookmarkStart w:id="2" w:name="_Hlk508814664"/>
      <w:r>
        <w:rPr>
          <w:rFonts w:ascii="Arial" w:hAnsi="Arial" w:cs="Arial"/>
          <w:lang w:val="en-US"/>
        </w:rPr>
        <w:br w:type="page"/>
      </w:r>
    </w:p>
    <w:p w14:paraId="0728C42A" w14:textId="41E94DEE" w:rsidR="006F6AC1" w:rsidRPr="00D720DA" w:rsidRDefault="007825E7" w:rsidP="004B3184">
      <w:pPr>
        <w:pStyle w:val="Heading1"/>
        <w:rPr>
          <w:rFonts w:ascii="Arial" w:hAnsi="Arial" w:cs="Arial"/>
          <w:lang w:val="en-US"/>
        </w:rPr>
      </w:pPr>
      <w:r w:rsidRPr="00D720DA">
        <w:rPr>
          <w:rFonts w:ascii="Arial" w:hAnsi="Arial" w:cs="Arial"/>
          <w:lang w:val="en-US"/>
        </w:rPr>
        <w:lastRenderedPageBreak/>
        <w:t>Tasmanian governments, public service institutions and commissioners</w:t>
      </w:r>
      <w:bookmarkEnd w:id="0"/>
    </w:p>
    <w:p w14:paraId="5C8FCF7E" w14:textId="564E82CA" w:rsidR="006B4FB7" w:rsidRPr="00D720DA" w:rsidRDefault="006B4FB7">
      <w:pPr>
        <w:rPr>
          <w:rFonts w:ascii="Arial" w:eastAsiaTheme="majorEastAsia" w:hAnsi="Arial" w:cs="Arial"/>
          <w:b/>
          <w:szCs w:val="26"/>
          <w:u w:val="single"/>
          <w:lang w:val="en-US"/>
        </w:rPr>
      </w:pPr>
    </w:p>
    <w:p w14:paraId="1418004C" w14:textId="7C5AADC0" w:rsidR="00886F22" w:rsidRPr="00D720DA" w:rsidRDefault="00886F22" w:rsidP="00D47100">
      <w:pPr>
        <w:pStyle w:val="Table"/>
        <w:rPr>
          <w:rFonts w:ascii="Arial" w:hAnsi="Arial" w:cs="Arial"/>
          <w:b/>
          <w:bCs/>
          <w:lang w:val="en-US"/>
        </w:rPr>
      </w:pPr>
      <w:r w:rsidRPr="00D720DA">
        <w:rPr>
          <w:rFonts w:ascii="Arial" w:hAnsi="Arial" w:cs="Arial"/>
          <w:b/>
          <w:bCs/>
          <w:lang w:val="en-US"/>
        </w:rPr>
        <w:t>Summary</w:t>
      </w:r>
      <w:bookmarkEnd w:id="1"/>
      <w:r w:rsidR="00955D6A" w:rsidRPr="00D720DA">
        <w:rPr>
          <w:rFonts w:ascii="Arial" w:hAnsi="Arial" w:cs="Arial"/>
          <w:b/>
          <w:bCs/>
          <w:lang w:val="en-US"/>
        </w:rPr>
        <w:t xml:space="preserve"> table</w:t>
      </w:r>
    </w:p>
    <w:tbl>
      <w:tblPr>
        <w:tblW w:w="10262" w:type="dxa"/>
        <w:tblCellSpacing w:w="0" w:type="dxa"/>
        <w:tblBorders>
          <w:top w:val="outset" w:sz="6" w:space="0" w:color="CCCCCC"/>
          <w:left w:val="outset" w:sz="6" w:space="0" w:color="CCCCCC"/>
          <w:bottom w:val="outset" w:sz="6" w:space="0" w:color="CCCCCC"/>
          <w:right w:val="outset" w:sz="6" w:space="0" w:color="CCCCCC"/>
        </w:tblBorders>
        <w:tblLayout w:type="fixed"/>
        <w:tblCellMar>
          <w:top w:w="75" w:type="dxa"/>
          <w:left w:w="75" w:type="dxa"/>
          <w:bottom w:w="75" w:type="dxa"/>
          <w:right w:w="75" w:type="dxa"/>
        </w:tblCellMar>
        <w:tblLook w:val="04A0" w:firstRow="1" w:lastRow="0" w:firstColumn="1" w:lastColumn="0" w:noHBand="0" w:noVBand="1"/>
      </w:tblPr>
      <w:tblGrid>
        <w:gridCol w:w="985"/>
        <w:gridCol w:w="850"/>
        <w:gridCol w:w="1134"/>
        <w:gridCol w:w="851"/>
        <w:gridCol w:w="2409"/>
        <w:gridCol w:w="2835"/>
        <w:gridCol w:w="1198"/>
      </w:tblGrid>
      <w:tr w:rsidR="00F70362" w:rsidRPr="00D720DA" w14:paraId="780B685A" w14:textId="77777777" w:rsidTr="00064531">
        <w:trPr>
          <w:trHeight w:val="482"/>
          <w:tblCellSpacing w:w="0" w:type="dxa"/>
        </w:trPr>
        <w:tc>
          <w:tcPr>
            <w:tcW w:w="985" w:type="dxa"/>
            <w:tcBorders>
              <w:top w:val="outset" w:sz="6" w:space="0" w:color="auto"/>
              <w:left w:val="outset" w:sz="6" w:space="0" w:color="auto"/>
              <w:bottom w:val="outset" w:sz="6" w:space="0" w:color="auto"/>
              <w:right w:val="outset" w:sz="6" w:space="0" w:color="auto"/>
            </w:tcBorders>
            <w:vAlign w:val="center"/>
            <w:hideMark/>
          </w:tcPr>
          <w:p w14:paraId="08D56D58" w14:textId="5162F6E7" w:rsidR="00F70362" w:rsidRPr="00D720DA" w:rsidRDefault="00E70AAD" w:rsidP="005B0E11">
            <w:pPr>
              <w:spacing w:before="40"/>
              <w:rPr>
                <w:rFonts w:ascii="Arial" w:hAnsi="Arial" w:cs="Arial"/>
                <w:b/>
                <w:bCs/>
                <w:sz w:val="20"/>
                <w:szCs w:val="20"/>
              </w:rPr>
            </w:pPr>
            <w:r>
              <w:rPr>
                <w:rFonts w:ascii="Arial" w:hAnsi="Arial" w:cs="Arial"/>
                <w:b/>
                <w:bCs/>
                <w:sz w:val="20"/>
                <w:szCs w:val="20"/>
              </w:rPr>
              <w:t>Took</w:t>
            </w:r>
            <w:r w:rsidR="00404086" w:rsidRPr="00D720DA">
              <w:rPr>
                <w:rFonts w:ascii="Arial" w:hAnsi="Arial" w:cs="Arial"/>
                <w:b/>
                <w:bCs/>
                <w:sz w:val="20"/>
                <w:szCs w:val="20"/>
              </w:rPr>
              <w:t xml:space="preserve"> Office</w:t>
            </w:r>
            <w:r w:rsidR="00F70362" w:rsidRPr="00D720DA">
              <w:rPr>
                <w:rFonts w:ascii="Arial" w:hAnsi="Arial" w:cs="Arial"/>
                <w:b/>
                <w:bCs/>
                <w:sz w:val="20"/>
                <w:szCs w:val="20"/>
              </w:rPr>
              <w:t xml:space="preserve"> </w:t>
            </w:r>
          </w:p>
        </w:tc>
        <w:tc>
          <w:tcPr>
            <w:tcW w:w="850" w:type="dxa"/>
            <w:tcBorders>
              <w:top w:val="outset" w:sz="6" w:space="0" w:color="auto"/>
              <w:left w:val="outset" w:sz="6" w:space="0" w:color="auto"/>
              <w:bottom w:val="outset" w:sz="6" w:space="0" w:color="auto"/>
              <w:right w:val="outset" w:sz="6" w:space="0" w:color="auto"/>
            </w:tcBorders>
            <w:vAlign w:val="center"/>
            <w:hideMark/>
          </w:tcPr>
          <w:p w14:paraId="7ED07C97" w14:textId="4B16C8C0" w:rsidR="00F70362" w:rsidRPr="00D720DA" w:rsidRDefault="00F70362" w:rsidP="005B0E11">
            <w:pPr>
              <w:spacing w:before="40"/>
              <w:rPr>
                <w:rFonts w:ascii="Arial" w:hAnsi="Arial" w:cs="Arial"/>
                <w:b/>
                <w:bCs/>
                <w:sz w:val="20"/>
                <w:szCs w:val="20"/>
                <w:lang w:eastAsia="en-AU"/>
              </w:rPr>
            </w:pPr>
            <w:r w:rsidRPr="00D720DA">
              <w:rPr>
                <w:rFonts w:ascii="Arial" w:hAnsi="Arial" w:cs="Arial"/>
                <w:b/>
                <w:bCs/>
                <w:sz w:val="20"/>
                <w:szCs w:val="20"/>
                <w:lang w:eastAsia="en-AU"/>
              </w:rPr>
              <w:t>Left Office</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F48B2D4" w14:textId="77777777" w:rsidR="00F70362" w:rsidRPr="00D720DA" w:rsidRDefault="00F70362" w:rsidP="005B0E11">
            <w:pPr>
              <w:spacing w:before="40"/>
              <w:rPr>
                <w:rFonts w:ascii="Arial" w:hAnsi="Arial" w:cs="Arial"/>
                <w:b/>
                <w:bCs/>
                <w:sz w:val="20"/>
                <w:szCs w:val="20"/>
                <w:lang w:eastAsia="en-AU"/>
              </w:rPr>
            </w:pPr>
            <w:r w:rsidRPr="00D720DA">
              <w:rPr>
                <w:rFonts w:ascii="Arial" w:hAnsi="Arial" w:cs="Arial"/>
                <w:b/>
                <w:bCs/>
                <w:sz w:val="20"/>
                <w:szCs w:val="20"/>
                <w:lang w:eastAsia="en-AU"/>
              </w:rPr>
              <w:t>Premier</w:t>
            </w:r>
          </w:p>
        </w:tc>
        <w:tc>
          <w:tcPr>
            <w:tcW w:w="851" w:type="dxa"/>
            <w:tcBorders>
              <w:top w:val="outset" w:sz="6" w:space="0" w:color="auto"/>
              <w:left w:val="outset" w:sz="6" w:space="0" w:color="auto"/>
              <w:bottom w:val="outset" w:sz="6" w:space="0" w:color="auto"/>
              <w:right w:val="outset" w:sz="6" w:space="0" w:color="auto"/>
            </w:tcBorders>
            <w:vAlign w:val="center"/>
            <w:hideMark/>
          </w:tcPr>
          <w:p w14:paraId="4301402A" w14:textId="77777777" w:rsidR="00F70362" w:rsidRPr="00D720DA" w:rsidRDefault="00F70362" w:rsidP="005B0E11">
            <w:pPr>
              <w:spacing w:before="40"/>
              <w:rPr>
                <w:rFonts w:ascii="Arial" w:hAnsi="Arial" w:cs="Arial"/>
                <w:b/>
                <w:bCs/>
                <w:sz w:val="20"/>
                <w:szCs w:val="20"/>
                <w:lang w:eastAsia="en-AU"/>
              </w:rPr>
            </w:pPr>
            <w:r w:rsidRPr="00D720DA">
              <w:rPr>
                <w:rFonts w:ascii="Arial" w:hAnsi="Arial" w:cs="Arial"/>
                <w:b/>
                <w:bCs/>
                <w:sz w:val="20"/>
                <w:szCs w:val="20"/>
                <w:lang w:eastAsia="en-AU"/>
              </w:rPr>
              <w:t>Party</w:t>
            </w:r>
          </w:p>
        </w:tc>
        <w:tc>
          <w:tcPr>
            <w:tcW w:w="2409" w:type="dxa"/>
            <w:tcBorders>
              <w:top w:val="outset" w:sz="6" w:space="0" w:color="auto"/>
              <w:left w:val="outset" w:sz="6" w:space="0" w:color="auto"/>
              <w:bottom w:val="outset" w:sz="6" w:space="0" w:color="auto"/>
              <w:right w:val="outset" w:sz="6" w:space="0" w:color="auto"/>
            </w:tcBorders>
          </w:tcPr>
          <w:p w14:paraId="07402861" w14:textId="66C2748A" w:rsidR="00F70362" w:rsidRPr="00D720DA" w:rsidRDefault="00F70362" w:rsidP="005B0E11">
            <w:pPr>
              <w:spacing w:before="40"/>
              <w:rPr>
                <w:rFonts w:ascii="Arial" w:hAnsi="Arial" w:cs="Arial"/>
                <w:b/>
                <w:bCs/>
                <w:sz w:val="20"/>
                <w:szCs w:val="20"/>
                <w:lang w:eastAsia="en-AU"/>
              </w:rPr>
            </w:pPr>
            <w:r w:rsidRPr="00D720DA">
              <w:rPr>
                <w:rFonts w:ascii="Arial" w:hAnsi="Arial" w:cs="Arial"/>
                <w:b/>
                <w:bCs/>
                <w:sz w:val="20"/>
                <w:szCs w:val="20"/>
                <w:lang w:eastAsia="en-AU"/>
              </w:rPr>
              <w:t>Institution</w:t>
            </w:r>
          </w:p>
        </w:tc>
        <w:tc>
          <w:tcPr>
            <w:tcW w:w="2835" w:type="dxa"/>
            <w:tcBorders>
              <w:top w:val="outset" w:sz="6" w:space="0" w:color="auto"/>
              <w:left w:val="outset" w:sz="6" w:space="0" w:color="auto"/>
              <w:bottom w:val="outset" w:sz="6" w:space="0" w:color="auto"/>
              <w:right w:val="outset" w:sz="6" w:space="0" w:color="auto"/>
            </w:tcBorders>
          </w:tcPr>
          <w:p w14:paraId="22075A3C" w14:textId="4AC1C8C6" w:rsidR="00F70362" w:rsidRPr="00D720DA" w:rsidRDefault="00F70362" w:rsidP="005B0E11">
            <w:pPr>
              <w:spacing w:before="40"/>
              <w:rPr>
                <w:rFonts w:ascii="Arial" w:hAnsi="Arial" w:cs="Arial"/>
                <w:b/>
                <w:bCs/>
                <w:sz w:val="20"/>
                <w:szCs w:val="20"/>
                <w:lang w:eastAsia="en-AU"/>
              </w:rPr>
            </w:pPr>
            <w:r w:rsidRPr="00D720DA">
              <w:rPr>
                <w:rFonts w:ascii="Arial" w:hAnsi="Arial" w:cs="Arial"/>
                <w:b/>
                <w:bCs/>
                <w:sz w:val="20"/>
                <w:szCs w:val="20"/>
                <w:lang w:eastAsia="en-AU"/>
              </w:rPr>
              <w:t>Public Service Commissioner</w:t>
            </w:r>
          </w:p>
        </w:tc>
        <w:tc>
          <w:tcPr>
            <w:tcW w:w="1198" w:type="dxa"/>
            <w:tcBorders>
              <w:top w:val="outset" w:sz="6" w:space="0" w:color="auto"/>
              <w:left w:val="outset" w:sz="6" w:space="0" w:color="auto"/>
              <w:bottom w:val="outset" w:sz="6" w:space="0" w:color="auto"/>
              <w:right w:val="outset" w:sz="6" w:space="0" w:color="auto"/>
            </w:tcBorders>
          </w:tcPr>
          <w:p w14:paraId="0F1D7482" w14:textId="523A5F8D" w:rsidR="00F70362" w:rsidRPr="00D720DA" w:rsidRDefault="00F70362" w:rsidP="005B0E11">
            <w:pPr>
              <w:spacing w:before="40"/>
              <w:rPr>
                <w:rFonts w:ascii="Arial" w:hAnsi="Arial" w:cs="Arial"/>
                <w:b/>
                <w:bCs/>
                <w:sz w:val="20"/>
                <w:szCs w:val="20"/>
                <w:lang w:eastAsia="en-AU"/>
              </w:rPr>
            </w:pPr>
            <w:r w:rsidRPr="00D720DA">
              <w:rPr>
                <w:rFonts w:ascii="Arial" w:hAnsi="Arial" w:cs="Arial"/>
                <w:b/>
                <w:bCs/>
                <w:sz w:val="20"/>
                <w:szCs w:val="20"/>
                <w:lang w:eastAsia="en-AU"/>
              </w:rPr>
              <w:t>Balance of power</w:t>
            </w:r>
          </w:p>
        </w:tc>
      </w:tr>
      <w:tr w:rsidR="00EB5DAE" w:rsidRPr="00D720DA" w14:paraId="734EA3A5" w14:textId="77777777" w:rsidTr="00064531">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7CDC9704" w14:textId="308ED579" w:rsidR="00C1319D" w:rsidRPr="00D720DA" w:rsidRDefault="00EB5DAE" w:rsidP="005B0E11">
            <w:pPr>
              <w:spacing w:before="40" w:after="0"/>
              <w:rPr>
                <w:rFonts w:ascii="Arial" w:hAnsi="Arial" w:cs="Arial"/>
                <w:sz w:val="20"/>
                <w:szCs w:val="20"/>
              </w:rPr>
            </w:pPr>
            <w:r w:rsidRPr="00D720DA">
              <w:rPr>
                <w:rFonts w:ascii="Arial" w:hAnsi="Arial" w:cs="Arial"/>
                <w:sz w:val="20"/>
                <w:szCs w:val="20"/>
              </w:rPr>
              <w:t>20 Jan 2020</w:t>
            </w:r>
          </w:p>
        </w:tc>
        <w:tc>
          <w:tcPr>
            <w:tcW w:w="850" w:type="dxa"/>
            <w:tcBorders>
              <w:top w:val="outset" w:sz="6" w:space="0" w:color="auto"/>
              <w:left w:val="outset" w:sz="6" w:space="0" w:color="auto"/>
              <w:bottom w:val="outset" w:sz="6" w:space="0" w:color="auto"/>
              <w:right w:val="outset" w:sz="6" w:space="0" w:color="auto"/>
            </w:tcBorders>
            <w:vAlign w:val="center"/>
          </w:tcPr>
          <w:p w14:paraId="359A8032" w14:textId="4CB8A156" w:rsidR="00EB5DAE" w:rsidRPr="00D720DA" w:rsidRDefault="00E70AAD" w:rsidP="005B0E11">
            <w:pPr>
              <w:spacing w:before="40" w:after="0"/>
              <w:rPr>
                <w:rFonts w:ascii="Arial" w:hAnsi="Arial" w:cs="Arial"/>
                <w:sz w:val="20"/>
                <w:szCs w:val="20"/>
                <w:lang w:eastAsia="en-AU"/>
              </w:rPr>
            </w:pPr>
            <w:r w:rsidRPr="00E70AAD">
              <w:rPr>
                <w:rFonts w:ascii="Arial" w:hAnsi="Arial" w:cs="Arial"/>
                <w:sz w:val="20"/>
                <w:szCs w:val="20"/>
                <w:lang w:eastAsia="en-AU"/>
              </w:rPr>
              <w:t>8 April 2022</w:t>
            </w:r>
            <w:r>
              <w:rPr>
                <w:rFonts w:ascii="Arial" w:hAnsi="Arial" w:cs="Arial"/>
                <w:sz w:val="20"/>
                <w:szCs w:val="20"/>
                <w:lang w:eastAsia="en-AU"/>
              </w:rPr>
              <w:t xml:space="preserve"> </w:t>
            </w:r>
          </w:p>
        </w:tc>
        <w:tc>
          <w:tcPr>
            <w:tcW w:w="1134" w:type="dxa"/>
            <w:tcBorders>
              <w:top w:val="outset" w:sz="6" w:space="0" w:color="auto"/>
              <w:left w:val="outset" w:sz="6" w:space="0" w:color="auto"/>
              <w:bottom w:val="outset" w:sz="6" w:space="0" w:color="auto"/>
              <w:right w:val="outset" w:sz="6" w:space="0" w:color="auto"/>
            </w:tcBorders>
            <w:vAlign w:val="center"/>
          </w:tcPr>
          <w:p w14:paraId="0334CEDE" w14:textId="59582F58" w:rsidR="00EB5DAE" w:rsidRPr="00D720DA" w:rsidRDefault="00EB5DAE" w:rsidP="005B0E11">
            <w:pPr>
              <w:spacing w:before="40" w:after="0"/>
              <w:rPr>
                <w:rFonts w:ascii="Arial" w:hAnsi="Arial" w:cs="Arial"/>
                <w:sz w:val="20"/>
                <w:szCs w:val="20"/>
                <w:lang w:eastAsia="en-AU"/>
              </w:rPr>
            </w:pPr>
            <w:r w:rsidRPr="00D720DA">
              <w:rPr>
                <w:rFonts w:ascii="Arial" w:hAnsi="Arial" w:cs="Arial"/>
                <w:sz w:val="20"/>
                <w:szCs w:val="20"/>
                <w:lang w:eastAsia="en-AU"/>
              </w:rPr>
              <w:t xml:space="preserve">Peter </w:t>
            </w:r>
            <w:proofErr w:type="spellStart"/>
            <w:r w:rsidRPr="00D720DA">
              <w:rPr>
                <w:rFonts w:ascii="Arial" w:hAnsi="Arial" w:cs="Arial"/>
                <w:sz w:val="20"/>
                <w:szCs w:val="20"/>
                <w:lang w:eastAsia="en-AU"/>
              </w:rPr>
              <w:t>Gutwein</w:t>
            </w:r>
            <w:proofErr w:type="spellEnd"/>
          </w:p>
        </w:tc>
        <w:tc>
          <w:tcPr>
            <w:tcW w:w="851" w:type="dxa"/>
            <w:tcBorders>
              <w:top w:val="outset" w:sz="6" w:space="0" w:color="auto"/>
              <w:left w:val="outset" w:sz="6" w:space="0" w:color="auto"/>
              <w:bottom w:val="outset" w:sz="6" w:space="0" w:color="auto"/>
              <w:right w:val="outset" w:sz="6" w:space="0" w:color="auto"/>
            </w:tcBorders>
            <w:vAlign w:val="center"/>
          </w:tcPr>
          <w:p w14:paraId="1BF0BFD1" w14:textId="0A542AEE" w:rsidR="00EB5DAE" w:rsidRPr="00D720DA" w:rsidRDefault="000265AB" w:rsidP="005B0E11">
            <w:pPr>
              <w:spacing w:before="40" w:after="0"/>
              <w:rPr>
                <w:rFonts w:ascii="Arial" w:hAnsi="Arial" w:cs="Arial"/>
                <w:sz w:val="20"/>
                <w:szCs w:val="20"/>
                <w:lang w:eastAsia="en-AU"/>
              </w:rPr>
            </w:pPr>
            <w:r w:rsidRPr="00D720DA">
              <w:rPr>
                <w:rFonts w:ascii="Arial" w:hAnsi="Arial" w:cs="Arial"/>
                <w:sz w:val="20"/>
                <w:szCs w:val="20"/>
                <w:lang w:eastAsia="en-AU"/>
              </w:rPr>
              <w:t>Liberal</w:t>
            </w:r>
          </w:p>
        </w:tc>
        <w:tc>
          <w:tcPr>
            <w:tcW w:w="2409" w:type="dxa"/>
            <w:tcBorders>
              <w:top w:val="outset" w:sz="6" w:space="0" w:color="auto"/>
              <w:left w:val="outset" w:sz="6" w:space="0" w:color="auto"/>
              <w:bottom w:val="outset" w:sz="6" w:space="0" w:color="auto"/>
              <w:right w:val="outset" w:sz="6" w:space="0" w:color="auto"/>
            </w:tcBorders>
          </w:tcPr>
          <w:p w14:paraId="7DFB6BFF" w14:textId="24708A94" w:rsidR="00EB5DAE" w:rsidRPr="00D720DA" w:rsidRDefault="009D705E" w:rsidP="005B0E11">
            <w:pPr>
              <w:spacing w:before="40" w:after="0"/>
              <w:rPr>
                <w:rFonts w:ascii="Arial" w:hAnsi="Arial" w:cs="Arial"/>
                <w:sz w:val="20"/>
                <w:szCs w:val="20"/>
                <w:lang w:eastAsia="en-AU"/>
              </w:rPr>
            </w:pPr>
            <w:r w:rsidRPr="00D720DA">
              <w:rPr>
                <w:rFonts w:ascii="Arial" w:hAnsi="Arial" w:cs="Arial"/>
                <w:sz w:val="20"/>
                <w:szCs w:val="20"/>
                <w:lang w:eastAsia="en-AU"/>
              </w:rPr>
              <w:t>State Service Management Office (DPC)</w:t>
            </w:r>
          </w:p>
        </w:tc>
        <w:tc>
          <w:tcPr>
            <w:tcW w:w="2835" w:type="dxa"/>
            <w:tcBorders>
              <w:top w:val="outset" w:sz="6" w:space="0" w:color="auto"/>
              <w:left w:val="outset" w:sz="6" w:space="0" w:color="auto"/>
              <w:bottom w:val="outset" w:sz="6" w:space="0" w:color="auto"/>
              <w:right w:val="outset" w:sz="6" w:space="0" w:color="auto"/>
            </w:tcBorders>
          </w:tcPr>
          <w:p w14:paraId="45960A2C" w14:textId="387749E6" w:rsidR="00EB5DAE" w:rsidRPr="00D720DA" w:rsidRDefault="009D705E" w:rsidP="005B0E11">
            <w:pPr>
              <w:spacing w:before="40" w:after="0"/>
              <w:rPr>
                <w:rFonts w:ascii="Arial" w:hAnsi="Arial" w:cs="Arial"/>
                <w:sz w:val="20"/>
                <w:szCs w:val="20"/>
                <w:lang w:eastAsia="en-AU"/>
              </w:rPr>
            </w:pPr>
            <w:r w:rsidRPr="00D720DA">
              <w:rPr>
                <w:rFonts w:ascii="Arial" w:hAnsi="Arial" w:cs="Arial"/>
                <w:sz w:val="20"/>
                <w:szCs w:val="20"/>
                <w:lang w:eastAsia="en-AU"/>
              </w:rPr>
              <w:t>Jenny Gale (Head of the State Service and DPAC Secretary</w:t>
            </w:r>
            <w:r w:rsidR="00051218" w:rsidRPr="00D720DA">
              <w:rPr>
                <w:rFonts w:ascii="Arial" w:hAnsi="Arial" w:cs="Arial"/>
                <w:sz w:val="20"/>
                <w:szCs w:val="20"/>
                <w:lang w:eastAsia="en-AU"/>
              </w:rPr>
              <w:t>)</w:t>
            </w:r>
            <w:r w:rsidRPr="00D720DA">
              <w:rPr>
                <w:rFonts w:ascii="Arial" w:hAnsi="Arial" w:cs="Arial"/>
                <w:sz w:val="20"/>
                <w:szCs w:val="20"/>
                <w:lang w:eastAsia="en-AU"/>
              </w:rPr>
              <w:t xml:space="preserve"> </w:t>
            </w:r>
          </w:p>
          <w:p w14:paraId="316B19E3" w14:textId="0EE82545" w:rsidR="00BB55A0" w:rsidRPr="00D720DA" w:rsidRDefault="002E54AB" w:rsidP="007129F3">
            <w:pPr>
              <w:spacing w:before="40" w:after="0"/>
              <w:rPr>
                <w:rFonts w:ascii="Arial" w:hAnsi="Arial" w:cs="Arial"/>
                <w:color w:val="FF0000"/>
                <w:sz w:val="20"/>
                <w:szCs w:val="20"/>
                <w:lang w:eastAsia="en-AU"/>
              </w:rPr>
            </w:pPr>
            <w:r w:rsidRPr="00D720DA">
              <w:rPr>
                <w:rFonts w:ascii="Arial" w:hAnsi="Arial" w:cs="Arial"/>
                <w:sz w:val="20"/>
                <w:szCs w:val="20"/>
                <w:lang w:eastAsia="en-AU"/>
              </w:rPr>
              <w:t>Jane Hanna (Director SSMO) from October 2019</w:t>
            </w:r>
          </w:p>
        </w:tc>
        <w:tc>
          <w:tcPr>
            <w:tcW w:w="1198" w:type="dxa"/>
            <w:tcBorders>
              <w:top w:val="outset" w:sz="6" w:space="0" w:color="auto"/>
              <w:left w:val="outset" w:sz="6" w:space="0" w:color="auto"/>
              <w:bottom w:val="outset" w:sz="6" w:space="0" w:color="auto"/>
              <w:right w:val="outset" w:sz="6" w:space="0" w:color="auto"/>
            </w:tcBorders>
          </w:tcPr>
          <w:p w14:paraId="74CCE3DE" w14:textId="4FA8749A" w:rsidR="00EB5DAE" w:rsidRPr="00D720DA" w:rsidRDefault="000265AB" w:rsidP="005B0E11">
            <w:pPr>
              <w:spacing w:before="40" w:after="0"/>
              <w:rPr>
                <w:rFonts w:ascii="Arial" w:hAnsi="Arial" w:cs="Arial"/>
                <w:sz w:val="20"/>
                <w:szCs w:val="20"/>
                <w:lang w:eastAsia="en-AU"/>
              </w:rPr>
            </w:pPr>
            <w:r w:rsidRPr="00D720DA">
              <w:rPr>
                <w:rFonts w:ascii="Arial" w:hAnsi="Arial" w:cs="Arial"/>
                <w:sz w:val="20"/>
                <w:szCs w:val="20"/>
                <w:lang w:eastAsia="en-AU"/>
              </w:rPr>
              <w:t>Majority</w:t>
            </w:r>
          </w:p>
        </w:tc>
      </w:tr>
      <w:tr w:rsidR="00F70362" w:rsidRPr="00D720DA" w14:paraId="647BFBEE" w14:textId="77777777" w:rsidTr="00064531">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68AF4FAF" w14:textId="0BD914C5" w:rsidR="00F70362" w:rsidRPr="00D720DA" w:rsidRDefault="00F70362" w:rsidP="005B0E11">
            <w:pPr>
              <w:spacing w:before="40" w:after="0"/>
              <w:rPr>
                <w:rFonts w:ascii="Arial" w:hAnsi="Arial" w:cs="Arial"/>
                <w:sz w:val="20"/>
                <w:szCs w:val="20"/>
              </w:rPr>
            </w:pPr>
            <w:r w:rsidRPr="00D720DA">
              <w:rPr>
                <w:rFonts w:ascii="Arial" w:hAnsi="Arial" w:cs="Arial"/>
                <w:sz w:val="20"/>
                <w:szCs w:val="20"/>
              </w:rPr>
              <w:t>31 Mar 2014</w:t>
            </w:r>
          </w:p>
        </w:tc>
        <w:tc>
          <w:tcPr>
            <w:tcW w:w="850" w:type="dxa"/>
            <w:tcBorders>
              <w:top w:val="outset" w:sz="6" w:space="0" w:color="auto"/>
              <w:left w:val="outset" w:sz="6" w:space="0" w:color="auto"/>
              <w:bottom w:val="outset" w:sz="6" w:space="0" w:color="auto"/>
              <w:right w:val="outset" w:sz="6" w:space="0" w:color="auto"/>
            </w:tcBorders>
            <w:vAlign w:val="center"/>
          </w:tcPr>
          <w:p w14:paraId="2890EAAE" w14:textId="73BDA78B" w:rsidR="00F70362" w:rsidRPr="00D720DA" w:rsidRDefault="000265AB" w:rsidP="005B0E11">
            <w:pPr>
              <w:spacing w:before="40" w:after="0"/>
              <w:rPr>
                <w:rFonts w:ascii="Arial" w:hAnsi="Arial" w:cs="Arial"/>
                <w:sz w:val="20"/>
                <w:szCs w:val="20"/>
                <w:lang w:eastAsia="en-AU"/>
              </w:rPr>
            </w:pPr>
            <w:r w:rsidRPr="00D720DA">
              <w:rPr>
                <w:rFonts w:ascii="Arial" w:hAnsi="Arial" w:cs="Arial"/>
                <w:sz w:val="20"/>
                <w:szCs w:val="20"/>
                <w:lang w:eastAsia="en-AU"/>
              </w:rPr>
              <w:t>14 Jan 2020</w:t>
            </w:r>
          </w:p>
        </w:tc>
        <w:tc>
          <w:tcPr>
            <w:tcW w:w="1134" w:type="dxa"/>
            <w:tcBorders>
              <w:top w:val="outset" w:sz="6" w:space="0" w:color="auto"/>
              <w:left w:val="outset" w:sz="6" w:space="0" w:color="auto"/>
              <w:bottom w:val="outset" w:sz="6" w:space="0" w:color="auto"/>
              <w:right w:val="outset" w:sz="6" w:space="0" w:color="auto"/>
            </w:tcBorders>
            <w:vAlign w:val="center"/>
          </w:tcPr>
          <w:p w14:paraId="5A87E396" w14:textId="7777777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Will Hodgman</w:t>
            </w:r>
          </w:p>
        </w:tc>
        <w:tc>
          <w:tcPr>
            <w:tcW w:w="851" w:type="dxa"/>
            <w:tcBorders>
              <w:top w:val="outset" w:sz="6" w:space="0" w:color="auto"/>
              <w:left w:val="outset" w:sz="6" w:space="0" w:color="auto"/>
              <w:bottom w:val="outset" w:sz="6" w:space="0" w:color="auto"/>
              <w:right w:val="outset" w:sz="6" w:space="0" w:color="auto"/>
            </w:tcBorders>
            <w:vAlign w:val="center"/>
          </w:tcPr>
          <w:p w14:paraId="2A32CB2F" w14:textId="7777777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Liberal</w:t>
            </w:r>
          </w:p>
        </w:tc>
        <w:tc>
          <w:tcPr>
            <w:tcW w:w="2409" w:type="dxa"/>
            <w:tcBorders>
              <w:top w:val="outset" w:sz="6" w:space="0" w:color="auto"/>
              <w:left w:val="outset" w:sz="6" w:space="0" w:color="auto"/>
              <w:bottom w:val="outset" w:sz="6" w:space="0" w:color="auto"/>
              <w:right w:val="outset" w:sz="6" w:space="0" w:color="auto"/>
            </w:tcBorders>
          </w:tcPr>
          <w:p w14:paraId="6430256C" w14:textId="58A2E177" w:rsidR="00F70362" w:rsidRPr="00D720DA" w:rsidRDefault="0094176F" w:rsidP="005B0E11">
            <w:pPr>
              <w:spacing w:before="40" w:after="0"/>
              <w:rPr>
                <w:rFonts w:ascii="Arial" w:hAnsi="Arial" w:cs="Arial"/>
                <w:sz w:val="20"/>
                <w:szCs w:val="20"/>
                <w:lang w:eastAsia="en-AU"/>
              </w:rPr>
            </w:pPr>
            <w:r w:rsidRPr="00D720DA">
              <w:rPr>
                <w:rFonts w:ascii="Arial" w:hAnsi="Arial" w:cs="Arial"/>
                <w:sz w:val="20"/>
                <w:szCs w:val="20"/>
                <w:lang w:eastAsia="en-AU"/>
              </w:rPr>
              <w:t>State Service Management Office (DPC)</w:t>
            </w:r>
          </w:p>
        </w:tc>
        <w:tc>
          <w:tcPr>
            <w:tcW w:w="2835" w:type="dxa"/>
            <w:tcBorders>
              <w:top w:val="outset" w:sz="6" w:space="0" w:color="auto"/>
              <w:left w:val="outset" w:sz="6" w:space="0" w:color="auto"/>
              <w:bottom w:val="outset" w:sz="6" w:space="0" w:color="auto"/>
              <w:right w:val="outset" w:sz="6" w:space="0" w:color="auto"/>
            </w:tcBorders>
          </w:tcPr>
          <w:p w14:paraId="5FF8E93E" w14:textId="69611A29" w:rsidR="00CF7F05"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Jenny Gale</w:t>
            </w:r>
            <w:r w:rsidR="0094176F" w:rsidRPr="00D720DA">
              <w:rPr>
                <w:rFonts w:ascii="Arial" w:hAnsi="Arial" w:cs="Arial"/>
                <w:sz w:val="20"/>
                <w:szCs w:val="20"/>
                <w:lang w:eastAsia="en-AU"/>
              </w:rPr>
              <w:t xml:space="preserve"> (Head of the State Service and </w:t>
            </w:r>
            <w:r w:rsidRPr="00D720DA">
              <w:rPr>
                <w:rFonts w:ascii="Arial" w:hAnsi="Arial" w:cs="Arial"/>
                <w:sz w:val="20"/>
                <w:szCs w:val="20"/>
                <w:lang w:eastAsia="en-AU"/>
              </w:rPr>
              <w:t>DP</w:t>
            </w:r>
            <w:r w:rsidR="00FB0AD7" w:rsidRPr="00D720DA">
              <w:rPr>
                <w:rFonts w:ascii="Arial" w:hAnsi="Arial" w:cs="Arial"/>
                <w:sz w:val="20"/>
                <w:szCs w:val="20"/>
                <w:lang w:eastAsia="en-AU"/>
              </w:rPr>
              <w:t>A</w:t>
            </w:r>
            <w:r w:rsidRPr="00D720DA">
              <w:rPr>
                <w:rFonts w:ascii="Arial" w:hAnsi="Arial" w:cs="Arial"/>
                <w:sz w:val="20"/>
                <w:szCs w:val="20"/>
                <w:lang w:eastAsia="en-AU"/>
              </w:rPr>
              <w:t>C Sec</w:t>
            </w:r>
            <w:r w:rsidR="009D705E" w:rsidRPr="00D720DA">
              <w:rPr>
                <w:rFonts w:ascii="Arial" w:hAnsi="Arial" w:cs="Arial"/>
                <w:sz w:val="20"/>
                <w:szCs w:val="20"/>
                <w:lang w:eastAsia="en-AU"/>
              </w:rPr>
              <w:t>retary</w:t>
            </w:r>
            <w:r w:rsidR="00095E56" w:rsidRPr="00D720DA">
              <w:rPr>
                <w:rFonts w:ascii="Arial" w:hAnsi="Arial" w:cs="Arial"/>
                <w:sz w:val="20"/>
                <w:szCs w:val="20"/>
                <w:lang w:eastAsia="en-AU"/>
              </w:rPr>
              <w:t>)</w:t>
            </w:r>
          </w:p>
          <w:p w14:paraId="5FE95FCC" w14:textId="77777777" w:rsidR="002E54AB" w:rsidRPr="00D720DA" w:rsidRDefault="002E54AB" w:rsidP="002E54AB">
            <w:pPr>
              <w:spacing w:before="40" w:after="0"/>
              <w:rPr>
                <w:rFonts w:ascii="Arial" w:hAnsi="Arial" w:cs="Arial"/>
                <w:sz w:val="20"/>
                <w:szCs w:val="20"/>
                <w:lang w:eastAsia="en-AU"/>
              </w:rPr>
            </w:pPr>
            <w:r w:rsidRPr="00D720DA">
              <w:rPr>
                <w:rFonts w:ascii="Arial" w:hAnsi="Arial" w:cs="Arial"/>
                <w:sz w:val="20"/>
                <w:szCs w:val="20"/>
                <w:lang w:eastAsia="en-AU"/>
              </w:rPr>
              <w:t>Jane Hanna (Director SSMO) from October 2019</w:t>
            </w:r>
          </w:p>
          <w:p w14:paraId="4D35742E" w14:textId="1F73C9B7" w:rsidR="002E54AB" w:rsidRPr="00D720DA" w:rsidRDefault="002E54AB" w:rsidP="005B0E11">
            <w:pPr>
              <w:spacing w:before="40" w:after="0"/>
              <w:rPr>
                <w:rFonts w:ascii="Arial" w:hAnsi="Arial" w:cs="Arial"/>
                <w:sz w:val="20"/>
                <w:szCs w:val="20"/>
                <w:lang w:eastAsia="en-AU"/>
              </w:rPr>
            </w:pPr>
            <w:r w:rsidRPr="00D720DA">
              <w:rPr>
                <w:rFonts w:ascii="Arial" w:hAnsi="Arial" w:cs="Arial"/>
                <w:sz w:val="20"/>
                <w:szCs w:val="20"/>
                <w:lang w:eastAsia="en-AU"/>
              </w:rPr>
              <w:t>Louise Mills (Acting Director SSMO Jan – Sept 2019)</w:t>
            </w:r>
          </w:p>
          <w:p w14:paraId="79A98DCE" w14:textId="1EA3E0BC"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Greg Johannes</w:t>
            </w:r>
            <w:r w:rsidR="0094176F" w:rsidRPr="00D720DA">
              <w:rPr>
                <w:rFonts w:ascii="Arial" w:hAnsi="Arial" w:cs="Arial"/>
                <w:sz w:val="20"/>
                <w:szCs w:val="20"/>
                <w:lang w:eastAsia="en-AU"/>
              </w:rPr>
              <w:t xml:space="preserve"> (</w:t>
            </w:r>
            <w:r w:rsidR="00111F0E" w:rsidRPr="00D720DA">
              <w:rPr>
                <w:rFonts w:ascii="Arial" w:hAnsi="Arial" w:cs="Arial"/>
                <w:sz w:val="20"/>
                <w:szCs w:val="20"/>
                <w:lang w:eastAsia="en-AU"/>
              </w:rPr>
              <w:t xml:space="preserve">DPAC Sec &amp; HOSS </w:t>
            </w:r>
            <w:r w:rsidR="0094176F" w:rsidRPr="00D720DA">
              <w:rPr>
                <w:rFonts w:ascii="Arial" w:hAnsi="Arial" w:cs="Arial"/>
                <w:sz w:val="20"/>
                <w:szCs w:val="20"/>
                <w:lang w:eastAsia="en-AU"/>
              </w:rPr>
              <w:t>until Nov 2017)</w:t>
            </w:r>
          </w:p>
        </w:tc>
        <w:tc>
          <w:tcPr>
            <w:tcW w:w="1198" w:type="dxa"/>
            <w:tcBorders>
              <w:top w:val="outset" w:sz="6" w:space="0" w:color="auto"/>
              <w:left w:val="outset" w:sz="6" w:space="0" w:color="auto"/>
              <w:bottom w:val="outset" w:sz="6" w:space="0" w:color="auto"/>
              <w:right w:val="outset" w:sz="6" w:space="0" w:color="auto"/>
            </w:tcBorders>
          </w:tcPr>
          <w:p w14:paraId="78B21FD4" w14:textId="7777777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Majority</w:t>
            </w:r>
          </w:p>
        </w:tc>
      </w:tr>
      <w:tr w:rsidR="00F70362" w:rsidRPr="00D720DA" w14:paraId="57B01AEA" w14:textId="77777777" w:rsidTr="00064531">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037CB34E" w14:textId="2B9ED852" w:rsidR="00F70362" w:rsidRPr="00D720DA" w:rsidRDefault="00F70362" w:rsidP="005B0E11">
            <w:pPr>
              <w:spacing w:before="40" w:after="0"/>
              <w:rPr>
                <w:rFonts w:ascii="Arial" w:hAnsi="Arial" w:cs="Arial"/>
                <w:sz w:val="20"/>
                <w:szCs w:val="20"/>
              </w:rPr>
            </w:pPr>
            <w:r w:rsidRPr="00D720DA">
              <w:rPr>
                <w:rFonts w:ascii="Arial" w:hAnsi="Arial" w:cs="Arial"/>
                <w:sz w:val="20"/>
                <w:szCs w:val="20"/>
              </w:rPr>
              <w:t>24 Jan 2011</w:t>
            </w:r>
          </w:p>
        </w:tc>
        <w:tc>
          <w:tcPr>
            <w:tcW w:w="850" w:type="dxa"/>
            <w:tcBorders>
              <w:top w:val="outset" w:sz="6" w:space="0" w:color="auto"/>
              <w:left w:val="outset" w:sz="6" w:space="0" w:color="auto"/>
              <w:bottom w:val="outset" w:sz="6" w:space="0" w:color="auto"/>
              <w:right w:val="outset" w:sz="6" w:space="0" w:color="auto"/>
            </w:tcBorders>
            <w:vAlign w:val="center"/>
          </w:tcPr>
          <w:p w14:paraId="61F762A5" w14:textId="2507391F" w:rsidR="00F70362" w:rsidRPr="00D720DA" w:rsidRDefault="00F70362" w:rsidP="005B0E11">
            <w:pPr>
              <w:spacing w:before="40" w:after="0"/>
              <w:rPr>
                <w:rFonts w:ascii="Arial" w:hAnsi="Arial" w:cs="Arial"/>
                <w:sz w:val="20"/>
                <w:szCs w:val="20"/>
              </w:rPr>
            </w:pPr>
            <w:r w:rsidRPr="00D720DA">
              <w:rPr>
                <w:rFonts w:ascii="Arial" w:hAnsi="Arial" w:cs="Arial"/>
                <w:sz w:val="20"/>
                <w:szCs w:val="20"/>
              </w:rPr>
              <w:t>31 Mar 2014</w:t>
            </w:r>
          </w:p>
        </w:tc>
        <w:tc>
          <w:tcPr>
            <w:tcW w:w="1134" w:type="dxa"/>
            <w:tcBorders>
              <w:top w:val="outset" w:sz="6" w:space="0" w:color="auto"/>
              <w:left w:val="outset" w:sz="6" w:space="0" w:color="auto"/>
              <w:bottom w:val="outset" w:sz="6" w:space="0" w:color="auto"/>
              <w:right w:val="outset" w:sz="6" w:space="0" w:color="auto"/>
            </w:tcBorders>
            <w:vAlign w:val="center"/>
          </w:tcPr>
          <w:p w14:paraId="6A902D54" w14:textId="7777777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Lara Giddings</w:t>
            </w:r>
          </w:p>
        </w:tc>
        <w:tc>
          <w:tcPr>
            <w:tcW w:w="851" w:type="dxa"/>
            <w:tcBorders>
              <w:top w:val="outset" w:sz="6" w:space="0" w:color="auto"/>
              <w:left w:val="outset" w:sz="6" w:space="0" w:color="auto"/>
              <w:bottom w:val="outset" w:sz="6" w:space="0" w:color="auto"/>
              <w:right w:val="outset" w:sz="6" w:space="0" w:color="auto"/>
            </w:tcBorders>
            <w:vAlign w:val="center"/>
          </w:tcPr>
          <w:p w14:paraId="3827E41B" w14:textId="77777777" w:rsidR="00F70362" w:rsidRPr="00D720DA" w:rsidRDefault="00F70362" w:rsidP="005B0E11">
            <w:pPr>
              <w:spacing w:before="40" w:after="0"/>
              <w:rPr>
                <w:rFonts w:ascii="Arial" w:hAnsi="Arial" w:cs="Arial"/>
                <w:sz w:val="20"/>
                <w:szCs w:val="20"/>
                <w:lang w:eastAsia="en-AU"/>
              </w:rPr>
            </w:pPr>
            <w:proofErr w:type="spellStart"/>
            <w:r w:rsidRPr="00D720DA">
              <w:rPr>
                <w:rFonts w:ascii="Arial" w:hAnsi="Arial" w:cs="Arial"/>
                <w:sz w:val="20"/>
                <w:szCs w:val="20"/>
                <w:lang w:eastAsia="en-AU"/>
              </w:rPr>
              <w:t>Labor</w:t>
            </w:r>
            <w:proofErr w:type="spellEnd"/>
          </w:p>
        </w:tc>
        <w:tc>
          <w:tcPr>
            <w:tcW w:w="2409" w:type="dxa"/>
            <w:tcBorders>
              <w:top w:val="outset" w:sz="6" w:space="0" w:color="auto"/>
              <w:left w:val="outset" w:sz="6" w:space="0" w:color="auto"/>
              <w:bottom w:val="outset" w:sz="6" w:space="0" w:color="auto"/>
              <w:right w:val="outset" w:sz="6" w:space="0" w:color="auto"/>
            </w:tcBorders>
          </w:tcPr>
          <w:p w14:paraId="4F86DB70" w14:textId="419857BD" w:rsidR="0094176F" w:rsidRPr="00D720DA" w:rsidRDefault="007A5D67" w:rsidP="005B0E11">
            <w:pPr>
              <w:spacing w:before="40" w:after="0"/>
              <w:rPr>
                <w:rFonts w:ascii="Arial" w:hAnsi="Arial" w:cs="Arial"/>
                <w:sz w:val="20"/>
                <w:szCs w:val="20"/>
                <w:lang w:eastAsia="en-AU"/>
              </w:rPr>
            </w:pPr>
            <w:r w:rsidRPr="00D720DA">
              <w:rPr>
                <w:rFonts w:ascii="Arial" w:hAnsi="Arial" w:cs="Arial"/>
                <w:sz w:val="20"/>
                <w:szCs w:val="20"/>
                <w:lang w:eastAsia="en-AU"/>
              </w:rPr>
              <w:t>State Service Management Office (DPC)</w:t>
            </w:r>
          </w:p>
          <w:p w14:paraId="14075CF7" w14:textId="708E21FD" w:rsidR="0094176F" w:rsidRPr="00D720DA" w:rsidRDefault="007A5D67" w:rsidP="005B0E11">
            <w:pPr>
              <w:spacing w:before="40" w:after="0"/>
              <w:rPr>
                <w:rFonts w:ascii="Arial" w:hAnsi="Arial" w:cs="Arial"/>
                <w:sz w:val="20"/>
                <w:szCs w:val="20"/>
                <w:lang w:eastAsia="en-AU"/>
              </w:rPr>
            </w:pPr>
            <w:r w:rsidRPr="00D720DA">
              <w:rPr>
                <w:rFonts w:ascii="Arial" w:hAnsi="Arial" w:cs="Arial"/>
                <w:sz w:val="20"/>
                <w:szCs w:val="20"/>
                <w:lang w:eastAsia="en-AU"/>
              </w:rPr>
              <w:t xml:space="preserve">Office of the </w:t>
            </w:r>
            <w:r w:rsidR="0094176F" w:rsidRPr="00D720DA">
              <w:rPr>
                <w:rFonts w:ascii="Arial" w:hAnsi="Arial" w:cs="Arial"/>
                <w:sz w:val="20"/>
                <w:szCs w:val="20"/>
                <w:lang w:eastAsia="en-AU"/>
              </w:rPr>
              <w:t>State Service Commission</w:t>
            </w:r>
            <w:r w:rsidRPr="00D720DA">
              <w:rPr>
                <w:rFonts w:ascii="Arial" w:hAnsi="Arial" w:cs="Arial"/>
                <w:sz w:val="20"/>
                <w:szCs w:val="20"/>
                <w:lang w:eastAsia="en-AU"/>
              </w:rPr>
              <w:t>er</w:t>
            </w:r>
            <w:r w:rsidR="00D40763" w:rsidRPr="00D720DA">
              <w:rPr>
                <w:rFonts w:ascii="Arial" w:hAnsi="Arial" w:cs="Arial"/>
                <w:sz w:val="20"/>
                <w:szCs w:val="20"/>
                <w:lang w:eastAsia="en-AU"/>
              </w:rPr>
              <w:t xml:space="preserve"> (abolished in 2013)</w:t>
            </w:r>
          </w:p>
        </w:tc>
        <w:tc>
          <w:tcPr>
            <w:tcW w:w="2835" w:type="dxa"/>
            <w:tcBorders>
              <w:top w:val="outset" w:sz="6" w:space="0" w:color="auto"/>
              <w:left w:val="outset" w:sz="6" w:space="0" w:color="auto"/>
              <w:bottom w:val="outset" w:sz="6" w:space="0" w:color="auto"/>
              <w:right w:val="outset" w:sz="6" w:space="0" w:color="auto"/>
            </w:tcBorders>
          </w:tcPr>
          <w:p w14:paraId="1366564D" w14:textId="29D86990" w:rsidR="0094176F"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 xml:space="preserve">Rhys Edwards (Head of the State Service from Feb 2013) </w:t>
            </w:r>
          </w:p>
          <w:p w14:paraId="48D30932" w14:textId="3AB900BD" w:rsidR="00645B3E"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Frank Ogle</w:t>
            </w:r>
            <w:r w:rsidR="00645B3E" w:rsidRPr="00D720DA">
              <w:rPr>
                <w:rFonts w:ascii="Arial" w:hAnsi="Arial" w:cs="Arial"/>
                <w:sz w:val="20"/>
                <w:szCs w:val="20"/>
                <w:lang w:eastAsia="en-AU"/>
              </w:rPr>
              <w:t xml:space="preserve"> (Director, SSMO</w:t>
            </w:r>
            <w:r w:rsidR="00CF7F05" w:rsidRPr="00D720DA">
              <w:rPr>
                <w:rFonts w:ascii="Arial" w:hAnsi="Arial" w:cs="Arial"/>
                <w:sz w:val="20"/>
                <w:szCs w:val="20"/>
                <w:lang w:eastAsia="en-AU"/>
              </w:rPr>
              <w:t xml:space="preserve"> until retirement in Jan 2019</w:t>
            </w:r>
            <w:r w:rsidR="00645B3E" w:rsidRPr="00D720DA">
              <w:rPr>
                <w:rFonts w:ascii="Arial" w:hAnsi="Arial" w:cs="Arial"/>
                <w:sz w:val="20"/>
                <w:szCs w:val="20"/>
                <w:lang w:eastAsia="en-AU"/>
              </w:rPr>
              <w:t>)</w:t>
            </w:r>
          </w:p>
          <w:p w14:paraId="6D66AB8F" w14:textId="665E3929"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 xml:space="preserve">Iain Frawley </w:t>
            </w:r>
            <w:r w:rsidR="0094176F" w:rsidRPr="00D720DA">
              <w:rPr>
                <w:rFonts w:ascii="Arial" w:hAnsi="Arial" w:cs="Arial"/>
                <w:sz w:val="20"/>
                <w:szCs w:val="20"/>
                <w:lang w:eastAsia="en-AU"/>
              </w:rPr>
              <w:t>(State Service Commissioner)</w:t>
            </w:r>
          </w:p>
        </w:tc>
        <w:tc>
          <w:tcPr>
            <w:tcW w:w="1198" w:type="dxa"/>
            <w:tcBorders>
              <w:top w:val="outset" w:sz="6" w:space="0" w:color="auto"/>
              <w:left w:val="outset" w:sz="6" w:space="0" w:color="auto"/>
              <w:bottom w:val="outset" w:sz="6" w:space="0" w:color="auto"/>
              <w:right w:val="outset" w:sz="6" w:space="0" w:color="auto"/>
            </w:tcBorders>
          </w:tcPr>
          <w:p w14:paraId="16D07F4B" w14:textId="7777777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Minority (with support of Greens)</w:t>
            </w:r>
          </w:p>
        </w:tc>
      </w:tr>
      <w:tr w:rsidR="00F70362" w:rsidRPr="00D720DA" w14:paraId="04D8BB34" w14:textId="77777777" w:rsidTr="00064531">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1A056577" w14:textId="77777777" w:rsidR="00F70362" w:rsidRPr="00D720DA" w:rsidRDefault="00F70362" w:rsidP="005B0E11">
            <w:pPr>
              <w:spacing w:before="40" w:after="0"/>
              <w:rPr>
                <w:rFonts w:ascii="Arial" w:hAnsi="Arial" w:cs="Arial"/>
                <w:sz w:val="20"/>
                <w:szCs w:val="20"/>
              </w:rPr>
            </w:pPr>
            <w:r w:rsidRPr="00D720DA">
              <w:rPr>
                <w:rFonts w:ascii="Arial" w:hAnsi="Arial" w:cs="Arial"/>
                <w:sz w:val="20"/>
                <w:szCs w:val="20"/>
              </w:rPr>
              <w:t>26 May 2008</w:t>
            </w:r>
          </w:p>
        </w:tc>
        <w:tc>
          <w:tcPr>
            <w:tcW w:w="850" w:type="dxa"/>
            <w:tcBorders>
              <w:top w:val="outset" w:sz="6" w:space="0" w:color="auto"/>
              <w:left w:val="outset" w:sz="6" w:space="0" w:color="auto"/>
              <w:bottom w:val="outset" w:sz="6" w:space="0" w:color="auto"/>
              <w:right w:val="outset" w:sz="6" w:space="0" w:color="auto"/>
            </w:tcBorders>
            <w:vAlign w:val="center"/>
          </w:tcPr>
          <w:p w14:paraId="5C1253A1" w14:textId="3CFA1025" w:rsidR="00F70362" w:rsidRPr="00D720DA" w:rsidRDefault="00F70362" w:rsidP="005B0E11">
            <w:pPr>
              <w:spacing w:before="40" w:after="0"/>
              <w:rPr>
                <w:rFonts w:ascii="Arial" w:hAnsi="Arial" w:cs="Arial"/>
                <w:sz w:val="20"/>
                <w:szCs w:val="20"/>
              </w:rPr>
            </w:pPr>
            <w:r w:rsidRPr="00D720DA">
              <w:rPr>
                <w:rFonts w:ascii="Arial" w:hAnsi="Arial" w:cs="Arial"/>
                <w:sz w:val="20"/>
                <w:szCs w:val="20"/>
              </w:rPr>
              <w:t>24 Jan 2011</w:t>
            </w:r>
          </w:p>
        </w:tc>
        <w:tc>
          <w:tcPr>
            <w:tcW w:w="1134" w:type="dxa"/>
            <w:tcBorders>
              <w:top w:val="outset" w:sz="6" w:space="0" w:color="auto"/>
              <w:left w:val="outset" w:sz="6" w:space="0" w:color="auto"/>
              <w:bottom w:val="outset" w:sz="6" w:space="0" w:color="auto"/>
              <w:right w:val="outset" w:sz="6" w:space="0" w:color="auto"/>
            </w:tcBorders>
            <w:vAlign w:val="center"/>
          </w:tcPr>
          <w:p w14:paraId="461F39AE" w14:textId="7777777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David Bartlett</w:t>
            </w:r>
          </w:p>
        </w:tc>
        <w:tc>
          <w:tcPr>
            <w:tcW w:w="851" w:type="dxa"/>
            <w:tcBorders>
              <w:top w:val="outset" w:sz="6" w:space="0" w:color="auto"/>
              <w:left w:val="outset" w:sz="6" w:space="0" w:color="auto"/>
              <w:bottom w:val="outset" w:sz="6" w:space="0" w:color="auto"/>
              <w:right w:val="outset" w:sz="6" w:space="0" w:color="auto"/>
            </w:tcBorders>
            <w:vAlign w:val="center"/>
          </w:tcPr>
          <w:p w14:paraId="36F49B28" w14:textId="77777777" w:rsidR="00F70362" w:rsidRPr="00D720DA" w:rsidRDefault="00F70362" w:rsidP="005B0E11">
            <w:pPr>
              <w:spacing w:before="40" w:after="0"/>
              <w:rPr>
                <w:rFonts w:ascii="Arial" w:hAnsi="Arial" w:cs="Arial"/>
                <w:sz w:val="20"/>
                <w:szCs w:val="20"/>
                <w:lang w:eastAsia="en-AU"/>
              </w:rPr>
            </w:pPr>
            <w:proofErr w:type="spellStart"/>
            <w:r w:rsidRPr="00D720DA">
              <w:rPr>
                <w:rFonts w:ascii="Arial" w:hAnsi="Arial" w:cs="Arial"/>
                <w:sz w:val="20"/>
                <w:szCs w:val="20"/>
                <w:lang w:eastAsia="en-AU"/>
              </w:rPr>
              <w:t>Labor</w:t>
            </w:r>
            <w:proofErr w:type="spellEnd"/>
          </w:p>
        </w:tc>
        <w:tc>
          <w:tcPr>
            <w:tcW w:w="2409" w:type="dxa"/>
            <w:tcBorders>
              <w:top w:val="outset" w:sz="6" w:space="0" w:color="auto"/>
              <w:left w:val="outset" w:sz="6" w:space="0" w:color="auto"/>
              <w:bottom w:val="outset" w:sz="6" w:space="0" w:color="auto"/>
              <w:right w:val="outset" w:sz="6" w:space="0" w:color="auto"/>
            </w:tcBorders>
          </w:tcPr>
          <w:p w14:paraId="2BCA855D" w14:textId="395729E9" w:rsidR="00645B3E" w:rsidRPr="00D720DA" w:rsidRDefault="007A5D67" w:rsidP="005B0E11">
            <w:pPr>
              <w:spacing w:before="40" w:after="0"/>
              <w:rPr>
                <w:rFonts w:ascii="Arial" w:hAnsi="Arial" w:cs="Arial"/>
                <w:sz w:val="20"/>
                <w:szCs w:val="20"/>
                <w:lang w:eastAsia="en-AU"/>
              </w:rPr>
            </w:pPr>
            <w:r w:rsidRPr="00D720DA">
              <w:rPr>
                <w:rFonts w:ascii="Arial" w:hAnsi="Arial" w:cs="Arial"/>
                <w:sz w:val="20"/>
                <w:szCs w:val="20"/>
                <w:lang w:eastAsia="en-AU"/>
              </w:rPr>
              <w:t>Office of the State Service Commissioner</w:t>
            </w:r>
          </w:p>
        </w:tc>
        <w:tc>
          <w:tcPr>
            <w:tcW w:w="2835" w:type="dxa"/>
            <w:tcBorders>
              <w:top w:val="outset" w:sz="6" w:space="0" w:color="auto"/>
              <w:left w:val="outset" w:sz="6" w:space="0" w:color="auto"/>
              <w:bottom w:val="outset" w:sz="6" w:space="0" w:color="auto"/>
              <w:right w:val="outset" w:sz="6" w:space="0" w:color="auto"/>
            </w:tcBorders>
          </w:tcPr>
          <w:p w14:paraId="11B5BE7D" w14:textId="1E7B057C" w:rsidR="00CF7F05"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Iain Frawley</w:t>
            </w:r>
            <w:r w:rsidR="00C6546E" w:rsidRPr="00D720DA">
              <w:rPr>
                <w:rFonts w:ascii="Arial" w:hAnsi="Arial" w:cs="Arial"/>
                <w:sz w:val="20"/>
                <w:szCs w:val="20"/>
                <w:lang w:eastAsia="en-AU"/>
              </w:rPr>
              <w:t xml:space="preserve"> (State Service Commissioner)</w:t>
            </w:r>
          </w:p>
          <w:p w14:paraId="60F12A4A" w14:textId="7578EA8F"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Robert J. Watling</w:t>
            </w:r>
          </w:p>
        </w:tc>
        <w:tc>
          <w:tcPr>
            <w:tcW w:w="1198" w:type="dxa"/>
            <w:tcBorders>
              <w:top w:val="outset" w:sz="6" w:space="0" w:color="auto"/>
              <w:left w:val="outset" w:sz="6" w:space="0" w:color="auto"/>
              <w:bottom w:val="outset" w:sz="6" w:space="0" w:color="auto"/>
              <w:right w:val="outset" w:sz="6" w:space="0" w:color="auto"/>
            </w:tcBorders>
          </w:tcPr>
          <w:p w14:paraId="1EF05424" w14:textId="0FF14BD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Majority (minority from Mar 2010 with Greens)</w:t>
            </w:r>
          </w:p>
        </w:tc>
      </w:tr>
      <w:tr w:rsidR="00F70362" w:rsidRPr="00D720DA" w14:paraId="0912FC7A" w14:textId="77777777" w:rsidTr="00064531">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0992705E" w14:textId="57BA2E6C"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21 Mar 2004</w:t>
            </w:r>
          </w:p>
        </w:tc>
        <w:tc>
          <w:tcPr>
            <w:tcW w:w="850" w:type="dxa"/>
            <w:tcBorders>
              <w:top w:val="outset" w:sz="6" w:space="0" w:color="auto"/>
              <w:left w:val="outset" w:sz="6" w:space="0" w:color="auto"/>
              <w:bottom w:val="outset" w:sz="6" w:space="0" w:color="auto"/>
              <w:right w:val="outset" w:sz="6" w:space="0" w:color="auto"/>
            </w:tcBorders>
            <w:vAlign w:val="center"/>
          </w:tcPr>
          <w:p w14:paraId="51ED7BA5" w14:textId="77777777" w:rsidR="00F70362" w:rsidRPr="00D720DA" w:rsidRDefault="00F70362" w:rsidP="005B0E11">
            <w:pPr>
              <w:spacing w:before="40" w:after="0"/>
              <w:rPr>
                <w:rFonts w:ascii="Arial" w:hAnsi="Arial" w:cs="Arial"/>
                <w:sz w:val="20"/>
                <w:szCs w:val="20"/>
              </w:rPr>
            </w:pPr>
            <w:r w:rsidRPr="00D720DA">
              <w:rPr>
                <w:rFonts w:ascii="Arial" w:hAnsi="Arial" w:cs="Arial"/>
                <w:sz w:val="20"/>
                <w:szCs w:val="20"/>
              </w:rPr>
              <w:t>26 May 2008</w:t>
            </w:r>
          </w:p>
        </w:tc>
        <w:tc>
          <w:tcPr>
            <w:tcW w:w="1134" w:type="dxa"/>
            <w:tcBorders>
              <w:top w:val="outset" w:sz="6" w:space="0" w:color="auto"/>
              <w:left w:val="outset" w:sz="6" w:space="0" w:color="auto"/>
              <w:bottom w:val="outset" w:sz="6" w:space="0" w:color="auto"/>
              <w:right w:val="outset" w:sz="6" w:space="0" w:color="auto"/>
            </w:tcBorders>
            <w:vAlign w:val="center"/>
          </w:tcPr>
          <w:p w14:paraId="1EAD5D4F" w14:textId="7777777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Paul Lennon</w:t>
            </w:r>
          </w:p>
        </w:tc>
        <w:tc>
          <w:tcPr>
            <w:tcW w:w="851" w:type="dxa"/>
            <w:tcBorders>
              <w:top w:val="outset" w:sz="6" w:space="0" w:color="auto"/>
              <w:left w:val="outset" w:sz="6" w:space="0" w:color="auto"/>
              <w:bottom w:val="outset" w:sz="6" w:space="0" w:color="auto"/>
              <w:right w:val="outset" w:sz="6" w:space="0" w:color="auto"/>
            </w:tcBorders>
            <w:vAlign w:val="center"/>
          </w:tcPr>
          <w:p w14:paraId="7BE1568B" w14:textId="77777777" w:rsidR="00F70362" w:rsidRPr="00D720DA" w:rsidRDefault="00F70362" w:rsidP="005B0E11">
            <w:pPr>
              <w:spacing w:before="40" w:after="0"/>
              <w:rPr>
                <w:rFonts w:ascii="Arial" w:hAnsi="Arial" w:cs="Arial"/>
                <w:sz w:val="20"/>
                <w:szCs w:val="20"/>
                <w:lang w:eastAsia="en-AU"/>
              </w:rPr>
            </w:pPr>
            <w:proofErr w:type="spellStart"/>
            <w:r w:rsidRPr="00D720DA">
              <w:rPr>
                <w:rFonts w:ascii="Arial" w:hAnsi="Arial" w:cs="Arial"/>
                <w:sz w:val="20"/>
                <w:szCs w:val="20"/>
                <w:lang w:eastAsia="en-AU"/>
              </w:rPr>
              <w:t>Labor</w:t>
            </w:r>
            <w:proofErr w:type="spellEnd"/>
          </w:p>
        </w:tc>
        <w:tc>
          <w:tcPr>
            <w:tcW w:w="2409" w:type="dxa"/>
            <w:tcBorders>
              <w:top w:val="outset" w:sz="6" w:space="0" w:color="auto"/>
              <w:left w:val="outset" w:sz="6" w:space="0" w:color="auto"/>
              <w:bottom w:val="outset" w:sz="6" w:space="0" w:color="auto"/>
              <w:right w:val="outset" w:sz="6" w:space="0" w:color="auto"/>
            </w:tcBorders>
          </w:tcPr>
          <w:p w14:paraId="64488519" w14:textId="620F47B7" w:rsidR="00F70362" w:rsidRPr="00D720DA" w:rsidRDefault="007A5D67" w:rsidP="005B0E11">
            <w:pPr>
              <w:spacing w:before="40" w:after="0"/>
              <w:rPr>
                <w:rFonts w:ascii="Arial" w:hAnsi="Arial" w:cs="Arial"/>
                <w:sz w:val="20"/>
                <w:szCs w:val="20"/>
                <w:lang w:eastAsia="en-AU"/>
              </w:rPr>
            </w:pPr>
            <w:r w:rsidRPr="00D720DA">
              <w:rPr>
                <w:rFonts w:ascii="Arial" w:hAnsi="Arial" w:cs="Arial"/>
                <w:sz w:val="20"/>
                <w:szCs w:val="20"/>
                <w:lang w:eastAsia="en-AU"/>
              </w:rPr>
              <w:t>Office of the State Service Commissioner</w:t>
            </w:r>
            <w:r w:rsidR="00AC3D22" w:rsidRPr="00D720DA">
              <w:rPr>
                <w:rFonts w:ascii="Arial" w:hAnsi="Arial" w:cs="Arial"/>
                <w:sz w:val="20"/>
                <w:szCs w:val="20"/>
                <w:lang w:eastAsia="en-AU"/>
              </w:rPr>
              <w:t xml:space="preserve"> </w:t>
            </w:r>
          </w:p>
          <w:p w14:paraId="0E6503C0" w14:textId="732973CC" w:rsidR="00660EE4" w:rsidRPr="00D720DA" w:rsidRDefault="00660EE4" w:rsidP="005B0E11">
            <w:pPr>
              <w:spacing w:before="40" w:after="0"/>
              <w:rPr>
                <w:rFonts w:ascii="Arial" w:hAnsi="Arial" w:cs="Arial"/>
                <w:sz w:val="20"/>
                <w:szCs w:val="20"/>
                <w:lang w:eastAsia="en-AU"/>
              </w:rPr>
            </w:pPr>
            <w:bookmarkStart w:id="3" w:name="_Hlk45269921"/>
            <w:r w:rsidRPr="00D720DA">
              <w:rPr>
                <w:rFonts w:ascii="Arial" w:hAnsi="Arial" w:cs="Arial"/>
                <w:sz w:val="20"/>
                <w:szCs w:val="20"/>
              </w:rPr>
              <w:t xml:space="preserve">Office of Industrial Relations and State Service Management </w:t>
            </w:r>
            <w:bookmarkEnd w:id="3"/>
            <w:r w:rsidRPr="00D720DA">
              <w:rPr>
                <w:rFonts w:ascii="Arial" w:hAnsi="Arial" w:cs="Arial"/>
                <w:sz w:val="20"/>
                <w:szCs w:val="20"/>
              </w:rPr>
              <w:t>(2004–2006?)</w:t>
            </w:r>
          </w:p>
        </w:tc>
        <w:tc>
          <w:tcPr>
            <w:tcW w:w="2835" w:type="dxa"/>
            <w:tcBorders>
              <w:top w:val="outset" w:sz="6" w:space="0" w:color="auto"/>
              <w:left w:val="outset" w:sz="6" w:space="0" w:color="auto"/>
              <w:bottom w:val="outset" w:sz="6" w:space="0" w:color="auto"/>
              <w:right w:val="outset" w:sz="6" w:space="0" w:color="auto"/>
            </w:tcBorders>
          </w:tcPr>
          <w:p w14:paraId="0EC21134" w14:textId="69D209FB"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Robert J. Watling</w:t>
            </w:r>
            <w:r w:rsidR="00C6546E" w:rsidRPr="00D720DA">
              <w:rPr>
                <w:rFonts w:ascii="Arial" w:hAnsi="Arial" w:cs="Arial"/>
                <w:sz w:val="20"/>
                <w:szCs w:val="20"/>
                <w:lang w:eastAsia="en-AU"/>
              </w:rPr>
              <w:t xml:space="preserve"> (State Service Commissioner)</w:t>
            </w:r>
          </w:p>
        </w:tc>
        <w:tc>
          <w:tcPr>
            <w:tcW w:w="1198" w:type="dxa"/>
            <w:tcBorders>
              <w:top w:val="outset" w:sz="6" w:space="0" w:color="auto"/>
              <w:left w:val="outset" w:sz="6" w:space="0" w:color="auto"/>
              <w:bottom w:val="outset" w:sz="6" w:space="0" w:color="auto"/>
              <w:right w:val="outset" w:sz="6" w:space="0" w:color="auto"/>
            </w:tcBorders>
          </w:tcPr>
          <w:p w14:paraId="461AB15C" w14:textId="7777777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Majority</w:t>
            </w:r>
          </w:p>
        </w:tc>
      </w:tr>
      <w:tr w:rsidR="00F70362" w:rsidRPr="00D720DA" w14:paraId="181DAA5F" w14:textId="77777777" w:rsidTr="00064531">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386C96EF" w14:textId="4A7CB66C"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14 Sep 1998</w:t>
            </w:r>
          </w:p>
        </w:tc>
        <w:tc>
          <w:tcPr>
            <w:tcW w:w="850" w:type="dxa"/>
            <w:tcBorders>
              <w:top w:val="outset" w:sz="6" w:space="0" w:color="auto"/>
              <w:left w:val="outset" w:sz="6" w:space="0" w:color="auto"/>
              <w:bottom w:val="outset" w:sz="6" w:space="0" w:color="auto"/>
              <w:right w:val="outset" w:sz="6" w:space="0" w:color="auto"/>
            </w:tcBorders>
            <w:vAlign w:val="center"/>
          </w:tcPr>
          <w:p w14:paraId="38E714A8" w14:textId="1BBF67C0"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21 Mar 2004</w:t>
            </w:r>
          </w:p>
        </w:tc>
        <w:tc>
          <w:tcPr>
            <w:tcW w:w="1134" w:type="dxa"/>
            <w:tcBorders>
              <w:top w:val="outset" w:sz="6" w:space="0" w:color="auto"/>
              <w:left w:val="outset" w:sz="6" w:space="0" w:color="auto"/>
              <w:bottom w:val="outset" w:sz="6" w:space="0" w:color="auto"/>
              <w:right w:val="outset" w:sz="6" w:space="0" w:color="auto"/>
            </w:tcBorders>
            <w:vAlign w:val="center"/>
          </w:tcPr>
          <w:p w14:paraId="141055F6" w14:textId="7777777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Jim Bacon</w:t>
            </w:r>
          </w:p>
        </w:tc>
        <w:tc>
          <w:tcPr>
            <w:tcW w:w="851" w:type="dxa"/>
            <w:tcBorders>
              <w:top w:val="outset" w:sz="6" w:space="0" w:color="auto"/>
              <w:left w:val="outset" w:sz="6" w:space="0" w:color="auto"/>
              <w:bottom w:val="outset" w:sz="6" w:space="0" w:color="auto"/>
              <w:right w:val="outset" w:sz="6" w:space="0" w:color="auto"/>
            </w:tcBorders>
            <w:vAlign w:val="center"/>
          </w:tcPr>
          <w:p w14:paraId="51BE8B8B" w14:textId="77777777" w:rsidR="00F70362" w:rsidRPr="00D720DA" w:rsidRDefault="00F70362" w:rsidP="005B0E11">
            <w:pPr>
              <w:spacing w:before="40" w:after="0"/>
              <w:rPr>
                <w:rFonts w:ascii="Arial" w:hAnsi="Arial" w:cs="Arial"/>
                <w:sz w:val="20"/>
                <w:szCs w:val="20"/>
                <w:lang w:eastAsia="en-AU"/>
              </w:rPr>
            </w:pPr>
            <w:proofErr w:type="spellStart"/>
            <w:r w:rsidRPr="00D720DA">
              <w:rPr>
                <w:rFonts w:ascii="Arial" w:hAnsi="Arial" w:cs="Arial"/>
                <w:sz w:val="20"/>
                <w:szCs w:val="20"/>
                <w:lang w:eastAsia="en-AU"/>
              </w:rPr>
              <w:t>Labor</w:t>
            </w:r>
            <w:proofErr w:type="spellEnd"/>
          </w:p>
        </w:tc>
        <w:tc>
          <w:tcPr>
            <w:tcW w:w="2409" w:type="dxa"/>
            <w:tcBorders>
              <w:top w:val="outset" w:sz="6" w:space="0" w:color="auto"/>
              <w:left w:val="outset" w:sz="6" w:space="0" w:color="auto"/>
              <w:bottom w:val="outset" w:sz="6" w:space="0" w:color="auto"/>
              <w:right w:val="outset" w:sz="6" w:space="0" w:color="auto"/>
            </w:tcBorders>
          </w:tcPr>
          <w:p w14:paraId="43A90C5E" w14:textId="0C0F9139" w:rsidR="00F70362" w:rsidRPr="00D720DA" w:rsidRDefault="007A5D67" w:rsidP="005B0E11">
            <w:pPr>
              <w:spacing w:before="40" w:after="0"/>
              <w:rPr>
                <w:rFonts w:ascii="Arial" w:hAnsi="Arial" w:cs="Arial"/>
                <w:sz w:val="20"/>
                <w:szCs w:val="20"/>
                <w:lang w:eastAsia="en-AU"/>
              </w:rPr>
            </w:pPr>
            <w:r w:rsidRPr="00D720DA">
              <w:rPr>
                <w:rFonts w:ascii="Arial" w:hAnsi="Arial" w:cs="Arial"/>
                <w:sz w:val="20"/>
                <w:szCs w:val="20"/>
                <w:lang w:eastAsia="en-AU"/>
              </w:rPr>
              <w:t xml:space="preserve">Office of the </w:t>
            </w:r>
            <w:r w:rsidR="005619B4" w:rsidRPr="00D720DA">
              <w:rPr>
                <w:rFonts w:ascii="Arial" w:hAnsi="Arial" w:cs="Arial"/>
                <w:sz w:val="20"/>
                <w:szCs w:val="20"/>
                <w:lang w:eastAsia="en-AU"/>
              </w:rPr>
              <w:t>State Service Commis</w:t>
            </w:r>
            <w:r w:rsidR="0094176F" w:rsidRPr="00D720DA">
              <w:rPr>
                <w:rFonts w:ascii="Arial" w:hAnsi="Arial" w:cs="Arial"/>
                <w:sz w:val="20"/>
                <w:szCs w:val="20"/>
                <w:lang w:eastAsia="en-AU"/>
              </w:rPr>
              <w:t>s</w:t>
            </w:r>
            <w:r w:rsidR="005619B4" w:rsidRPr="00D720DA">
              <w:rPr>
                <w:rFonts w:ascii="Arial" w:hAnsi="Arial" w:cs="Arial"/>
                <w:sz w:val="20"/>
                <w:szCs w:val="20"/>
                <w:lang w:eastAsia="en-AU"/>
              </w:rPr>
              <w:t>ion</w:t>
            </w:r>
            <w:r w:rsidRPr="00D720DA">
              <w:rPr>
                <w:rFonts w:ascii="Arial" w:hAnsi="Arial" w:cs="Arial"/>
                <w:sz w:val="20"/>
                <w:szCs w:val="20"/>
                <w:lang w:eastAsia="en-AU"/>
              </w:rPr>
              <w:t>er</w:t>
            </w:r>
            <w:r w:rsidR="00A27D95" w:rsidRPr="00D720DA">
              <w:rPr>
                <w:rFonts w:ascii="Arial" w:hAnsi="Arial" w:cs="Arial"/>
                <w:sz w:val="20"/>
                <w:szCs w:val="20"/>
                <w:lang w:eastAsia="en-AU"/>
              </w:rPr>
              <w:t xml:space="preserve"> (1 May 2001)</w:t>
            </w:r>
          </w:p>
          <w:p w14:paraId="3E3B5766" w14:textId="71FE499D" w:rsidR="00CF7F05" w:rsidRPr="00D720DA" w:rsidRDefault="00CF7F05" w:rsidP="005B0E11">
            <w:pPr>
              <w:spacing w:before="40" w:after="0"/>
              <w:rPr>
                <w:rFonts w:ascii="Arial" w:hAnsi="Arial" w:cs="Arial"/>
                <w:sz w:val="20"/>
                <w:szCs w:val="20"/>
                <w:lang w:eastAsia="en-AU"/>
              </w:rPr>
            </w:pPr>
            <w:r w:rsidRPr="00D720DA">
              <w:rPr>
                <w:rFonts w:ascii="Arial" w:hAnsi="Arial" w:cs="Arial"/>
                <w:sz w:val="20"/>
                <w:szCs w:val="20"/>
                <w:lang w:eastAsia="en-AU"/>
              </w:rPr>
              <w:t>Office of the Commissioner for Public Employment (abolished in 2000</w:t>
            </w:r>
            <w:r w:rsidR="00A27D95" w:rsidRPr="00D720DA">
              <w:rPr>
                <w:rFonts w:ascii="Arial" w:hAnsi="Arial" w:cs="Arial"/>
                <w:sz w:val="20"/>
                <w:szCs w:val="20"/>
                <w:lang w:eastAsia="en-AU"/>
              </w:rPr>
              <w:t>)</w:t>
            </w:r>
            <w:r w:rsidR="00C4313A" w:rsidRPr="00D720DA">
              <w:rPr>
                <w:rFonts w:ascii="Arial" w:hAnsi="Arial" w:cs="Arial"/>
                <w:sz w:val="20"/>
                <w:szCs w:val="20"/>
                <w:lang w:eastAsia="en-AU"/>
              </w:rPr>
              <w:t xml:space="preserve"> </w:t>
            </w:r>
          </w:p>
        </w:tc>
        <w:tc>
          <w:tcPr>
            <w:tcW w:w="2835" w:type="dxa"/>
            <w:tcBorders>
              <w:top w:val="outset" w:sz="6" w:space="0" w:color="auto"/>
              <w:left w:val="outset" w:sz="6" w:space="0" w:color="auto"/>
              <w:bottom w:val="outset" w:sz="6" w:space="0" w:color="auto"/>
              <w:right w:val="outset" w:sz="6" w:space="0" w:color="auto"/>
            </w:tcBorders>
          </w:tcPr>
          <w:p w14:paraId="277B126F" w14:textId="3E1E1ED5" w:rsidR="00CF7F05"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Chris Smyth</w:t>
            </w:r>
            <w:r w:rsidR="00C6546E" w:rsidRPr="00D720DA">
              <w:rPr>
                <w:rFonts w:ascii="Arial" w:hAnsi="Arial" w:cs="Arial"/>
                <w:sz w:val="20"/>
                <w:szCs w:val="20"/>
                <w:lang w:eastAsia="en-AU"/>
              </w:rPr>
              <w:t xml:space="preserve"> (State Service Commi</w:t>
            </w:r>
            <w:r w:rsidR="00404BB5" w:rsidRPr="00D720DA">
              <w:rPr>
                <w:rFonts w:ascii="Arial" w:hAnsi="Arial" w:cs="Arial"/>
                <w:sz w:val="20"/>
                <w:szCs w:val="20"/>
                <w:lang w:eastAsia="en-AU"/>
              </w:rPr>
              <w:t>s</w:t>
            </w:r>
            <w:r w:rsidR="00C6546E" w:rsidRPr="00D720DA">
              <w:rPr>
                <w:rFonts w:ascii="Arial" w:hAnsi="Arial" w:cs="Arial"/>
                <w:sz w:val="20"/>
                <w:szCs w:val="20"/>
                <w:lang w:eastAsia="en-AU"/>
              </w:rPr>
              <w:t>sioner)</w:t>
            </w:r>
          </w:p>
          <w:p w14:paraId="6D53B687" w14:textId="0B691440" w:rsidR="00CF7F05"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Greg Vines (from May 2001)</w:t>
            </w:r>
          </w:p>
          <w:p w14:paraId="5A872982" w14:textId="77777777" w:rsidR="00A32635"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Rebekah Burton (acting)</w:t>
            </w:r>
          </w:p>
          <w:p w14:paraId="15FC30C9" w14:textId="37F8BFA4"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 xml:space="preserve">Michael Stevens </w:t>
            </w:r>
            <w:r w:rsidR="00A32635" w:rsidRPr="00D720DA">
              <w:rPr>
                <w:rFonts w:ascii="Arial" w:hAnsi="Arial" w:cs="Arial"/>
                <w:sz w:val="20"/>
                <w:szCs w:val="20"/>
                <w:lang w:eastAsia="en-AU"/>
              </w:rPr>
              <w:t>(retired June 1999)</w:t>
            </w:r>
          </w:p>
        </w:tc>
        <w:tc>
          <w:tcPr>
            <w:tcW w:w="1198" w:type="dxa"/>
            <w:tcBorders>
              <w:top w:val="outset" w:sz="6" w:space="0" w:color="auto"/>
              <w:left w:val="outset" w:sz="6" w:space="0" w:color="auto"/>
              <w:bottom w:val="outset" w:sz="6" w:space="0" w:color="auto"/>
              <w:right w:val="outset" w:sz="6" w:space="0" w:color="auto"/>
            </w:tcBorders>
          </w:tcPr>
          <w:p w14:paraId="06E847F8" w14:textId="7777777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Majority</w:t>
            </w:r>
          </w:p>
        </w:tc>
      </w:tr>
      <w:tr w:rsidR="00F70362" w:rsidRPr="00D720DA" w14:paraId="2FDC458A" w14:textId="77777777" w:rsidTr="00064531">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451DB79B" w14:textId="19F62FB3"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18 Mar 1996</w:t>
            </w:r>
          </w:p>
        </w:tc>
        <w:tc>
          <w:tcPr>
            <w:tcW w:w="850" w:type="dxa"/>
            <w:tcBorders>
              <w:top w:val="outset" w:sz="6" w:space="0" w:color="auto"/>
              <w:left w:val="outset" w:sz="6" w:space="0" w:color="auto"/>
              <w:bottom w:val="outset" w:sz="6" w:space="0" w:color="auto"/>
              <w:right w:val="outset" w:sz="6" w:space="0" w:color="auto"/>
            </w:tcBorders>
            <w:vAlign w:val="center"/>
          </w:tcPr>
          <w:p w14:paraId="20199EE3" w14:textId="1D72DEC8"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14 Sep 1998</w:t>
            </w:r>
          </w:p>
        </w:tc>
        <w:tc>
          <w:tcPr>
            <w:tcW w:w="1134" w:type="dxa"/>
            <w:tcBorders>
              <w:top w:val="outset" w:sz="6" w:space="0" w:color="auto"/>
              <w:left w:val="outset" w:sz="6" w:space="0" w:color="auto"/>
              <w:bottom w:val="outset" w:sz="6" w:space="0" w:color="auto"/>
              <w:right w:val="outset" w:sz="6" w:space="0" w:color="auto"/>
            </w:tcBorders>
            <w:vAlign w:val="center"/>
          </w:tcPr>
          <w:p w14:paraId="11F11B52" w14:textId="7777777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Tony Rundle</w:t>
            </w:r>
          </w:p>
        </w:tc>
        <w:tc>
          <w:tcPr>
            <w:tcW w:w="851" w:type="dxa"/>
            <w:tcBorders>
              <w:top w:val="outset" w:sz="6" w:space="0" w:color="auto"/>
              <w:left w:val="outset" w:sz="6" w:space="0" w:color="auto"/>
              <w:bottom w:val="outset" w:sz="6" w:space="0" w:color="auto"/>
              <w:right w:val="outset" w:sz="6" w:space="0" w:color="auto"/>
            </w:tcBorders>
            <w:vAlign w:val="center"/>
          </w:tcPr>
          <w:p w14:paraId="69B1DCBF" w14:textId="7777777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Liberal</w:t>
            </w:r>
          </w:p>
        </w:tc>
        <w:tc>
          <w:tcPr>
            <w:tcW w:w="2409" w:type="dxa"/>
            <w:tcBorders>
              <w:top w:val="outset" w:sz="6" w:space="0" w:color="auto"/>
              <w:left w:val="outset" w:sz="6" w:space="0" w:color="auto"/>
              <w:bottom w:val="outset" w:sz="6" w:space="0" w:color="auto"/>
              <w:right w:val="outset" w:sz="6" w:space="0" w:color="auto"/>
            </w:tcBorders>
          </w:tcPr>
          <w:p w14:paraId="3571156F" w14:textId="0C51491A" w:rsidR="00F70362" w:rsidRPr="00D720DA" w:rsidRDefault="009079BD" w:rsidP="005B0E11">
            <w:pPr>
              <w:spacing w:before="40" w:after="0"/>
              <w:rPr>
                <w:rFonts w:ascii="Arial" w:hAnsi="Arial" w:cs="Arial"/>
                <w:sz w:val="20"/>
                <w:szCs w:val="20"/>
                <w:lang w:eastAsia="en-AU"/>
              </w:rPr>
            </w:pPr>
            <w:r w:rsidRPr="00D720DA">
              <w:rPr>
                <w:rFonts w:ascii="Arial" w:hAnsi="Arial" w:cs="Arial"/>
                <w:sz w:val="20"/>
                <w:szCs w:val="20"/>
                <w:lang w:eastAsia="en-AU"/>
              </w:rPr>
              <w:t>Office of the Commissioner for Public Employment</w:t>
            </w:r>
          </w:p>
        </w:tc>
        <w:tc>
          <w:tcPr>
            <w:tcW w:w="2835" w:type="dxa"/>
            <w:tcBorders>
              <w:top w:val="outset" w:sz="6" w:space="0" w:color="auto"/>
              <w:left w:val="outset" w:sz="6" w:space="0" w:color="auto"/>
              <w:bottom w:val="outset" w:sz="6" w:space="0" w:color="auto"/>
              <w:right w:val="outset" w:sz="6" w:space="0" w:color="auto"/>
            </w:tcBorders>
          </w:tcPr>
          <w:p w14:paraId="676E81EC" w14:textId="2871F93B"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Michael Stevens</w:t>
            </w:r>
          </w:p>
        </w:tc>
        <w:tc>
          <w:tcPr>
            <w:tcW w:w="1198" w:type="dxa"/>
            <w:tcBorders>
              <w:top w:val="outset" w:sz="6" w:space="0" w:color="auto"/>
              <w:left w:val="outset" w:sz="6" w:space="0" w:color="auto"/>
              <w:bottom w:val="outset" w:sz="6" w:space="0" w:color="auto"/>
              <w:right w:val="outset" w:sz="6" w:space="0" w:color="auto"/>
            </w:tcBorders>
          </w:tcPr>
          <w:p w14:paraId="157B2237" w14:textId="37731C88"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Minority (with Greens)</w:t>
            </w:r>
          </w:p>
        </w:tc>
      </w:tr>
      <w:tr w:rsidR="00F70362" w:rsidRPr="00D720DA" w14:paraId="0FF7FBF4" w14:textId="77777777" w:rsidTr="00064531">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30648365" w14:textId="3DECA9E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lastRenderedPageBreak/>
              <w:t>17 Feb 1992</w:t>
            </w:r>
          </w:p>
        </w:tc>
        <w:tc>
          <w:tcPr>
            <w:tcW w:w="850" w:type="dxa"/>
            <w:tcBorders>
              <w:top w:val="outset" w:sz="6" w:space="0" w:color="auto"/>
              <w:left w:val="outset" w:sz="6" w:space="0" w:color="auto"/>
              <w:bottom w:val="outset" w:sz="6" w:space="0" w:color="auto"/>
              <w:right w:val="outset" w:sz="6" w:space="0" w:color="auto"/>
            </w:tcBorders>
            <w:vAlign w:val="center"/>
          </w:tcPr>
          <w:p w14:paraId="1B117F61" w14:textId="5F084A53"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18 Mar 1996</w:t>
            </w:r>
          </w:p>
        </w:tc>
        <w:tc>
          <w:tcPr>
            <w:tcW w:w="1134" w:type="dxa"/>
            <w:tcBorders>
              <w:top w:val="outset" w:sz="6" w:space="0" w:color="auto"/>
              <w:left w:val="outset" w:sz="6" w:space="0" w:color="auto"/>
              <w:bottom w:val="outset" w:sz="6" w:space="0" w:color="auto"/>
              <w:right w:val="outset" w:sz="6" w:space="0" w:color="auto"/>
            </w:tcBorders>
            <w:vAlign w:val="center"/>
          </w:tcPr>
          <w:p w14:paraId="09505CDF" w14:textId="7777777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Ray Groom</w:t>
            </w:r>
          </w:p>
        </w:tc>
        <w:tc>
          <w:tcPr>
            <w:tcW w:w="851" w:type="dxa"/>
            <w:tcBorders>
              <w:top w:val="outset" w:sz="6" w:space="0" w:color="auto"/>
              <w:left w:val="outset" w:sz="6" w:space="0" w:color="auto"/>
              <w:bottom w:val="outset" w:sz="6" w:space="0" w:color="auto"/>
              <w:right w:val="outset" w:sz="6" w:space="0" w:color="auto"/>
            </w:tcBorders>
            <w:vAlign w:val="center"/>
          </w:tcPr>
          <w:p w14:paraId="6B078610" w14:textId="7777777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Liberal</w:t>
            </w:r>
          </w:p>
        </w:tc>
        <w:tc>
          <w:tcPr>
            <w:tcW w:w="2409" w:type="dxa"/>
            <w:tcBorders>
              <w:top w:val="outset" w:sz="6" w:space="0" w:color="auto"/>
              <w:left w:val="outset" w:sz="6" w:space="0" w:color="auto"/>
              <w:bottom w:val="outset" w:sz="6" w:space="0" w:color="auto"/>
              <w:right w:val="outset" w:sz="6" w:space="0" w:color="auto"/>
            </w:tcBorders>
          </w:tcPr>
          <w:p w14:paraId="52DDBA4A" w14:textId="4D758610" w:rsidR="00F70362" w:rsidRPr="00D720DA" w:rsidRDefault="00125BC8" w:rsidP="005B0E11">
            <w:pPr>
              <w:spacing w:before="40" w:after="0"/>
              <w:rPr>
                <w:rFonts w:ascii="Arial" w:hAnsi="Arial" w:cs="Arial"/>
                <w:sz w:val="20"/>
                <w:szCs w:val="20"/>
                <w:lang w:eastAsia="en-AU"/>
              </w:rPr>
            </w:pPr>
            <w:r w:rsidRPr="00D720DA">
              <w:rPr>
                <w:rFonts w:ascii="Arial" w:hAnsi="Arial" w:cs="Arial"/>
                <w:sz w:val="20"/>
                <w:szCs w:val="20"/>
                <w:lang w:eastAsia="en-AU"/>
              </w:rPr>
              <w:t>Office of the Commissioner for Public Employment</w:t>
            </w:r>
          </w:p>
          <w:p w14:paraId="1620B657" w14:textId="6FEA1227" w:rsidR="003E554C" w:rsidRPr="00D720DA" w:rsidRDefault="00404BB5" w:rsidP="005B0E11">
            <w:pPr>
              <w:spacing w:before="40" w:after="0"/>
              <w:rPr>
                <w:rFonts w:ascii="Arial" w:hAnsi="Arial" w:cs="Arial"/>
                <w:sz w:val="20"/>
                <w:szCs w:val="20"/>
                <w:lang w:eastAsia="en-AU"/>
              </w:rPr>
            </w:pPr>
            <w:r w:rsidRPr="00D720DA">
              <w:rPr>
                <w:rFonts w:ascii="Arial" w:hAnsi="Arial" w:cs="Arial"/>
                <w:sz w:val="20"/>
                <w:szCs w:val="20"/>
                <w:lang w:eastAsia="en-AU"/>
              </w:rPr>
              <w:t xml:space="preserve">Public Sector Management Office </w:t>
            </w:r>
            <w:r w:rsidR="003E554C" w:rsidRPr="00D720DA">
              <w:rPr>
                <w:rFonts w:ascii="Arial" w:hAnsi="Arial" w:cs="Arial"/>
                <w:sz w:val="20"/>
                <w:szCs w:val="20"/>
                <w:lang w:eastAsia="en-AU"/>
              </w:rPr>
              <w:t>(1993–1996)</w:t>
            </w:r>
          </w:p>
          <w:p w14:paraId="721FAA11" w14:textId="44E452D2" w:rsidR="006405CB" w:rsidRPr="00D720DA" w:rsidRDefault="006405CB" w:rsidP="005B0E11">
            <w:pPr>
              <w:spacing w:before="40" w:after="0"/>
              <w:rPr>
                <w:rFonts w:ascii="Arial" w:hAnsi="Arial" w:cs="Arial"/>
                <w:b/>
                <w:bCs/>
                <w:color w:val="FF0000"/>
                <w:sz w:val="20"/>
                <w:szCs w:val="20"/>
              </w:rPr>
            </w:pPr>
            <w:r w:rsidRPr="00D720DA">
              <w:rPr>
                <w:rFonts w:ascii="Arial" w:hAnsi="Arial" w:cs="Arial"/>
                <w:sz w:val="20"/>
                <w:szCs w:val="20"/>
                <w:lang w:eastAsia="en-AU"/>
              </w:rPr>
              <w:t>Office of the Minister for Public Sector Administration (1993–1996)</w:t>
            </w:r>
          </w:p>
        </w:tc>
        <w:tc>
          <w:tcPr>
            <w:tcW w:w="2835" w:type="dxa"/>
            <w:tcBorders>
              <w:top w:val="outset" w:sz="6" w:space="0" w:color="auto"/>
              <w:left w:val="outset" w:sz="6" w:space="0" w:color="auto"/>
              <w:bottom w:val="outset" w:sz="6" w:space="0" w:color="auto"/>
              <w:right w:val="outset" w:sz="6" w:space="0" w:color="auto"/>
            </w:tcBorders>
          </w:tcPr>
          <w:p w14:paraId="1AAF16B7" w14:textId="4EFF1100" w:rsidR="00F70362" w:rsidRPr="00D720DA" w:rsidRDefault="00F70362" w:rsidP="005B0E11">
            <w:pPr>
              <w:spacing w:before="40" w:after="0"/>
              <w:rPr>
                <w:rFonts w:ascii="Arial" w:hAnsi="Arial" w:cs="Arial"/>
                <w:sz w:val="20"/>
                <w:szCs w:val="20"/>
              </w:rPr>
            </w:pPr>
          </w:p>
        </w:tc>
        <w:tc>
          <w:tcPr>
            <w:tcW w:w="1198" w:type="dxa"/>
            <w:tcBorders>
              <w:top w:val="outset" w:sz="6" w:space="0" w:color="auto"/>
              <w:left w:val="outset" w:sz="6" w:space="0" w:color="auto"/>
              <w:bottom w:val="outset" w:sz="6" w:space="0" w:color="auto"/>
              <w:right w:val="outset" w:sz="6" w:space="0" w:color="auto"/>
            </w:tcBorders>
          </w:tcPr>
          <w:p w14:paraId="4A072A8B" w14:textId="77777777" w:rsidR="00F70362" w:rsidRPr="00D720DA" w:rsidRDefault="00F70362" w:rsidP="005B0E11">
            <w:pPr>
              <w:spacing w:before="40" w:after="0"/>
              <w:rPr>
                <w:rFonts w:ascii="Arial" w:hAnsi="Arial" w:cs="Arial"/>
                <w:sz w:val="20"/>
                <w:szCs w:val="20"/>
              </w:rPr>
            </w:pPr>
            <w:r w:rsidRPr="00D720DA">
              <w:rPr>
                <w:rFonts w:ascii="Arial" w:hAnsi="Arial" w:cs="Arial"/>
                <w:sz w:val="20"/>
                <w:szCs w:val="20"/>
              </w:rPr>
              <w:t>Majority</w:t>
            </w:r>
          </w:p>
        </w:tc>
      </w:tr>
      <w:tr w:rsidR="00F70362" w:rsidRPr="00D720DA" w14:paraId="6C7BF552" w14:textId="77777777" w:rsidTr="00064531">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378970DF" w14:textId="3B3ECC80"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29 Jun 1989</w:t>
            </w:r>
          </w:p>
        </w:tc>
        <w:tc>
          <w:tcPr>
            <w:tcW w:w="850" w:type="dxa"/>
            <w:tcBorders>
              <w:top w:val="outset" w:sz="6" w:space="0" w:color="auto"/>
              <w:left w:val="outset" w:sz="6" w:space="0" w:color="auto"/>
              <w:bottom w:val="outset" w:sz="6" w:space="0" w:color="auto"/>
              <w:right w:val="outset" w:sz="6" w:space="0" w:color="auto"/>
            </w:tcBorders>
            <w:vAlign w:val="center"/>
          </w:tcPr>
          <w:p w14:paraId="2EBBDB74" w14:textId="7085F926"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17 Feb 1992</w:t>
            </w:r>
          </w:p>
        </w:tc>
        <w:tc>
          <w:tcPr>
            <w:tcW w:w="1134" w:type="dxa"/>
            <w:tcBorders>
              <w:top w:val="outset" w:sz="6" w:space="0" w:color="auto"/>
              <w:left w:val="outset" w:sz="6" w:space="0" w:color="auto"/>
              <w:bottom w:val="outset" w:sz="6" w:space="0" w:color="auto"/>
              <w:right w:val="outset" w:sz="6" w:space="0" w:color="auto"/>
            </w:tcBorders>
            <w:vAlign w:val="center"/>
          </w:tcPr>
          <w:p w14:paraId="77DEACB5" w14:textId="7777777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Michael Field</w:t>
            </w:r>
          </w:p>
        </w:tc>
        <w:tc>
          <w:tcPr>
            <w:tcW w:w="851" w:type="dxa"/>
            <w:tcBorders>
              <w:top w:val="outset" w:sz="6" w:space="0" w:color="auto"/>
              <w:left w:val="outset" w:sz="6" w:space="0" w:color="auto"/>
              <w:bottom w:val="outset" w:sz="6" w:space="0" w:color="auto"/>
              <w:right w:val="outset" w:sz="6" w:space="0" w:color="auto"/>
            </w:tcBorders>
            <w:vAlign w:val="center"/>
          </w:tcPr>
          <w:p w14:paraId="3494851B" w14:textId="77777777" w:rsidR="00F70362" w:rsidRPr="00D720DA" w:rsidRDefault="00F70362" w:rsidP="005B0E11">
            <w:pPr>
              <w:spacing w:before="40" w:after="0"/>
              <w:rPr>
                <w:rFonts w:ascii="Arial" w:hAnsi="Arial" w:cs="Arial"/>
                <w:sz w:val="20"/>
                <w:szCs w:val="20"/>
                <w:lang w:eastAsia="en-AU"/>
              </w:rPr>
            </w:pPr>
            <w:proofErr w:type="spellStart"/>
            <w:r w:rsidRPr="00D720DA">
              <w:rPr>
                <w:rFonts w:ascii="Arial" w:hAnsi="Arial" w:cs="Arial"/>
                <w:sz w:val="20"/>
                <w:szCs w:val="20"/>
                <w:lang w:eastAsia="en-AU"/>
              </w:rPr>
              <w:t>Labor</w:t>
            </w:r>
            <w:proofErr w:type="spellEnd"/>
          </w:p>
        </w:tc>
        <w:tc>
          <w:tcPr>
            <w:tcW w:w="2409" w:type="dxa"/>
            <w:tcBorders>
              <w:top w:val="outset" w:sz="6" w:space="0" w:color="auto"/>
              <w:left w:val="outset" w:sz="6" w:space="0" w:color="auto"/>
              <w:bottom w:val="outset" w:sz="6" w:space="0" w:color="auto"/>
              <w:right w:val="outset" w:sz="6" w:space="0" w:color="auto"/>
            </w:tcBorders>
          </w:tcPr>
          <w:p w14:paraId="0C9A9703" w14:textId="5FA0BA41" w:rsidR="00F70362" w:rsidRPr="00D720DA" w:rsidRDefault="00E96B4B" w:rsidP="005B0E11">
            <w:pPr>
              <w:spacing w:before="40" w:after="0"/>
              <w:rPr>
                <w:rFonts w:ascii="Arial" w:hAnsi="Arial" w:cs="Arial"/>
                <w:sz w:val="20"/>
                <w:szCs w:val="20"/>
              </w:rPr>
            </w:pPr>
            <w:r w:rsidRPr="00D720DA">
              <w:rPr>
                <w:rFonts w:ascii="Arial" w:hAnsi="Arial" w:cs="Arial"/>
                <w:sz w:val="20"/>
                <w:szCs w:val="20"/>
              </w:rPr>
              <w:t>Office of the Commissioner for Public Employment</w:t>
            </w:r>
            <w:r w:rsidR="00C4313A" w:rsidRPr="00D720DA">
              <w:rPr>
                <w:rFonts w:ascii="Arial" w:hAnsi="Arial" w:cs="Arial"/>
                <w:sz w:val="20"/>
                <w:szCs w:val="20"/>
              </w:rPr>
              <w:t xml:space="preserve"> (from 1 Jan 1985?)</w:t>
            </w:r>
          </w:p>
        </w:tc>
        <w:tc>
          <w:tcPr>
            <w:tcW w:w="2835" w:type="dxa"/>
            <w:tcBorders>
              <w:top w:val="outset" w:sz="6" w:space="0" w:color="auto"/>
              <w:left w:val="outset" w:sz="6" w:space="0" w:color="auto"/>
              <w:bottom w:val="outset" w:sz="6" w:space="0" w:color="auto"/>
              <w:right w:val="outset" w:sz="6" w:space="0" w:color="auto"/>
            </w:tcBorders>
          </w:tcPr>
          <w:p w14:paraId="40C31F45" w14:textId="58B445AD" w:rsidR="00F70362" w:rsidRPr="00D720DA" w:rsidRDefault="00F70362" w:rsidP="005B0E11">
            <w:pPr>
              <w:spacing w:before="40" w:after="0"/>
              <w:rPr>
                <w:rFonts w:ascii="Arial" w:hAnsi="Arial" w:cs="Arial"/>
                <w:sz w:val="20"/>
                <w:szCs w:val="20"/>
              </w:rPr>
            </w:pPr>
          </w:p>
        </w:tc>
        <w:tc>
          <w:tcPr>
            <w:tcW w:w="1198" w:type="dxa"/>
            <w:tcBorders>
              <w:top w:val="outset" w:sz="6" w:space="0" w:color="auto"/>
              <w:left w:val="outset" w:sz="6" w:space="0" w:color="auto"/>
              <w:bottom w:val="outset" w:sz="6" w:space="0" w:color="auto"/>
              <w:right w:val="outset" w:sz="6" w:space="0" w:color="auto"/>
            </w:tcBorders>
          </w:tcPr>
          <w:p w14:paraId="18937854" w14:textId="27112435"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Minority (with Greens)</w:t>
            </w:r>
          </w:p>
        </w:tc>
      </w:tr>
      <w:tr w:rsidR="00F70362" w:rsidRPr="00D720DA" w14:paraId="4DA35F67" w14:textId="77777777" w:rsidTr="00064531">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6A7F3D94" w14:textId="7777777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26 May 1982</w:t>
            </w:r>
          </w:p>
        </w:tc>
        <w:tc>
          <w:tcPr>
            <w:tcW w:w="850" w:type="dxa"/>
            <w:tcBorders>
              <w:top w:val="outset" w:sz="6" w:space="0" w:color="auto"/>
              <w:left w:val="outset" w:sz="6" w:space="0" w:color="auto"/>
              <w:bottom w:val="outset" w:sz="6" w:space="0" w:color="auto"/>
              <w:right w:val="outset" w:sz="6" w:space="0" w:color="auto"/>
            </w:tcBorders>
            <w:vAlign w:val="center"/>
          </w:tcPr>
          <w:p w14:paraId="2E6A3B19" w14:textId="5D813F29"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29 Jun 1989</w:t>
            </w:r>
          </w:p>
        </w:tc>
        <w:tc>
          <w:tcPr>
            <w:tcW w:w="1134" w:type="dxa"/>
            <w:tcBorders>
              <w:top w:val="outset" w:sz="6" w:space="0" w:color="auto"/>
              <w:left w:val="outset" w:sz="6" w:space="0" w:color="auto"/>
              <w:bottom w:val="outset" w:sz="6" w:space="0" w:color="auto"/>
              <w:right w:val="outset" w:sz="6" w:space="0" w:color="auto"/>
            </w:tcBorders>
            <w:vAlign w:val="center"/>
          </w:tcPr>
          <w:p w14:paraId="3C69E9E0" w14:textId="7777777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Robin Gray</w:t>
            </w:r>
          </w:p>
        </w:tc>
        <w:tc>
          <w:tcPr>
            <w:tcW w:w="851" w:type="dxa"/>
            <w:tcBorders>
              <w:top w:val="outset" w:sz="6" w:space="0" w:color="auto"/>
              <w:left w:val="outset" w:sz="6" w:space="0" w:color="auto"/>
              <w:bottom w:val="outset" w:sz="6" w:space="0" w:color="auto"/>
              <w:right w:val="outset" w:sz="6" w:space="0" w:color="auto"/>
            </w:tcBorders>
            <w:vAlign w:val="center"/>
          </w:tcPr>
          <w:p w14:paraId="463E0E44" w14:textId="7777777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Liberal</w:t>
            </w:r>
          </w:p>
        </w:tc>
        <w:tc>
          <w:tcPr>
            <w:tcW w:w="2409" w:type="dxa"/>
            <w:tcBorders>
              <w:top w:val="outset" w:sz="6" w:space="0" w:color="auto"/>
              <w:left w:val="outset" w:sz="6" w:space="0" w:color="auto"/>
              <w:bottom w:val="outset" w:sz="6" w:space="0" w:color="auto"/>
              <w:right w:val="outset" w:sz="6" w:space="0" w:color="auto"/>
            </w:tcBorders>
          </w:tcPr>
          <w:p w14:paraId="11CC09AD" w14:textId="794AD67C" w:rsidR="00117574" w:rsidRPr="00D720DA" w:rsidRDefault="00117574" w:rsidP="005B0E11">
            <w:pPr>
              <w:spacing w:before="40" w:after="0"/>
              <w:rPr>
                <w:rFonts w:ascii="Arial" w:hAnsi="Arial" w:cs="Arial"/>
                <w:sz w:val="20"/>
                <w:szCs w:val="20"/>
                <w:lang w:eastAsia="en-AU"/>
              </w:rPr>
            </w:pPr>
            <w:r w:rsidRPr="00D720DA">
              <w:rPr>
                <w:rFonts w:ascii="Arial" w:hAnsi="Arial" w:cs="Arial"/>
                <w:sz w:val="20"/>
                <w:szCs w:val="20"/>
                <w:lang w:eastAsia="en-AU"/>
              </w:rPr>
              <w:t>Department of Public Administration</w:t>
            </w:r>
            <w:r w:rsidR="0070061B" w:rsidRPr="00D720DA">
              <w:rPr>
                <w:rFonts w:ascii="Arial" w:hAnsi="Arial" w:cs="Arial"/>
                <w:sz w:val="20"/>
                <w:szCs w:val="20"/>
                <w:lang w:eastAsia="en-AU"/>
              </w:rPr>
              <w:t xml:space="preserve"> (1985–1990)</w:t>
            </w:r>
          </w:p>
          <w:p w14:paraId="10FBD9C6" w14:textId="14CB9AF8" w:rsidR="00F70362" w:rsidRPr="00D720DA" w:rsidRDefault="00117574" w:rsidP="005B0E11">
            <w:pPr>
              <w:spacing w:before="40" w:after="0"/>
              <w:rPr>
                <w:rFonts w:ascii="Arial" w:hAnsi="Arial" w:cs="Arial"/>
                <w:sz w:val="20"/>
                <w:szCs w:val="20"/>
                <w:lang w:eastAsia="en-AU"/>
              </w:rPr>
            </w:pPr>
            <w:r w:rsidRPr="00D720DA">
              <w:rPr>
                <w:rFonts w:ascii="Arial" w:hAnsi="Arial" w:cs="Arial"/>
                <w:sz w:val="20"/>
                <w:szCs w:val="20"/>
                <w:lang w:eastAsia="en-AU"/>
              </w:rPr>
              <w:t>Public Service Board</w:t>
            </w:r>
            <w:r w:rsidR="00AB530F" w:rsidRPr="00D720DA">
              <w:rPr>
                <w:rFonts w:ascii="Arial" w:hAnsi="Arial" w:cs="Arial"/>
                <w:sz w:val="20"/>
                <w:szCs w:val="20"/>
                <w:lang w:eastAsia="en-AU"/>
              </w:rPr>
              <w:t xml:space="preserve"> to 1984</w:t>
            </w:r>
          </w:p>
        </w:tc>
        <w:tc>
          <w:tcPr>
            <w:tcW w:w="2835" w:type="dxa"/>
            <w:tcBorders>
              <w:top w:val="outset" w:sz="6" w:space="0" w:color="auto"/>
              <w:left w:val="outset" w:sz="6" w:space="0" w:color="auto"/>
              <w:bottom w:val="outset" w:sz="6" w:space="0" w:color="auto"/>
              <w:right w:val="outset" w:sz="6" w:space="0" w:color="auto"/>
            </w:tcBorders>
          </w:tcPr>
          <w:p w14:paraId="13CFB8D5" w14:textId="07A9C219" w:rsidR="007A5D67"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David Hawkes (Commissioner for Public Employment, from Jan 1985</w:t>
            </w:r>
            <w:r w:rsidR="00A82F4B" w:rsidRPr="00D720DA">
              <w:rPr>
                <w:rFonts w:ascii="Arial" w:hAnsi="Arial" w:cs="Arial"/>
                <w:sz w:val="20"/>
                <w:szCs w:val="20"/>
                <w:lang w:eastAsia="en-AU"/>
              </w:rPr>
              <w:t xml:space="preserve"> to 1988</w:t>
            </w:r>
            <w:r w:rsidRPr="00D720DA">
              <w:rPr>
                <w:rFonts w:ascii="Arial" w:hAnsi="Arial" w:cs="Arial"/>
                <w:sz w:val="20"/>
                <w:szCs w:val="20"/>
                <w:lang w:eastAsia="en-AU"/>
              </w:rPr>
              <w:t>)</w:t>
            </w:r>
            <w:r w:rsidR="00A82F4B" w:rsidRPr="00D720DA">
              <w:rPr>
                <w:rFonts w:ascii="Arial" w:hAnsi="Arial" w:cs="Arial"/>
                <w:sz w:val="20"/>
                <w:szCs w:val="20"/>
                <w:lang w:eastAsia="en-AU"/>
              </w:rPr>
              <w:t xml:space="preserve"> </w:t>
            </w:r>
          </w:p>
          <w:p w14:paraId="55B62304" w14:textId="644AA3BE" w:rsidR="00F70362" w:rsidRPr="00D720DA" w:rsidRDefault="007A5D67" w:rsidP="005B0E11">
            <w:pPr>
              <w:spacing w:before="40" w:after="0"/>
              <w:rPr>
                <w:rFonts w:ascii="Arial" w:hAnsi="Arial" w:cs="Arial"/>
                <w:sz w:val="20"/>
                <w:szCs w:val="20"/>
              </w:rPr>
            </w:pPr>
            <w:r w:rsidRPr="00D720DA">
              <w:rPr>
                <w:rFonts w:ascii="Arial" w:hAnsi="Arial" w:cs="Arial"/>
                <w:sz w:val="20"/>
                <w:szCs w:val="20"/>
                <w:lang w:eastAsia="en-AU"/>
              </w:rPr>
              <w:t xml:space="preserve">A.M. Cornish – </w:t>
            </w:r>
            <w:r w:rsidR="00F70362" w:rsidRPr="00D720DA">
              <w:rPr>
                <w:rFonts w:ascii="Arial" w:hAnsi="Arial" w:cs="Arial"/>
                <w:sz w:val="20"/>
                <w:szCs w:val="20"/>
                <w:lang w:eastAsia="en-AU"/>
              </w:rPr>
              <w:t xml:space="preserve">Chairman, Public Service Board  </w:t>
            </w:r>
          </w:p>
        </w:tc>
        <w:tc>
          <w:tcPr>
            <w:tcW w:w="1198" w:type="dxa"/>
            <w:tcBorders>
              <w:top w:val="outset" w:sz="6" w:space="0" w:color="auto"/>
              <w:left w:val="outset" w:sz="6" w:space="0" w:color="auto"/>
              <w:bottom w:val="outset" w:sz="6" w:space="0" w:color="auto"/>
              <w:right w:val="outset" w:sz="6" w:space="0" w:color="auto"/>
            </w:tcBorders>
          </w:tcPr>
          <w:p w14:paraId="476A21E6" w14:textId="77777777" w:rsidR="00F70362" w:rsidRPr="00D720DA" w:rsidRDefault="00F70362" w:rsidP="005B0E11">
            <w:pPr>
              <w:spacing w:before="40" w:after="0"/>
              <w:rPr>
                <w:rFonts w:ascii="Arial" w:hAnsi="Arial" w:cs="Arial"/>
                <w:sz w:val="20"/>
                <w:szCs w:val="20"/>
              </w:rPr>
            </w:pPr>
            <w:r w:rsidRPr="00D720DA">
              <w:rPr>
                <w:rFonts w:ascii="Arial" w:hAnsi="Arial" w:cs="Arial"/>
                <w:sz w:val="20"/>
                <w:szCs w:val="20"/>
              </w:rPr>
              <w:t>Majority</w:t>
            </w:r>
          </w:p>
        </w:tc>
      </w:tr>
      <w:tr w:rsidR="00F70362" w:rsidRPr="00D720DA" w14:paraId="0BED1C3D" w14:textId="77777777" w:rsidTr="00064531">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0F8FCD02" w14:textId="4FDA15E8"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11 Nov 1981</w:t>
            </w:r>
          </w:p>
        </w:tc>
        <w:tc>
          <w:tcPr>
            <w:tcW w:w="850" w:type="dxa"/>
            <w:tcBorders>
              <w:top w:val="outset" w:sz="6" w:space="0" w:color="auto"/>
              <w:left w:val="outset" w:sz="6" w:space="0" w:color="auto"/>
              <w:bottom w:val="outset" w:sz="6" w:space="0" w:color="auto"/>
              <w:right w:val="outset" w:sz="6" w:space="0" w:color="auto"/>
            </w:tcBorders>
            <w:vAlign w:val="center"/>
          </w:tcPr>
          <w:p w14:paraId="1AB8905C" w14:textId="7777777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26 May 1982</w:t>
            </w:r>
          </w:p>
        </w:tc>
        <w:tc>
          <w:tcPr>
            <w:tcW w:w="1134" w:type="dxa"/>
            <w:tcBorders>
              <w:top w:val="outset" w:sz="6" w:space="0" w:color="auto"/>
              <w:left w:val="outset" w:sz="6" w:space="0" w:color="auto"/>
              <w:bottom w:val="outset" w:sz="6" w:space="0" w:color="auto"/>
              <w:right w:val="outset" w:sz="6" w:space="0" w:color="auto"/>
            </w:tcBorders>
            <w:vAlign w:val="center"/>
          </w:tcPr>
          <w:p w14:paraId="3586C99A" w14:textId="7777777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Harry Holgate</w:t>
            </w:r>
          </w:p>
        </w:tc>
        <w:tc>
          <w:tcPr>
            <w:tcW w:w="851" w:type="dxa"/>
            <w:tcBorders>
              <w:top w:val="outset" w:sz="6" w:space="0" w:color="auto"/>
              <w:left w:val="outset" w:sz="6" w:space="0" w:color="auto"/>
              <w:bottom w:val="outset" w:sz="6" w:space="0" w:color="auto"/>
              <w:right w:val="outset" w:sz="6" w:space="0" w:color="auto"/>
            </w:tcBorders>
            <w:vAlign w:val="center"/>
          </w:tcPr>
          <w:p w14:paraId="0EF0EAEC" w14:textId="77777777" w:rsidR="00F70362" w:rsidRPr="00D720DA" w:rsidRDefault="00F70362" w:rsidP="005B0E11">
            <w:pPr>
              <w:spacing w:before="40" w:after="0"/>
              <w:rPr>
                <w:rFonts w:ascii="Arial" w:hAnsi="Arial" w:cs="Arial"/>
                <w:sz w:val="20"/>
                <w:szCs w:val="20"/>
                <w:lang w:eastAsia="en-AU"/>
              </w:rPr>
            </w:pPr>
            <w:proofErr w:type="spellStart"/>
            <w:r w:rsidRPr="00D720DA">
              <w:rPr>
                <w:rFonts w:ascii="Arial" w:hAnsi="Arial" w:cs="Arial"/>
                <w:sz w:val="20"/>
                <w:szCs w:val="20"/>
                <w:lang w:eastAsia="en-AU"/>
              </w:rPr>
              <w:t>Labor</w:t>
            </w:r>
            <w:proofErr w:type="spellEnd"/>
          </w:p>
        </w:tc>
        <w:tc>
          <w:tcPr>
            <w:tcW w:w="2409" w:type="dxa"/>
            <w:tcBorders>
              <w:top w:val="outset" w:sz="6" w:space="0" w:color="auto"/>
              <w:left w:val="outset" w:sz="6" w:space="0" w:color="auto"/>
              <w:bottom w:val="outset" w:sz="6" w:space="0" w:color="auto"/>
              <w:right w:val="outset" w:sz="6" w:space="0" w:color="auto"/>
            </w:tcBorders>
          </w:tcPr>
          <w:p w14:paraId="732DC1AE" w14:textId="4C2B4776" w:rsidR="00F70362" w:rsidRPr="00D720DA" w:rsidRDefault="0070061B" w:rsidP="005B0E11">
            <w:pPr>
              <w:spacing w:before="40" w:after="0"/>
              <w:rPr>
                <w:rFonts w:ascii="Arial" w:hAnsi="Arial" w:cs="Arial"/>
                <w:sz w:val="20"/>
                <w:szCs w:val="20"/>
                <w:lang w:eastAsia="en-AU"/>
              </w:rPr>
            </w:pPr>
            <w:r w:rsidRPr="00D720DA">
              <w:rPr>
                <w:rFonts w:ascii="Arial" w:hAnsi="Arial" w:cs="Arial"/>
                <w:sz w:val="20"/>
                <w:szCs w:val="20"/>
                <w:lang w:eastAsia="en-AU"/>
              </w:rPr>
              <w:t>Public Service Board</w:t>
            </w:r>
          </w:p>
        </w:tc>
        <w:tc>
          <w:tcPr>
            <w:tcW w:w="2835" w:type="dxa"/>
            <w:tcBorders>
              <w:top w:val="outset" w:sz="6" w:space="0" w:color="auto"/>
              <w:left w:val="outset" w:sz="6" w:space="0" w:color="auto"/>
              <w:bottom w:val="outset" w:sz="6" w:space="0" w:color="auto"/>
              <w:right w:val="outset" w:sz="6" w:space="0" w:color="auto"/>
            </w:tcBorders>
          </w:tcPr>
          <w:p w14:paraId="4B710845" w14:textId="28DE4C9C"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A.M. Cornish</w:t>
            </w:r>
          </w:p>
        </w:tc>
        <w:tc>
          <w:tcPr>
            <w:tcW w:w="1198" w:type="dxa"/>
            <w:tcBorders>
              <w:top w:val="outset" w:sz="6" w:space="0" w:color="auto"/>
              <w:left w:val="outset" w:sz="6" w:space="0" w:color="auto"/>
              <w:bottom w:val="outset" w:sz="6" w:space="0" w:color="auto"/>
              <w:right w:val="outset" w:sz="6" w:space="0" w:color="auto"/>
            </w:tcBorders>
          </w:tcPr>
          <w:p w14:paraId="4A57232C" w14:textId="7777777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Majority</w:t>
            </w:r>
          </w:p>
        </w:tc>
      </w:tr>
      <w:tr w:rsidR="00F70362" w:rsidRPr="00D720DA" w14:paraId="2B0393A4" w14:textId="77777777" w:rsidTr="00064531">
        <w:trPr>
          <w:trHeight w:val="490"/>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22610E0E" w14:textId="49EAD3D6"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1 Dec 1977</w:t>
            </w:r>
          </w:p>
        </w:tc>
        <w:tc>
          <w:tcPr>
            <w:tcW w:w="850" w:type="dxa"/>
            <w:tcBorders>
              <w:top w:val="outset" w:sz="6" w:space="0" w:color="auto"/>
              <w:left w:val="outset" w:sz="6" w:space="0" w:color="auto"/>
              <w:bottom w:val="outset" w:sz="6" w:space="0" w:color="auto"/>
              <w:right w:val="outset" w:sz="6" w:space="0" w:color="auto"/>
            </w:tcBorders>
            <w:vAlign w:val="center"/>
          </w:tcPr>
          <w:p w14:paraId="0064E3EA" w14:textId="2DCE46DC"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11 Nov 1981</w:t>
            </w:r>
          </w:p>
        </w:tc>
        <w:tc>
          <w:tcPr>
            <w:tcW w:w="1134" w:type="dxa"/>
            <w:tcBorders>
              <w:top w:val="outset" w:sz="6" w:space="0" w:color="auto"/>
              <w:left w:val="outset" w:sz="6" w:space="0" w:color="auto"/>
              <w:bottom w:val="outset" w:sz="6" w:space="0" w:color="auto"/>
              <w:right w:val="outset" w:sz="6" w:space="0" w:color="auto"/>
            </w:tcBorders>
            <w:vAlign w:val="center"/>
          </w:tcPr>
          <w:p w14:paraId="39883DA8" w14:textId="7777777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Doug Lowe</w:t>
            </w:r>
          </w:p>
        </w:tc>
        <w:tc>
          <w:tcPr>
            <w:tcW w:w="851" w:type="dxa"/>
            <w:tcBorders>
              <w:top w:val="outset" w:sz="6" w:space="0" w:color="auto"/>
              <w:left w:val="outset" w:sz="6" w:space="0" w:color="auto"/>
              <w:bottom w:val="outset" w:sz="6" w:space="0" w:color="auto"/>
              <w:right w:val="outset" w:sz="6" w:space="0" w:color="auto"/>
            </w:tcBorders>
            <w:vAlign w:val="center"/>
          </w:tcPr>
          <w:p w14:paraId="3AB231F8" w14:textId="77777777" w:rsidR="00F70362" w:rsidRPr="00D720DA" w:rsidRDefault="00F70362" w:rsidP="005B0E11">
            <w:pPr>
              <w:spacing w:before="40" w:after="0"/>
              <w:rPr>
                <w:rFonts w:ascii="Arial" w:hAnsi="Arial" w:cs="Arial"/>
                <w:sz w:val="20"/>
                <w:szCs w:val="20"/>
                <w:lang w:eastAsia="en-AU"/>
              </w:rPr>
            </w:pPr>
            <w:proofErr w:type="spellStart"/>
            <w:r w:rsidRPr="00D720DA">
              <w:rPr>
                <w:rFonts w:ascii="Arial" w:hAnsi="Arial" w:cs="Arial"/>
                <w:sz w:val="20"/>
                <w:szCs w:val="20"/>
                <w:lang w:eastAsia="en-AU"/>
              </w:rPr>
              <w:t>Labor</w:t>
            </w:r>
            <w:proofErr w:type="spellEnd"/>
          </w:p>
        </w:tc>
        <w:tc>
          <w:tcPr>
            <w:tcW w:w="2409" w:type="dxa"/>
            <w:tcBorders>
              <w:top w:val="outset" w:sz="6" w:space="0" w:color="auto"/>
              <w:left w:val="outset" w:sz="6" w:space="0" w:color="auto"/>
              <w:bottom w:val="outset" w:sz="6" w:space="0" w:color="auto"/>
              <w:right w:val="outset" w:sz="6" w:space="0" w:color="auto"/>
            </w:tcBorders>
          </w:tcPr>
          <w:p w14:paraId="7676B31F" w14:textId="4101FDEF" w:rsidR="00F70362" w:rsidRPr="00D720DA" w:rsidRDefault="0070061B" w:rsidP="005B0E11">
            <w:pPr>
              <w:spacing w:before="40" w:after="0"/>
              <w:rPr>
                <w:rFonts w:ascii="Arial" w:hAnsi="Arial" w:cs="Arial"/>
                <w:color w:val="C00000"/>
                <w:sz w:val="20"/>
                <w:szCs w:val="20"/>
                <w:lang w:eastAsia="en-AU"/>
              </w:rPr>
            </w:pPr>
            <w:r w:rsidRPr="00D720DA">
              <w:rPr>
                <w:rFonts w:ascii="Arial" w:hAnsi="Arial" w:cs="Arial"/>
                <w:sz w:val="20"/>
                <w:szCs w:val="20"/>
                <w:lang w:eastAsia="en-AU"/>
              </w:rPr>
              <w:t>Public Service Board</w:t>
            </w:r>
            <w:r w:rsidR="00A827E1" w:rsidRPr="00D720DA">
              <w:rPr>
                <w:rFonts w:ascii="Arial" w:hAnsi="Arial" w:cs="Arial"/>
                <w:sz w:val="20"/>
                <w:szCs w:val="20"/>
                <w:lang w:eastAsia="en-AU"/>
              </w:rPr>
              <w:t xml:space="preserve"> (since 1973)</w:t>
            </w:r>
          </w:p>
        </w:tc>
        <w:tc>
          <w:tcPr>
            <w:tcW w:w="2835" w:type="dxa"/>
            <w:tcBorders>
              <w:top w:val="outset" w:sz="6" w:space="0" w:color="auto"/>
              <w:left w:val="outset" w:sz="6" w:space="0" w:color="auto"/>
              <w:bottom w:val="outset" w:sz="6" w:space="0" w:color="auto"/>
              <w:right w:val="outset" w:sz="6" w:space="0" w:color="auto"/>
            </w:tcBorders>
          </w:tcPr>
          <w:p w14:paraId="6133DA72" w14:textId="3D6C153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A.M. Cornish</w:t>
            </w:r>
          </w:p>
        </w:tc>
        <w:tc>
          <w:tcPr>
            <w:tcW w:w="1198" w:type="dxa"/>
            <w:tcBorders>
              <w:top w:val="outset" w:sz="6" w:space="0" w:color="auto"/>
              <w:left w:val="outset" w:sz="6" w:space="0" w:color="auto"/>
              <w:bottom w:val="outset" w:sz="6" w:space="0" w:color="auto"/>
              <w:right w:val="outset" w:sz="6" w:space="0" w:color="auto"/>
            </w:tcBorders>
          </w:tcPr>
          <w:p w14:paraId="1D504213" w14:textId="77777777" w:rsidR="00F70362" w:rsidRPr="00D720DA" w:rsidRDefault="00F70362" w:rsidP="005B0E11">
            <w:pPr>
              <w:spacing w:before="40" w:after="0"/>
              <w:rPr>
                <w:rFonts w:ascii="Arial" w:hAnsi="Arial" w:cs="Arial"/>
                <w:sz w:val="20"/>
                <w:szCs w:val="20"/>
                <w:lang w:eastAsia="en-AU"/>
              </w:rPr>
            </w:pPr>
            <w:r w:rsidRPr="00D720DA">
              <w:rPr>
                <w:rFonts w:ascii="Arial" w:hAnsi="Arial" w:cs="Arial"/>
                <w:sz w:val="20"/>
                <w:szCs w:val="20"/>
                <w:lang w:eastAsia="en-AU"/>
              </w:rPr>
              <w:t>Majority</w:t>
            </w:r>
          </w:p>
        </w:tc>
      </w:tr>
    </w:tbl>
    <w:p w14:paraId="331C5467" w14:textId="77777777" w:rsidR="00F451B1" w:rsidRPr="00D720DA" w:rsidRDefault="00F451B1" w:rsidP="006A1C00">
      <w:pPr>
        <w:pStyle w:val="Heading1"/>
        <w:numPr>
          <w:ilvl w:val="0"/>
          <w:numId w:val="0"/>
        </w:numPr>
        <w:ind w:left="432"/>
        <w:rPr>
          <w:rFonts w:ascii="Arial" w:hAnsi="Arial" w:cs="Arial"/>
          <w:lang w:val="en-US"/>
        </w:rPr>
      </w:pPr>
      <w:bookmarkStart w:id="4" w:name="_Toc506554097"/>
    </w:p>
    <w:p w14:paraId="531AF333" w14:textId="1DCF41CF" w:rsidR="00886F22" w:rsidRPr="00D720DA" w:rsidRDefault="003C720D" w:rsidP="00955D6A">
      <w:pPr>
        <w:pStyle w:val="Heading1"/>
        <w:rPr>
          <w:rFonts w:ascii="Arial" w:hAnsi="Arial" w:cs="Arial"/>
          <w:lang w:val="en-US"/>
        </w:rPr>
      </w:pPr>
      <w:bookmarkStart w:id="5" w:name="_Toc77356788"/>
      <w:r w:rsidRPr="00D720DA">
        <w:rPr>
          <w:rFonts w:ascii="Arial" w:hAnsi="Arial" w:cs="Arial"/>
          <w:lang w:val="en-US"/>
        </w:rPr>
        <w:t>T</w:t>
      </w:r>
      <w:r w:rsidR="00024670" w:rsidRPr="00D720DA">
        <w:rPr>
          <w:rFonts w:ascii="Arial" w:hAnsi="Arial" w:cs="Arial"/>
          <w:lang w:val="en-US"/>
        </w:rPr>
        <w:t xml:space="preserve">asmanian reform </w:t>
      </w:r>
      <w:r w:rsidR="00886F22" w:rsidRPr="00D720DA">
        <w:rPr>
          <w:rFonts w:ascii="Arial" w:hAnsi="Arial" w:cs="Arial"/>
          <w:lang w:val="en-US"/>
        </w:rPr>
        <w:t>context</w:t>
      </w:r>
      <w:bookmarkEnd w:id="4"/>
      <w:bookmarkEnd w:id="5"/>
    </w:p>
    <w:p w14:paraId="63910771" w14:textId="508E10A5" w:rsidR="00F72415" w:rsidRPr="00D720DA" w:rsidRDefault="00F72415" w:rsidP="00F72415">
      <w:pPr>
        <w:rPr>
          <w:rFonts w:ascii="Arial" w:hAnsi="Arial" w:cs="Arial"/>
          <w:lang w:val="en-US"/>
        </w:rPr>
      </w:pPr>
      <w:r w:rsidRPr="00D720DA">
        <w:rPr>
          <w:rFonts w:ascii="Arial" w:hAnsi="Arial" w:cs="Arial"/>
          <w:lang w:val="en-US"/>
        </w:rPr>
        <w:t xml:space="preserve">Tasmania has been governed for more or less equivalent periods by either the Labor or Liberal parties over the last 40-plus years, with Labor holding office </w:t>
      </w:r>
      <w:r w:rsidR="00816A17" w:rsidRPr="00D720DA">
        <w:rPr>
          <w:rFonts w:ascii="Arial" w:hAnsi="Arial" w:cs="Arial"/>
          <w:lang w:val="en-US"/>
        </w:rPr>
        <w:t>a little</w:t>
      </w:r>
      <w:r w:rsidRPr="00D720DA">
        <w:rPr>
          <w:rFonts w:ascii="Arial" w:hAnsi="Arial" w:cs="Arial"/>
          <w:lang w:val="en-US"/>
        </w:rPr>
        <w:t xml:space="preserve"> more</w:t>
      </w:r>
      <w:r w:rsidR="00816A17" w:rsidRPr="00D720DA">
        <w:rPr>
          <w:rFonts w:ascii="Arial" w:hAnsi="Arial" w:cs="Arial"/>
          <w:lang w:val="en-US"/>
        </w:rPr>
        <w:t xml:space="preserve"> overall</w:t>
      </w:r>
      <w:r w:rsidRPr="00D720DA">
        <w:rPr>
          <w:rFonts w:ascii="Arial" w:hAnsi="Arial" w:cs="Arial"/>
          <w:lang w:val="en-US"/>
        </w:rPr>
        <w:t xml:space="preserve"> than their opponents during that time (</w:t>
      </w:r>
      <w:r w:rsidR="00816A17" w:rsidRPr="00D720DA">
        <w:rPr>
          <w:rFonts w:ascii="Arial" w:hAnsi="Arial" w:cs="Arial"/>
          <w:lang w:val="en-US"/>
        </w:rPr>
        <w:t>and</w:t>
      </w:r>
      <w:r w:rsidRPr="00D720DA">
        <w:rPr>
          <w:rFonts w:ascii="Arial" w:hAnsi="Arial" w:cs="Arial"/>
          <w:lang w:val="en-US"/>
        </w:rPr>
        <w:t xml:space="preserve"> governing for almost 16 years under four </w:t>
      </w:r>
      <w:r w:rsidR="006006EE" w:rsidRPr="00D720DA">
        <w:rPr>
          <w:rFonts w:ascii="Arial" w:hAnsi="Arial" w:cs="Arial"/>
          <w:lang w:val="en-US"/>
        </w:rPr>
        <w:t xml:space="preserve">Labor </w:t>
      </w:r>
      <w:r w:rsidRPr="00D720DA">
        <w:rPr>
          <w:rFonts w:ascii="Arial" w:hAnsi="Arial" w:cs="Arial"/>
          <w:lang w:val="en-US"/>
        </w:rPr>
        <w:t xml:space="preserve">premiers between 1998 and 2014). Most governments </w:t>
      </w:r>
      <w:r w:rsidR="006006EE" w:rsidRPr="00D720DA">
        <w:rPr>
          <w:rFonts w:ascii="Arial" w:hAnsi="Arial" w:cs="Arial"/>
          <w:lang w:val="en-US"/>
        </w:rPr>
        <w:t>since the 1980s</w:t>
      </w:r>
      <w:r w:rsidRPr="00D720DA">
        <w:rPr>
          <w:rFonts w:ascii="Arial" w:hAnsi="Arial" w:cs="Arial"/>
          <w:lang w:val="en-US"/>
        </w:rPr>
        <w:t xml:space="preserve"> have held </w:t>
      </w:r>
      <w:r w:rsidR="00816A17" w:rsidRPr="00D720DA">
        <w:rPr>
          <w:rFonts w:ascii="Arial" w:hAnsi="Arial" w:cs="Arial"/>
          <w:lang w:val="en-US"/>
        </w:rPr>
        <w:t>a parliamentary majority</w:t>
      </w:r>
      <w:r w:rsidRPr="00D720DA">
        <w:rPr>
          <w:rFonts w:ascii="Arial" w:hAnsi="Arial" w:cs="Arial"/>
          <w:lang w:val="en-US"/>
        </w:rPr>
        <w:t xml:space="preserve">, </w:t>
      </w:r>
      <w:r w:rsidR="006006EE" w:rsidRPr="00D720DA">
        <w:rPr>
          <w:rFonts w:ascii="Arial" w:hAnsi="Arial" w:cs="Arial"/>
          <w:lang w:val="en-US"/>
        </w:rPr>
        <w:t xml:space="preserve">but there were also </w:t>
      </w:r>
      <w:r w:rsidRPr="00D720DA">
        <w:rPr>
          <w:rFonts w:ascii="Arial" w:hAnsi="Arial" w:cs="Arial"/>
          <w:lang w:val="en-US"/>
        </w:rPr>
        <w:t>three separate parliamentary terms with minority governments under a Labor, then a Liberal, then Labor premier – all of whom relied on the support of Greens MPs to govern.</w:t>
      </w:r>
    </w:p>
    <w:p w14:paraId="0DAC1573" w14:textId="76073903" w:rsidR="00A32635" w:rsidRPr="00D720DA" w:rsidRDefault="00A52C92" w:rsidP="00C8424F">
      <w:pPr>
        <w:pStyle w:val="indentpara"/>
        <w:ind w:firstLine="0"/>
        <w:rPr>
          <w:rFonts w:ascii="Arial" w:hAnsi="Arial" w:cs="Arial"/>
        </w:rPr>
      </w:pPr>
      <w:r w:rsidRPr="00D720DA">
        <w:rPr>
          <w:rFonts w:ascii="Arial" w:hAnsi="Arial" w:cs="Arial"/>
        </w:rPr>
        <w:t xml:space="preserve">Tasmanian public administration in the 20th century achieved innovative </w:t>
      </w:r>
      <w:r w:rsidR="00E9738B" w:rsidRPr="00D720DA">
        <w:rPr>
          <w:rFonts w:ascii="Arial" w:hAnsi="Arial" w:cs="Arial"/>
        </w:rPr>
        <w:t>social</w:t>
      </w:r>
      <w:r w:rsidRPr="00D720DA">
        <w:rPr>
          <w:rFonts w:ascii="Arial" w:hAnsi="Arial" w:cs="Arial"/>
        </w:rPr>
        <w:t xml:space="preserve"> policies that were subsequently adopted in other jurisdictions. These included the introduction of an area school system, the fluoridation of public water supplies and the introduction of daylight saving. </w:t>
      </w:r>
      <w:r w:rsidR="005E7025" w:rsidRPr="00D720DA">
        <w:rPr>
          <w:rFonts w:ascii="Arial" w:hAnsi="Arial" w:cs="Arial"/>
        </w:rPr>
        <w:t xml:space="preserve">Tasmania established a specialist economic secretariat in its Treasury in the 1920s – an initiative that was </w:t>
      </w:r>
      <w:r w:rsidRPr="00D720DA">
        <w:rPr>
          <w:rFonts w:ascii="Arial" w:hAnsi="Arial" w:cs="Arial"/>
        </w:rPr>
        <w:t xml:space="preserve">influential in the </w:t>
      </w:r>
      <w:r w:rsidR="006006EE" w:rsidRPr="00D720DA">
        <w:rPr>
          <w:rFonts w:ascii="Arial" w:hAnsi="Arial" w:cs="Arial"/>
        </w:rPr>
        <w:t xml:space="preserve">subsequent </w:t>
      </w:r>
      <w:r w:rsidRPr="00D720DA">
        <w:rPr>
          <w:rFonts w:ascii="Arial" w:hAnsi="Arial" w:cs="Arial"/>
        </w:rPr>
        <w:t>establishment of the Commonwealth Grants Commission</w:t>
      </w:r>
      <w:r w:rsidR="005E7025" w:rsidRPr="00D720DA">
        <w:rPr>
          <w:rFonts w:ascii="Arial" w:hAnsi="Arial" w:cs="Arial"/>
        </w:rPr>
        <w:t xml:space="preserve"> (</w:t>
      </w:r>
      <w:proofErr w:type="spellStart"/>
      <w:r w:rsidR="005E7025" w:rsidRPr="00D720DA">
        <w:rPr>
          <w:rFonts w:ascii="Arial" w:hAnsi="Arial" w:cs="Arial"/>
        </w:rPr>
        <w:t>Wettenhal</w:t>
      </w:r>
      <w:r w:rsidR="0050627D" w:rsidRPr="00D720DA">
        <w:rPr>
          <w:rFonts w:ascii="Arial" w:hAnsi="Arial" w:cs="Arial"/>
        </w:rPr>
        <w:t>l</w:t>
      </w:r>
      <w:proofErr w:type="spellEnd"/>
      <w:r w:rsidR="005E7025" w:rsidRPr="00D720DA">
        <w:rPr>
          <w:rFonts w:ascii="Arial" w:hAnsi="Arial" w:cs="Arial"/>
        </w:rPr>
        <w:t xml:space="preserve">, </w:t>
      </w:r>
      <w:r w:rsidR="00E9738B" w:rsidRPr="00D720DA">
        <w:rPr>
          <w:rFonts w:ascii="Arial" w:hAnsi="Arial" w:cs="Arial"/>
        </w:rPr>
        <w:t>2005</w:t>
      </w:r>
      <w:r w:rsidR="005E7025" w:rsidRPr="00D720DA">
        <w:rPr>
          <w:rFonts w:ascii="Arial" w:hAnsi="Arial" w:cs="Arial"/>
        </w:rPr>
        <w:t xml:space="preserve">). </w:t>
      </w:r>
    </w:p>
    <w:p w14:paraId="0D09E518" w14:textId="5FE37CDF" w:rsidR="00A32635" w:rsidRPr="00D720DA" w:rsidRDefault="00E9738B" w:rsidP="00C8424F">
      <w:pPr>
        <w:pStyle w:val="indentpara"/>
        <w:ind w:firstLine="0"/>
        <w:rPr>
          <w:rFonts w:ascii="Arial" w:hAnsi="Arial" w:cs="Arial"/>
        </w:rPr>
      </w:pPr>
      <w:r w:rsidRPr="00D720DA">
        <w:rPr>
          <w:rFonts w:ascii="Arial" w:hAnsi="Arial" w:cs="Arial"/>
        </w:rPr>
        <w:t>Tasmania is the smallest state on every measure.</w:t>
      </w:r>
      <w:r w:rsidR="003C61DF" w:rsidRPr="00D720DA">
        <w:rPr>
          <w:rFonts w:ascii="Arial" w:hAnsi="Arial" w:cs="Arial"/>
        </w:rPr>
        <w:t xml:space="preserve"> </w:t>
      </w:r>
      <w:r w:rsidRPr="00D720DA">
        <w:rPr>
          <w:rFonts w:ascii="Arial" w:hAnsi="Arial" w:cs="Arial"/>
        </w:rPr>
        <w:t xml:space="preserve">The </w:t>
      </w:r>
      <w:r w:rsidR="003C61DF" w:rsidRPr="00D720DA">
        <w:rPr>
          <w:rFonts w:ascii="Arial" w:hAnsi="Arial" w:cs="Arial"/>
        </w:rPr>
        <w:t xml:space="preserve">governance of its public service has experienced more institutional iterations than many of the larger jurisdictions. </w:t>
      </w:r>
      <w:r w:rsidR="00393E8D" w:rsidRPr="00D720DA">
        <w:rPr>
          <w:rFonts w:ascii="Arial" w:hAnsi="Arial" w:cs="Arial"/>
        </w:rPr>
        <w:t>Tasmania had a Civil Service Board from 1900 to 1905, a Public Service Board until 1918, then a Public Service Commissioner until 1973. F</w:t>
      </w:r>
      <w:r w:rsidR="00852D35" w:rsidRPr="00D720DA">
        <w:rPr>
          <w:rFonts w:ascii="Arial" w:hAnsi="Arial" w:cs="Arial"/>
        </w:rPr>
        <w:t>or the next 12 years</w:t>
      </w:r>
      <w:r w:rsidR="00393E8D" w:rsidRPr="00D720DA">
        <w:rPr>
          <w:rFonts w:ascii="Arial" w:hAnsi="Arial" w:cs="Arial"/>
        </w:rPr>
        <w:t>, a three-member Public Service Board replaced the single Commissioner until 1985</w:t>
      </w:r>
      <w:r w:rsidR="00EC0877" w:rsidRPr="00D720DA">
        <w:rPr>
          <w:rFonts w:ascii="Arial" w:hAnsi="Arial" w:cs="Arial"/>
        </w:rPr>
        <w:t xml:space="preserve"> – </w:t>
      </w:r>
      <w:r w:rsidR="00852D35" w:rsidRPr="00D720DA">
        <w:rPr>
          <w:rFonts w:ascii="Arial" w:hAnsi="Arial" w:cs="Arial"/>
        </w:rPr>
        <w:t>followed by</w:t>
      </w:r>
      <w:r w:rsidR="00C57E7B" w:rsidRPr="00D720DA">
        <w:rPr>
          <w:rFonts w:ascii="Arial" w:hAnsi="Arial" w:cs="Arial"/>
        </w:rPr>
        <w:t xml:space="preserve"> the creation of the Commissioner for Public Employment</w:t>
      </w:r>
      <w:r w:rsidR="00D868A7" w:rsidRPr="00D720DA">
        <w:rPr>
          <w:rFonts w:ascii="Arial" w:hAnsi="Arial" w:cs="Arial"/>
        </w:rPr>
        <w:t xml:space="preserve"> </w:t>
      </w:r>
      <w:r w:rsidR="00343C64" w:rsidRPr="00D720DA">
        <w:rPr>
          <w:rFonts w:ascii="Arial" w:hAnsi="Arial" w:cs="Arial"/>
        </w:rPr>
        <w:t>until</w:t>
      </w:r>
      <w:r w:rsidR="00D868A7" w:rsidRPr="00D720DA">
        <w:rPr>
          <w:rFonts w:ascii="Arial" w:hAnsi="Arial" w:cs="Arial"/>
        </w:rPr>
        <w:t xml:space="preserve"> 2000, then the </w:t>
      </w:r>
      <w:r w:rsidR="00C57E7B" w:rsidRPr="00D720DA">
        <w:rPr>
          <w:rFonts w:ascii="Arial" w:hAnsi="Arial" w:cs="Arial"/>
        </w:rPr>
        <w:t xml:space="preserve">State Service Commissioner </w:t>
      </w:r>
      <w:r w:rsidR="00D868A7" w:rsidRPr="00D720DA">
        <w:rPr>
          <w:rFonts w:ascii="Arial" w:hAnsi="Arial" w:cs="Arial"/>
        </w:rPr>
        <w:t xml:space="preserve">until </w:t>
      </w:r>
      <w:r w:rsidR="00343C64" w:rsidRPr="00D720DA">
        <w:rPr>
          <w:rFonts w:ascii="Arial" w:hAnsi="Arial" w:cs="Arial"/>
        </w:rPr>
        <w:t xml:space="preserve">2013, when employment-related roles and responsibilities were transferred to the </w:t>
      </w:r>
      <w:r w:rsidR="00C57E7B" w:rsidRPr="00D720DA">
        <w:rPr>
          <w:rFonts w:ascii="Arial" w:hAnsi="Arial" w:cs="Arial"/>
        </w:rPr>
        <w:t xml:space="preserve">State Service Management </w:t>
      </w:r>
      <w:r w:rsidR="00343C64" w:rsidRPr="00D720DA">
        <w:rPr>
          <w:rFonts w:ascii="Arial" w:hAnsi="Arial" w:cs="Arial"/>
        </w:rPr>
        <w:t>Office.</w:t>
      </w:r>
    </w:p>
    <w:p w14:paraId="186CC9B2" w14:textId="5815445F" w:rsidR="00F72415" w:rsidRPr="00D720DA" w:rsidRDefault="00F72415" w:rsidP="00F72415">
      <w:pPr>
        <w:pStyle w:val="Heading2"/>
        <w:spacing w:after="120"/>
        <w:ind w:left="578" w:hanging="578"/>
        <w:rPr>
          <w:rFonts w:ascii="Arial" w:hAnsi="Arial" w:cs="Arial"/>
          <w:u w:val="none"/>
        </w:rPr>
      </w:pPr>
      <w:bookmarkStart w:id="6" w:name="_Toc77356789"/>
      <w:r w:rsidRPr="00D720DA">
        <w:rPr>
          <w:rFonts w:ascii="Arial" w:hAnsi="Arial" w:cs="Arial"/>
          <w:u w:val="none"/>
        </w:rPr>
        <w:lastRenderedPageBreak/>
        <w:t>1970s</w:t>
      </w:r>
      <w:bookmarkEnd w:id="6"/>
      <w:r w:rsidR="00E102B8" w:rsidRPr="00D720DA">
        <w:rPr>
          <w:rFonts w:ascii="Arial" w:hAnsi="Arial" w:cs="Arial"/>
          <w:u w:val="none"/>
        </w:rPr>
        <w:t xml:space="preserve"> </w:t>
      </w:r>
    </w:p>
    <w:p w14:paraId="6F74C93B" w14:textId="6B6DC45B" w:rsidR="00F72415" w:rsidRPr="00D720DA" w:rsidRDefault="00E92925" w:rsidP="00F72415">
      <w:pPr>
        <w:pStyle w:val="indentpara"/>
        <w:ind w:firstLine="0"/>
        <w:rPr>
          <w:rFonts w:ascii="Arial" w:hAnsi="Arial" w:cs="Arial"/>
        </w:rPr>
      </w:pPr>
      <w:r w:rsidRPr="00D720DA">
        <w:rPr>
          <w:rFonts w:ascii="Arial" w:hAnsi="Arial" w:cs="Arial"/>
        </w:rPr>
        <w:t xml:space="preserve">Tasmania had four Premiers in the 1970s: Sir (Walter) Angus Bethune (Liberal, 1969–1972); Eric Reece (ALP, 1972–1975); William Nielson (ALP, 1975–1977); and Douglas Lowe (ALP, 1977– 1981) (Tasmanian Parliamentary Library, 2014). </w:t>
      </w:r>
      <w:r w:rsidR="00F72415" w:rsidRPr="00D720DA">
        <w:rPr>
          <w:rFonts w:ascii="Arial" w:hAnsi="Arial" w:cs="Arial"/>
        </w:rPr>
        <w:t xml:space="preserve">At his election in 1977 at the age of 35, Douglas Lowe was Australia’s youngest ever State leader (Parliament of Tasmania, n.d.). </w:t>
      </w:r>
    </w:p>
    <w:p w14:paraId="5F0D9EAF" w14:textId="2AD83843" w:rsidR="00CB349E" w:rsidRPr="00D720DA" w:rsidRDefault="00F97C4E" w:rsidP="00C8424F">
      <w:pPr>
        <w:pStyle w:val="indentpara"/>
        <w:ind w:firstLine="0"/>
        <w:rPr>
          <w:rFonts w:ascii="Arial" w:hAnsi="Arial" w:cs="Arial"/>
        </w:rPr>
      </w:pPr>
      <w:r w:rsidRPr="00D720DA">
        <w:rPr>
          <w:rFonts w:ascii="Arial" w:hAnsi="Arial" w:cs="Arial"/>
        </w:rPr>
        <w:t>In 1979</w:t>
      </w:r>
      <w:r w:rsidR="00DA183C" w:rsidRPr="00D720DA">
        <w:rPr>
          <w:rFonts w:ascii="Arial" w:hAnsi="Arial" w:cs="Arial"/>
        </w:rPr>
        <w:t>–</w:t>
      </w:r>
      <w:r w:rsidRPr="00D720DA">
        <w:rPr>
          <w:rFonts w:ascii="Arial" w:hAnsi="Arial" w:cs="Arial"/>
        </w:rPr>
        <w:t xml:space="preserve">1981, </w:t>
      </w:r>
      <w:r w:rsidR="00EC0877" w:rsidRPr="00D720DA">
        <w:rPr>
          <w:rFonts w:ascii="Arial" w:hAnsi="Arial" w:cs="Arial"/>
        </w:rPr>
        <w:t xml:space="preserve">under the Lowe Government, </w:t>
      </w:r>
      <w:r w:rsidR="0050627D" w:rsidRPr="00D720DA">
        <w:rPr>
          <w:rFonts w:ascii="Arial" w:hAnsi="Arial" w:cs="Arial"/>
        </w:rPr>
        <w:t xml:space="preserve">former University of Tasmania Vice-Chancellor </w:t>
      </w:r>
      <w:r w:rsidRPr="00D720DA">
        <w:rPr>
          <w:rFonts w:ascii="Arial" w:hAnsi="Arial" w:cs="Arial"/>
        </w:rPr>
        <w:t xml:space="preserve">Sir George Cartland was commissioned to undertake a review of Tasmanian government administration. </w:t>
      </w:r>
      <w:r w:rsidR="00CB349E" w:rsidRPr="00D720DA">
        <w:rPr>
          <w:rFonts w:ascii="Arial" w:hAnsi="Arial" w:cs="Arial"/>
        </w:rPr>
        <w:t xml:space="preserve">Sir George noted that it had been more than 70 years since an independent or comprehensive review had taken place (Cartland, 1981, p. 1). </w:t>
      </w:r>
      <w:r w:rsidR="005257D0" w:rsidRPr="00D720DA">
        <w:rPr>
          <w:rFonts w:ascii="Arial" w:hAnsi="Arial" w:cs="Arial"/>
        </w:rPr>
        <w:t xml:space="preserve">Sir George identified </w:t>
      </w:r>
      <w:r w:rsidR="00816A17" w:rsidRPr="00D720DA">
        <w:rPr>
          <w:rFonts w:ascii="Arial" w:hAnsi="Arial" w:cs="Arial"/>
        </w:rPr>
        <w:t xml:space="preserve">problems with </w:t>
      </w:r>
      <w:r w:rsidR="005257D0" w:rsidRPr="00D720DA">
        <w:rPr>
          <w:rFonts w:ascii="Arial" w:hAnsi="Arial" w:cs="Arial"/>
        </w:rPr>
        <w:t xml:space="preserve">fragmented employing powers, inconsistent recruitment practices, lack of mobility and career development opportunities, and inability to efficiently manage human resources (Hawkes, 1987). </w:t>
      </w:r>
      <w:r w:rsidR="00CB349E" w:rsidRPr="00D720DA">
        <w:rPr>
          <w:rFonts w:ascii="Arial" w:hAnsi="Arial" w:cs="Arial"/>
        </w:rPr>
        <w:t>He stressed the importance of the ‘merit principle’, insisting that “recruitment and promotion should not come under the direct control of the political government” but rather</w:t>
      </w:r>
      <w:r w:rsidR="0027267F" w:rsidRPr="00D720DA">
        <w:rPr>
          <w:rFonts w:ascii="Arial" w:hAnsi="Arial" w:cs="Arial"/>
        </w:rPr>
        <w:t>:</w:t>
      </w:r>
      <w:r w:rsidR="00CB349E" w:rsidRPr="00D720DA">
        <w:rPr>
          <w:rFonts w:ascii="Arial" w:hAnsi="Arial" w:cs="Arial"/>
        </w:rPr>
        <w:t xml:space="preserve"> </w:t>
      </w:r>
    </w:p>
    <w:p w14:paraId="52D14AB8" w14:textId="3D0BDCA9" w:rsidR="00F97C4E" w:rsidRPr="00D720DA" w:rsidRDefault="00CB349E" w:rsidP="00CB349E">
      <w:pPr>
        <w:spacing w:before="60" w:after="60"/>
        <w:ind w:left="720"/>
        <w:rPr>
          <w:rFonts w:ascii="Arial" w:hAnsi="Arial" w:cs="Arial"/>
          <w:sz w:val="22"/>
        </w:rPr>
      </w:pPr>
      <w:r w:rsidRPr="00D720DA">
        <w:rPr>
          <w:rFonts w:ascii="Arial" w:hAnsi="Arial" w:cs="Arial"/>
          <w:i/>
          <w:iCs/>
          <w:sz w:val="22"/>
        </w:rPr>
        <w:t xml:space="preserve">should be within the purview of an independent statutory commissioner </w:t>
      </w:r>
      <w:r w:rsidRPr="00D720DA">
        <w:rPr>
          <w:rFonts w:ascii="Arial" w:hAnsi="Arial" w:cs="Arial"/>
          <w:i/>
          <w:iCs/>
          <w:color w:val="000000"/>
          <w:sz w:val="22"/>
        </w:rPr>
        <w:t>in order to avoid political or personal patronage, to protect the interests of the individual officer and to guarantee that a career in government administration is</w:t>
      </w:r>
      <w:r w:rsidR="00816A17" w:rsidRPr="00D720DA">
        <w:rPr>
          <w:rFonts w:ascii="Arial" w:hAnsi="Arial" w:cs="Arial"/>
          <w:i/>
          <w:iCs/>
          <w:color w:val="000000"/>
          <w:sz w:val="22"/>
        </w:rPr>
        <w:t>…</w:t>
      </w:r>
      <w:r w:rsidRPr="00D720DA">
        <w:rPr>
          <w:rFonts w:ascii="Arial" w:hAnsi="Arial" w:cs="Arial"/>
          <w:i/>
          <w:iCs/>
          <w:color w:val="000000"/>
          <w:sz w:val="22"/>
        </w:rPr>
        <w:t xml:space="preserve">based on what is known as the merit principle </w:t>
      </w:r>
      <w:r w:rsidRPr="00D720DA">
        <w:rPr>
          <w:rFonts w:ascii="Arial" w:hAnsi="Arial" w:cs="Arial"/>
          <w:color w:val="000000"/>
          <w:sz w:val="22"/>
        </w:rPr>
        <w:t>(Cartland, 1981, p. 7).</w:t>
      </w:r>
    </w:p>
    <w:p w14:paraId="2E384E8A" w14:textId="73FC7FE2" w:rsidR="003F2483" w:rsidRPr="00D720DA" w:rsidRDefault="005257D0" w:rsidP="00C8424F">
      <w:pPr>
        <w:pStyle w:val="indentpara"/>
        <w:ind w:firstLine="0"/>
        <w:rPr>
          <w:rFonts w:ascii="Arial" w:hAnsi="Arial" w:cs="Arial"/>
        </w:rPr>
      </w:pPr>
      <w:r w:rsidRPr="00D720DA">
        <w:rPr>
          <w:rFonts w:ascii="Arial" w:hAnsi="Arial" w:cs="Arial"/>
        </w:rPr>
        <w:t>In terms of leadership, Sir George discovered inflexible organisational structures; limited use of effective management structures and techniques; and poor monitoring of performance and accountability. He found that departments were, for the most part, “run by heads and their senior officers who are technically qualified b</w:t>
      </w:r>
      <w:r w:rsidR="0027267F" w:rsidRPr="00D720DA">
        <w:rPr>
          <w:rFonts w:ascii="Arial" w:hAnsi="Arial" w:cs="Arial"/>
        </w:rPr>
        <w:t>ut</w:t>
      </w:r>
      <w:r w:rsidRPr="00D720DA">
        <w:rPr>
          <w:rFonts w:ascii="Arial" w:hAnsi="Arial" w:cs="Arial"/>
        </w:rPr>
        <w:t xml:space="preserve"> often administratively inexperienced” (quoted by Hawkes, </w:t>
      </w:r>
      <w:r w:rsidR="007C5220" w:rsidRPr="00D720DA">
        <w:rPr>
          <w:rFonts w:ascii="Arial" w:hAnsi="Arial" w:cs="Arial"/>
        </w:rPr>
        <w:t xml:space="preserve">1987, p. 161). </w:t>
      </w:r>
      <w:r w:rsidR="003F2483" w:rsidRPr="00D720DA">
        <w:rPr>
          <w:rFonts w:ascii="Arial" w:hAnsi="Arial" w:cs="Arial"/>
        </w:rPr>
        <w:t xml:space="preserve">Cartland </w:t>
      </w:r>
      <w:r w:rsidR="00CB349E" w:rsidRPr="00D720DA">
        <w:rPr>
          <w:rFonts w:ascii="Arial" w:hAnsi="Arial" w:cs="Arial"/>
        </w:rPr>
        <w:t xml:space="preserve">also </w:t>
      </w:r>
      <w:r w:rsidR="003F2483" w:rsidRPr="00D720DA">
        <w:rPr>
          <w:rFonts w:ascii="Arial" w:hAnsi="Arial" w:cs="Arial"/>
        </w:rPr>
        <w:t>proposed a new framework to unite traditional departments and most statutory authorities in a single state service</w:t>
      </w:r>
      <w:r w:rsidR="00325418" w:rsidRPr="00D720DA">
        <w:rPr>
          <w:rFonts w:ascii="Arial" w:hAnsi="Arial" w:cs="Arial"/>
        </w:rPr>
        <w:t xml:space="preserve"> </w:t>
      </w:r>
      <w:r w:rsidR="0050627D" w:rsidRPr="00D720DA">
        <w:rPr>
          <w:rFonts w:ascii="Arial" w:hAnsi="Arial" w:cs="Arial"/>
        </w:rPr>
        <w:t>(</w:t>
      </w:r>
      <w:proofErr w:type="spellStart"/>
      <w:r w:rsidR="0050627D" w:rsidRPr="00D720DA">
        <w:rPr>
          <w:rFonts w:ascii="Arial" w:hAnsi="Arial" w:cs="Arial"/>
        </w:rPr>
        <w:t>Wettenhall</w:t>
      </w:r>
      <w:proofErr w:type="spellEnd"/>
      <w:r w:rsidR="0050627D" w:rsidRPr="00D720DA">
        <w:rPr>
          <w:rFonts w:ascii="Arial" w:hAnsi="Arial" w:cs="Arial"/>
        </w:rPr>
        <w:t>, 2005).</w:t>
      </w:r>
      <w:r w:rsidR="00027A38" w:rsidRPr="00D720DA">
        <w:rPr>
          <w:rFonts w:ascii="Arial" w:hAnsi="Arial" w:cs="Arial"/>
        </w:rPr>
        <w:t xml:space="preserve"> The reforms proposed by Cartland were implemented in the </w:t>
      </w:r>
      <w:r w:rsidR="00027A38" w:rsidRPr="00D720DA">
        <w:rPr>
          <w:rFonts w:ascii="Arial" w:hAnsi="Arial" w:cs="Arial"/>
          <w:i/>
          <w:iCs w:val="0"/>
        </w:rPr>
        <w:t>Tasmanian State Service Act 1984</w:t>
      </w:r>
      <w:r w:rsidR="00027A38" w:rsidRPr="00D720DA">
        <w:rPr>
          <w:rFonts w:ascii="Arial" w:hAnsi="Arial" w:cs="Arial"/>
        </w:rPr>
        <w:t xml:space="preserve"> (discussed below).</w:t>
      </w:r>
    </w:p>
    <w:p w14:paraId="6518634C" w14:textId="3A75BD1E" w:rsidR="00F72415" w:rsidRPr="00D720DA" w:rsidRDefault="00F72415" w:rsidP="00F72415">
      <w:pPr>
        <w:pStyle w:val="Heading2"/>
        <w:spacing w:after="120"/>
        <w:ind w:left="578" w:hanging="578"/>
        <w:rPr>
          <w:rFonts w:ascii="Arial" w:hAnsi="Arial" w:cs="Arial"/>
          <w:u w:val="none"/>
        </w:rPr>
      </w:pPr>
      <w:bookmarkStart w:id="7" w:name="_Toc77356790"/>
      <w:r w:rsidRPr="00D720DA">
        <w:rPr>
          <w:rFonts w:ascii="Arial" w:hAnsi="Arial" w:cs="Arial"/>
          <w:u w:val="none"/>
        </w:rPr>
        <w:t>1980s and 1990s</w:t>
      </w:r>
      <w:bookmarkEnd w:id="7"/>
    </w:p>
    <w:p w14:paraId="38DC0B6F" w14:textId="6C46827D" w:rsidR="00F72415" w:rsidRPr="00D720DA" w:rsidRDefault="00D31C32" w:rsidP="00983DCF">
      <w:pPr>
        <w:rPr>
          <w:rFonts w:ascii="Arial" w:hAnsi="Arial" w:cs="Arial"/>
        </w:rPr>
      </w:pPr>
      <w:r w:rsidRPr="00D720DA">
        <w:rPr>
          <w:rFonts w:ascii="Arial" w:hAnsi="Arial" w:cs="Arial"/>
        </w:rPr>
        <w:t xml:space="preserve">Removed </w:t>
      </w:r>
      <w:r w:rsidR="00F72415" w:rsidRPr="00D720DA">
        <w:rPr>
          <w:rFonts w:ascii="Arial" w:hAnsi="Arial" w:cs="Arial"/>
        </w:rPr>
        <w:t xml:space="preserve">as Premier by </w:t>
      </w:r>
      <w:r w:rsidR="008D3DA6" w:rsidRPr="00D720DA">
        <w:rPr>
          <w:rFonts w:ascii="Arial" w:hAnsi="Arial" w:cs="Arial"/>
        </w:rPr>
        <w:t xml:space="preserve">his </w:t>
      </w:r>
      <w:proofErr w:type="spellStart"/>
      <w:r w:rsidR="008D3DA6" w:rsidRPr="00D720DA">
        <w:rPr>
          <w:rFonts w:ascii="Arial" w:hAnsi="Arial" w:cs="Arial"/>
        </w:rPr>
        <w:t>Labor</w:t>
      </w:r>
      <w:proofErr w:type="spellEnd"/>
      <w:r w:rsidR="008D3DA6" w:rsidRPr="00D720DA">
        <w:rPr>
          <w:rFonts w:ascii="Arial" w:hAnsi="Arial" w:cs="Arial"/>
        </w:rPr>
        <w:t xml:space="preserve"> colleagues</w:t>
      </w:r>
      <w:r w:rsidR="00F72415" w:rsidRPr="00D720DA">
        <w:rPr>
          <w:rFonts w:ascii="Arial" w:hAnsi="Arial" w:cs="Arial"/>
        </w:rPr>
        <w:t xml:space="preserve"> in 1981, Lowe remained in Parliament as an Independent until his retirement in 1992. His successor, Harry Holgate lasted only six months as Premier before losing the 1982 election to Robin Gray, who led a Liberal government for the next seven years (Inglis, 2018, Feb 11). </w:t>
      </w:r>
      <w:r w:rsidR="008C57E8" w:rsidRPr="00D720DA">
        <w:rPr>
          <w:rFonts w:ascii="Arial" w:hAnsi="Arial" w:cs="Arial"/>
        </w:rPr>
        <w:t xml:space="preserve">Gray’s government was marked by environmental battles, including the proposed Gordon-below-Franklin dam dispute and the Wesley Vale pulp and paper mill, which contributed to </w:t>
      </w:r>
      <w:r w:rsidR="008C6232" w:rsidRPr="00D720DA">
        <w:rPr>
          <w:rFonts w:ascii="Arial" w:hAnsi="Arial" w:cs="Arial"/>
        </w:rPr>
        <w:t>the government’s</w:t>
      </w:r>
      <w:r w:rsidR="008C57E8" w:rsidRPr="00D720DA">
        <w:rPr>
          <w:rFonts w:ascii="Arial" w:hAnsi="Arial" w:cs="Arial"/>
        </w:rPr>
        <w:t xml:space="preserve"> defeat at the 1989 election (Tanner, 2006b).</w:t>
      </w:r>
    </w:p>
    <w:p w14:paraId="7A953C8A" w14:textId="784EE4E5" w:rsidR="003C61DF" w:rsidRPr="00D720DA" w:rsidRDefault="003C61DF" w:rsidP="00C8424F">
      <w:pPr>
        <w:pStyle w:val="indentpara"/>
        <w:ind w:firstLine="0"/>
        <w:rPr>
          <w:rFonts w:ascii="Arial" w:hAnsi="Arial" w:cs="Arial"/>
        </w:rPr>
      </w:pPr>
      <w:r w:rsidRPr="00D720DA">
        <w:rPr>
          <w:rFonts w:ascii="Arial" w:hAnsi="Arial" w:cs="Arial"/>
        </w:rPr>
        <w:t xml:space="preserve">From 1985 until 1990, </w:t>
      </w:r>
      <w:r w:rsidR="00BB7A9F" w:rsidRPr="00D720DA">
        <w:rPr>
          <w:rFonts w:ascii="Arial" w:hAnsi="Arial" w:cs="Arial"/>
        </w:rPr>
        <w:t>the</w:t>
      </w:r>
      <w:r w:rsidRPr="00D720DA">
        <w:rPr>
          <w:rFonts w:ascii="Arial" w:hAnsi="Arial" w:cs="Arial"/>
        </w:rPr>
        <w:t xml:space="preserve"> Department of Administrative Services supported a Commissioner for Public Employment, who was responsible for the staffing, administration and operation of the State Service, until a further reorganisation integrated </w:t>
      </w:r>
      <w:r w:rsidR="008D3DA6" w:rsidRPr="00D720DA">
        <w:rPr>
          <w:rFonts w:ascii="Arial" w:hAnsi="Arial" w:cs="Arial"/>
        </w:rPr>
        <w:t>these functions</w:t>
      </w:r>
      <w:r w:rsidRPr="00D720DA">
        <w:rPr>
          <w:rFonts w:ascii="Arial" w:hAnsi="Arial" w:cs="Arial"/>
        </w:rPr>
        <w:t xml:space="preserve"> into </w:t>
      </w:r>
      <w:r w:rsidR="00F11D8B" w:rsidRPr="00D720DA">
        <w:rPr>
          <w:rFonts w:ascii="Arial" w:hAnsi="Arial" w:cs="Arial"/>
        </w:rPr>
        <w:t>a</w:t>
      </w:r>
      <w:r w:rsidR="008D3DA6" w:rsidRPr="00D720DA">
        <w:rPr>
          <w:rFonts w:ascii="Arial" w:hAnsi="Arial" w:cs="Arial"/>
        </w:rPr>
        <w:t>n enlarged and</w:t>
      </w:r>
      <w:r w:rsidRPr="00D720DA">
        <w:rPr>
          <w:rFonts w:ascii="Arial" w:hAnsi="Arial" w:cs="Arial"/>
        </w:rPr>
        <w:t xml:space="preserve"> restructured Department of Premier and Cabinet (Libraries Tasmania).</w:t>
      </w:r>
    </w:p>
    <w:p w14:paraId="6B8C98EC" w14:textId="54F9941B" w:rsidR="00A3712F" w:rsidRPr="00D720DA" w:rsidRDefault="00A3712F" w:rsidP="00C8424F">
      <w:pPr>
        <w:pStyle w:val="indentpara"/>
        <w:ind w:firstLine="0"/>
        <w:rPr>
          <w:rFonts w:ascii="Arial" w:hAnsi="Arial" w:cs="Arial"/>
        </w:rPr>
      </w:pPr>
      <w:r w:rsidRPr="00D720DA">
        <w:rPr>
          <w:rFonts w:ascii="Arial" w:hAnsi="Arial" w:cs="Arial"/>
        </w:rPr>
        <w:t xml:space="preserve">A </w:t>
      </w:r>
      <w:proofErr w:type="spellStart"/>
      <w:r w:rsidRPr="00D720DA">
        <w:rPr>
          <w:rFonts w:ascii="Arial" w:hAnsi="Arial" w:cs="Arial"/>
        </w:rPr>
        <w:t>Labor</w:t>
      </w:r>
      <w:proofErr w:type="spellEnd"/>
      <w:r w:rsidRPr="00D720DA">
        <w:rPr>
          <w:rFonts w:ascii="Arial" w:hAnsi="Arial" w:cs="Arial"/>
        </w:rPr>
        <w:t xml:space="preserve">-Green alliance emerged to win government at the 1989 election under Premier Michael Field. It was the first minority government since the 1960s and the state’s most powerful businessman Edmund Rouse </w:t>
      </w:r>
      <w:r w:rsidR="008D3DA6" w:rsidRPr="00D720DA">
        <w:rPr>
          <w:rFonts w:ascii="Arial" w:hAnsi="Arial" w:cs="Arial"/>
        </w:rPr>
        <w:t>had</w:t>
      </w:r>
      <w:r w:rsidR="00263CE5" w:rsidRPr="00D720DA">
        <w:rPr>
          <w:rFonts w:ascii="Arial" w:hAnsi="Arial" w:cs="Arial"/>
        </w:rPr>
        <w:t xml:space="preserve"> allegedly</w:t>
      </w:r>
      <w:r w:rsidR="008D3DA6" w:rsidRPr="00D720DA">
        <w:rPr>
          <w:rFonts w:ascii="Arial" w:hAnsi="Arial" w:cs="Arial"/>
        </w:rPr>
        <w:t xml:space="preserve"> </w:t>
      </w:r>
      <w:r w:rsidRPr="00D720DA">
        <w:rPr>
          <w:rFonts w:ascii="Arial" w:hAnsi="Arial" w:cs="Arial"/>
        </w:rPr>
        <w:t xml:space="preserve">attempted to bribe a </w:t>
      </w:r>
      <w:proofErr w:type="spellStart"/>
      <w:r w:rsidRPr="00D720DA">
        <w:rPr>
          <w:rFonts w:ascii="Arial" w:hAnsi="Arial" w:cs="Arial"/>
        </w:rPr>
        <w:t>Labor</w:t>
      </w:r>
      <w:proofErr w:type="spellEnd"/>
      <w:r w:rsidRPr="00D720DA">
        <w:rPr>
          <w:rFonts w:ascii="Arial" w:hAnsi="Arial" w:cs="Arial"/>
        </w:rPr>
        <w:t xml:space="preserve"> MP to cross the floor and prevent </w:t>
      </w:r>
      <w:proofErr w:type="spellStart"/>
      <w:r w:rsidRPr="00D720DA">
        <w:rPr>
          <w:rFonts w:ascii="Arial" w:hAnsi="Arial" w:cs="Arial"/>
        </w:rPr>
        <w:t>Labor</w:t>
      </w:r>
      <w:proofErr w:type="spellEnd"/>
      <w:r w:rsidRPr="00D720DA">
        <w:rPr>
          <w:rFonts w:ascii="Arial" w:hAnsi="Arial" w:cs="Arial"/>
        </w:rPr>
        <w:t xml:space="preserve"> from forming government (Inglis, 2018, Feb 11). Australia was in </w:t>
      </w:r>
      <w:proofErr w:type="gramStart"/>
      <w:r w:rsidRPr="00D720DA">
        <w:rPr>
          <w:rFonts w:ascii="Arial" w:hAnsi="Arial" w:cs="Arial"/>
        </w:rPr>
        <w:t>recession,</w:t>
      </w:r>
      <w:proofErr w:type="gramEnd"/>
      <w:r w:rsidRPr="00D720DA">
        <w:rPr>
          <w:rFonts w:ascii="Arial" w:hAnsi="Arial" w:cs="Arial"/>
        </w:rPr>
        <w:t xml:space="preserve"> interest rates were high and state debt was rising. The government cut state services and </w:t>
      </w:r>
      <w:r w:rsidR="00263CE5" w:rsidRPr="00D720DA">
        <w:rPr>
          <w:rFonts w:ascii="Arial" w:hAnsi="Arial" w:cs="Arial"/>
        </w:rPr>
        <w:t xml:space="preserve">offered </w:t>
      </w:r>
      <w:r w:rsidRPr="00D720DA">
        <w:rPr>
          <w:rFonts w:ascii="Arial" w:hAnsi="Arial" w:cs="Arial"/>
        </w:rPr>
        <w:t xml:space="preserve">“ample redundancies” to pay down debt (Inglis, 2018, Feb 11). The </w:t>
      </w:r>
      <w:proofErr w:type="spellStart"/>
      <w:r w:rsidRPr="00D720DA">
        <w:rPr>
          <w:rFonts w:ascii="Arial" w:hAnsi="Arial" w:cs="Arial"/>
        </w:rPr>
        <w:t>Labor</w:t>
      </w:r>
      <w:proofErr w:type="spellEnd"/>
      <w:r w:rsidRPr="00D720DA">
        <w:rPr>
          <w:rFonts w:ascii="Arial" w:hAnsi="Arial" w:cs="Arial"/>
        </w:rPr>
        <w:t>-Green Accord began to crack over forestry</w:t>
      </w:r>
      <w:r w:rsidR="00263CE5" w:rsidRPr="00D720DA">
        <w:rPr>
          <w:rFonts w:ascii="Arial" w:hAnsi="Arial" w:cs="Arial"/>
        </w:rPr>
        <w:t xml:space="preserve"> issues</w:t>
      </w:r>
      <w:r w:rsidRPr="00D720DA">
        <w:rPr>
          <w:rFonts w:ascii="Arial" w:hAnsi="Arial" w:cs="Arial"/>
        </w:rPr>
        <w:t xml:space="preserve">, with </w:t>
      </w:r>
      <w:proofErr w:type="spellStart"/>
      <w:r w:rsidRPr="00D720DA">
        <w:rPr>
          <w:rFonts w:ascii="Arial" w:hAnsi="Arial" w:cs="Arial"/>
        </w:rPr>
        <w:t>Labor</w:t>
      </w:r>
      <w:proofErr w:type="spellEnd"/>
      <w:r w:rsidRPr="00D720DA">
        <w:rPr>
          <w:rFonts w:ascii="Arial" w:hAnsi="Arial" w:cs="Arial"/>
        </w:rPr>
        <w:t xml:space="preserve"> breaking a deal over an export limit on woodchips.</w:t>
      </w:r>
    </w:p>
    <w:p w14:paraId="3B70BA30" w14:textId="25C4FB51" w:rsidR="00FE4F49" w:rsidRPr="00D720DA" w:rsidRDefault="00A3712F" w:rsidP="00C8424F">
      <w:pPr>
        <w:rPr>
          <w:rFonts w:ascii="Arial" w:hAnsi="Arial" w:cs="Arial"/>
          <w:szCs w:val="24"/>
        </w:rPr>
      </w:pPr>
      <w:r w:rsidRPr="00D720DA">
        <w:rPr>
          <w:rFonts w:ascii="Arial" w:hAnsi="Arial" w:cs="Arial"/>
        </w:rPr>
        <w:t>A</w:t>
      </w:r>
      <w:r w:rsidR="00F451B1" w:rsidRPr="00D720DA">
        <w:rPr>
          <w:rFonts w:ascii="Arial" w:hAnsi="Arial" w:cs="Arial"/>
        </w:rPr>
        <w:t xml:space="preserve"> </w:t>
      </w:r>
      <w:r w:rsidR="00B00F1F" w:rsidRPr="00D720DA">
        <w:rPr>
          <w:rFonts w:ascii="Arial" w:hAnsi="Arial" w:cs="Arial"/>
        </w:rPr>
        <w:t>L</w:t>
      </w:r>
      <w:r w:rsidR="00F451B1" w:rsidRPr="00D720DA">
        <w:rPr>
          <w:rFonts w:ascii="Arial" w:hAnsi="Arial" w:cs="Arial"/>
        </w:rPr>
        <w:t xml:space="preserve">iberal government was </w:t>
      </w:r>
      <w:r w:rsidR="008D3DA6" w:rsidRPr="00D720DA">
        <w:rPr>
          <w:rFonts w:ascii="Arial" w:hAnsi="Arial" w:cs="Arial"/>
        </w:rPr>
        <w:t>returned</w:t>
      </w:r>
      <w:r w:rsidR="00F451B1" w:rsidRPr="00D720DA">
        <w:rPr>
          <w:rFonts w:ascii="Arial" w:hAnsi="Arial" w:cs="Arial"/>
        </w:rPr>
        <w:t xml:space="preserve"> </w:t>
      </w:r>
      <w:r w:rsidRPr="00D720DA">
        <w:rPr>
          <w:rFonts w:ascii="Arial" w:hAnsi="Arial" w:cs="Arial"/>
        </w:rPr>
        <w:t>in 1992 under Premier Ray Groom</w:t>
      </w:r>
      <w:r w:rsidR="00F451B1" w:rsidRPr="00D720DA">
        <w:rPr>
          <w:rFonts w:ascii="Arial" w:hAnsi="Arial" w:cs="Arial"/>
        </w:rPr>
        <w:t xml:space="preserve">, after </w:t>
      </w:r>
      <w:r w:rsidRPr="00D720DA">
        <w:rPr>
          <w:rFonts w:ascii="Arial" w:hAnsi="Arial" w:cs="Arial"/>
        </w:rPr>
        <w:t>a</w:t>
      </w:r>
      <w:r w:rsidR="008D3DA6" w:rsidRPr="00D720DA">
        <w:rPr>
          <w:rFonts w:ascii="Arial" w:hAnsi="Arial" w:cs="Arial"/>
        </w:rPr>
        <w:t xml:space="preserve"> party</w:t>
      </w:r>
      <w:r w:rsidRPr="00D720DA">
        <w:rPr>
          <w:rFonts w:ascii="Arial" w:hAnsi="Arial" w:cs="Arial"/>
        </w:rPr>
        <w:t xml:space="preserve"> leadership challenge against Robin Gray in 1991. The Groom government continued the former </w:t>
      </w:r>
      <w:r w:rsidRPr="00D720DA">
        <w:rPr>
          <w:rFonts w:ascii="Arial" w:hAnsi="Arial" w:cs="Arial"/>
        </w:rPr>
        <w:lastRenderedPageBreak/>
        <w:t xml:space="preserve">government’s “pragmatic economic agenda” (Inglis, 2018, Feb 11). </w:t>
      </w:r>
      <w:r w:rsidR="00FE4F49" w:rsidRPr="00D720DA">
        <w:rPr>
          <w:rFonts w:ascii="Arial" w:hAnsi="Arial" w:cs="Arial"/>
          <w:szCs w:val="24"/>
        </w:rPr>
        <w:t xml:space="preserve">The Groom Government’s </w:t>
      </w:r>
      <w:r w:rsidR="00181DA3" w:rsidRPr="00D720DA">
        <w:rPr>
          <w:rFonts w:ascii="Arial" w:hAnsi="Arial" w:cs="Arial"/>
          <w:szCs w:val="24"/>
        </w:rPr>
        <w:t>‘</w:t>
      </w:r>
      <w:r w:rsidR="00FE4F49" w:rsidRPr="00D720DA">
        <w:rPr>
          <w:rFonts w:ascii="Arial" w:hAnsi="Arial" w:cs="Arial"/>
          <w:szCs w:val="24"/>
        </w:rPr>
        <w:t>State of the State</w:t>
      </w:r>
      <w:r w:rsidR="00181DA3" w:rsidRPr="00D720DA">
        <w:rPr>
          <w:rFonts w:ascii="Arial" w:hAnsi="Arial" w:cs="Arial"/>
          <w:szCs w:val="24"/>
        </w:rPr>
        <w:t>’</w:t>
      </w:r>
      <w:r w:rsidR="00FE4F49" w:rsidRPr="00D720DA">
        <w:rPr>
          <w:rFonts w:ascii="Arial" w:hAnsi="Arial" w:cs="Arial"/>
          <w:szCs w:val="24"/>
        </w:rPr>
        <w:t xml:space="preserve"> address</w:t>
      </w:r>
      <w:r w:rsidR="008D3DA6" w:rsidRPr="00D720DA">
        <w:rPr>
          <w:rFonts w:ascii="Arial" w:hAnsi="Arial" w:cs="Arial"/>
          <w:szCs w:val="24"/>
        </w:rPr>
        <w:t xml:space="preserve"> in 1992</w:t>
      </w:r>
      <w:r w:rsidR="00FE4F49" w:rsidRPr="00D720DA">
        <w:rPr>
          <w:rFonts w:ascii="Arial" w:hAnsi="Arial" w:cs="Arial"/>
          <w:szCs w:val="24"/>
        </w:rPr>
        <w:t xml:space="preserve"> presented a blueprint for Tasmania that called for the government to withdraw from all but ‘core’ services, </w:t>
      </w:r>
      <w:proofErr w:type="gramStart"/>
      <w:r w:rsidR="00FE4F49" w:rsidRPr="00D720DA">
        <w:rPr>
          <w:rFonts w:ascii="Arial" w:hAnsi="Arial" w:cs="Arial"/>
          <w:szCs w:val="24"/>
        </w:rPr>
        <w:t>e.g.</w:t>
      </w:r>
      <w:proofErr w:type="gramEnd"/>
      <w:r w:rsidR="00FE4F49" w:rsidRPr="00D720DA">
        <w:rPr>
          <w:rFonts w:ascii="Arial" w:hAnsi="Arial" w:cs="Arial"/>
          <w:szCs w:val="24"/>
        </w:rPr>
        <w:t xml:space="preserve"> health, education and police (Fitzgerald, 2002, p. 76). </w:t>
      </w:r>
      <w:r w:rsidR="00181DA3" w:rsidRPr="00D720DA">
        <w:rPr>
          <w:rFonts w:ascii="Arial" w:hAnsi="Arial" w:cs="Arial"/>
          <w:szCs w:val="24"/>
        </w:rPr>
        <w:t xml:space="preserve">It </w:t>
      </w:r>
      <w:r w:rsidR="008A5FA7" w:rsidRPr="00D720DA">
        <w:rPr>
          <w:rFonts w:ascii="Arial" w:hAnsi="Arial" w:cs="Arial"/>
          <w:szCs w:val="24"/>
        </w:rPr>
        <w:t xml:space="preserve">was </w:t>
      </w:r>
      <w:r w:rsidR="00181DA3" w:rsidRPr="00D720DA">
        <w:rPr>
          <w:rFonts w:ascii="Arial" w:hAnsi="Arial" w:cs="Arial"/>
          <w:szCs w:val="24"/>
        </w:rPr>
        <w:t xml:space="preserve">argued that this policy </w:t>
      </w:r>
      <w:r w:rsidR="00FE4F49" w:rsidRPr="00D720DA">
        <w:rPr>
          <w:rFonts w:ascii="Arial" w:hAnsi="Arial" w:cs="Arial"/>
          <w:szCs w:val="24"/>
        </w:rPr>
        <w:t>led to public service expenditure cuts, including job losses, and corporatisation and privatisation of the public sector</w:t>
      </w:r>
      <w:r w:rsidR="00181DA3" w:rsidRPr="00D720DA">
        <w:rPr>
          <w:rFonts w:ascii="Arial" w:hAnsi="Arial" w:cs="Arial"/>
          <w:szCs w:val="24"/>
        </w:rPr>
        <w:t xml:space="preserve"> (Fitzgerald, 2002)</w:t>
      </w:r>
      <w:r w:rsidR="00FE4F49" w:rsidRPr="00D720DA">
        <w:rPr>
          <w:rFonts w:ascii="Arial" w:hAnsi="Arial" w:cs="Arial"/>
          <w:szCs w:val="24"/>
        </w:rPr>
        <w:t xml:space="preserve">. </w:t>
      </w:r>
    </w:p>
    <w:p w14:paraId="118AED84" w14:textId="2F920468" w:rsidR="00E0311D" w:rsidRPr="00D720DA" w:rsidRDefault="00A3712F" w:rsidP="00C8424F">
      <w:pPr>
        <w:pStyle w:val="indentpara"/>
        <w:ind w:firstLine="0"/>
        <w:rPr>
          <w:rFonts w:ascii="Arial" w:hAnsi="Arial" w:cs="Arial"/>
        </w:rPr>
      </w:pPr>
      <w:r w:rsidRPr="00D720DA">
        <w:rPr>
          <w:rFonts w:ascii="Arial" w:hAnsi="Arial" w:cs="Arial"/>
        </w:rPr>
        <w:t xml:space="preserve">Field and Groom </w:t>
      </w:r>
      <w:r w:rsidR="00855011" w:rsidRPr="00D720DA">
        <w:rPr>
          <w:rFonts w:ascii="Arial" w:hAnsi="Arial" w:cs="Arial"/>
        </w:rPr>
        <w:t xml:space="preserve">each vowed </w:t>
      </w:r>
      <w:r w:rsidR="008A5FA7" w:rsidRPr="00D720DA">
        <w:rPr>
          <w:rFonts w:ascii="Arial" w:hAnsi="Arial" w:cs="Arial"/>
        </w:rPr>
        <w:t xml:space="preserve">in </w:t>
      </w:r>
      <w:r w:rsidRPr="00D720DA">
        <w:rPr>
          <w:rFonts w:ascii="Arial" w:hAnsi="Arial" w:cs="Arial"/>
        </w:rPr>
        <w:t>the 1996 election</w:t>
      </w:r>
      <w:r w:rsidR="008A5FA7" w:rsidRPr="00D720DA">
        <w:rPr>
          <w:rFonts w:ascii="Arial" w:hAnsi="Arial" w:cs="Arial"/>
        </w:rPr>
        <w:t xml:space="preserve"> campaign</w:t>
      </w:r>
      <w:r w:rsidR="00855011" w:rsidRPr="00D720DA">
        <w:rPr>
          <w:rFonts w:ascii="Arial" w:hAnsi="Arial" w:cs="Arial"/>
        </w:rPr>
        <w:t xml:space="preserve"> that they would </w:t>
      </w:r>
      <w:r w:rsidRPr="00D720DA">
        <w:rPr>
          <w:rFonts w:ascii="Arial" w:hAnsi="Arial" w:cs="Arial"/>
        </w:rPr>
        <w:t xml:space="preserve">not form a minority government, </w:t>
      </w:r>
      <w:r w:rsidR="00855011" w:rsidRPr="00D720DA">
        <w:rPr>
          <w:rFonts w:ascii="Arial" w:hAnsi="Arial" w:cs="Arial"/>
        </w:rPr>
        <w:t xml:space="preserve">and </w:t>
      </w:r>
      <w:r w:rsidR="00263CE5" w:rsidRPr="00D720DA">
        <w:rPr>
          <w:rFonts w:ascii="Arial" w:hAnsi="Arial" w:cs="Arial"/>
        </w:rPr>
        <w:t>their inability to gain a majority in</w:t>
      </w:r>
      <w:r w:rsidRPr="00D720DA">
        <w:rPr>
          <w:rFonts w:ascii="Arial" w:hAnsi="Arial" w:cs="Arial"/>
        </w:rPr>
        <w:t xml:space="preserve"> Parliament le</w:t>
      </w:r>
      <w:r w:rsidR="006A1C00" w:rsidRPr="00D720DA">
        <w:rPr>
          <w:rFonts w:ascii="Arial" w:hAnsi="Arial" w:cs="Arial"/>
        </w:rPr>
        <w:t>d</w:t>
      </w:r>
      <w:r w:rsidRPr="00D720DA">
        <w:rPr>
          <w:rFonts w:ascii="Arial" w:hAnsi="Arial" w:cs="Arial"/>
        </w:rPr>
        <w:t xml:space="preserve"> them both to resign as party leaders. The Liberals under new leader Anthony Rundle </w:t>
      </w:r>
      <w:r w:rsidR="00263CE5" w:rsidRPr="00D720DA">
        <w:rPr>
          <w:rFonts w:ascii="Arial" w:hAnsi="Arial" w:cs="Arial"/>
        </w:rPr>
        <w:t xml:space="preserve">formed a minority government </w:t>
      </w:r>
      <w:r w:rsidRPr="00D720DA">
        <w:rPr>
          <w:rFonts w:ascii="Arial" w:hAnsi="Arial" w:cs="Arial"/>
        </w:rPr>
        <w:t>with support from the Greens.</w:t>
      </w:r>
      <w:r w:rsidR="00FE4F49" w:rsidRPr="00D720DA">
        <w:rPr>
          <w:rFonts w:ascii="Arial" w:hAnsi="Arial" w:cs="Arial"/>
        </w:rPr>
        <w:t xml:space="preserve"> </w:t>
      </w:r>
      <w:r w:rsidRPr="00D720DA">
        <w:rPr>
          <w:rFonts w:ascii="Arial" w:hAnsi="Arial" w:cs="Arial"/>
        </w:rPr>
        <w:t xml:space="preserve">Rundle adopted a reformist agenda, including the proposed sale of the Hydro-Electric Commission </w:t>
      </w:r>
      <w:r w:rsidR="00263CE5" w:rsidRPr="00D720DA">
        <w:rPr>
          <w:rFonts w:ascii="Arial" w:hAnsi="Arial" w:cs="Arial"/>
        </w:rPr>
        <w:t xml:space="preserve">(McCall, 1999, p. 293) </w:t>
      </w:r>
      <w:r w:rsidRPr="00D720DA">
        <w:rPr>
          <w:rFonts w:ascii="Arial" w:hAnsi="Arial" w:cs="Arial"/>
        </w:rPr>
        <w:t xml:space="preserve">and </w:t>
      </w:r>
      <w:r w:rsidR="00877ED6" w:rsidRPr="00D720DA">
        <w:rPr>
          <w:rFonts w:ascii="Arial" w:hAnsi="Arial" w:cs="Arial"/>
        </w:rPr>
        <w:t xml:space="preserve">a </w:t>
      </w:r>
      <w:r w:rsidRPr="00D720DA">
        <w:rPr>
          <w:rFonts w:ascii="Arial" w:hAnsi="Arial" w:cs="Arial"/>
        </w:rPr>
        <w:t>reduction in the number of MPs (Tanner, 2006</w:t>
      </w:r>
      <w:r w:rsidR="008C57E8" w:rsidRPr="00D720DA">
        <w:rPr>
          <w:rFonts w:ascii="Arial" w:hAnsi="Arial" w:cs="Arial"/>
        </w:rPr>
        <w:t>a</w:t>
      </w:r>
      <w:r w:rsidRPr="00D720DA">
        <w:rPr>
          <w:rFonts w:ascii="Arial" w:hAnsi="Arial" w:cs="Arial"/>
        </w:rPr>
        <w:t xml:space="preserve">). </w:t>
      </w:r>
      <w:r w:rsidR="00E0311D" w:rsidRPr="00D720DA">
        <w:rPr>
          <w:rFonts w:ascii="Arial" w:hAnsi="Arial" w:cs="Arial"/>
        </w:rPr>
        <w:t>In July 1998, announcing that the hung Parliament had “reached its use-by date”, Rundle called a</w:t>
      </w:r>
      <w:r w:rsidR="00C20847" w:rsidRPr="00D720DA">
        <w:rPr>
          <w:rFonts w:ascii="Arial" w:hAnsi="Arial" w:cs="Arial"/>
        </w:rPr>
        <w:t xml:space="preserve">n early </w:t>
      </w:r>
      <w:r w:rsidR="00E0311D" w:rsidRPr="00D720DA">
        <w:rPr>
          <w:rFonts w:ascii="Arial" w:hAnsi="Arial" w:cs="Arial"/>
        </w:rPr>
        <w:t>election for August</w:t>
      </w:r>
      <w:r w:rsidR="00263CE5" w:rsidRPr="00D720DA">
        <w:rPr>
          <w:rFonts w:ascii="Arial" w:hAnsi="Arial" w:cs="Arial"/>
        </w:rPr>
        <w:t xml:space="preserve"> 1998</w:t>
      </w:r>
      <w:r w:rsidR="00C20847" w:rsidRPr="00D720DA">
        <w:rPr>
          <w:rFonts w:ascii="Arial" w:hAnsi="Arial" w:cs="Arial"/>
        </w:rPr>
        <w:t>,</w:t>
      </w:r>
      <w:r w:rsidR="00E0311D" w:rsidRPr="00D720DA">
        <w:rPr>
          <w:rFonts w:ascii="Arial" w:hAnsi="Arial" w:cs="Arial"/>
        </w:rPr>
        <w:t xml:space="preserve"> even though the Government’s terms could have </w:t>
      </w:r>
      <w:r w:rsidR="00263CE5" w:rsidRPr="00D720DA">
        <w:rPr>
          <w:rFonts w:ascii="Arial" w:hAnsi="Arial" w:cs="Arial"/>
        </w:rPr>
        <w:t xml:space="preserve">been </w:t>
      </w:r>
      <w:r w:rsidR="00E0311D" w:rsidRPr="00D720DA">
        <w:rPr>
          <w:rFonts w:ascii="Arial" w:hAnsi="Arial" w:cs="Arial"/>
        </w:rPr>
        <w:t xml:space="preserve">extended to May 2000 (McCall, 1999, p. 292). </w:t>
      </w:r>
    </w:p>
    <w:p w14:paraId="28583BF6" w14:textId="7FABC957" w:rsidR="00A3712F" w:rsidRPr="00D720DA" w:rsidRDefault="00E0311D" w:rsidP="00C8424F">
      <w:pPr>
        <w:rPr>
          <w:rFonts w:ascii="Arial" w:hAnsi="Arial" w:cs="Arial"/>
        </w:rPr>
      </w:pPr>
      <w:r w:rsidRPr="00D720DA">
        <w:rPr>
          <w:rFonts w:ascii="Arial" w:hAnsi="Arial" w:cs="Arial"/>
        </w:rPr>
        <w:t>In a special sitting</w:t>
      </w:r>
      <w:r w:rsidR="00877ED6" w:rsidRPr="00D720DA">
        <w:rPr>
          <w:rFonts w:ascii="Arial" w:hAnsi="Arial" w:cs="Arial"/>
        </w:rPr>
        <w:t xml:space="preserve"> ahead of the 1998 election, </w:t>
      </w:r>
      <w:r w:rsidRPr="00D720DA">
        <w:rPr>
          <w:rFonts w:ascii="Arial" w:hAnsi="Arial" w:cs="Arial"/>
        </w:rPr>
        <w:t>l</w:t>
      </w:r>
      <w:r w:rsidR="00A3712F" w:rsidRPr="00D720DA">
        <w:rPr>
          <w:rFonts w:ascii="Arial" w:hAnsi="Arial" w:cs="Arial"/>
        </w:rPr>
        <w:t xml:space="preserve">egislation </w:t>
      </w:r>
      <w:r w:rsidR="00877ED6" w:rsidRPr="00D720DA">
        <w:rPr>
          <w:rFonts w:ascii="Arial" w:hAnsi="Arial" w:cs="Arial"/>
        </w:rPr>
        <w:t xml:space="preserve">was </w:t>
      </w:r>
      <w:r w:rsidR="00A3712F" w:rsidRPr="00D720DA">
        <w:rPr>
          <w:rFonts w:ascii="Arial" w:hAnsi="Arial" w:cs="Arial"/>
        </w:rPr>
        <w:t xml:space="preserve">passed </w:t>
      </w:r>
      <w:r w:rsidR="00877ED6" w:rsidRPr="00D720DA">
        <w:rPr>
          <w:rFonts w:ascii="Arial" w:hAnsi="Arial" w:cs="Arial"/>
        </w:rPr>
        <w:t xml:space="preserve">to </w:t>
      </w:r>
      <w:r w:rsidR="00A3712F" w:rsidRPr="00D720DA">
        <w:rPr>
          <w:rFonts w:ascii="Arial" w:hAnsi="Arial" w:cs="Arial"/>
        </w:rPr>
        <w:t>reduce the size of the Tasmanian Parliament – from 35 to 25 in the House of Assembly and from 19 to 15 in the Legislative Council (Tanner, 2006</w:t>
      </w:r>
      <w:r w:rsidR="008C57E8" w:rsidRPr="00D720DA">
        <w:rPr>
          <w:rFonts w:ascii="Arial" w:hAnsi="Arial" w:cs="Arial"/>
        </w:rPr>
        <w:t>b</w:t>
      </w:r>
      <w:r w:rsidR="00A3712F" w:rsidRPr="00D720DA">
        <w:rPr>
          <w:rFonts w:ascii="Arial" w:hAnsi="Arial" w:cs="Arial"/>
        </w:rPr>
        <w:t xml:space="preserve">). </w:t>
      </w:r>
      <w:r w:rsidRPr="00D720DA">
        <w:rPr>
          <w:rFonts w:ascii="Arial" w:hAnsi="Arial" w:cs="Arial"/>
        </w:rPr>
        <w:t xml:space="preserve">The reduction in numbers marginalised minority parties, with the Greens leader losing her seat at the election and </w:t>
      </w:r>
      <w:proofErr w:type="spellStart"/>
      <w:r w:rsidRPr="00D720DA">
        <w:rPr>
          <w:rFonts w:ascii="Arial" w:hAnsi="Arial" w:cs="Arial"/>
        </w:rPr>
        <w:t>Labor</w:t>
      </w:r>
      <w:proofErr w:type="spellEnd"/>
      <w:r w:rsidRPr="00D720DA">
        <w:rPr>
          <w:rFonts w:ascii="Arial" w:hAnsi="Arial" w:cs="Arial"/>
        </w:rPr>
        <w:t xml:space="preserve"> winning majority government under Premier James Bacon (</w:t>
      </w:r>
      <w:proofErr w:type="spellStart"/>
      <w:r w:rsidRPr="00D720DA">
        <w:rPr>
          <w:rFonts w:ascii="Arial" w:hAnsi="Arial" w:cs="Arial"/>
        </w:rPr>
        <w:t>Rimon</w:t>
      </w:r>
      <w:proofErr w:type="spellEnd"/>
      <w:r w:rsidRPr="00D720DA">
        <w:rPr>
          <w:rFonts w:ascii="Arial" w:hAnsi="Arial" w:cs="Arial"/>
        </w:rPr>
        <w:t xml:space="preserve">, 2005). </w:t>
      </w:r>
      <w:r w:rsidR="00513D7A" w:rsidRPr="00D720DA">
        <w:rPr>
          <w:rFonts w:ascii="Arial" w:hAnsi="Arial" w:cs="Arial"/>
        </w:rPr>
        <w:t xml:space="preserve">A former trade unionist, Bacon had taken over the </w:t>
      </w:r>
      <w:proofErr w:type="spellStart"/>
      <w:r w:rsidR="00513D7A" w:rsidRPr="00D720DA">
        <w:rPr>
          <w:rFonts w:ascii="Arial" w:hAnsi="Arial" w:cs="Arial"/>
        </w:rPr>
        <w:t>Labor</w:t>
      </w:r>
      <w:proofErr w:type="spellEnd"/>
      <w:r w:rsidR="00513D7A" w:rsidRPr="00D720DA">
        <w:rPr>
          <w:rFonts w:ascii="Arial" w:hAnsi="Arial" w:cs="Arial"/>
        </w:rPr>
        <w:t xml:space="preserve"> leadership from Michael Field </w:t>
      </w:r>
      <w:r w:rsidR="00877ED6" w:rsidRPr="00D720DA">
        <w:rPr>
          <w:rFonts w:ascii="Arial" w:hAnsi="Arial" w:cs="Arial"/>
        </w:rPr>
        <w:t xml:space="preserve">in 1997 – just </w:t>
      </w:r>
      <w:r w:rsidR="00513D7A" w:rsidRPr="00D720DA">
        <w:rPr>
          <w:rFonts w:ascii="Arial" w:hAnsi="Arial" w:cs="Arial"/>
        </w:rPr>
        <w:t xml:space="preserve">a year after </w:t>
      </w:r>
      <w:r w:rsidR="00263CE5" w:rsidRPr="00D720DA">
        <w:rPr>
          <w:rFonts w:ascii="Arial" w:hAnsi="Arial" w:cs="Arial"/>
        </w:rPr>
        <w:t>being elected</w:t>
      </w:r>
      <w:r w:rsidR="00513D7A" w:rsidRPr="00D720DA">
        <w:rPr>
          <w:rFonts w:ascii="Arial" w:hAnsi="Arial" w:cs="Arial"/>
        </w:rPr>
        <w:t xml:space="preserve"> to the House of Assembly (</w:t>
      </w:r>
      <w:proofErr w:type="spellStart"/>
      <w:r w:rsidR="00513D7A" w:rsidRPr="00D720DA">
        <w:rPr>
          <w:rFonts w:ascii="Arial" w:hAnsi="Arial" w:cs="Arial"/>
        </w:rPr>
        <w:t>Rimon</w:t>
      </w:r>
      <w:proofErr w:type="spellEnd"/>
      <w:r w:rsidR="00513D7A" w:rsidRPr="00D720DA">
        <w:rPr>
          <w:rFonts w:ascii="Arial" w:hAnsi="Arial" w:cs="Arial"/>
        </w:rPr>
        <w:t xml:space="preserve">, 2005). </w:t>
      </w:r>
      <w:r w:rsidR="00A3712F" w:rsidRPr="00D720DA">
        <w:rPr>
          <w:rFonts w:ascii="Arial" w:hAnsi="Arial" w:cs="Arial"/>
        </w:rPr>
        <w:t xml:space="preserve">The Bacon </w:t>
      </w:r>
      <w:proofErr w:type="spellStart"/>
      <w:r w:rsidR="00FE4F49" w:rsidRPr="00D720DA">
        <w:rPr>
          <w:rFonts w:ascii="Arial" w:hAnsi="Arial" w:cs="Arial"/>
        </w:rPr>
        <w:t>Labor</w:t>
      </w:r>
      <w:proofErr w:type="spellEnd"/>
      <w:r w:rsidR="00FE4F49" w:rsidRPr="00D720DA">
        <w:rPr>
          <w:rFonts w:ascii="Arial" w:hAnsi="Arial" w:cs="Arial"/>
        </w:rPr>
        <w:t xml:space="preserve"> </w:t>
      </w:r>
      <w:r w:rsidR="00A3712F" w:rsidRPr="00D720DA">
        <w:rPr>
          <w:rFonts w:ascii="Arial" w:hAnsi="Arial" w:cs="Arial"/>
        </w:rPr>
        <w:t xml:space="preserve">Government </w:t>
      </w:r>
      <w:r w:rsidR="00325352" w:rsidRPr="00D720DA">
        <w:rPr>
          <w:rFonts w:ascii="Arial" w:hAnsi="Arial" w:cs="Arial"/>
        </w:rPr>
        <w:t xml:space="preserve">cleared </w:t>
      </w:r>
      <w:r w:rsidR="00A3712F" w:rsidRPr="00D720DA">
        <w:rPr>
          <w:rFonts w:ascii="Arial" w:hAnsi="Arial" w:cs="Arial"/>
        </w:rPr>
        <w:t xml:space="preserve">the $1.6 billion state debt </w:t>
      </w:r>
      <w:r w:rsidR="008A5FA7" w:rsidRPr="00D720DA">
        <w:rPr>
          <w:rFonts w:ascii="Arial" w:hAnsi="Arial" w:cs="Arial"/>
        </w:rPr>
        <w:t xml:space="preserve">during </w:t>
      </w:r>
      <w:r w:rsidR="00A3712F" w:rsidRPr="00D720DA">
        <w:rPr>
          <w:rFonts w:ascii="Arial" w:hAnsi="Arial" w:cs="Arial"/>
        </w:rPr>
        <w:t xml:space="preserve">its six-year tenure and reduced unemployment back to single digits. </w:t>
      </w:r>
    </w:p>
    <w:p w14:paraId="673841F3" w14:textId="7FE7EE3E" w:rsidR="000D31B3" w:rsidRPr="00D720DA" w:rsidRDefault="000D31B3" w:rsidP="00C8424F">
      <w:pPr>
        <w:rPr>
          <w:rFonts w:ascii="Arial" w:hAnsi="Arial" w:cs="Arial"/>
        </w:rPr>
      </w:pPr>
      <w:r w:rsidRPr="00D720DA">
        <w:rPr>
          <w:rFonts w:ascii="Arial" w:hAnsi="Arial" w:cs="Arial"/>
        </w:rPr>
        <w:t xml:space="preserve">In 1999, Sue Napier, who in 1996 </w:t>
      </w:r>
      <w:r w:rsidR="008A5FA7" w:rsidRPr="00D720DA">
        <w:rPr>
          <w:rFonts w:ascii="Arial" w:hAnsi="Arial" w:cs="Arial"/>
        </w:rPr>
        <w:t xml:space="preserve">had </w:t>
      </w:r>
      <w:r w:rsidRPr="00D720DA">
        <w:rPr>
          <w:rFonts w:ascii="Arial" w:hAnsi="Arial" w:cs="Arial"/>
        </w:rPr>
        <w:t>bec</w:t>
      </w:r>
      <w:r w:rsidR="008A5FA7" w:rsidRPr="00D720DA">
        <w:rPr>
          <w:rFonts w:ascii="Arial" w:hAnsi="Arial" w:cs="Arial"/>
        </w:rPr>
        <w:t>o</w:t>
      </w:r>
      <w:r w:rsidRPr="00D720DA">
        <w:rPr>
          <w:rFonts w:ascii="Arial" w:hAnsi="Arial" w:cs="Arial"/>
        </w:rPr>
        <w:t>me Tasmania’s first female Deputy Premier, was elected the first female leader of the Parliamentary Liberal Party (Tasmanian Government, 20</w:t>
      </w:r>
      <w:r w:rsidR="003C0781" w:rsidRPr="00D720DA">
        <w:rPr>
          <w:rFonts w:ascii="Arial" w:hAnsi="Arial" w:cs="Arial"/>
        </w:rPr>
        <w:t>14</w:t>
      </w:r>
      <w:r w:rsidRPr="00D720DA">
        <w:rPr>
          <w:rFonts w:ascii="Arial" w:hAnsi="Arial" w:cs="Arial"/>
        </w:rPr>
        <w:t xml:space="preserve">). </w:t>
      </w:r>
    </w:p>
    <w:p w14:paraId="332841D5" w14:textId="77777777" w:rsidR="007262EE" w:rsidRPr="00D720DA" w:rsidRDefault="007262EE" w:rsidP="00877ED6">
      <w:pPr>
        <w:ind w:firstLine="720"/>
        <w:rPr>
          <w:rFonts w:ascii="Arial" w:hAnsi="Arial" w:cs="Arial"/>
        </w:rPr>
      </w:pPr>
    </w:p>
    <w:p w14:paraId="1B223E87" w14:textId="5A53CCD3" w:rsidR="00F72415" w:rsidRPr="00D720DA" w:rsidRDefault="00F72415" w:rsidP="00F72415">
      <w:pPr>
        <w:pStyle w:val="Heading2"/>
        <w:rPr>
          <w:rFonts w:ascii="Arial" w:hAnsi="Arial" w:cs="Arial"/>
          <w:u w:val="none"/>
        </w:rPr>
      </w:pPr>
      <w:bookmarkStart w:id="8" w:name="_Toc77356791"/>
      <w:r w:rsidRPr="00D720DA">
        <w:rPr>
          <w:rFonts w:ascii="Arial" w:hAnsi="Arial" w:cs="Arial"/>
          <w:u w:val="none"/>
        </w:rPr>
        <w:t>2000s</w:t>
      </w:r>
      <w:bookmarkEnd w:id="8"/>
    </w:p>
    <w:p w14:paraId="429D4FE5" w14:textId="0D01B11C" w:rsidR="00A3712F" w:rsidRPr="00D720DA" w:rsidRDefault="00F72415" w:rsidP="00A3712F">
      <w:pPr>
        <w:pStyle w:val="indentpara"/>
        <w:ind w:firstLine="0"/>
        <w:rPr>
          <w:rFonts w:ascii="Arial" w:hAnsi="Arial" w:cs="Arial"/>
        </w:rPr>
      </w:pPr>
      <w:r w:rsidRPr="00D720DA">
        <w:rPr>
          <w:rFonts w:ascii="Arial" w:hAnsi="Arial" w:cs="Arial"/>
        </w:rPr>
        <w:t xml:space="preserve">The Office of the Commissioner for Public Employment was abolished in 2000 with the repeal of the </w:t>
      </w:r>
      <w:r w:rsidRPr="00D720DA">
        <w:rPr>
          <w:rFonts w:ascii="Arial" w:hAnsi="Arial" w:cs="Arial"/>
          <w:i/>
          <w:iCs w:val="0"/>
        </w:rPr>
        <w:t>Tasmanian State Service Act 1984</w:t>
      </w:r>
      <w:r w:rsidRPr="00D720DA">
        <w:rPr>
          <w:rFonts w:ascii="Arial" w:hAnsi="Arial" w:cs="Arial"/>
        </w:rPr>
        <w:t xml:space="preserve">, </w:t>
      </w:r>
      <w:r w:rsidR="00325352" w:rsidRPr="00D720DA">
        <w:rPr>
          <w:rFonts w:ascii="Arial" w:hAnsi="Arial" w:cs="Arial"/>
        </w:rPr>
        <w:t xml:space="preserve">and </w:t>
      </w:r>
      <w:r w:rsidRPr="00D720DA">
        <w:rPr>
          <w:rFonts w:ascii="Arial" w:hAnsi="Arial" w:cs="Arial"/>
        </w:rPr>
        <w:t>the incumbent t</w:t>
      </w:r>
      <w:r w:rsidR="00263CE5" w:rsidRPr="00D720DA">
        <w:rPr>
          <w:rFonts w:ascii="Arial" w:hAnsi="Arial" w:cs="Arial"/>
        </w:rPr>
        <w:t>ook</w:t>
      </w:r>
      <w:r w:rsidRPr="00D720DA">
        <w:rPr>
          <w:rFonts w:ascii="Arial" w:hAnsi="Arial" w:cs="Arial"/>
        </w:rPr>
        <w:t xml:space="preserve"> up the position of inaugural State Service Commissioner</w:t>
      </w:r>
      <w:r w:rsidR="00A3712F" w:rsidRPr="00D720DA">
        <w:rPr>
          <w:rFonts w:ascii="Arial" w:hAnsi="Arial" w:cs="Arial"/>
        </w:rPr>
        <w:t>.</w:t>
      </w:r>
    </w:p>
    <w:p w14:paraId="4EF19C0B" w14:textId="5F065E5D" w:rsidR="00FE4F49" w:rsidRPr="00D720DA" w:rsidRDefault="00A3712F" w:rsidP="00C8424F">
      <w:pPr>
        <w:pStyle w:val="indentpara"/>
        <w:ind w:firstLine="0"/>
        <w:rPr>
          <w:rFonts w:ascii="Arial" w:hAnsi="Arial" w:cs="Arial"/>
        </w:rPr>
      </w:pPr>
      <w:r w:rsidRPr="00D720DA">
        <w:rPr>
          <w:rFonts w:ascii="Arial" w:hAnsi="Arial" w:cs="Arial"/>
        </w:rPr>
        <w:t xml:space="preserve">The 2002 election saw the </w:t>
      </w:r>
      <w:r w:rsidR="00360775" w:rsidRPr="00D720DA">
        <w:rPr>
          <w:rFonts w:ascii="Arial" w:hAnsi="Arial" w:cs="Arial"/>
        </w:rPr>
        <w:t xml:space="preserve">re-election of </w:t>
      </w:r>
      <w:proofErr w:type="spellStart"/>
      <w:r w:rsidR="00360775" w:rsidRPr="00D720DA">
        <w:rPr>
          <w:rFonts w:ascii="Arial" w:hAnsi="Arial" w:cs="Arial"/>
        </w:rPr>
        <w:t>Labor</w:t>
      </w:r>
      <w:r w:rsidR="006B3CF1" w:rsidRPr="00D720DA">
        <w:rPr>
          <w:rFonts w:ascii="Arial" w:hAnsi="Arial" w:cs="Arial"/>
        </w:rPr>
        <w:t>’s</w:t>
      </w:r>
      <w:proofErr w:type="spellEnd"/>
      <w:r w:rsidR="006B3CF1" w:rsidRPr="00D720DA">
        <w:rPr>
          <w:rFonts w:ascii="Arial" w:hAnsi="Arial" w:cs="Arial"/>
        </w:rPr>
        <w:t xml:space="preserve"> Bacon Government</w:t>
      </w:r>
      <w:r w:rsidR="00360775" w:rsidRPr="00D720DA">
        <w:rPr>
          <w:rFonts w:ascii="Arial" w:hAnsi="Arial" w:cs="Arial"/>
        </w:rPr>
        <w:t xml:space="preserve"> and the </w:t>
      </w:r>
      <w:r w:rsidRPr="00D720DA">
        <w:rPr>
          <w:rFonts w:ascii="Arial" w:hAnsi="Arial" w:cs="Arial"/>
        </w:rPr>
        <w:t>Liberal Party suffer</w:t>
      </w:r>
      <w:r w:rsidR="00995E72" w:rsidRPr="00D720DA">
        <w:rPr>
          <w:rFonts w:ascii="Arial" w:hAnsi="Arial" w:cs="Arial"/>
        </w:rPr>
        <w:t>ed</w:t>
      </w:r>
      <w:r w:rsidRPr="00D720DA">
        <w:rPr>
          <w:rFonts w:ascii="Arial" w:hAnsi="Arial" w:cs="Arial"/>
        </w:rPr>
        <w:t xml:space="preserve"> its worst-ever defeat, with the party leader losing his own seat (Green, 2006). </w:t>
      </w:r>
      <w:proofErr w:type="spellStart"/>
      <w:r w:rsidR="00FE4F49" w:rsidRPr="00D720DA">
        <w:rPr>
          <w:rFonts w:ascii="Arial" w:hAnsi="Arial" w:cs="Arial"/>
        </w:rPr>
        <w:t>Labor</w:t>
      </w:r>
      <w:proofErr w:type="spellEnd"/>
      <w:r w:rsidR="00FE4F49" w:rsidRPr="00D720DA">
        <w:rPr>
          <w:rFonts w:ascii="Arial" w:hAnsi="Arial" w:cs="Arial"/>
        </w:rPr>
        <w:t xml:space="preserve"> Treasurer David </w:t>
      </w:r>
      <w:proofErr w:type="spellStart"/>
      <w:r w:rsidR="00FE4F49" w:rsidRPr="00D720DA">
        <w:rPr>
          <w:rFonts w:ascii="Arial" w:hAnsi="Arial" w:cs="Arial"/>
        </w:rPr>
        <w:t>Crean</w:t>
      </w:r>
      <w:proofErr w:type="spellEnd"/>
      <w:r w:rsidR="00FE4F49" w:rsidRPr="00D720DA">
        <w:rPr>
          <w:rFonts w:ascii="Arial" w:hAnsi="Arial" w:cs="Arial"/>
        </w:rPr>
        <w:t xml:space="preserve"> suggested “the most important reason for Tasmania’s poor economic performance since the 1991–92 national recession has been continued cuts to the public sector, without an industry development plan to create sufficient jobs in the private sector” (quoted by Fitzgerald, 2002, p. 78).</w:t>
      </w:r>
    </w:p>
    <w:p w14:paraId="07D38BDC" w14:textId="3BF171C8" w:rsidR="00A3712F" w:rsidRPr="00D720DA" w:rsidRDefault="00A3712F" w:rsidP="00C8424F">
      <w:pPr>
        <w:pStyle w:val="indentpara"/>
        <w:ind w:firstLine="0"/>
        <w:rPr>
          <w:rFonts w:ascii="Arial" w:hAnsi="Arial" w:cs="Arial"/>
        </w:rPr>
      </w:pPr>
      <w:r w:rsidRPr="00D720DA">
        <w:rPr>
          <w:rFonts w:ascii="Arial" w:hAnsi="Arial" w:cs="Arial"/>
        </w:rPr>
        <w:t xml:space="preserve">Paul Lennon took over the </w:t>
      </w:r>
      <w:proofErr w:type="spellStart"/>
      <w:r w:rsidR="008A5FA7" w:rsidRPr="00D720DA">
        <w:rPr>
          <w:rFonts w:ascii="Arial" w:hAnsi="Arial" w:cs="Arial"/>
        </w:rPr>
        <w:t>Labor</w:t>
      </w:r>
      <w:proofErr w:type="spellEnd"/>
      <w:r w:rsidR="008A5FA7" w:rsidRPr="00D720DA">
        <w:rPr>
          <w:rFonts w:ascii="Arial" w:hAnsi="Arial" w:cs="Arial"/>
        </w:rPr>
        <w:t xml:space="preserve"> </w:t>
      </w:r>
      <w:r w:rsidRPr="00D720DA">
        <w:rPr>
          <w:rFonts w:ascii="Arial" w:hAnsi="Arial" w:cs="Arial"/>
        </w:rPr>
        <w:t xml:space="preserve">leadership in 2004 following Bacon’s resignation </w:t>
      </w:r>
      <w:r w:rsidR="00505D5A" w:rsidRPr="00D720DA">
        <w:rPr>
          <w:rFonts w:ascii="Arial" w:hAnsi="Arial" w:cs="Arial"/>
        </w:rPr>
        <w:t>for health reasons</w:t>
      </w:r>
      <w:r w:rsidRPr="00D720DA">
        <w:rPr>
          <w:rFonts w:ascii="Arial" w:hAnsi="Arial" w:cs="Arial"/>
        </w:rPr>
        <w:t xml:space="preserve">, </w:t>
      </w:r>
      <w:r w:rsidR="00C771BC" w:rsidRPr="00D720DA">
        <w:rPr>
          <w:rFonts w:ascii="Arial" w:hAnsi="Arial" w:cs="Arial"/>
        </w:rPr>
        <w:t>and</w:t>
      </w:r>
      <w:r w:rsidR="008A5FA7" w:rsidRPr="00D720DA">
        <w:rPr>
          <w:rFonts w:ascii="Arial" w:hAnsi="Arial" w:cs="Arial"/>
        </w:rPr>
        <w:t xml:space="preserve"> he</w:t>
      </w:r>
      <w:r w:rsidR="00C771BC" w:rsidRPr="00D720DA">
        <w:rPr>
          <w:rFonts w:ascii="Arial" w:hAnsi="Arial" w:cs="Arial"/>
        </w:rPr>
        <w:t xml:space="preserve"> </w:t>
      </w:r>
      <w:r w:rsidRPr="00D720DA">
        <w:rPr>
          <w:rFonts w:ascii="Arial" w:hAnsi="Arial" w:cs="Arial"/>
        </w:rPr>
        <w:t xml:space="preserve">led the ALP to </w:t>
      </w:r>
      <w:r w:rsidR="00E02568" w:rsidRPr="00D720DA">
        <w:rPr>
          <w:rFonts w:ascii="Arial" w:hAnsi="Arial" w:cs="Arial"/>
        </w:rPr>
        <w:t>a further election win</w:t>
      </w:r>
      <w:r w:rsidRPr="00D720DA">
        <w:rPr>
          <w:rFonts w:ascii="Arial" w:hAnsi="Arial" w:cs="Arial"/>
        </w:rPr>
        <w:t xml:space="preserve"> in 2006</w:t>
      </w:r>
      <w:r w:rsidR="00C771BC" w:rsidRPr="00D720DA">
        <w:rPr>
          <w:rFonts w:ascii="Arial" w:hAnsi="Arial" w:cs="Arial"/>
        </w:rPr>
        <w:t>. H</w:t>
      </w:r>
      <w:r w:rsidRPr="00D720DA">
        <w:rPr>
          <w:rFonts w:ascii="Arial" w:hAnsi="Arial" w:cs="Arial"/>
        </w:rPr>
        <w:t>is government was plagued with controversy, with two Deputy Premiers standing down within two years – the first facing criminal charges</w:t>
      </w:r>
      <w:r w:rsidR="006A1C00" w:rsidRPr="00D720DA">
        <w:rPr>
          <w:rFonts w:ascii="Arial" w:hAnsi="Arial" w:cs="Arial"/>
        </w:rPr>
        <w:t>,</w:t>
      </w:r>
      <w:r w:rsidRPr="00D720DA">
        <w:rPr>
          <w:rFonts w:ascii="Arial" w:hAnsi="Arial" w:cs="Arial"/>
        </w:rPr>
        <w:t xml:space="preserve"> the second for misleading Parliament</w:t>
      </w:r>
      <w:r w:rsidR="00E02568" w:rsidRPr="00D720DA">
        <w:rPr>
          <w:rFonts w:ascii="Arial" w:hAnsi="Arial" w:cs="Arial"/>
        </w:rPr>
        <w:t xml:space="preserve">. </w:t>
      </w:r>
      <w:r w:rsidRPr="00D720DA">
        <w:rPr>
          <w:rFonts w:ascii="Arial" w:hAnsi="Arial" w:cs="Arial"/>
        </w:rPr>
        <w:t xml:space="preserve"> Lennon </w:t>
      </w:r>
      <w:r w:rsidR="00E02568" w:rsidRPr="00D720DA">
        <w:rPr>
          <w:rFonts w:ascii="Arial" w:hAnsi="Arial" w:cs="Arial"/>
        </w:rPr>
        <w:t xml:space="preserve">was </w:t>
      </w:r>
      <w:r w:rsidRPr="00D720DA">
        <w:rPr>
          <w:rFonts w:ascii="Arial" w:hAnsi="Arial" w:cs="Arial"/>
        </w:rPr>
        <w:t xml:space="preserve">a champion of the controversial </w:t>
      </w:r>
      <w:proofErr w:type="spellStart"/>
      <w:r w:rsidRPr="00D720DA">
        <w:rPr>
          <w:rFonts w:ascii="Arial" w:hAnsi="Arial" w:cs="Arial"/>
        </w:rPr>
        <w:t>Gunns</w:t>
      </w:r>
      <w:proofErr w:type="spellEnd"/>
      <w:r w:rsidRPr="00D720DA">
        <w:rPr>
          <w:rFonts w:ascii="Arial" w:hAnsi="Arial" w:cs="Arial"/>
        </w:rPr>
        <w:t xml:space="preserve"> paper mill (Killick, 2014, Mar 14). Lennon stepped down in 2008 to be replaced by David Bartlett, who went on to lead a minority government with support of the Greens following the 2010 election</w:t>
      </w:r>
      <w:r w:rsidR="006A3895" w:rsidRPr="00D720DA">
        <w:rPr>
          <w:rFonts w:ascii="Arial" w:hAnsi="Arial" w:cs="Arial"/>
        </w:rPr>
        <w:t xml:space="preserve">, at which </w:t>
      </w:r>
      <w:proofErr w:type="spellStart"/>
      <w:r w:rsidR="006A3895" w:rsidRPr="00D720DA">
        <w:rPr>
          <w:rFonts w:ascii="Arial" w:hAnsi="Arial" w:cs="Arial"/>
        </w:rPr>
        <w:t>Labor</w:t>
      </w:r>
      <w:proofErr w:type="spellEnd"/>
      <w:r w:rsidR="006A3895" w:rsidRPr="00D720DA">
        <w:rPr>
          <w:rFonts w:ascii="Arial" w:hAnsi="Arial" w:cs="Arial"/>
        </w:rPr>
        <w:t xml:space="preserve"> </w:t>
      </w:r>
      <w:r w:rsidR="00E02568" w:rsidRPr="00D720DA">
        <w:rPr>
          <w:rFonts w:ascii="Arial" w:hAnsi="Arial" w:cs="Arial"/>
        </w:rPr>
        <w:t xml:space="preserve">had </w:t>
      </w:r>
      <w:r w:rsidR="006A3895" w:rsidRPr="00D720DA">
        <w:rPr>
          <w:rFonts w:ascii="Arial" w:hAnsi="Arial" w:cs="Arial"/>
        </w:rPr>
        <w:t>lost four of its 14 seats (Montgomery, 2011, Jan 24).</w:t>
      </w:r>
      <w:r w:rsidR="00D868A7" w:rsidRPr="00D720DA">
        <w:rPr>
          <w:rFonts w:ascii="Arial" w:hAnsi="Arial" w:cs="Arial"/>
        </w:rPr>
        <w:t xml:space="preserve"> The Greens had previously supported</w:t>
      </w:r>
      <w:r w:rsidR="00CB4469" w:rsidRPr="00D720DA">
        <w:rPr>
          <w:rFonts w:ascii="Arial" w:hAnsi="Arial" w:cs="Arial"/>
        </w:rPr>
        <w:t xml:space="preserve"> two</w:t>
      </w:r>
      <w:r w:rsidR="00D868A7" w:rsidRPr="00D720DA">
        <w:rPr>
          <w:rFonts w:ascii="Arial" w:hAnsi="Arial" w:cs="Arial"/>
        </w:rPr>
        <w:t xml:space="preserve"> minority governments – </w:t>
      </w:r>
      <w:proofErr w:type="spellStart"/>
      <w:r w:rsidR="00D868A7" w:rsidRPr="00D720DA">
        <w:rPr>
          <w:rFonts w:ascii="Arial" w:hAnsi="Arial" w:cs="Arial"/>
        </w:rPr>
        <w:t>Labor</w:t>
      </w:r>
      <w:proofErr w:type="spellEnd"/>
      <w:r w:rsidR="00D868A7" w:rsidRPr="00D720DA">
        <w:rPr>
          <w:rFonts w:ascii="Arial" w:hAnsi="Arial" w:cs="Arial"/>
        </w:rPr>
        <w:t xml:space="preserve"> </w:t>
      </w:r>
      <w:r w:rsidR="00995E72" w:rsidRPr="00D720DA">
        <w:rPr>
          <w:rFonts w:ascii="Arial" w:hAnsi="Arial" w:cs="Arial"/>
        </w:rPr>
        <w:t>from</w:t>
      </w:r>
      <w:r w:rsidR="00D868A7" w:rsidRPr="00D720DA">
        <w:rPr>
          <w:rFonts w:ascii="Arial" w:hAnsi="Arial" w:cs="Arial"/>
        </w:rPr>
        <w:t xml:space="preserve"> 1989 to 1991 in return for policy concessions; and </w:t>
      </w:r>
      <w:r w:rsidR="00995E72" w:rsidRPr="00D720DA">
        <w:rPr>
          <w:rFonts w:ascii="Arial" w:hAnsi="Arial" w:cs="Arial"/>
        </w:rPr>
        <w:t xml:space="preserve">the </w:t>
      </w:r>
      <w:r w:rsidR="00D868A7" w:rsidRPr="00D720DA">
        <w:rPr>
          <w:rFonts w:ascii="Arial" w:hAnsi="Arial" w:cs="Arial"/>
        </w:rPr>
        <w:t>Liberal</w:t>
      </w:r>
      <w:r w:rsidR="00995E72" w:rsidRPr="00D720DA">
        <w:rPr>
          <w:rFonts w:ascii="Arial" w:hAnsi="Arial" w:cs="Arial"/>
        </w:rPr>
        <w:t>s</w:t>
      </w:r>
      <w:r w:rsidR="00D868A7" w:rsidRPr="00D720DA">
        <w:rPr>
          <w:rFonts w:ascii="Arial" w:hAnsi="Arial" w:cs="Arial"/>
        </w:rPr>
        <w:t xml:space="preserve"> in 1996-1998 in return for a commitment to cooperative politics (Crowley, 2014, Jan 21).</w:t>
      </w:r>
      <w:r w:rsidR="006A3895" w:rsidRPr="00D720DA">
        <w:rPr>
          <w:rFonts w:ascii="Arial" w:hAnsi="Arial" w:cs="Arial"/>
        </w:rPr>
        <w:t xml:space="preserve"> This time the Greens were granted two seats in Cabinet in return for guaranteeing supply and </w:t>
      </w:r>
      <w:r w:rsidR="00CB4469" w:rsidRPr="00D720DA">
        <w:rPr>
          <w:rFonts w:ascii="Arial" w:hAnsi="Arial" w:cs="Arial"/>
        </w:rPr>
        <w:t xml:space="preserve">supporting </w:t>
      </w:r>
      <w:r w:rsidR="006A3895" w:rsidRPr="00D720DA">
        <w:rPr>
          <w:rFonts w:ascii="Arial" w:hAnsi="Arial" w:cs="Arial"/>
        </w:rPr>
        <w:t>confidence</w:t>
      </w:r>
      <w:r w:rsidR="00CB4469" w:rsidRPr="00D720DA">
        <w:rPr>
          <w:rFonts w:ascii="Arial" w:hAnsi="Arial" w:cs="Arial"/>
        </w:rPr>
        <w:t xml:space="preserve"> motions</w:t>
      </w:r>
      <w:r w:rsidR="006A3895" w:rsidRPr="00D720DA">
        <w:rPr>
          <w:rFonts w:ascii="Arial" w:hAnsi="Arial" w:cs="Arial"/>
        </w:rPr>
        <w:t xml:space="preserve"> (Crowley, 2014, Jan 21).</w:t>
      </w:r>
    </w:p>
    <w:p w14:paraId="77596DA1" w14:textId="4A9AB44F" w:rsidR="00D868A7" w:rsidRPr="00D720DA" w:rsidRDefault="00974F5E" w:rsidP="00C8424F">
      <w:pPr>
        <w:pStyle w:val="indentpara"/>
        <w:ind w:firstLine="0"/>
        <w:rPr>
          <w:rFonts w:ascii="Arial" w:hAnsi="Arial" w:cs="Arial"/>
          <w:iCs w:val="0"/>
        </w:rPr>
      </w:pPr>
      <w:r w:rsidRPr="00D720DA">
        <w:rPr>
          <w:rFonts w:ascii="Arial" w:hAnsi="Arial" w:cs="Arial"/>
          <w:iCs w:val="0"/>
        </w:rPr>
        <w:lastRenderedPageBreak/>
        <w:t xml:space="preserve">In June 2009, given the </w:t>
      </w:r>
      <w:r w:rsidR="006C5739" w:rsidRPr="00D720DA">
        <w:rPr>
          <w:rFonts w:ascii="Arial" w:hAnsi="Arial" w:cs="Arial"/>
          <w:iCs w:val="0"/>
        </w:rPr>
        <w:t xml:space="preserve">difficult global </w:t>
      </w:r>
      <w:r w:rsidRPr="00D720DA">
        <w:rPr>
          <w:rFonts w:ascii="Arial" w:hAnsi="Arial" w:cs="Arial"/>
          <w:iCs w:val="0"/>
        </w:rPr>
        <w:t xml:space="preserve">economic situation, the </w:t>
      </w:r>
      <w:r w:rsidR="00D85A9A" w:rsidRPr="00D720DA">
        <w:rPr>
          <w:rFonts w:ascii="Arial" w:hAnsi="Arial" w:cs="Arial"/>
          <w:iCs w:val="0"/>
        </w:rPr>
        <w:t>Bartlett G</w:t>
      </w:r>
      <w:r w:rsidRPr="00D720DA">
        <w:rPr>
          <w:rFonts w:ascii="Arial" w:hAnsi="Arial" w:cs="Arial"/>
          <w:iCs w:val="0"/>
        </w:rPr>
        <w:t xml:space="preserve">overnment froze the salaries of senior executives and other </w:t>
      </w:r>
      <w:r w:rsidR="00D85A9A" w:rsidRPr="00D720DA">
        <w:rPr>
          <w:rFonts w:ascii="Arial" w:hAnsi="Arial" w:cs="Arial"/>
          <w:iCs w:val="0"/>
        </w:rPr>
        <w:t xml:space="preserve">State Service </w:t>
      </w:r>
      <w:r w:rsidRPr="00D720DA">
        <w:rPr>
          <w:rFonts w:ascii="Arial" w:hAnsi="Arial" w:cs="Arial"/>
          <w:iCs w:val="0"/>
        </w:rPr>
        <w:t>officers for a period of 12 months (OSSC, 2000, p. 69).</w:t>
      </w:r>
      <w:r w:rsidR="006A3895" w:rsidRPr="00D720DA">
        <w:rPr>
          <w:rFonts w:ascii="Arial" w:hAnsi="Arial" w:cs="Arial"/>
          <w:iCs w:val="0"/>
        </w:rPr>
        <w:t xml:space="preserve"> Bartlett stepped down as Premier in 2011, with Lara Giddings </w:t>
      </w:r>
      <w:r w:rsidR="006C5739" w:rsidRPr="00D720DA">
        <w:rPr>
          <w:rFonts w:ascii="Arial" w:hAnsi="Arial" w:cs="Arial"/>
          <w:iCs w:val="0"/>
        </w:rPr>
        <w:t xml:space="preserve">being </w:t>
      </w:r>
      <w:r w:rsidR="006A3895" w:rsidRPr="00D720DA">
        <w:rPr>
          <w:rFonts w:ascii="Arial" w:hAnsi="Arial" w:cs="Arial"/>
          <w:iCs w:val="0"/>
        </w:rPr>
        <w:t>elected the new leader</w:t>
      </w:r>
      <w:r w:rsidR="00A401A9" w:rsidRPr="00D720DA">
        <w:rPr>
          <w:rFonts w:ascii="Arial" w:hAnsi="Arial" w:cs="Arial"/>
          <w:iCs w:val="0"/>
        </w:rPr>
        <w:t>. Already holding a record as the youngest woman ever elected to an Australian parliament (in 1996 at age 23), Giddings became Tasmania’s first female Premier (Crowley, 2014, Jan 21).</w:t>
      </w:r>
      <w:r w:rsidR="006A3895" w:rsidRPr="00D720DA">
        <w:rPr>
          <w:rFonts w:ascii="Arial" w:hAnsi="Arial" w:cs="Arial"/>
          <w:iCs w:val="0"/>
        </w:rPr>
        <w:t xml:space="preserve"> </w:t>
      </w:r>
    </w:p>
    <w:p w14:paraId="15F4EDE4" w14:textId="3298BE89" w:rsidR="00A26ECB" w:rsidRPr="00D720DA" w:rsidRDefault="00E32A2E" w:rsidP="00C8424F">
      <w:pPr>
        <w:pStyle w:val="indentpara"/>
        <w:ind w:firstLine="0"/>
        <w:rPr>
          <w:rFonts w:ascii="Arial" w:hAnsi="Arial" w:cs="Arial"/>
        </w:rPr>
      </w:pPr>
      <w:r w:rsidRPr="00D720DA">
        <w:rPr>
          <w:rFonts w:ascii="Arial" w:hAnsi="Arial" w:cs="Arial"/>
        </w:rPr>
        <w:t xml:space="preserve">From 2008 to 2011, </w:t>
      </w:r>
      <w:r w:rsidR="00386AEB" w:rsidRPr="00D720DA">
        <w:rPr>
          <w:rFonts w:ascii="Arial" w:hAnsi="Arial" w:cs="Arial"/>
        </w:rPr>
        <w:t>a</w:t>
      </w:r>
      <w:r w:rsidRPr="00D720DA">
        <w:rPr>
          <w:rFonts w:ascii="Arial" w:hAnsi="Arial" w:cs="Arial"/>
        </w:rPr>
        <w:t xml:space="preserve"> Legislative Council </w:t>
      </w:r>
      <w:r w:rsidR="00386AEB" w:rsidRPr="00D720DA">
        <w:rPr>
          <w:rFonts w:ascii="Arial" w:hAnsi="Arial" w:cs="Arial"/>
        </w:rPr>
        <w:t xml:space="preserve">committee investigated senior executive appointments in the Tasmanian State Service. An Interim Report in 2009 </w:t>
      </w:r>
      <w:r w:rsidR="00386AEB" w:rsidRPr="00D720DA">
        <w:rPr>
          <w:rStyle w:val="xfontstyle2"/>
          <w:rFonts w:ascii="Arial" w:hAnsi="Arial" w:cs="Arial"/>
          <w:color w:val="000000"/>
          <w:bdr w:val="none" w:sz="0" w:space="0" w:color="auto" w:frame="1"/>
          <w:shd w:val="clear" w:color="auto" w:fill="FFFFFF"/>
        </w:rPr>
        <w:t xml:space="preserve">expressed “genuine concern” that the system did not safeguard against either “corruption of the State Service Principles; or the unwarranted politicisation of the public sector” (quoted by </w:t>
      </w:r>
      <w:r w:rsidR="00386AEB" w:rsidRPr="00D720DA">
        <w:rPr>
          <w:rStyle w:val="xfontstyle2"/>
          <w:rFonts w:ascii="Arial" w:hAnsi="Arial" w:cs="Arial"/>
          <w:color w:val="000000"/>
          <w:bdr w:val="none" w:sz="0" w:space="0" w:color="auto" w:frame="1"/>
        </w:rPr>
        <w:t>Griffith, 2009: 8). The government chose not to implement all the recommendations</w:t>
      </w:r>
      <w:r w:rsidR="00A26ECB" w:rsidRPr="00D720DA">
        <w:rPr>
          <w:rStyle w:val="xfontstyle2"/>
          <w:rFonts w:ascii="Arial" w:hAnsi="Arial" w:cs="Arial"/>
          <w:color w:val="000000"/>
          <w:bdr w:val="none" w:sz="0" w:space="0" w:color="auto" w:frame="1"/>
        </w:rPr>
        <w:t xml:space="preserve"> of the Final Report</w:t>
      </w:r>
      <w:r w:rsidR="00386AEB" w:rsidRPr="00D720DA">
        <w:rPr>
          <w:rStyle w:val="xfontstyle2"/>
          <w:rFonts w:ascii="Arial" w:hAnsi="Arial" w:cs="Arial"/>
          <w:color w:val="000000"/>
          <w:bdr w:val="none" w:sz="0" w:space="0" w:color="auto" w:frame="1"/>
        </w:rPr>
        <w:t>, including that the State Service Act be replaced with a Public Sector Management Act</w:t>
      </w:r>
      <w:r w:rsidR="006C5739" w:rsidRPr="00D720DA">
        <w:rPr>
          <w:rFonts w:ascii="Arial" w:hAnsi="Arial" w:cs="Arial"/>
        </w:rPr>
        <w:t xml:space="preserve"> similar </w:t>
      </w:r>
      <w:r w:rsidR="00A26ECB" w:rsidRPr="00D720DA">
        <w:rPr>
          <w:rFonts w:ascii="Arial" w:hAnsi="Arial" w:cs="Arial"/>
        </w:rPr>
        <w:t>to those in WA and NZ, and that a Public Sector Standards Commissioner be appointed to oversee executive appointments (Legislative Council, 2011</w:t>
      </w:r>
      <w:r w:rsidR="00983DCF" w:rsidRPr="00D720DA">
        <w:rPr>
          <w:rFonts w:ascii="Arial" w:hAnsi="Arial" w:cs="Arial"/>
        </w:rPr>
        <w:t>, p. 5</w:t>
      </w:r>
      <w:r w:rsidR="00A26ECB" w:rsidRPr="00D720DA">
        <w:rPr>
          <w:rFonts w:ascii="Arial" w:hAnsi="Arial" w:cs="Arial"/>
        </w:rPr>
        <w:t xml:space="preserve">). </w:t>
      </w:r>
    </w:p>
    <w:p w14:paraId="5173373B" w14:textId="1121BEC7" w:rsidR="004B342F" w:rsidRPr="00D720DA" w:rsidRDefault="00A3712F" w:rsidP="00C8424F">
      <w:pPr>
        <w:pStyle w:val="indentpara"/>
        <w:ind w:firstLine="0"/>
        <w:rPr>
          <w:rFonts w:ascii="Arial" w:hAnsi="Arial" w:cs="Arial"/>
        </w:rPr>
      </w:pPr>
      <w:r w:rsidRPr="00D720DA">
        <w:rPr>
          <w:rFonts w:ascii="Arial" w:hAnsi="Arial" w:cs="Arial"/>
        </w:rPr>
        <w:t xml:space="preserve">The position of State Service Commissioner </w:t>
      </w:r>
      <w:r w:rsidR="00F72415" w:rsidRPr="00D720DA">
        <w:rPr>
          <w:rFonts w:ascii="Arial" w:hAnsi="Arial" w:cs="Arial"/>
        </w:rPr>
        <w:t xml:space="preserve">was abolished by the </w:t>
      </w:r>
      <w:r w:rsidR="00F72415" w:rsidRPr="00D720DA">
        <w:rPr>
          <w:rFonts w:ascii="Arial" w:hAnsi="Arial" w:cs="Arial"/>
          <w:i/>
          <w:iCs w:val="0"/>
        </w:rPr>
        <w:t>State Service Amendment Act 2012</w:t>
      </w:r>
      <w:r w:rsidR="00F72415" w:rsidRPr="00D720DA">
        <w:rPr>
          <w:rFonts w:ascii="Arial" w:hAnsi="Arial" w:cs="Arial"/>
        </w:rPr>
        <w:t xml:space="preserve">, with its powers and functions dispersed across </w:t>
      </w:r>
      <w:proofErr w:type="gramStart"/>
      <w:r w:rsidR="00F72415" w:rsidRPr="00D720DA">
        <w:rPr>
          <w:rFonts w:ascii="Arial" w:hAnsi="Arial" w:cs="Arial"/>
        </w:rPr>
        <w:t>a number of</w:t>
      </w:r>
      <w:proofErr w:type="gramEnd"/>
      <w:r w:rsidR="00F72415" w:rsidRPr="00D720DA">
        <w:rPr>
          <w:rFonts w:ascii="Arial" w:hAnsi="Arial" w:cs="Arial"/>
        </w:rPr>
        <w:t xml:space="preserve"> entities (Hodgman, 2015). The Commissioner’s evaluation functions were </w:t>
      </w:r>
      <w:r w:rsidR="006C5739" w:rsidRPr="00D720DA">
        <w:rPr>
          <w:rFonts w:ascii="Arial" w:hAnsi="Arial" w:cs="Arial"/>
        </w:rPr>
        <w:t xml:space="preserve">transferred </w:t>
      </w:r>
      <w:r w:rsidR="00F72415" w:rsidRPr="00D720DA">
        <w:rPr>
          <w:rFonts w:ascii="Arial" w:hAnsi="Arial" w:cs="Arial"/>
        </w:rPr>
        <w:t xml:space="preserve">to the Tasmanian Auditor-General, while the power to review employment decisions were </w:t>
      </w:r>
      <w:r w:rsidR="006C5739" w:rsidRPr="00D720DA">
        <w:rPr>
          <w:rFonts w:ascii="Arial" w:hAnsi="Arial" w:cs="Arial"/>
        </w:rPr>
        <w:t>transferred to</w:t>
      </w:r>
      <w:r w:rsidR="00F72415" w:rsidRPr="00D720DA">
        <w:rPr>
          <w:rFonts w:ascii="Arial" w:hAnsi="Arial" w:cs="Arial"/>
        </w:rPr>
        <w:t xml:space="preserve"> the Industrial Relations Commission (Hodgman, 2015).</w:t>
      </w:r>
      <w:r w:rsidR="0027267F" w:rsidRPr="00D720DA">
        <w:rPr>
          <w:rFonts w:ascii="Arial" w:hAnsi="Arial" w:cs="Arial"/>
        </w:rPr>
        <w:t xml:space="preserve"> </w:t>
      </w:r>
      <w:r w:rsidR="00F72415" w:rsidRPr="00D720DA">
        <w:rPr>
          <w:rFonts w:ascii="Arial" w:hAnsi="Arial" w:cs="Arial"/>
        </w:rPr>
        <w:t xml:space="preserve">Employment functions were </w:t>
      </w:r>
      <w:r w:rsidR="00D2643C" w:rsidRPr="00D720DA">
        <w:rPr>
          <w:rFonts w:ascii="Arial" w:hAnsi="Arial" w:cs="Arial"/>
        </w:rPr>
        <w:t xml:space="preserve">allocated </w:t>
      </w:r>
      <w:r w:rsidR="00F72415" w:rsidRPr="00D720DA">
        <w:rPr>
          <w:rFonts w:ascii="Arial" w:hAnsi="Arial" w:cs="Arial"/>
        </w:rPr>
        <w:t>to the Minister administering the State Service Act – the Premier, supported by the Head of State Service (</w:t>
      </w:r>
      <w:r w:rsidR="00686AFC" w:rsidRPr="00D720DA">
        <w:rPr>
          <w:rFonts w:ascii="Arial" w:hAnsi="Arial" w:cs="Arial"/>
        </w:rPr>
        <w:t xml:space="preserve">currently </w:t>
      </w:r>
      <w:r w:rsidR="00F72415" w:rsidRPr="00D720DA">
        <w:rPr>
          <w:rFonts w:ascii="Arial" w:hAnsi="Arial" w:cs="Arial"/>
        </w:rPr>
        <w:t xml:space="preserve">the DPC Secretary), who in turn </w:t>
      </w:r>
      <w:r w:rsidR="00995E72" w:rsidRPr="00D720DA">
        <w:rPr>
          <w:rFonts w:ascii="Arial" w:hAnsi="Arial" w:cs="Arial"/>
        </w:rPr>
        <w:t>was</w:t>
      </w:r>
      <w:r w:rsidR="00D2643C" w:rsidRPr="00D720DA">
        <w:rPr>
          <w:rFonts w:ascii="Arial" w:hAnsi="Arial" w:cs="Arial"/>
        </w:rPr>
        <w:t xml:space="preserve"> </w:t>
      </w:r>
      <w:r w:rsidR="00F72415" w:rsidRPr="00D720DA">
        <w:rPr>
          <w:rFonts w:ascii="Arial" w:hAnsi="Arial" w:cs="Arial"/>
        </w:rPr>
        <w:t xml:space="preserve">supported by the State Service Management Office (SSMO). </w:t>
      </w:r>
      <w:r w:rsidR="004B342F" w:rsidRPr="00D720DA">
        <w:rPr>
          <w:rFonts w:ascii="Arial" w:hAnsi="Arial" w:cs="Arial"/>
        </w:rPr>
        <w:t xml:space="preserve">The </w:t>
      </w:r>
      <w:r w:rsidR="004B342F" w:rsidRPr="00D720DA">
        <w:rPr>
          <w:rFonts w:ascii="Arial" w:hAnsi="Arial" w:cs="Arial"/>
          <w:i/>
          <w:iCs w:val="0"/>
        </w:rPr>
        <w:t>Integrity Commission Act 2009</w:t>
      </w:r>
      <w:r w:rsidR="004B342F" w:rsidRPr="00D720DA">
        <w:rPr>
          <w:rFonts w:ascii="Arial" w:hAnsi="Arial" w:cs="Arial"/>
        </w:rPr>
        <w:t xml:space="preserve"> was also amended</w:t>
      </w:r>
      <w:r w:rsidR="0027267F" w:rsidRPr="00D720DA">
        <w:rPr>
          <w:rFonts w:ascii="Arial" w:hAnsi="Arial" w:cs="Arial"/>
        </w:rPr>
        <w:t>.</w:t>
      </w:r>
    </w:p>
    <w:p w14:paraId="4A067797" w14:textId="62171F07" w:rsidR="00A3712F" w:rsidRPr="00D720DA" w:rsidRDefault="00A3712F" w:rsidP="00C8424F">
      <w:pPr>
        <w:pStyle w:val="indentpara"/>
        <w:ind w:firstLine="0"/>
        <w:rPr>
          <w:rFonts w:ascii="Arial" w:hAnsi="Arial" w:cs="Arial"/>
        </w:rPr>
      </w:pPr>
      <w:r w:rsidRPr="00D720DA">
        <w:rPr>
          <w:rFonts w:ascii="Arial" w:hAnsi="Arial" w:cs="Arial"/>
        </w:rPr>
        <w:t xml:space="preserve">Also in 2012, in response to the State Budget, then Opposition Leader Will Hodgman announced a Liberal Party policy to create a </w:t>
      </w:r>
      <w:r w:rsidR="00C11DC2" w:rsidRPr="00D720DA">
        <w:rPr>
          <w:rFonts w:ascii="Arial" w:hAnsi="Arial" w:cs="Arial"/>
        </w:rPr>
        <w:t>‘</w:t>
      </w:r>
      <w:r w:rsidRPr="00D720DA">
        <w:rPr>
          <w:rFonts w:ascii="Arial" w:hAnsi="Arial" w:cs="Arial"/>
        </w:rPr>
        <w:t>super department</w:t>
      </w:r>
      <w:r w:rsidR="00C11DC2" w:rsidRPr="00D720DA">
        <w:rPr>
          <w:rFonts w:ascii="Arial" w:hAnsi="Arial" w:cs="Arial"/>
        </w:rPr>
        <w:t>’</w:t>
      </w:r>
      <w:r w:rsidRPr="00D720DA">
        <w:rPr>
          <w:rFonts w:ascii="Arial" w:hAnsi="Arial" w:cs="Arial"/>
        </w:rPr>
        <w:t xml:space="preserve"> – by merging the Department of Economic Development</w:t>
      </w:r>
      <w:r w:rsidR="004B548B" w:rsidRPr="00D720DA">
        <w:rPr>
          <w:rFonts w:ascii="Arial" w:hAnsi="Arial" w:cs="Arial"/>
        </w:rPr>
        <w:t>, Tourism and the Arts</w:t>
      </w:r>
      <w:r w:rsidR="00DF60FC" w:rsidRPr="00D720DA">
        <w:rPr>
          <w:rFonts w:ascii="Arial" w:hAnsi="Arial" w:cs="Arial"/>
        </w:rPr>
        <w:t xml:space="preserve">, </w:t>
      </w:r>
      <w:r w:rsidRPr="00D720DA">
        <w:rPr>
          <w:rFonts w:ascii="Arial" w:hAnsi="Arial" w:cs="Arial"/>
        </w:rPr>
        <w:t>and the Department of Infrastructure, Energy and Resources</w:t>
      </w:r>
      <w:r w:rsidR="00DF60FC" w:rsidRPr="00D720DA">
        <w:rPr>
          <w:rFonts w:ascii="Arial" w:hAnsi="Arial" w:cs="Arial"/>
        </w:rPr>
        <w:t>,</w:t>
      </w:r>
      <w:r w:rsidRPr="00D720DA">
        <w:rPr>
          <w:rFonts w:ascii="Arial" w:hAnsi="Arial" w:cs="Arial"/>
        </w:rPr>
        <w:t xml:space="preserve"> into a Department of State Development – </w:t>
      </w:r>
      <w:r w:rsidR="000E37BC" w:rsidRPr="00D720DA">
        <w:rPr>
          <w:rFonts w:ascii="Arial" w:hAnsi="Arial" w:cs="Arial"/>
        </w:rPr>
        <w:t xml:space="preserve">and to </w:t>
      </w:r>
      <w:r w:rsidRPr="00D720DA">
        <w:rPr>
          <w:rFonts w:ascii="Arial" w:hAnsi="Arial" w:cs="Arial"/>
        </w:rPr>
        <w:t xml:space="preserve">cut 650 public sector jobs and 10 senior executive positions (Arndt, 2012, May 22).  </w:t>
      </w:r>
    </w:p>
    <w:p w14:paraId="2C0E4781" w14:textId="5B1F78EB" w:rsidR="00D868A7" w:rsidRPr="00D720DA" w:rsidRDefault="00995E72" w:rsidP="00C8424F">
      <w:pPr>
        <w:pStyle w:val="indentpara"/>
        <w:ind w:firstLine="0"/>
        <w:rPr>
          <w:rFonts w:ascii="Arial" w:hAnsi="Arial" w:cs="Arial"/>
        </w:rPr>
      </w:pPr>
      <w:r w:rsidRPr="00D720DA">
        <w:rPr>
          <w:rFonts w:ascii="Arial" w:hAnsi="Arial" w:cs="Arial"/>
        </w:rPr>
        <w:t>Prior to</w:t>
      </w:r>
      <w:r w:rsidR="00D868A7" w:rsidRPr="00D720DA">
        <w:rPr>
          <w:rFonts w:ascii="Arial" w:hAnsi="Arial" w:cs="Arial"/>
        </w:rPr>
        <w:t xml:space="preserve"> </w:t>
      </w:r>
      <w:r w:rsidRPr="00D720DA">
        <w:rPr>
          <w:rFonts w:ascii="Arial" w:hAnsi="Arial" w:cs="Arial"/>
        </w:rPr>
        <w:t xml:space="preserve">announcing </w:t>
      </w:r>
      <w:r w:rsidR="00D868A7" w:rsidRPr="00D720DA">
        <w:rPr>
          <w:rFonts w:ascii="Arial" w:hAnsi="Arial" w:cs="Arial"/>
        </w:rPr>
        <w:t xml:space="preserve">the 2014 election date, Premier Giddings sacked the two Greens ministers, pledging that </w:t>
      </w:r>
      <w:proofErr w:type="spellStart"/>
      <w:r w:rsidR="00D868A7" w:rsidRPr="00D720DA">
        <w:rPr>
          <w:rFonts w:ascii="Arial" w:hAnsi="Arial" w:cs="Arial"/>
        </w:rPr>
        <w:t>Labor</w:t>
      </w:r>
      <w:proofErr w:type="spellEnd"/>
      <w:r w:rsidR="00D868A7" w:rsidRPr="00D720DA">
        <w:rPr>
          <w:rFonts w:ascii="Arial" w:hAnsi="Arial" w:cs="Arial"/>
        </w:rPr>
        <w:t xml:space="preserve"> would never again allow the Greens into Cabinet (Crowley, 2014, Jan 21).</w:t>
      </w:r>
    </w:p>
    <w:p w14:paraId="5816217E" w14:textId="77777777" w:rsidR="00A3712F" w:rsidRPr="00D720DA" w:rsidRDefault="00A3712F" w:rsidP="00A3712F">
      <w:pPr>
        <w:pStyle w:val="Heading2"/>
        <w:rPr>
          <w:rFonts w:ascii="Arial" w:hAnsi="Arial" w:cs="Arial"/>
        </w:rPr>
      </w:pPr>
      <w:bookmarkStart w:id="9" w:name="_Toc77356792"/>
      <w:r w:rsidRPr="00D720DA">
        <w:rPr>
          <w:rFonts w:ascii="Arial" w:hAnsi="Arial" w:cs="Arial"/>
          <w:u w:val="none"/>
        </w:rPr>
        <w:t>Current government</w:t>
      </w:r>
      <w:bookmarkEnd w:id="9"/>
    </w:p>
    <w:p w14:paraId="1736B260" w14:textId="0D842A6D" w:rsidR="000F4F3C" w:rsidRPr="00D720DA" w:rsidRDefault="00A3712F" w:rsidP="00A6753D">
      <w:pPr>
        <w:pStyle w:val="indentpara"/>
        <w:ind w:firstLine="0"/>
        <w:rPr>
          <w:rFonts w:ascii="Arial" w:hAnsi="Arial" w:cs="Arial"/>
          <w:lang w:val="en-US"/>
        </w:rPr>
      </w:pPr>
      <w:r w:rsidRPr="00D720DA">
        <w:rPr>
          <w:rFonts w:ascii="Arial" w:hAnsi="Arial" w:cs="Arial"/>
        </w:rPr>
        <w:t xml:space="preserve">On winning government in 2014, the Liberals gained the </w:t>
      </w:r>
      <w:r w:rsidR="00C11DC2" w:rsidRPr="00D720DA">
        <w:rPr>
          <w:rFonts w:ascii="Arial" w:hAnsi="Arial" w:cs="Arial"/>
          <w:lang w:val="en-US"/>
        </w:rPr>
        <w:t>largest</w:t>
      </w:r>
      <w:r w:rsidRPr="00D720DA">
        <w:rPr>
          <w:rFonts w:ascii="Arial" w:hAnsi="Arial" w:cs="Arial"/>
          <w:lang w:val="en-US"/>
        </w:rPr>
        <w:t xml:space="preserve"> majority since the 25-</w:t>
      </w:r>
      <w:r w:rsidR="00C11DC2" w:rsidRPr="00D720DA">
        <w:rPr>
          <w:rFonts w:ascii="Arial" w:hAnsi="Arial" w:cs="Arial"/>
          <w:lang w:val="en-US"/>
        </w:rPr>
        <w:t>m</w:t>
      </w:r>
      <w:r w:rsidRPr="00D720DA">
        <w:rPr>
          <w:rFonts w:ascii="Arial" w:hAnsi="Arial" w:cs="Arial"/>
          <w:lang w:val="en-US"/>
        </w:rPr>
        <w:t xml:space="preserve">ember Parliament </w:t>
      </w:r>
      <w:r w:rsidR="00D2643C" w:rsidRPr="00D720DA">
        <w:rPr>
          <w:rFonts w:ascii="Arial" w:hAnsi="Arial" w:cs="Arial"/>
          <w:lang w:val="en-US"/>
        </w:rPr>
        <w:t xml:space="preserve">had been </w:t>
      </w:r>
      <w:r w:rsidRPr="00D720DA">
        <w:rPr>
          <w:rFonts w:ascii="Arial" w:hAnsi="Arial" w:cs="Arial"/>
          <w:lang w:val="en-US"/>
        </w:rPr>
        <w:t>established in 1998</w:t>
      </w:r>
      <w:r w:rsidR="00995E72" w:rsidRPr="00D720DA">
        <w:rPr>
          <w:rFonts w:ascii="Arial" w:hAnsi="Arial" w:cs="Arial"/>
          <w:lang w:val="en-US"/>
        </w:rPr>
        <w:t xml:space="preserve">. Will </w:t>
      </w:r>
      <w:r w:rsidRPr="00D720DA">
        <w:rPr>
          <w:rFonts w:ascii="Arial" w:hAnsi="Arial" w:cs="Arial"/>
          <w:lang w:val="en-US"/>
        </w:rPr>
        <w:t xml:space="preserve">Hodgman </w:t>
      </w:r>
      <w:r w:rsidR="00995E72" w:rsidRPr="00D720DA">
        <w:rPr>
          <w:rFonts w:ascii="Arial" w:hAnsi="Arial" w:cs="Arial"/>
          <w:lang w:val="en-US"/>
        </w:rPr>
        <w:t xml:space="preserve">became </w:t>
      </w:r>
      <w:r w:rsidRPr="00D720DA">
        <w:rPr>
          <w:rFonts w:ascii="Arial" w:hAnsi="Arial" w:cs="Arial"/>
          <w:lang w:val="en-US"/>
        </w:rPr>
        <w:t>only the fifth non-Labor Premier in 80 years (Howarth, 2020, Jan 14)</w:t>
      </w:r>
      <w:r w:rsidR="00995E72" w:rsidRPr="00D720DA">
        <w:rPr>
          <w:rFonts w:ascii="Arial" w:hAnsi="Arial" w:cs="Arial"/>
          <w:lang w:val="en-US"/>
        </w:rPr>
        <w:t>, but he was also</w:t>
      </w:r>
      <w:r w:rsidR="007F4FF5" w:rsidRPr="00D720DA">
        <w:rPr>
          <w:rFonts w:ascii="Arial" w:hAnsi="Arial" w:cs="Arial"/>
          <w:lang w:val="en-US"/>
        </w:rPr>
        <w:t xml:space="preserve"> the fifth Premier in </w:t>
      </w:r>
      <w:r w:rsidR="00995E72" w:rsidRPr="00D720DA">
        <w:rPr>
          <w:rFonts w:ascii="Arial" w:hAnsi="Arial" w:cs="Arial"/>
          <w:lang w:val="en-US"/>
        </w:rPr>
        <w:t xml:space="preserve">just </w:t>
      </w:r>
      <w:r w:rsidR="007F4FF5" w:rsidRPr="00D720DA">
        <w:rPr>
          <w:rFonts w:ascii="Arial" w:hAnsi="Arial" w:cs="Arial"/>
          <w:lang w:val="en-US"/>
        </w:rPr>
        <w:t>a decade</w:t>
      </w:r>
      <w:r w:rsidR="00995E72" w:rsidRPr="00D720DA">
        <w:rPr>
          <w:rFonts w:ascii="Arial" w:hAnsi="Arial" w:cs="Arial"/>
          <w:lang w:val="en-US"/>
        </w:rPr>
        <w:t>. H</w:t>
      </w:r>
      <w:r w:rsidR="001A06A5" w:rsidRPr="00D720DA">
        <w:rPr>
          <w:rFonts w:ascii="Arial" w:hAnsi="Arial" w:cs="Arial"/>
          <w:lang w:val="en-US"/>
        </w:rPr>
        <w:t xml:space="preserve">is </w:t>
      </w:r>
      <w:r w:rsidR="007F4FF5" w:rsidRPr="00D720DA">
        <w:rPr>
          <w:rFonts w:ascii="Arial" w:hAnsi="Arial" w:cs="Arial"/>
          <w:lang w:val="en-US"/>
        </w:rPr>
        <w:t xml:space="preserve">large </w:t>
      </w:r>
      <w:r w:rsidR="001A06A5" w:rsidRPr="00D720DA">
        <w:rPr>
          <w:rFonts w:ascii="Arial" w:hAnsi="Arial" w:cs="Arial"/>
          <w:lang w:val="en-US"/>
        </w:rPr>
        <w:t xml:space="preserve">parliamentary </w:t>
      </w:r>
      <w:r w:rsidR="007F4FF5" w:rsidRPr="00D720DA">
        <w:rPr>
          <w:rFonts w:ascii="Arial" w:hAnsi="Arial" w:cs="Arial"/>
          <w:lang w:val="en-US"/>
        </w:rPr>
        <w:t xml:space="preserve">majority offered </w:t>
      </w:r>
      <w:r w:rsidR="00995E72" w:rsidRPr="00D720DA">
        <w:rPr>
          <w:rFonts w:ascii="Arial" w:hAnsi="Arial" w:cs="Arial"/>
          <w:lang w:val="en-US"/>
        </w:rPr>
        <w:t xml:space="preserve">the prospect of </w:t>
      </w:r>
      <w:r w:rsidR="007F4FF5" w:rsidRPr="00D720DA">
        <w:rPr>
          <w:rFonts w:ascii="Arial" w:hAnsi="Arial" w:cs="Arial"/>
          <w:lang w:val="en-US"/>
        </w:rPr>
        <w:t xml:space="preserve">long-awaited political and parliamentary stability </w:t>
      </w:r>
      <w:r w:rsidR="00693D80" w:rsidRPr="00D720DA">
        <w:rPr>
          <w:rFonts w:ascii="Arial" w:hAnsi="Arial" w:cs="Arial"/>
          <w:lang w:val="en-US"/>
        </w:rPr>
        <w:t xml:space="preserve">in a state where hung parliaments </w:t>
      </w:r>
      <w:r w:rsidR="00D2643C" w:rsidRPr="00D720DA">
        <w:rPr>
          <w:rFonts w:ascii="Arial" w:hAnsi="Arial" w:cs="Arial"/>
          <w:lang w:val="en-US"/>
        </w:rPr>
        <w:t xml:space="preserve">had </w:t>
      </w:r>
      <w:r w:rsidR="00995E72" w:rsidRPr="00D720DA">
        <w:rPr>
          <w:rFonts w:ascii="Arial" w:hAnsi="Arial" w:cs="Arial"/>
          <w:lang w:val="en-US"/>
        </w:rPr>
        <w:t>recently occurred</w:t>
      </w:r>
      <w:r w:rsidR="00693D80" w:rsidRPr="00D720DA">
        <w:rPr>
          <w:rFonts w:ascii="Arial" w:hAnsi="Arial" w:cs="Arial"/>
          <w:lang w:val="en-US"/>
        </w:rPr>
        <w:t xml:space="preserve"> </w:t>
      </w:r>
      <w:r w:rsidR="007F4FF5" w:rsidRPr="00D720DA">
        <w:rPr>
          <w:rFonts w:ascii="Arial" w:hAnsi="Arial" w:cs="Arial"/>
          <w:lang w:val="en-US"/>
        </w:rPr>
        <w:t>(</w:t>
      </w:r>
      <w:proofErr w:type="spellStart"/>
      <w:r w:rsidR="007F4FF5" w:rsidRPr="00D720DA">
        <w:rPr>
          <w:rFonts w:ascii="Arial" w:hAnsi="Arial" w:cs="Arial"/>
          <w:lang w:val="en-US"/>
        </w:rPr>
        <w:t>Bolwell</w:t>
      </w:r>
      <w:proofErr w:type="spellEnd"/>
      <w:r w:rsidR="007F4FF5" w:rsidRPr="00D720DA">
        <w:rPr>
          <w:rFonts w:ascii="Arial" w:hAnsi="Arial" w:cs="Arial"/>
          <w:lang w:val="en-US"/>
        </w:rPr>
        <w:t>, et al., 2015</w:t>
      </w:r>
      <w:r w:rsidR="00693D80" w:rsidRPr="00D720DA">
        <w:rPr>
          <w:rFonts w:ascii="Arial" w:hAnsi="Arial" w:cs="Arial"/>
          <w:lang w:val="en-US"/>
        </w:rPr>
        <w:t>;</w:t>
      </w:r>
      <w:r w:rsidR="00693D80" w:rsidRPr="00D720DA">
        <w:rPr>
          <w:rFonts w:ascii="Arial" w:hAnsi="Arial" w:cs="Arial"/>
        </w:rPr>
        <w:t xml:space="preserve"> Lester et al., 2018</w:t>
      </w:r>
      <w:r w:rsidR="007F4FF5" w:rsidRPr="00D720DA">
        <w:rPr>
          <w:rFonts w:ascii="Arial" w:hAnsi="Arial" w:cs="Arial"/>
          <w:lang w:val="en-US"/>
        </w:rPr>
        <w:t>).</w:t>
      </w:r>
      <w:r w:rsidR="00693D80" w:rsidRPr="00D720DA">
        <w:rPr>
          <w:rFonts w:ascii="Arial" w:hAnsi="Arial" w:cs="Arial"/>
          <w:lang w:val="en-US"/>
        </w:rPr>
        <w:t xml:space="preserve"> </w:t>
      </w:r>
      <w:r w:rsidR="000F4F3C" w:rsidRPr="00D720DA">
        <w:rPr>
          <w:rFonts w:ascii="Arial" w:hAnsi="Arial" w:cs="Arial"/>
          <w:lang w:val="en-US"/>
        </w:rPr>
        <w:t>Several department heads were dis</w:t>
      </w:r>
      <w:r w:rsidR="00D2643C" w:rsidRPr="00D720DA">
        <w:rPr>
          <w:rFonts w:ascii="Arial" w:hAnsi="Arial" w:cs="Arial"/>
          <w:lang w:val="en-US"/>
        </w:rPr>
        <w:t>missed</w:t>
      </w:r>
      <w:r w:rsidR="000F4F3C" w:rsidRPr="00D720DA">
        <w:rPr>
          <w:rFonts w:ascii="Arial" w:hAnsi="Arial" w:cs="Arial"/>
          <w:lang w:val="en-US"/>
        </w:rPr>
        <w:t xml:space="preserve"> by the new Premier (AAP</w:t>
      </w:r>
      <w:r w:rsidR="00983DCF" w:rsidRPr="00D720DA">
        <w:rPr>
          <w:rFonts w:ascii="Arial" w:hAnsi="Arial" w:cs="Arial"/>
          <w:lang w:val="en-US"/>
        </w:rPr>
        <w:t xml:space="preserve">, </w:t>
      </w:r>
      <w:r w:rsidR="000F4F3C" w:rsidRPr="00D720DA">
        <w:rPr>
          <w:rFonts w:ascii="Arial" w:hAnsi="Arial" w:cs="Arial"/>
          <w:lang w:val="en-US"/>
        </w:rPr>
        <w:t xml:space="preserve">2020, Apr 2). </w:t>
      </w:r>
    </w:p>
    <w:p w14:paraId="67045721" w14:textId="7C55F15A" w:rsidR="00A3712F" w:rsidRPr="00D720DA" w:rsidRDefault="00A3712F" w:rsidP="00C8424F">
      <w:pPr>
        <w:pStyle w:val="indentpara"/>
        <w:ind w:firstLine="0"/>
        <w:rPr>
          <w:rFonts w:ascii="Arial" w:hAnsi="Arial" w:cs="Arial"/>
        </w:rPr>
      </w:pPr>
      <w:r w:rsidRPr="00D720DA">
        <w:rPr>
          <w:rFonts w:ascii="Arial" w:hAnsi="Arial" w:cs="Arial"/>
          <w:lang w:val="en-US"/>
        </w:rPr>
        <w:t xml:space="preserve">Soon after becoming </w:t>
      </w:r>
      <w:r w:rsidRPr="00D720DA">
        <w:rPr>
          <w:rFonts w:ascii="Arial" w:hAnsi="Arial" w:cs="Arial"/>
        </w:rPr>
        <w:t xml:space="preserve">Premier, Hodgman announced that the government needed to “save $50 million a year, either through temporary pay freezes or through reducing the size of the public sector” (CEDA, 2014). </w:t>
      </w:r>
      <w:r w:rsidR="00ED66C2" w:rsidRPr="00D720DA">
        <w:rPr>
          <w:rFonts w:ascii="Arial" w:hAnsi="Arial" w:cs="Arial"/>
        </w:rPr>
        <w:t>The new government set out to honour election commitments, including job cuts and public sector reform (</w:t>
      </w:r>
      <w:proofErr w:type="spellStart"/>
      <w:r w:rsidR="00ED66C2" w:rsidRPr="00D720DA">
        <w:rPr>
          <w:rFonts w:ascii="Arial" w:hAnsi="Arial" w:cs="Arial"/>
        </w:rPr>
        <w:t>Bolwell</w:t>
      </w:r>
      <w:proofErr w:type="spellEnd"/>
      <w:r w:rsidR="00ED66C2" w:rsidRPr="00D720DA">
        <w:rPr>
          <w:rFonts w:ascii="Arial" w:hAnsi="Arial" w:cs="Arial"/>
        </w:rPr>
        <w:t xml:space="preserve"> et al., 2015).</w:t>
      </w:r>
      <w:r w:rsidR="006C0FBB" w:rsidRPr="00D720DA">
        <w:rPr>
          <w:rFonts w:ascii="Arial" w:hAnsi="Arial" w:cs="Arial"/>
        </w:rPr>
        <w:t xml:space="preserve"> </w:t>
      </w:r>
      <w:r w:rsidR="00330900" w:rsidRPr="00D720DA">
        <w:rPr>
          <w:rFonts w:ascii="Arial" w:hAnsi="Arial" w:cs="Arial"/>
        </w:rPr>
        <w:t xml:space="preserve">A one-year pay freeze and 700 job cuts were included in the government’s first Budget (Donaldson, 2014, Aug 29). </w:t>
      </w:r>
      <w:r w:rsidRPr="00D720DA">
        <w:rPr>
          <w:rFonts w:ascii="Arial" w:hAnsi="Arial" w:cs="Arial"/>
        </w:rPr>
        <w:t>Cuts of 861 FTE state service positions were announced by then</w:t>
      </w:r>
      <w:r w:rsidR="00181DA3" w:rsidRPr="00D720DA">
        <w:rPr>
          <w:rFonts w:ascii="Arial" w:hAnsi="Arial" w:cs="Arial"/>
        </w:rPr>
        <w:t>-</w:t>
      </w:r>
      <w:r w:rsidRPr="00D720DA">
        <w:rPr>
          <w:rFonts w:ascii="Arial" w:hAnsi="Arial" w:cs="Arial"/>
        </w:rPr>
        <w:t xml:space="preserve">Treasurer Peter </w:t>
      </w:r>
      <w:proofErr w:type="spellStart"/>
      <w:r w:rsidRPr="00D720DA">
        <w:rPr>
          <w:rFonts w:ascii="Arial" w:hAnsi="Arial" w:cs="Arial"/>
        </w:rPr>
        <w:t>Gutwein</w:t>
      </w:r>
      <w:proofErr w:type="spellEnd"/>
      <w:r w:rsidRPr="00D720DA">
        <w:rPr>
          <w:rFonts w:ascii="Arial" w:hAnsi="Arial" w:cs="Arial"/>
        </w:rPr>
        <w:t xml:space="preserve"> in October 2014, with the largest cuts to the Department of State Growth – created from </w:t>
      </w:r>
      <w:r w:rsidR="001A06A5" w:rsidRPr="00D720DA">
        <w:rPr>
          <w:rFonts w:ascii="Arial" w:hAnsi="Arial" w:cs="Arial"/>
        </w:rPr>
        <w:t xml:space="preserve">the promised </w:t>
      </w:r>
      <w:r w:rsidRPr="00D720DA">
        <w:rPr>
          <w:rFonts w:ascii="Arial" w:hAnsi="Arial" w:cs="Arial"/>
        </w:rPr>
        <w:t>merger of the former Departments of Infrastructure, Energy and Resources, and Economic Development – and</w:t>
      </w:r>
      <w:r w:rsidR="001A06A5" w:rsidRPr="00D720DA">
        <w:rPr>
          <w:rFonts w:ascii="Arial" w:hAnsi="Arial" w:cs="Arial"/>
        </w:rPr>
        <w:t xml:space="preserve"> to the Department of</w:t>
      </w:r>
      <w:r w:rsidRPr="00D720DA">
        <w:rPr>
          <w:rFonts w:ascii="Arial" w:hAnsi="Arial" w:cs="Arial"/>
        </w:rPr>
        <w:t xml:space="preserve"> Education (Donaldson, 2014, Oct 28). A proposal by the CPSU for a six-month pay freeze in lieu of the cuts was rejected by the government as insufficient to address the budget shortfall (</w:t>
      </w:r>
      <w:proofErr w:type="spellStart"/>
      <w:r w:rsidRPr="00D720DA">
        <w:rPr>
          <w:rFonts w:ascii="Arial" w:hAnsi="Arial" w:cs="Arial"/>
        </w:rPr>
        <w:t>Gutwein</w:t>
      </w:r>
      <w:proofErr w:type="spellEnd"/>
      <w:r w:rsidRPr="00D720DA">
        <w:rPr>
          <w:rFonts w:ascii="Arial" w:hAnsi="Arial" w:cs="Arial"/>
        </w:rPr>
        <w:t>, 2014).</w:t>
      </w:r>
    </w:p>
    <w:p w14:paraId="3C7DCE44" w14:textId="59D7CF89" w:rsidR="00A6753D" w:rsidRPr="00D720DA" w:rsidRDefault="00A6753D" w:rsidP="00C8424F">
      <w:pPr>
        <w:pStyle w:val="indentpara"/>
        <w:ind w:firstLine="0"/>
        <w:rPr>
          <w:rFonts w:ascii="Arial" w:hAnsi="Arial" w:cs="Arial"/>
        </w:rPr>
      </w:pPr>
      <w:r w:rsidRPr="00D720DA">
        <w:rPr>
          <w:rFonts w:ascii="Arial" w:hAnsi="Arial" w:cs="Arial"/>
        </w:rPr>
        <w:lastRenderedPageBreak/>
        <w:t>The Hodgman Government had set a target of reducing State Service jobs by 1200</w:t>
      </w:r>
      <w:r w:rsidR="001A06A5" w:rsidRPr="00D720DA">
        <w:rPr>
          <w:rFonts w:ascii="Arial" w:hAnsi="Arial" w:cs="Arial"/>
        </w:rPr>
        <w:t xml:space="preserve"> FTE</w:t>
      </w:r>
      <w:r w:rsidRPr="00D720DA">
        <w:rPr>
          <w:rFonts w:ascii="Arial" w:hAnsi="Arial" w:cs="Arial"/>
        </w:rPr>
        <w:t xml:space="preserve"> in its first term, with the 2014–15 target exceeded by almost 100. </w:t>
      </w:r>
      <w:r w:rsidR="00A50019" w:rsidRPr="00D720DA">
        <w:rPr>
          <w:rFonts w:ascii="Arial" w:hAnsi="Arial" w:cs="Arial"/>
        </w:rPr>
        <w:t xml:space="preserve">Ostensibly this was about reducing costs rather than cutting jobs, by substituting lower cost staff. </w:t>
      </w:r>
      <w:r w:rsidR="001A06A5" w:rsidRPr="00D720DA">
        <w:rPr>
          <w:rFonts w:ascii="Arial" w:hAnsi="Arial" w:cs="Arial"/>
        </w:rPr>
        <w:t>The staff cuts were</w:t>
      </w:r>
      <w:r w:rsidR="009737CB" w:rsidRPr="00D720DA">
        <w:rPr>
          <w:rFonts w:ascii="Arial" w:hAnsi="Arial" w:cs="Arial"/>
        </w:rPr>
        <w:t xml:space="preserve"> </w:t>
      </w:r>
      <w:r w:rsidRPr="00D720DA">
        <w:rPr>
          <w:rFonts w:ascii="Arial" w:hAnsi="Arial" w:cs="Arial"/>
        </w:rPr>
        <w:t xml:space="preserve">achieved through </w:t>
      </w:r>
      <w:r w:rsidR="00447F33" w:rsidRPr="00D720DA">
        <w:rPr>
          <w:rFonts w:ascii="Arial" w:hAnsi="Arial" w:cs="Arial"/>
        </w:rPr>
        <w:t xml:space="preserve">a combination of </w:t>
      </w:r>
      <w:r w:rsidR="00B017EF" w:rsidRPr="00D720DA">
        <w:rPr>
          <w:rFonts w:ascii="Arial" w:hAnsi="Arial" w:cs="Arial"/>
        </w:rPr>
        <w:t xml:space="preserve">natural attrition, non-renewal of contracts and </w:t>
      </w:r>
      <w:r w:rsidRPr="00D720DA">
        <w:rPr>
          <w:rFonts w:ascii="Arial" w:hAnsi="Arial" w:cs="Arial"/>
        </w:rPr>
        <w:t>voluntary redundancies</w:t>
      </w:r>
      <w:r w:rsidR="0063125D" w:rsidRPr="00D720DA">
        <w:rPr>
          <w:rFonts w:ascii="Arial" w:hAnsi="Arial" w:cs="Arial"/>
        </w:rPr>
        <w:t xml:space="preserve"> </w:t>
      </w:r>
      <w:r w:rsidR="00447F33" w:rsidRPr="00D720DA">
        <w:rPr>
          <w:rFonts w:ascii="Arial" w:hAnsi="Arial" w:cs="Arial"/>
        </w:rPr>
        <w:t>– with the latter</w:t>
      </w:r>
      <w:r w:rsidRPr="00D720DA">
        <w:rPr>
          <w:rFonts w:ascii="Arial" w:hAnsi="Arial" w:cs="Arial"/>
        </w:rPr>
        <w:t xml:space="preserve"> cost</w:t>
      </w:r>
      <w:r w:rsidR="00447F33" w:rsidRPr="00D720DA">
        <w:rPr>
          <w:rFonts w:ascii="Arial" w:hAnsi="Arial" w:cs="Arial"/>
        </w:rPr>
        <w:t>ing</w:t>
      </w:r>
      <w:r w:rsidRPr="00D720DA">
        <w:rPr>
          <w:rFonts w:ascii="Arial" w:hAnsi="Arial" w:cs="Arial"/>
        </w:rPr>
        <w:t xml:space="preserve"> $14 million in “workforce renewal” incentive payments and $18.5 million in redundancy packages </w:t>
      </w:r>
      <w:r w:rsidR="00B017EF" w:rsidRPr="00D720DA">
        <w:rPr>
          <w:rFonts w:ascii="Arial" w:hAnsi="Arial" w:cs="Arial"/>
        </w:rPr>
        <w:t>(Easton, 2015, Aug 18).</w:t>
      </w:r>
    </w:p>
    <w:p w14:paraId="675A89DF" w14:textId="1DD3F024" w:rsidR="004601F5" w:rsidRPr="00D720DA" w:rsidRDefault="00693D80" w:rsidP="00C8424F">
      <w:pPr>
        <w:pStyle w:val="indentpara"/>
        <w:ind w:firstLine="0"/>
        <w:rPr>
          <w:rFonts w:ascii="Arial" w:hAnsi="Arial" w:cs="Arial"/>
        </w:rPr>
      </w:pPr>
      <w:r w:rsidRPr="00D720DA">
        <w:rPr>
          <w:rFonts w:ascii="Arial" w:hAnsi="Arial" w:cs="Arial"/>
        </w:rPr>
        <w:t>Ahead of the 2018 Tasmanian House of Assembly election, both major parties ruled out a coalition with the Greens (Lester et al., 2018</w:t>
      </w:r>
      <w:r w:rsidRPr="00D720DA">
        <w:rPr>
          <w:rFonts w:ascii="Arial" w:hAnsi="Arial" w:cs="Arial"/>
          <w:lang w:val="en-US"/>
        </w:rPr>
        <w:t xml:space="preserve">). After four years of strong economic growth, the </w:t>
      </w:r>
      <w:r w:rsidR="004601F5" w:rsidRPr="00D720DA">
        <w:rPr>
          <w:rFonts w:ascii="Arial" w:hAnsi="Arial" w:cs="Arial"/>
        </w:rPr>
        <w:t>Hodgman Government won a second term at the 2018 election</w:t>
      </w:r>
      <w:r w:rsidR="0042692E" w:rsidRPr="00D720DA">
        <w:rPr>
          <w:rFonts w:ascii="Arial" w:hAnsi="Arial" w:cs="Arial"/>
        </w:rPr>
        <w:t xml:space="preserve">, albeit with a reduced majority (Lester &amp; </w:t>
      </w:r>
      <w:proofErr w:type="spellStart"/>
      <w:r w:rsidR="0042692E" w:rsidRPr="00D720DA">
        <w:rPr>
          <w:rFonts w:ascii="Arial" w:hAnsi="Arial" w:cs="Arial"/>
        </w:rPr>
        <w:t>Bolwell</w:t>
      </w:r>
      <w:proofErr w:type="spellEnd"/>
      <w:r w:rsidR="0042692E" w:rsidRPr="00D720DA">
        <w:rPr>
          <w:rFonts w:ascii="Arial" w:hAnsi="Arial" w:cs="Arial"/>
        </w:rPr>
        <w:t>, 2018)</w:t>
      </w:r>
      <w:r w:rsidRPr="00D720DA">
        <w:rPr>
          <w:rFonts w:ascii="Arial" w:hAnsi="Arial" w:cs="Arial"/>
        </w:rPr>
        <w:t>.</w:t>
      </w:r>
      <w:r w:rsidR="00014193" w:rsidRPr="00D720DA">
        <w:rPr>
          <w:rFonts w:ascii="Arial" w:hAnsi="Arial" w:cs="Arial"/>
        </w:rPr>
        <w:t xml:space="preserve"> The outcome saw a decline of Greens </w:t>
      </w:r>
      <w:r w:rsidR="00EC097E" w:rsidRPr="00D720DA">
        <w:rPr>
          <w:rFonts w:ascii="Arial" w:hAnsi="Arial" w:cs="Arial"/>
        </w:rPr>
        <w:t>representation</w:t>
      </w:r>
      <w:r w:rsidR="00014193" w:rsidRPr="00D720DA">
        <w:rPr>
          <w:rFonts w:ascii="Arial" w:hAnsi="Arial" w:cs="Arial"/>
        </w:rPr>
        <w:t xml:space="preserve"> (winning</w:t>
      </w:r>
      <w:r w:rsidR="00EC097E" w:rsidRPr="00D720DA">
        <w:rPr>
          <w:rFonts w:ascii="Arial" w:hAnsi="Arial" w:cs="Arial"/>
        </w:rPr>
        <w:t xml:space="preserve"> only</w:t>
      </w:r>
      <w:r w:rsidR="00014193" w:rsidRPr="00D720DA">
        <w:rPr>
          <w:rFonts w:ascii="Arial" w:hAnsi="Arial" w:cs="Arial"/>
        </w:rPr>
        <w:t xml:space="preserve"> two seats) and </w:t>
      </w:r>
      <w:proofErr w:type="gramStart"/>
      <w:r w:rsidR="00014193" w:rsidRPr="00D720DA">
        <w:rPr>
          <w:rFonts w:ascii="Arial" w:hAnsi="Arial" w:cs="Arial"/>
        </w:rPr>
        <w:t>a majority of</w:t>
      </w:r>
      <w:proofErr w:type="gramEnd"/>
      <w:r w:rsidR="00014193" w:rsidRPr="00D720DA">
        <w:rPr>
          <w:rFonts w:ascii="Arial" w:hAnsi="Arial" w:cs="Arial"/>
        </w:rPr>
        <w:t xml:space="preserve"> women </w:t>
      </w:r>
      <w:r w:rsidR="00B365FF" w:rsidRPr="00D720DA">
        <w:rPr>
          <w:rFonts w:ascii="Arial" w:hAnsi="Arial" w:cs="Arial"/>
        </w:rPr>
        <w:t xml:space="preserve">MPs </w:t>
      </w:r>
      <w:r w:rsidR="00014193" w:rsidRPr="00D720DA">
        <w:rPr>
          <w:rFonts w:ascii="Arial" w:hAnsi="Arial" w:cs="Arial"/>
        </w:rPr>
        <w:t xml:space="preserve">in the lower house for the first time (Lester &amp; </w:t>
      </w:r>
      <w:proofErr w:type="spellStart"/>
      <w:r w:rsidR="00014193" w:rsidRPr="00D720DA">
        <w:rPr>
          <w:rFonts w:ascii="Arial" w:hAnsi="Arial" w:cs="Arial"/>
        </w:rPr>
        <w:t>Bolwell</w:t>
      </w:r>
      <w:proofErr w:type="spellEnd"/>
      <w:r w:rsidR="00014193" w:rsidRPr="00D720DA">
        <w:rPr>
          <w:rFonts w:ascii="Arial" w:hAnsi="Arial" w:cs="Arial"/>
        </w:rPr>
        <w:t>, 2018). One of the challenges for the returned government was honouring some 200 unpublished election commitments made directly to Tasmanian interest groups</w:t>
      </w:r>
      <w:r w:rsidR="00695414" w:rsidRPr="00D720DA">
        <w:rPr>
          <w:rFonts w:ascii="Arial" w:hAnsi="Arial" w:cs="Arial"/>
        </w:rPr>
        <w:t xml:space="preserve">, </w:t>
      </w:r>
      <w:r w:rsidR="00F06202" w:rsidRPr="00D720DA">
        <w:rPr>
          <w:rFonts w:ascii="Arial" w:hAnsi="Arial" w:cs="Arial"/>
        </w:rPr>
        <w:t xml:space="preserve">but </w:t>
      </w:r>
      <w:r w:rsidR="00695414" w:rsidRPr="00D720DA">
        <w:rPr>
          <w:rFonts w:ascii="Arial" w:hAnsi="Arial" w:cs="Arial"/>
        </w:rPr>
        <w:t>without a mandate from the electorate</w:t>
      </w:r>
      <w:r w:rsidR="00014193" w:rsidRPr="00D720DA">
        <w:rPr>
          <w:rFonts w:ascii="Arial" w:hAnsi="Arial" w:cs="Arial"/>
        </w:rPr>
        <w:t xml:space="preserve"> </w:t>
      </w:r>
      <w:r w:rsidR="00695414" w:rsidRPr="00D720DA">
        <w:rPr>
          <w:rFonts w:ascii="Arial" w:hAnsi="Arial" w:cs="Arial"/>
        </w:rPr>
        <w:t xml:space="preserve">(Lester &amp; Boswell, 2018). This led to calls for greater transparency and stronger rules to force political parties to publish </w:t>
      </w:r>
      <w:proofErr w:type="gramStart"/>
      <w:r w:rsidR="00695414" w:rsidRPr="00D720DA">
        <w:rPr>
          <w:rFonts w:ascii="Arial" w:hAnsi="Arial" w:cs="Arial"/>
        </w:rPr>
        <w:t>fully-costed</w:t>
      </w:r>
      <w:proofErr w:type="gramEnd"/>
      <w:r w:rsidR="00695414" w:rsidRPr="00D720DA">
        <w:rPr>
          <w:rFonts w:ascii="Arial" w:hAnsi="Arial" w:cs="Arial"/>
        </w:rPr>
        <w:t xml:space="preserve"> promises before polling day (Lester &amp; </w:t>
      </w:r>
      <w:proofErr w:type="spellStart"/>
      <w:r w:rsidR="00695414" w:rsidRPr="00D720DA">
        <w:rPr>
          <w:rFonts w:ascii="Arial" w:hAnsi="Arial" w:cs="Arial"/>
        </w:rPr>
        <w:t>Bolwell</w:t>
      </w:r>
      <w:proofErr w:type="spellEnd"/>
      <w:r w:rsidR="00695414" w:rsidRPr="00D720DA">
        <w:rPr>
          <w:rFonts w:ascii="Arial" w:hAnsi="Arial" w:cs="Arial"/>
        </w:rPr>
        <w:t xml:space="preserve">, 2018). </w:t>
      </w:r>
    </w:p>
    <w:p w14:paraId="583FEC9D" w14:textId="44907E85" w:rsidR="0063125D" w:rsidRPr="00D720DA" w:rsidRDefault="00295580" w:rsidP="00C8424F">
      <w:pPr>
        <w:pStyle w:val="indentpara"/>
        <w:ind w:firstLine="0"/>
        <w:rPr>
          <w:rFonts w:ascii="Arial" w:hAnsi="Arial" w:cs="Arial"/>
        </w:rPr>
      </w:pPr>
      <w:r w:rsidRPr="00D720DA">
        <w:rPr>
          <w:rFonts w:ascii="Arial" w:hAnsi="Arial" w:cs="Arial"/>
        </w:rPr>
        <w:t>The 2019</w:t>
      </w:r>
      <w:r w:rsidR="00181DA3" w:rsidRPr="00D720DA">
        <w:rPr>
          <w:rFonts w:ascii="Arial" w:hAnsi="Arial" w:cs="Arial"/>
        </w:rPr>
        <w:t>–</w:t>
      </w:r>
      <w:r w:rsidRPr="00D720DA">
        <w:rPr>
          <w:rFonts w:ascii="Arial" w:hAnsi="Arial" w:cs="Arial"/>
        </w:rPr>
        <w:t xml:space="preserve">20 State Budget </w:t>
      </w:r>
      <w:r w:rsidR="00F06202" w:rsidRPr="00D720DA">
        <w:rPr>
          <w:rFonts w:ascii="Arial" w:hAnsi="Arial" w:cs="Arial"/>
        </w:rPr>
        <w:t>includ</w:t>
      </w:r>
      <w:r w:rsidRPr="00D720DA">
        <w:rPr>
          <w:rFonts w:ascii="Arial" w:hAnsi="Arial" w:cs="Arial"/>
        </w:rPr>
        <w:t>ed further State Service cuts</w:t>
      </w:r>
      <w:r w:rsidR="00BD646E" w:rsidRPr="00D720DA">
        <w:rPr>
          <w:rFonts w:ascii="Arial" w:hAnsi="Arial" w:cs="Arial"/>
        </w:rPr>
        <w:t xml:space="preserve"> </w:t>
      </w:r>
      <w:r w:rsidRPr="00D720DA">
        <w:rPr>
          <w:rFonts w:ascii="Arial" w:hAnsi="Arial" w:cs="Arial"/>
        </w:rPr>
        <w:t xml:space="preserve">(Bailey, 2019, May 23; Easton, 2019, Mar 1). </w:t>
      </w:r>
      <w:r w:rsidR="00447F33" w:rsidRPr="00D720DA">
        <w:rPr>
          <w:rFonts w:ascii="Arial" w:hAnsi="Arial" w:cs="Arial"/>
        </w:rPr>
        <w:t>The</w:t>
      </w:r>
      <w:r w:rsidR="00FE19D9" w:rsidRPr="00D720DA">
        <w:rPr>
          <w:rFonts w:ascii="Arial" w:hAnsi="Arial" w:cs="Arial"/>
        </w:rPr>
        <w:t xml:space="preserve"> </w:t>
      </w:r>
      <w:r w:rsidR="00A6753D" w:rsidRPr="00D720DA">
        <w:rPr>
          <w:rFonts w:ascii="Arial" w:hAnsi="Arial" w:cs="Arial"/>
        </w:rPr>
        <w:t xml:space="preserve">Workforce Renewal Incentive Program </w:t>
      </w:r>
      <w:r w:rsidR="0019649C" w:rsidRPr="00D720DA">
        <w:rPr>
          <w:rFonts w:ascii="Arial" w:hAnsi="Arial" w:cs="Arial"/>
        </w:rPr>
        <w:t xml:space="preserve">(WRIP) </w:t>
      </w:r>
      <w:r w:rsidR="00A6753D" w:rsidRPr="00D720DA">
        <w:rPr>
          <w:rFonts w:ascii="Arial" w:hAnsi="Arial" w:cs="Arial"/>
        </w:rPr>
        <w:t>provide</w:t>
      </w:r>
      <w:r w:rsidRPr="00D720DA">
        <w:rPr>
          <w:rFonts w:ascii="Arial" w:hAnsi="Arial" w:cs="Arial"/>
        </w:rPr>
        <w:t>d</w:t>
      </w:r>
      <w:r w:rsidR="00A6753D" w:rsidRPr="00D720DA">
        <w:rPr>
          <w:rFonts w:ascii="Arial" w:hAnsi="Arial" w:cs="Arial"/>
        </w:rPr>
        <w:t xml:space="preserve"> incentive</w:t>
      </w:r>
      <w:r w:rsidR="00447F33" w:rsidRPr="00D720DA">
        <w:rPr>
          <w:rFonts w:ascii="Arial" w:hAnsi="Arial" w:cs="Arial"/>
        </w:rPr>
        <w:t>s</w:t>
      </w:r>
      <w:r w:rsidR="00A6753D" w:rsidRPr="00D720DA">
        <w:rPr>
          <w:rFonts w:ascii="Arial" w:hAnsi="Arial" w:cs="Arial"/>
        </w:rPr>
        <w:t xml:space="preserve"> </w:t>
      </w:r>
      <w:r w:rsidR="00447F33" w:rsidRPr="00D720DA">
        <w:rPr>
          <w:rFonts w:ascii="Arial" w:hAnsi="Arial" w:cs="Arial"/>
        </w:rPr>
        <w:t>for</w:t>
      </w:r>
      <w:r w:rsidR="00A6753D" w:rsidRPr="00D720DA">
        <w:rPr>
          <w:rFonts w:ascii="Arial" w:hAnsi="Arial" w:cs="Arial"/>
        </w:rPr>
        <w:t xml:space="preserve"> permanent employees to voluntarily </w:t>
      </w:r>
      <w:r w:rsidR="00FE19D9" w:rsidRPr="00D720DA">
        <w:rPr>
          <w:rFonts w:ascii="Arial" w:hAnsi="Arial" w:cs="Arial"/>
        </w:rPr>
        <w:t xml:space="preserve">leave the State Service with $1000 per continuous year of FTE employment, to a maximum of $30,000 </w:t>
      </w:r>
      <w:r w:rsidR="00A6753D" w:rsidRPr="00D720DA">
        <w:rPr>
          <w:rFonts w:ascii="Arial" w:hAnsi="Arial" w:cs="Arial"/>
        </w:rPr>
        <w:t xml:space="preserve">(DPAC, n.d.). </w:t>
      </w:r>
      <w:r w:rsidR="0063125D" w:rsidRPr="00D720DA">
        <w:rPr>
          <w:rFonts w:ascii="Arial" w:hAnsi="Arial" w:cs="Arial"/>
        </w:rPr>
        <w:t xml:space="preserve">The </w:t>
      </w:r>
      <w:r w:rsidR="00B365FF" w:rsidRPr="00D720DA">
        <w:rPr>
          <w:rFonts w:ascii="Arial" w:hAnsi="Arial" w:cs="Arial"/>
        </w:rPr>
        <w:t xml:space="preserve">stated </w:t>
      </w:r>
      <w:r w:rsidR="0063125D" w:rsidRPr="00D720DA">
        <w:rPr>
          <w:rFonts w:ascii="Arial" w:hAnsi="Arial" w:cs="Arial"/>
        </w:rPr>
        <w:t>purpose of the WRIP was not to reduce</w:t>
      </w:r>
      <w:r w:rsidR="00B365FF" w:rsidRPr="00D720DA">
        <w:rPr>
          <w:rFonts w:ascii="Arial" w:hAnsi="Arial" w:cs="Arial"/>
        </w:rPr>
        <w:t xml:space="preserve"> the number of</w:t>
      </w:r>
      <w:r w:rsidR="0063125D" w:rsidRPr="00D720DA">
        <w:rPr>
          <w:rFonts w:ascii="Arial" w:hAnsi="Arial" w:cs="Arial"/>
        </w:rPr>
        <w:t xml:space="preserve"> FTE positions, but to save money, e.g. by replacing those who left with lower-paid positions and younger workers. The SES </w:t>
      </w:r>
      <w:r w:rsidR="00B365FF" w:rsidRPr="00D720DA">
        <w:rPr>
          <w:rFonts w:ascii="Arial" w:hAnsi="Arial" w:cs="Arial"/>
        </w:rPr>
        <w:t xml:space="preserve">was </w:t>
      </w:r>
      <w:r w:rsidR="0063125D" w:rsidRPr="00D720DA">
        <w:rPr>
          <w:rFonts w:ascii="Arial" w:hAnsi="Arial" w:cs="Arial"/>
        </w:rPr>
        <w:t xml:space="preserve">not included in this program, which initially targeted the teaching sector. </w:t>
      </w:r>
    </w:p>
    <w:p w14:paraId="5E9217AA" w14:textId="18693631" w:rsidR="007F7D3C" w:rsidRPr="00D720DA" w:rsidRDefault="007F7D3C" w:rsidP="00C8424F">
      <w:pPr>
        <w:pStyle w:val="indentpara"/>
        <w:ind w:firstLine="0"/>
        <w:rPr>
          <w:rFonts w:ascii="Arial" w:hAnsi="Arial" w:cs="Arial"/>
        </w:rPr>
      </w:pPr>
      <w:r w:rsidRPr="00D720DA">
        <w:rPr>
          <w:rFonts w:ascii="Arial" w:hAnsi="Arial" w:cs="Arial"/>
        </w:rPr>
        <w:t xml:space="preserve">A Targeted and Negotiated Voluntary Redundancy program </w:t>
      </w:r>
      <w:r w:rsidR="00B365FF" w:rsidRPr="00D720DA">
        <w:rPr>
          <w:rFonts w:ascii="Arial" w:hAnsi="Arial" w:cs="Arial"/>
        </w:rPr>
        <w:t>was initiated</w:t>
      </w:r>
      <w:r w:rsidR="009737CB" w:rsidRPr="00D720DA">
        <w:rPr>
          <w:rFonts w:ascii="Arial" w:hAnsi="Arial" w:cs="Arial"/>
        </w:rPr>
        <w:t xml:space="preserve">, </w:t>
      </w:r>
      <w:r w:rsidR="00FE19D9" w:rsidRPr="00D720DA">
        <w:rPr>
          <w:rFonts w:ascii="Arial" w:hAnsi="Arial" w:cs="Arial"/>
        </w:rPr>
        <w:t xml:space="preserve">whereby </w:t>
      </w:r>
      <w:r w:rsidRPr="00D720DA">
        <w:rPr>
          <w:rFonts w:ascii="Arial" w:hAnsi="Arial" w:cs="Arial"/>
        </w:rPr>
        <w:t>Heads of Agencies offer</w:t>
      </w:r>
      <w:r w:rsidR="00B365FF" w:rsidRPr="00D720DA">
        <w:rPr>
          <w:rFonts w:ascii="Arial" w:hAnsi="Arial" w:cs="Arial"/>
        </w:rPr>
        <w:t>ed</w:t>
      </w:r>
      <w:r w:rsidRPr="00D720DA">
        <w:rPr>
          <w:rFonts w:ascii="Arial" w:hAnsi="Arial" w:cs="Arial"/>
        </w:rPr>
        <w:t xml:space="preserve"> expressions of interest </w:t>
      </w:r>
      <w:r w:rsidR="00B365FF" w:rsidRPr="00D720DA">
        <w:rPr>
          <w:rFonts w:ascii="Arial" w:hAnsi="Arial" w:cs="Arial"/>
        </w:rPr>
        <w:t xml:space="preserve">for employees </w:t>
      </w:r>
      <w:r w:rsidRPr="00D720DA">
        <w:rPr>
          <w:rFonts w:ascii="Arial" w:hAnsi="Arial" w:cs="Arial"/>
        </w:rPr>
        <w:t xml:space="preserve">to leave the workforce </w:t>
      </w:r>
      <w:r w:rsidR="00447F33" w:rsidRPr="00D720DA">
        <w:rPr>
          <w:rFonts w:ascii="Arial" w:hAnsi="Arial" w:cs="Arial"/>
        </w:rPr>
        <w:t>with</w:t>
      </w:r>
      <w:r w:rsidRPr="00D720DA">
        <w:rPr>
          <w:rFonts w:ascii="Arial" w:hAnsi="Arial" w:cs="Arial"/>
        </w:rPr>
        <w:t xml:space="preserve"> four weeks’ salary plus two weeks for each year of service </w:t>
      </w:r>
      <w:r w:rsidR="002D46CB" w:rsidRPr="00D720DA">
        <w:rPr>
          <w:rFonts w:ascii="Arial" w:hAnsi="Arial" w:cs="Arial"/>
        </w:rPr>
        <w:t xml:space="preserve">– </w:t>
      </w:r>
      <w:r w:rsidRPr="00D720DA">
        <w:rPr>
          <w:rFonts w:ascii="Arial" w:hAnsi="Arial" w:cs="Arial"/>
        </w:rPr>
        <w:t xml:space="preserve">to a maximum of 48 weeks’ pay. </w:t>
      </w:r>
      <w:r w:rsidR="007702E8" w:rsidRPr="00D720DA">
        <w:rPr>
          <w:rFonts w:ascii="Arial" w:hAnsi="Arial" w:cs="Arial"/>
        </w:rPr>
        <w:t>SES are not eligible to participate in this program.</w:t>
      </w:r>
    </w:p>
    <w:p w14:paraId="3F3C3FE2" w14:textId="1750B019" w:rsidR="009F39CE" w:rsidRPr="00D720DA" w:rsidRDefault="006C0FBB" w:rsidP="00C8424F">
      <w:pPr>
        <w:pStyle w:val="indentpara"/>
        <w:ind w:firstLine="0"/>
        <w:rPr>
          <w:rFonts w:ascii="Arial" w:hAnsi="Arial" w:cs="Arial"/>
        </w:rPr>
      </w:pPr>
      <w:r w:rsidRPr="00D720DA">
        <w:rPr>
          <w:rFonts w:ascii="Arial" w:hAnsi="Arial" w:cs="Arial"/>
        </w:rPr>
        <w:t xml:space="preserve">In August 2019, Premier Hodgman announced major changes </w:t>
      </w:r>
      <w:r w:rsidR="000B7127" w:rsidRPr="00D720DA">
        <w:rPr>
          <w:rFonts w:ascii="Arial" w:hAnsi="Arial" w:cs="Arial"/>
        </w:rPr>
        <w:t xml:space="preserve">to </w:t>
      </w:r>
      <w:r w:rsidRPr="00D720DA">
        <w:rPr>
          <w:rFonts w:ascii="Arial" w:hAnsi="Arial" w:cs="Arial"/>
        </w:rPr>
        <w:t xml:space="preserve">the Tasmanian bureaucracy, with the Secretaries of </w:t>
      </w:r>
      <w:r w:rsidR="00A47C00" w:rsidRPr="00D720DA">
        <w:rPr>
          <w:rFonts w:ascii="Arial" w:hAnsi="Arial" w:cs="Arial"/>
        </w:rPr>
        <w:t xml:space="preserve">Health, Justice and Communities changing places (Hodgman, 2019, Aug 21). The Premier said the purpose of the rearrangement was so these senior leaders could “apply their considerable skills and experience to </w:t>
      </w:r>
      <w:r w:rsidR="00B365FF" w:rsidRPr="00D720DA">
        <w:rPr>
          <w:rFonts w:ascii="Arial" w:hAnsi="Arial" w:cs="Arial"/>
        </w:rPr>
        <w:t xml:space="preserve">different </w:t>
      </w:r>
      <w:r w:rsidR="00A47C00" w:rsidRPr="00D720DA">
        <w:rPr>
          <w:rFonts w:ascii="Arial" w:hAnsi="Arial" w:cs="Arial"/>
        </w:rPr>
        <w:t xml:space="preserve">areas of community service delivery” (Hodgman, 2019, Aug 21). </w:t>
      </w:r>
      <w:r w:rsidR="009F39CE" w:rsidRPr="00D720DA">
        <w:rPr>
          <w:rFonts w:ascii="Arial" w:hAnsi="Arial" w:cs="Arial"/>
        </w:rPr>
        <w:t>By late 2019, for the first time in three decades, Tasmania had the fastest-growing economy in the nation, based on economic growth per person (</w:t>
      </w:r>
      <w:proofErr w:type="spellStart"/>
      <w:r w:rsidR="009F39CE" w:rsidRPr="00D720DA">
        <w:rPr>
          <w:rFonts w:ascii="Arial" w:hAnsi="Arial" w:cs="Arial"/>
        </w:rPr>
        <w:t>Gutw</w:t>
      </w:r>
      <w:r w:rsidRPr="00D720DA">
        <w:rPr>
          <w:rFonts w:ascii="Arial" w:hAnsi="Arial" w:cs="Arial"/>
        </w:rPr>
        <w:t>ei</w:t>
      </w:r>
      <w:r w:rsidR="009F39CE" w:rsidRPr="00D720DA">
        <w:rPr>
          <w:rFonts w:ascii="Arial" w:hAnsi="Arial" w:cs="Arial"/>
        </w:rPr>
        <w:t>n</w:t>
      </w:r>
      <w:proofErr w:type="spellEnd"/>
      <w:r w:rsidR="009F39CE" w:rsidRPr="00D720DA">
        <w:rPr>
          <w:rFonts w:ascii="Arial" w:hAnsi="Arial" w:cs="Arial"/>
        </w:rPr>
        <w:t>, 2019, Nov 19).</w:t>
      </w:r>
    </w:p>
    <w:p w14:paraId="7DA46803" w14:textId="40C3D2A4" w:rsidR="002A23EC" w:rsidRPr="00D720DA" w:rsidRDefault="002A23EC" w:rsidP="00C8424F">
      <w:pPr>
        <w:pStyle w:val="indentpara"/>
        <w:ind w:firstLine="0"/>
        <w:rPr>
          <w:rFonts w:ascii="Arial" w:hAnsi="Arial" w:cs="Arial"/>
        </w:rPr>
      </w:pPr>
      <w:r w:rsidRPr="00D720DA">
        <w:rPr>
          <w:rFonts w:ascii="Arial" w:hAnsi="Arial" w:cs="Arial"/>
        </w:rPr>
        <w:t xml:space="preserve">On 29 Jan 2020, Peter </w:t>
      </w:r>
      <w:proofErr w:type="spellStart"/>
      <w:r w:rsidRPr="00D720DA">
        <w:rPr>
          <w:rFonts w:ascii="Arial" w:hAnsi="Arial" w:cs="Arial"/>
        </w:rPr>
        <w:t>Gutwein</w:t>
      </w:r>
      <w:proofErr w:type="spellEnd"/>
      <w:r w:rsidRPr="00D720DA">
        <w:rPr>
          <w:rFonts w:ascii="Arial" w:hAnsi="Arial" w:cs="Arial"/>
        </w:rPr>
        <w:t xml:space="preserve"> took over as Premier following the sudden resignation of Will Hodgman. The </w:t>
      </w:r>
      <w:r w:rsidR="00F06202" w:rsidRPr="00D720DA">
        <w:rPr>
          <w:rFonts w:ascii="Arial" w:hAnsi="Arial" w:cs="Arial"/>
        </w:rPr>
        <w:t xml:space="preserve">new </w:t>
      </w:r>
      <w:r w:rsidRPr="00D720DA">
        <w:rPr>
          <w:rFonts w:ascii="Arial" w:hAnsi="Arial" w:cs="Arial"/>
        </w:rPr>
        <w:t xml:space="preserve">Premier also took on the role of Treasurer, Minister for Planning and Local Government, Minister for the Prevention of Family Violence, and Minister for Tourism. He </w:t>
      </w:r>
      <w:r w:rsidR="00B365FF" w:rsidRPr="00D720DA">
        <w:rPr>
          <w:rFonts w:ascii="Arial" w:hAnsi="Arial" w:cs="Arial"/>
        </w:rPr>
        <w:t>also became</w:t>
      </w:r>
      <w:r w:rsidRPr="00D720DA">
        <w:rPr>
          <w:rFonts w:ascii="Arial" w:hAnsi="Arial" w:cs="Arial"/>
        </w:rPr>
        <w:t xml:space="preserve"> the state’s first Liberal Minister for Climate Change (Blackwood, 2020, Jan 24). The Premier </w:t>
      </w:r>
      <w:r w:rsidR="00B365FF" w:rsidRPr="00D720DA">
        <w:rPr>
          <w:rFonts w:ascii="Arial" w:hAnsi="Arial" w:cs="Arial"/>
        </w:rPr>
        <w:t>and his government were returned</w:t>
      </w:r>
      <w:r w:rsidRPr="00D720DA">
        <w:rPr>
          <w:rFonts w:ascii="Arial" w:hAnsi="Arial" w:cs="Arial"/>
        </w:rPr>
        <w:t xml:space="preserve"> following the May 2021 state election. </w:t>
      </w:r>
    </w:p>
    <w:p w14:paraId="41804519" w14:textId="00DD6FCF" w:rsidR="008F6379" w:rsidRPr="00D720DA" w:rsidRDefault="008F6379" w:rsidP="008F6379">
      <w:pPr>
        <w:pStyle w:val="Heading2"/>
        <w:rPr>
          <w:rFonts w:ascii="Arial" w:hAnsi="Arial" w:cs="Arial"/>
          <w:u w:val="none"/>
        </w:rPr>
      </w:pPr>
      <w:bookmarkStart w:id="10" w:name="_Toc77356793"/>
      <w:r w:rsidRPr="00D720DA">
        <w:rPr>
          <w:rFonts w:ascii="Arial" w:hAnsi="Arial" w:cs="Arial"/>
          <w:u w:val="none"/>
        </w:rPr>
        <w:t>State Service Review</w:t>
      </w:r>
      <w:bookmarkEnd w:id="10"/>
    </w:p>
    <w:p w14:paraId="2427AC99" w14:textId="4D8FC701" w:rsidR="007F7D3C" w:rsidRPr="00D720DA" w:rsidRDefault="00AB4190" w:rsidP="00717EE7">
      <w:pPr>
        <w:rPr>
          <w:rFonts w:ascii="Arial" w:hAnsi="Arial" w:cs="Arial"/>
        </w:rPr>
      </w:pPr>
      <w:r w:rsidRPr="00D720DA">
        <w:rPr>
          <w:rFonts w:ascii="Arial" w:hAnsi="Arial" w:cs="Arial"/>
        </w:rPr>
        <w:t xml:space="preserve">Before his resignation in late </w:t>
      </w:r>
      <w:r w:rsidR="009F2130" w:rsidRPr="00D720DA">
        <w:rPr>
          <w:rFonts w:ascii="Arial" w:hAnsi="Arial" w:cs="Arial"/>
        </w:rPr>
        <w:t xml:space="preserve">2019, Premier Hodgman </w:t>
      </w:r>
      <w:r w:rsidRPr="00D720DA">
        <w:rPr>
          <w:rFonts w:ascii="Arial" w:hAnsi="Arial" w:cs="Arial"/>
        </w:rPr>
        <w:t xml:space="preserve">had </w:t>
      </w:r>
      <w:r w:rsidR="009F2130" w:rsidRPr="00D720DA">
        <w:rPr>
          <w:rFonts w:ascii="Arial" w:hAnsi="Arial" w:cs="Arial"/>
        </w:rPr>
        <w:t xml:space="preserve">announced a review of the State Service to be headed by </w:t>
      </w:r>
      <w:r w:rsidR="008F6379" w:rsidRPr="00D720DA">
        <w:rPr>
          <w:rFonts w:ascii="Arial" w:hAnsi="Arial" w:cs="Arial"/>
        </w:rPr>
        <w:t xml:space="preserve">Dr Ian Watt, former </w:t>
      </w:r>
      <w:r w:rsidR="00F06202" w:rsidRPr="00D720DA">
        <w:rPr>
          <w:rFonts w:ascii="Arial" w:hAnsi="Arial" w:cs="Arial"/>
        </w:rPr>
        <w:t xml:space="preserve">Commonwealth </w:t>
      </w:r>
      <w:r w:rsidR="008F6379" w:rsidRPr="00D720DA">
        <w:rPr>
          <w:rFonts w:ascii="Arial" w:hAnsi="Arial" w:cs="Arial"/>
        </w:rPr>
        <w:t xml:space="preserve">Secretary of Prime Minister and Cabinet. </w:t>
      </w:r>
      <w:r w:rsidR="006421FD" w:rsidRPr="00D720DA">
        <w:rPr>
          <w:rFonts w:ascii="Arial" w:hAnsi="Arial" w:cs="Arial"/>
        </w:rPr>
        <w:t xml:space="preserve">Terms of Reference were released in February 2020 by Premier </w:t>
      </w:r>
      <w:proofErr w:type="spellStart"/>
      <w:r w:rsidR="006421FD" w:rsidRPr="00D720DA">
        <w:rPr>
          <w:rFonts w:ascii="Arial" w:hAnsi="Arial" w:cs="Arial"/>
        </w:rPr>
        <w:t>Gutwein</w:t>
      </w:r>
      <w:proofErr w:type="spellEnd"/>
      <w:r w:rsidR="006421FD" w:rsidRPr="00D720DA">
        <w:rPr>
          <w:rFonts w:ascii="Arial" w:hAnsi="Arial" w:cs="Arial"/>
        </w:rPr>
        <w:t xml:space="preserve">, who said the review would “identify structural, operational, service, practice and legislative improvements to ensure the public service is in the best shape to deliver the services Tasmania needs” (quoted by </w:t>
      </w:r>
      <w:proofErr w:type="spellStart"/>
      <w:r w:rsidR="006421FD" w:rsidRPr="00D720DA">
        <w:rPr>
          <w:rFonts w:ascii="Arial" w:hAnsi="Arial" w:cs="Arial"/>
        </w:rPr>
        <w:t>Jarvie</w:t>
      </w:r>
      <w:proofErr w:type="spellEnd"/>
      <w:r w:rsidR="006421FD" w:rsidRPr="00D720DA">
        <w:rPr>
          <w:rFonts w:ascii="Arial" w:hAnsi="Arial" w:cs="Arial"/>
        </w:rPr>
        <w:t>, 20</w:t>
      </w:r>
      <w:r w:rsidR="008F6379" w:rsidRPr="00D720DA">
        <w:rPr>
          <w:rFonts w:ascii="Arial" w:hAnsi="Arial" w:cs="Arial"/>
        </w:rPr>
        <w:t>2</w:t>
      </w:r>
      <w:r w:rsidR="006421FD" w:rsidRPr="00D720DA">
        <w:rPr>
          <w:rFonts w:ascii="Arial" w:hAnsi="Arial" w:cs="Arial"/>
        </w:rPr>
        <w:t xml:space="preserve">0, Feb 24). </w:t>
      </w:r>
      <w:r w:rsidR="00F06202" w:rsidRPr="00D720DA">
        <w:rPr>
          <w:rFonts w:ascii="Arial" w:hAnsi="Arial" w:cs="Arial"/>
        </w:rPr>
        <w:t>The Premier</w:t>
      </w:r>
      <w:r w:rsidR="006421FD" w:rsidRPr="00D720DA">
        <w:rPr>
          <w:rFonts w:ascii="Arial" w:hAnsi="Arial" w:cs="Arial"/>
        </w:rPr>
        <w:t xml:space="preserve"> said he would not use the review to “as an opportunity to slash the public sector”.</w:t>
      </w:r>
      <w:r w:rsidR="00717EE7" w:rsidRPr="00D720DA">
        <w:rPr>
          <w:rFonts w:ascii="Arial" w:hAnsi="Arial" w:cs="Arial"/>
        </w:rPr>
        <w:t xml:space="preserve"> </w:t>
      </w:r>
    </w:p>
    <w:p w14:paraId="5B16F00A" w14:textId="5B6DE562" w:rsidR="002A23EC" w:rsidRPr="00D720DA" w:rsidRDefault="006421FD" w:rsidP="00C8424F">
      <w:pPr>
        <w:rPr>
          <w:rFonts w:ascii="Arial" w:hAnsi="Arial" w:cs="Arial"/>
        </w:rPr>
      </w:pPr>
      <w:r w:rsidRPr="00D720DA">
        <w:rPr>
          <w:rFonts w:ascii="Arial" w:hAnsi="Arial" w:cs="Arial"/>
        </w:rPr>
        <w:lastRenderedPageBreak/>
        <w:t xml:space="preserve">According to the Terms of Reference, the Review </w:t>
      </w:r>
      <w:r w:rsidR="005E37CF" w:rsidRPr="00D720DA">
        <w:rPr>
          <w:rFonts w:ascii="Arial" w:hAnsi="Arial" w:cs="Arial"/>
        </w:rPr>
        <w:t xml:space="preserve">would </w:t>
      </w:r>
      <w:r w:rsidRPr="00D720DA">
        <w:rPr>
          <w:rFonts w:ascii="Arial" w:hAnsi="Arial" w:cs="Arial"/>
        </w:rPr>
        <w:t>“focus primarily on the governing framework” of the Tasmanian State Service (DPAC, 2020</w:t>
      </w:r>
      <w:r w:rsidR="00E25C50" w:rsidRPr="00D720DA">
        <w:rPr>
          <w:rFonts w:ascii="Arial" w:hAnsi="Arial" w:cs="Arial"/>
        </w:rPr>
        <w:t>d</w:t>
      </w:r>
      <w:r w:rsidRPr="00D720DA">
        <w:rPr>
          <w:rFonts w:ascii="Arial" w:hAnsi="Arial" w:cs="Arial"/>
        </w:rPr>
        <w:t xml:space="preserve">, p. 1). While there </w:t>
      </w:r>
      <w:r w:rsidR="00E261CD" w:rsidRPr="00D720DA">
        <w:rPr>
          <w:rFonts w:ascii="Arial" w:hAnsi="Arial" w:cs="Arial"/>
        </w:rPr>
        <w:t xml:space="preserve">was </w:t>
      </w:r>
      <w:r w:rsidRPr="00D720DA">
        <w:rPr>
          <w:rFonts w:ascii="Arial" w:hAnsi="Arial" w:cs="Arial"/>
        </w:rPr>
        <w:t xml:space="preserve">no specific mention of executives, </w:t>
      </w:r>
      <w:r w:rsidR="008F6379" w:rsidRPr="00D720DA">
        <w:rPr>
          <w:rFonts w:ascii="Arial" w:hAnsi="Arial" w:cs="Arial"/>
        </w:rPr>
        <w:t>Foc</w:t>
      </w:r>
      <w:r w:rsidRPr="00D720DA">
        <w:rPr>
          <w:rFonts w:ascii="Arial" w:hAnsi="Arial" w:cs="Arial"/>
        </w:rPr>
        <w:t xml:space="preserve">us </w:t>
      </w:r>
      <w:r w:rsidR="008F6379" w:rsidRPr="00D720DA">
        <w:rPr>
          <w:rFonts w:ascii="Arial" w:hAnsi="Arial" w:cs="Arial"/>
        </w:rPr>
        <w:t>A</w:t>
      </w:r>
      <w:r w:rsidRPr="00D720DA">
        <w:rPr>
          <w:rFonts w:ascii="Arial" w:hAnsi="Arial" w:cs="Arial"/>
        </w:rPr>
        <w:t xml:space="preserve">rea 4 </w:t>
      </w:r>
      <w:r w:rsidR="00E261CD" w:rsidRPr="00D720DA">
        <w:rPr>
          <w:rFonts w:ascii="Arial" w:hAnsi="Arial" w:cs="Arial"/>
        </w:rPr>
        <w:t>was</w:t>
      </w:r>
      <w:r w:rsidRPr="00D720DA">
        <w:rPr>
          <w:rFonts w:ascii="Arial" w:hAnsi="Arial" w:cs="Arial"/>
        </w:rPr>
        <w:t xml:space="preserve"> about “Achieving greater economies and efficiencies in TSS administration including opportunities to streamline bureaucracy and services where suitable”.</w:t>
      </w:r>
      <w:r w:rsidR="00717EE7" w:rsidRPr="00D720DA">
        <w:rPr>
          <w:rFonts w:ascii="Arial" w:hAnsi="Arial" w:cs="Arial"/>
        </w:rPr>
        <w:t xml:space="preserve"> </w:t>
      </w:r>
      <w:r w:rsidRPr="00D720DA">
        <w:rPr>
          <w:rFonts w:ascii="Arial" w:hAnsi="Arial" w:cs="Arial"/>
        </w:rPr>
        <w:t xml:space="preserve">Dr Watt </w:t>
      </w:r>
      <w:r w:rsidR="00E261CD" w:rsidRPr="00D720DA">
        <w:rPr>
          <w:rFonts w:ascii="Arial" w:hAnsi="Arial" w:cs="Arial"/>
        </w:rPr>
        <w:t xml:space="preserve">was </w:t>
      </w:r>
      <w:r w:rsidRPr="00D720DA">
        <w:rPr>
          <w:rFonts w:ascii="Arial" w:hAnsi="Arial" w:cs="Arial"/>
        </w:rPr>
        <w:t xml:space="preserve">supported by advice from Heads of Agencies, </w:t>
      </w:r>
      <w:r w:rsidR="000E37BC" w:rsidRPr="00D720DA">
        <w:rPr>
          <w:rFonts w:ascii="Arial" w:hAnsi="Arial" w:cs="Arial"/>
        </w:rPr>
        <w:t xml:space="preserve">and </w:t>
      </w:r>
      <w:r w:rsidRPr="00D720DA">
        <w:rPr>
          <w:rFonts w:ascii="Arial" w:hAnsi="Arial" w:cs="Arial"/>
        </w:rPr>
        <w:t xml:space="preserve">a Reference Group </w:t>
      </w:r>
      <w:r w:rsidR="000E37BC" w:rsidRPr="00D720DA">
        <w:rPr>
          <w:rFonts w:ascii="Arial" w:hAnsi="Arial" w:cs="Arial"/>
        </w:rPr>
        <w:t xml:space="preserve">with </w:t>
      </w:r>
      <w:r w:rsidR="00F06202" w:rsidRPr="00D720DA">
        <w:rPr>
          <w:rFonts w:ascii="Arial" w:hAnsi="Arial" w:cs="Arial"/>
        </w:rPr>
        <w:t xml:space="preserve">broad </w:t>
      </w:r>
      <w:r w:rsidR="000E37BC" w:rsidRPr="00D720DA">
        <w:rPr>
          <w:rFonts w:ascii="Arial" w:hAnsi="Arial" w:cs="Arial"/>
        </w:rPr>
        <w:t>representation</w:t>
      </w:r>
      <w:r w:rsidRPr="00D720DA">
        <w:rPr>
          <w:rFonts w:ascii="Arial" w:hAnsi="Arial" w:cs="Arial"/>
        </w:rPr>
        <w:t xml:space="preserve"> (DPAC, 2020</w:t>
      </w:r>
      <w:r w:rsidR="00E25C50" w:rsidRPr="00D720DA">
        <w:rPr>
          <w:rFonts w:ascii="Arial" w:hAnsi="Arial" w:cs="Arial"/>
        </w:rPr>
        <w:t>d</w:t>
      </w:r>
      <w:r w:rsidRPr="00D720DA">
        <w:rPr>
          <w:rFonts w:ascii="Arial" w:hAnsi="Arial" w:cs="Arial"/>
        </w:rPr>
        <w:t xml:space="preserve">, p. 2). The final report </w:t>
      </w:r>
      <w:r w:rsidR="00E261CD" w:rsidRPr="00D720DA">
        <w:rPr>
          <w:rFonts w:ascii="Arial" w:hAnsi="Arial" w:cs="Arial"/>
        </w:rPr>
        <w:t xml:space="preserve">had been </w:t>
      </w:r>
      <w:r w:rsidRPr="00D720DA">
        <w:rPr>
          <w:rFonts w:ascii="Arial" w:hAnsi="Arial" w:cs="Arial"/>
        </w:rPr>
        <w:t>due by the end of 2020</w:t>
      </w:r>
      <w:r w:rsidR="00DF60FC" w:rsidRPr="00D720DA">
        <w:rPr>
          <w:rFonts w:ascii="Arial" w:hAnsi="Arial" w:cs="Arial"/>
        </w:rPr>
        <w:t xml:space="preserve">, but the review </w:t>
      </w:r>
      <w:r w:rsidR="002A23EC" w:rsidRPr="00D720DA">
        <w:rPr>
          <w:rFonts w:ascii="Arial" w:hAnsi="Arial" w:cs="Arial"/>
        </w:rPr>
        <w:t>was delayed due</w:t>
      </w:r>
      <w:r w:rsidR="00DF60FC" w:rsidRPr="00D720DA">
        <w:rPr>
          <w:rFonts w:ascii="Arial" w:hAnsi="Arial" w:cs="Arial"/>
        </w:rPr>
        <w:t xml:space="preserve"> to COVID-19</w:t>
      </w:r>
      <w:r w:rsidRPr="00D720DA">
        <w:rPr>
          <w:rFonts w:ascii="Arial" w:hAnsi="Arial" w:cs="Arial"/>
        </w:rPr>
        <w:t>.</w:t>
      </w:r>
      <w:r w:rsidR="00E261CD" w:rsidRPr="00D720DA">
        <w:rPr>
          <w:rFonts w:ascii="Arial" w:hAnsi="Arial" w:cs="Arial"/>
        </w:rPr>
        <w:t xml:space="preserve"> </w:t>
      </w:r>
      <w:r w:rsidR="002A23EC" w:rsidRPr="00D720DA">
        <w:rPr>
          <w:rFonts w:ascii="Arial" w:hAnsi="Arial" w:cs="Arial"/>
        </w:rPr>
        <w:t>The Interim Report, delivered to government in November 2020, recommended the development of a ‘One TSS’ concept to unite State Service employees and work more effectively for government and Tasmanians (Rec. 1) and a whole-of</w:t>
      </w:r>
      <w:r w:rsidR="00E261CD" w:rsidRPr="00D720DA">
        <w:rPr>
          <w:rFonts w:ascii="Arial" w:hAnsi="Arial" w:cs="Arial"/>
        </w:rPr>
        <w:t>-</w:t>
      </w:r>
      <w:r w:rsidR="002A23EC" w:rsidRPr="00D720DA">
        <w:rPr>
          <w:rFonts w:ascii="Arial" w:hAnsi="Arial" w:cs="Arial"/>
        </w:rPr>
        <w:t>TSS Workforce Plan (Rec. 2) (Watt, 2020).</w:t>
      </w:r>
    </w:p>
    <w:p w14:paraId="7D3A3D6B" w14:textId="1C7E7777" w:rsidR="002A23EC" w:rsidRPr="00D720DA" w:rsidRDefault="002A23EC" w:rsidP="00C8424F">
      <w:pPr>
        <w:pStyle w:val="indentpara"/>
        <w:ind w:firstLine="0"/>
        <w:rPr>
          <w:rFonts w:ascii="Arial" w:hAnsi="Arial" w:cs="Arial"/>
        </w:rPr>
      </w:pPr>
      <w:r w:rsidRPr="00D720DA">
        <w:rPr>
          <w:rFonts w:ascii="Arial" w:hAnsi="Arial" w:cs="Arial"/>
        </w:rPr>
        <w:t>In terms of the Tasmanian SES, Dr Watt</w:t>
      </w:r>
      <w:r w:rsidR="00F06202" w:rsidRPr="00D720DA">
        <w:rPr>
          <w:rFonts w:ascii="Arial" w:hAnsi="Arial" w:cs="Arial"/>
        </w:rPr>
        <w:t>’s interim report</w:t>
      </w:r>
      <w:r w:rsidRPr="00D720DA">
        <w:rPr>
          <w:rFonts w:ascii="Arial" w:hAnsi="Arial" w:cs="Arial"/>
        </w:rPr>
        <w:t xml:space="preserve"> made recommendations </w:t>
      </w:r>
      <w:r w:rsidR="00E261CD" w:rsidRPr="00D720DA">
        <w:rPr>
          <w:rFonts w:ascii="Arial" w:hAnsi="Arial" w:cs="Arial"/>
        </w:rPr>
        <w:t>concerning</w:t>
      </w:r>
      <w:r w:rsidRPr="00D720DA">
        <w:rPr>
          <w:rFonts w:ascii="Arial" w:hAnsi="Arial" w:cs="Arial"/>
        </w:rPr>
        <w:t xml:space="preserve"> performance agreements and assessments (Rec. 4) and the development of future executives through a service-</w:t>
      </w:r>
      <w:r w:rsidR="00E261CD" w:rsidRPr="00D720DA">
        <w:rPr>
          <w:rFonts w:ascii="Arial" w:hAnsi="Arial" w:cs="Arial"/>
        </w:rPr>
        <w:t>w</w:t>
      </w:r>
      <w:r w:rsidRPr="00D720DA">
        <w:rPr>
          <w:rFonts w:ascii="Arial" w:hAnsi="Arial" w:cs="Arial"/>
        </w:rPr>
        <w:t xml:space="preserve">ide talent development and management program (Rec. 7). The Review heard that current leadership development offerings </w:t>
      </w:r>
      <w:r w:rsidR="0022346E" w:rsidRPr="00D720DA">
        <w:rPr>
          <w:rFonts w:ascii="Arial" w:hAnsi="Arial" w:cs="Arial"/>
        </w:rPr>
        <w:t>were</w:t>
      </w:r>
      <w:r w:rsidRPr="00D720DA">
        <w:rPr>
          <w:rFonts w:ascii="Arial" w:hAnsi="Arial" w:cs="Arial"/>
        </w:rPr>
        <w:t xml:space="preserve"> “inadequate to meet the future development needs of the TSS” (Watt, 2020</w:t>
      </w:r>
      <w:r w:rsidR="00983DCF" w:rsidRPr="00D720DA">
        <w:rPr>
          <w:rFonts w:ascii="Arial" w:hAnsi="Arial" w:cs="Arial"/>
        </w:rPr>
        <w:t>, p.</w:t>
      </w:r>
      <w:r w:rsidRPr="00D720DA">
        <w:rPr>
          <w:rFonts w:ascii="Arial" w:hAnsi="Arial" w:cs="Arial"/>
        </w:rPr>
        <w:t xml:space="preserve"> 39). This was despite </w:t>
      </w:r>
      <w:r w:rsidR="00E261CD" w:rsidRPr="00D720DA">
        <w:rPr>
          <w:rFonts w:ascii="Arial" w:hAnsi="Arial" w:cs="Arial"/>
        </w:rPr>
        <w:t xml:space="preserve">the operation of </w:t>
      </w:r>
      <w:r w:rsidRPr="00D720DA">
        <w:rPr>
          <w:rFonts w:ascii="Arial" w:hAnsi="Arial" w:cs="Arial"/>
        </w:rPr>
        <w:t>an SES Leadership Development Program which included 29 SES officers from 10 agencies in 2019</w:t>
      </w:r>
      <w:r w:rsidR="00983DCF" w:rsidRPr="00D720DA">
        <w:rPr>
          <w:rFonts w:ascii="Arial" w:hAnsi="Arial" w:cs="Arial"/>
        </w:rPr>
        <w:t>–</w:t>
      </w:r>
      <w:r w:rsidRPr="00D720DA">
        <w:rPr>
          <w:rFonts w:ascii="Arial" w:hAnsi="Arial" w:cs="Arial"/>
        </w:rPr>
        <w:t>20 (SSMO, 2020</w:t>
      </w:r>
      <w:r w:rsidR="00983DCF" w:rsidRPr="00D720DA">
        <w:rPr>
          <w:rFonts w:ascii="Arial" w:hAnsi="Arial" w:cs="Arial"/>
        </w:rPr>
        <w:t>, p. 15</w:t>
      </w:r>
      <w:r w:rsidRPr="00D720DA">
        <w:rPr>
          <w:rFonts w:ascii="Arial" w:hAnsi="Arial" w:cs="Arial"/>
        </w:rPr>
        <w:t>).</w:t>
      </w:r>
    </w:p>
    <w:p w14:paraId="468EEC5B" w14:textId="447458E3" w:rsidR="0022346E" w:rsidRPr="00D720DA" w:rsidRDefault="0022346E" w:rsidP="00C8424F">
      <w:pPr>
        <w:pStyle w:val="indentpara"/>
        <w:ind w:firstLine="0"/>
        <w:rPr>
          <w:rFonts w:ascii="Arial" w:hAnsi="Arial" w:cs="Arial"/>
        </w:rPr>
      </w:pPr>
      <w:r w:rsidRPr="00D720DA">
        <w:rPr>
          <w:rFonts w:ascii="Arial" w:hAnsi="Arial" w:cs="Arial"/>
        </w:rPr>
        <w:t>Watt (2020</w:t>
      </w:r>
      <w:r w:rsidR="00983DCF" w:rsidRPr="00D720DA">
        <w:rPr>
          <w:rFonts w:ascii="Arial" w:hAnsi="Arial" w:cs="Arial"/>
        </w:rPr>
        <w:t>, p.</w:t>
      </w:r>
      <w:r w:rsidRPr="00D720DA">
        <w:rPr>
          <w:rFonts w:ascii="Arial" w:hAnsi="Arial" w:cs="Arial"/>
        </w:rPr>
        <w:t xml:space="preserve"> 39) argued that the ageing demographic of the SES highlighted the need for succession planning by “identifying and nurturing potential leaders” or “attracting and recruiting external employees” with a high potential for future leadership.</w:t>
      </w:r>
    </w:p>
    <w:p w14:paraId="3E533F43" w14:textId="6CC61CC2" w:rsidR="002A23EC" w:rsidRPr="00D720DA" w:rsidRDefault="002A23EC" w:rsidP="00C8424F">
      <w:pPr>
        <w:pStyle w:val="indentpara"/>
        <w:ind w:firstLine="0"/>
        <w:rPr>
          <w:rFonts w:ascii="Arial" w:hAnsi="Arial" w:cs="Arial"/>
        </w:rPr>
      </w:pPr>
      <w:r w:rsidRPr="00D720DA">
        <w:rPr>
          <w:rFonts w:ascii="Arial" w:hAnsi="Arial" w:cs="Arial"/>
        </w:rPr>
        <w:t>Regarding recruitment, the Review</w:t>
      </w:r>
      <w:r w:rsidR="00F06202" w:rsidRPr="00D720DA">
        <w:rPr>
          <w:rFonts w:ascii="Arial" w:hAnsi="Arial" w:cs="Arial"/>
        </w:rPr>
        <w:t xml:space="preserve"> stated that it</w:t>
      </w:r>
      <w:r w:rsidRPr="00D720DA">
        <w:rPr>
          <w:rFonts w:ascii="Arial" w:hAnsi="Arial" w:cs="Arial"/>
        </w:rPr>
        <w:t xml:space="preserve"> “strongly supports the merit principle”, but found recruitment processes had become “highly process-driven and excessively burdensome … undermining the core objective of efficiently finding the best person for the job”, </w:t>
      </w:r>
      <w:r w:rsidR="00F06202" w:rsidRPr="00D720DA">
        <w:rPr>
          <w:rFonts w:ascii="Arial" w:hAnsi="Arial" w:cs="Arial"/>
        </w:rPr>
        <w:t>and hence</w:t>
      </w:r>
      <w:r w:rsidRPr="00D720DA">
        <w:rPr>
          <w:rFonts w:ascii="Arial" w:hAnsi="Arial" w:cs="Arial"/>
        </w:rPr>
        <w:t xml:space="preserve"> the need for “more strategic recruitment practices” (Watt, 2020</w:t>
      </w:r>
      <w:r w:rsidR="00A054C1" w:rsidRPr="00D720DA">
        <w:rPr>
          <w:rFonts w:ascii="Arial" w:hAnsi="Arial" w:cs="Arial"/>
        </w:rPr>
        <w:t>, p.</w:t>
      </w:r>
      <w:r w:rsidRPr="00D720DA">
        <w:rPr>
          <w:rFonts w:ascii="Arial" w:hAnsi="Arial" w:cs="Arial"/>
        </w:rPr>
        <w:t xml:space="preserve"> 52). A Register for Retired TSS Senior Executive Officers and Managers </w:t>
      </w:r>
      <w:r w:rsidR="00F06202" w:rsidRPr="00D720DA">
        <w:rPr>
          <w:rFonts w:ascii="Arial" w:hAnsi="Arial" w:cs="Arial"/>
        </w:rPr>
        <w:t xml:space="preserve">would </w:t>
      </w:r>
      <w:r w:rsidRPr="00D720DA">
        <w:rPr>
          <w:rFonts w:ascii="Arial" w:hAnsi="Arial" w:cs="Arial"/>
        </w:rPr>
        <w:t>enable their short-term re-appointment for special projects (Watt, 2020</w:t>
      </w:r>
      <w:r w:rsidR="00A054C1" w:rsidRPr="00D720DA">
        <w:rPr>
          <w:rFonts w:ascii="Arial" w:hAnsi="Arial" w:cs="Arial"/>
        </w:rPr>
        <w:t>, p.</w:t>
      </w:r>
      <w:r w:rsidRPr="00D720DA">
        <w:rPr>
          <w:rFonts w:ascii="Arial" w:hAnsi="Arial" w:cs="Arial"/>
        </w:rPr>
        <w:t xml:space="preserve"> 51).</w:t>
      </w:r>
    </w:p>
    <w:p w14:paraId="3E000078" w14:textId="7BC8DFEF" w:rsidR="00A054C1" w:rsidRPr="00D720DA" w:rsidRDefault="00A054C1" w:rsidP="00C8424F">
      <w:pPr>
        <w:pStyle w:val="indentpara"/>
        <w:ind w:firstLine="0"/>
        <w:rPr>
          <w:rFonts w:ascii="Arial" w:hAnsi="Arial" w:cs="Arial"/>
        </w:rPr>
      </w:pPr>
      <w:r w:rsidRPr="00D720DA">
        <w:rPr>
          <w:rFonts w:ascii="Arial" w:hAnsi="Arial" w:cs="Arial"/>
        </w:rPr>
        <w:t xml:space="preserve">Dr Watt </w:t>
      </w:r>
      <w:r w:rsidR="00F06202" w:rsidRPr="00D720DA">
        <w:rPr>
          <w:rFonts w:ascii="Arial" w:hAnsi="Arial" w:cs="Arial"/>
        </w:rPr>
        <w:t>wa</w:t>
      </w:r>
      <w:r w:rsidRPr="00D720DA">
        <w:rPr>
          <w:rFonts w:ascii="Arial" w:hAnsi="Arial" w:cs="Arial"/>
        </w:rPr>
        <w:t>s supported by a Reference Group comprising members from the Chamber of Commerce and Industry, the Council of Social Services, the University of Tasmania, the CPSU and the private sector. The private sector representative, Helen Silver, was formerly Secretary of the Victorian Department of Premier and Cabinet.</w:t>
      </w:r>
    </w:p>
    <w:p w14:paraId="25246DEC" w14:textId="2BDFEFBE" w:rsidR="00687081" w:rsidRPr="00D720DA" w:rsidRDefault="005219DB" w:rsidP="00C8424F">
      <w:pPr>
        <w:pStyle w:val="indentpara"/>
        <w:ind w:firstLine="0"/>
        <w:rPr>
          <w:rFonts w:ascii="Arial" w:hAnsi="Arial" w:cs="Arial"/>
        </w:rPr>
      </w:pPr>
      <w:r w:rsidRPr="00D720DA">
        <w:rPr>
          <w:rFonts w:ascii="Arial" w:hAnsi="Arial" w:cs="Arial"/>
        </w:rPr>
        <w:t xml:space="preserve">The review was paused for seven months from March 2020 due to the COVID-19 pandemic, delaying the release of the Final Report (Watt, 2021a), which was presented to the Premier in July 2021 with 77 recommendations across five domains: </w:t>
      </w:r>
      <w:r w:rsidRPr="00D720DA">
        <w:rPr>
          <w:rFonts w:ascii="Arial" w:eastAsia="Times New Roman" w:hAnsi="Arial" w:cs="Arial"/>
          <w:lang w:eastAsia="en-AU"/>
        </w:rPr>
        <w:t>principles and values</w:t>
      </w:r>
      <w:r w:rsidR="00A2474B" w:rsidRPr="00D720DA">
        <w:rPr>
          <w:rFonts w:ascii="Arial" w:eastAsia="Times New Roman" w:hAnsi="Arial" w:cs="Arial"/>
          <w:lang w:eastAsia="en-AU"/>
        </w:rPr>
        <w:t xml:space="preserve">; </w:t>
      </w:r>
      <w:r w:rsidRPr="00D720DA">
        <w:rPr>
          <w:rFonts w:ascii="Arial" w:eastAsia="Times New Roman" w:hAnsi="Arial" w:cs="Arial"/>
          <w:lang w:eastAsia="en-AU"/>
        </w:rPr>
        <w:t>leadership</w:t>
      </w:r>
      <w:r w:rsidR="00A2474B" w:rsidRPr="00D720DA">
        <w:rPr>
          <w:rFonts w:ascii="Arial" w:eastAsia="Times New Roman" w:hAnsi="Arial" w:cs="Arial"/>
          <w:lang w:eastAsia="en-AU"/>
        </w:rPr>
        <w:t xml:space="preserve">; </w:t>
      </w:r>
      <w:r w:rsidRPr="00D720DA">
        <w:rPr>
          <w:rFonts w:ascii="Arial" w:eastAsia="Times New Roman" w:hAnsi="Arial" w:cs="Arial"/>
          <w:lang w:eastAsia="en-AU"/>
        </w:rPr>
        <w:t>capability</w:t>
      </w:r>
      <w:r w:rsidR="00A2474B" w:rsidRPr="00D720DA">
        <w:rPr>
          <w:rFonts w:ascii="Arial" w:eastAsia="Times New Roman" w:hAnsi="Arial" w:cs="Arial"/>
          <w:lang w:eastAsia="en-AU"/>
        </w:rPr>
        <w:t xml:space="preserve">; </w:t>
      </w:r>
      <w:r w:rsidRPr="00D720DA">
        <w:rPr>
          <w:rFonts w:ascii="Arial" w:eastAsia="Times New Roman" w:hAnsi="Arial" w:cs="Arial"/>
          <w:lang w:eastAsia="en-AU"/>
        </w:rPr>
        <w:t>workforce</w:t>
      </w:r>
      <w:r w:rsidR="00A2474B" w:rsidRPr="00D720DA">
        <w:rPr>
          <w:rFonts w:ascii="Arial" w:eastAsia="Times New Roman" w:hAnsi="Arial" w:cs="Arial"/>
          <w:lang w:eastAsia="en-AU"/>
        </w:rPr>
        <w:t xml:space="preserve">; and </w:t>
      </w:r>
      <w:r w:rsidRPr="00D720DA">
        <w:rPr>
          <w:rFonts w:ascii="Arial" w:eastAsia="Times New Roman" w:hAnsi="Arial" w:cs="Arial"/>
          <w:lang w:eastAsia="en-AU"/>
        </w:rPr>
        <w:t>service delivery</w:t>
      </w:r>
      <w:r w:rsidR="00F2639F" w:rsidRPr="00D720DA">
        <w:rPr>
          <w:rFonts w:ascii="Arial" w:eastAsia="Times New Roman" w:hAnsi="Arial" w:cs="Arial"/>
          <w:lang w:eastAsia="en-AU"/>
        </w:rPr>
        <w:t>. A Roadmap for Reform outline</w:t>
      </w:r>
      <w:r w:rsidR="00F06202" w:rsidRPr="00D720DA">
        <w:rPr>
          <w:rFonts w:ascii="Arial" w:eastAsia="Times New Roman" w:hAnsi="Arial" w:cs="Arial"/>
          <w:lang w:eastAsia="en-AU"/>
        </w:rPr>
        <w:t>d</w:t>
      </w:r>
      <w:r w:rsidR="00F2639F" w:rsidRPr="00D720DA">
        <w:rPr>
          <w:rFonts w:ascii="Arial" w:eastAsia="Times New Roman" w:hAnsi="Arial" w:cs="Arial"/>
          <w:lang w:eastAsia="en-AU"/>
        </w:rPr>
        <w:t xml:space="preserve"> a process for achieving the recommended goals under each of the domains.</w:t>
      </w:r>
      <w:r w:rsidR="00C35023" w:rsidRPr="00D720DA">
        <w:rPr>
          <w:rFonts w:ascii="Arial" w:eastAsia="Times New Roman" w:hAnsi="Arial" w:cs="Arial"/>
          <w:lang w:eastAsia="en-AU"/>
        </w:rPr>
        <w:t xml:space="preserve"> </w:t>
      </w:r>
      <w:r w:rsidR="00F2639F" w:rsidRPr="00D720DA">
        <w:rPr>
          <w:rFonts w:ascii="Arial" w:eastAsia="Times New Roman" w:hAnsi="Arial" w:cs="Arial"/>
          <w:lang w:eastAsia="en-AU"/>
        </w:rPr>
        <w:t xml:space="preserve">It </w:t>
      </w:r>
      <w:r w:rsidR="00F06202" w:rsidRPr="00D720DA">
        <w:rPr>
          <w:rFonts w:ascii="Arial" w:eastAsia="Times New Roman" w:hAnsi="Arial" w:cs="Arial"/>
          <w:lang w:eastAsia="en-AU"/>
        </w:rPr>
        <w:t>wa</w:t>
      </w:r>
      <w:r w:rsidR="00F2639F" w:rsidRPr="00D720DA">
        <w:rPr>
          <w:rFonts w:ascii="Arial" w:eastAsia="Times New Roman" w:hAnsi="Arial" w:cs="Arial"/>
          <w:lang w:eastAsia="en-AU"/>
        </w:rPr>
        <w:t xml:space="preserve">s recommended that </w:t>
      </w:r>
      <w:r w:rsidR="00CE4A63" w:rsidRPr="00D720DA">
        <w:rPr>
          <w:rFonts w:ascii="Arial" w:eastAsia="Times New Roman" w:hAnsi="Arial" w:cs="Arial"/>
          <w:lang w:eastAsia="en-AU"/>
        </w:rPr>
        <w:t>the Head of State Service chair a sub-committee of Heads of Agencies to oversee the implementation of the recommendations (Rec. 75)</w:t>
      </w:r>
      <w:r w:rsidR="00F2639F" w:rsidRPr="00D720DA">
        <w:rPr>
          <w:rFonts w:ascii="Arial" w:eastAsia="Times New Roman" w:hAnsi="Arial" w:cs="Arial"/>
          <w:lang w:eastAsia="en-AU"/>
        </w:rPr>
        <w:t xml:space="preserve">; that the government provide funding to DPC “to establish a designated unit to </w:t>
      </w:r>
      <w:r w:rsidR="00F2639F" w:rsidRPr="00D720DA">
        <w:rPr>
          <w:rFonts w:ascii="Arial" w:hAnsi="Arial" w:cs="Arial"/>
        </w:rPr>
        <w:t>monitor and support the implementation of recommendations”; and reviews be undertaken at two and four years (Rec. 77).</w:t>
      </w:r>
      <w:r w:rsidR="00687081" w:rsidRPr="00D720DA">
        <w:rPr>
          <w:rFonts w:ascii="Arial" w:hAnsi="Arial" w:cs="Arial"/>
        </w:rPr>
        <w:t xml:space="preserve"> A review of the “capability and role of the State Service Management Office” was also recommended “as a priority” (Rec. 36). </w:t>
      </w:r>
    </w:p>
    <w:p w14:paraId="52F66211" w14:textId="5C16753C" w:rsidR="00CD3D1B" w:rsidRPr="00D720DA" w:rsidRDefault="000A6202" w:rsidP="00C8424F">
      <w:pPr>
        <w:rPr>
          <w:rFonts w:ascii="Arial" w:eastAsia="Times New Roman" w:hAnsi="Arial" w:cs="Arial"/>
          <w:szCs w:val="24"/>
          <w:lang w:eastAsia="en-AU"/>
        </w:rPr>
      </w:pPr>
      <w:r w:rsidRPr="00D720DA">
        <w:rPr>
          <w:rFonts w:ascii="Arial" w:eastAsia="Times New Roman" w:hAnsi="Arial" w:cs="Arial"/>
          <w:szCs w:val="24"/>
          <w:lang w:eastAsia="en-AU"/>
        </w:rPr>
        <w:t>Recommendation</w:t>
      </w:r>
      <w:r w:rsidR="00F06202" w:rsidRPr="00D720DA">
        <w:rPr>
          <w:rFonts w:ascii="Arial" w:eastAsia="Times New Roman" w:hAnsi="Arial" w:cs="Arial"/>
          <w:szCs w:val="24"/>
          <w:lang w:eastAsia="en-AU"/>
        </w:rPr>
        <w:t>s</w:t>
      </w:r>
      <w:r w:rsidRPr="00D720DA">
        <w:rPr>
          <w:rFonts w:ascii="Arial" w:eastAsia="Times New Roman" w:hAnsi="Arial" w:cs="Arial"/>
          <w:szCs w:val="24"/>
          <w:lang w:eastAsia="en-AU"/>
        </w:rPr>
        <w:t xml:space="preserve"> of relevance to the </w:t>
      </w:r>
      <w:r w:rsidR="00CE4A63" w:rsidRPr="00D720DA">
        <w:rPr>
          <w:rFonts w:ascii="Arial" w:eastAsia="Times New Roman" w:hAnsi="Arial" w:cs="Arial"/>
          <w:szCs w:val="24"/>
          <w:lang w:eastAsia="en-AU"/>
        </w:rPr>
        <w:t xml:space="preserve">Senior Executive Service </w:t>
      </w:r>
      <w:r w:rsidRPr="00D720DA">
        <w:rPr>
          <w:rFonts w:ascii="Arial" w:eastAsia="Times New Roman" w:hAnsi="Arial" w:cs="Arial"/>
          <w:szCs w:val="24"/>
          <w:lang w:eastAsia="en-AU"/>
        </w:rPr>
        <w:t>include</w:t>
      </w:r>
      <w:r w:rsidR="00F06202" w:rsidRPr="00D720DA">
        <w:rPr>
          <w:rFonts w:ascii="Arial" w:eastAsia="Times New Roman" w:hAnsi="Arial" w:cs="Arial"/>
          <w:szCs w:val="24"/>
          <w:lang w:eastAsia="en-AU"/>
        </w:rPr>
        <w:t>d attention to</w:t>
      </w:r>
      <w:r w:rsidRPr="00D720DA">
        <w:rPr>
          <w:rFonts w:ascii="Arial" w:eastAsia="Times New Roman" w:hAnsi="Arial" w:cs="Arial"/>
          <w:szCs w:val="24"/>
          <w:lang w:eastAsia="en-AU"/>
        </w:rPr>
        <w:t xml:space="preserve"> </w:t>
      </w:r>
      <w:r w:rsidR="00F2639F" w:rsidRPr="00D720DA">
        <w:rPr>
          <w:rFonts w:ascii="Arial" w:eastAsia="Times New Roman" w:hAnsi="Arial" w:cs="Arial"/>
          <w:szCs w:val="24"/>
          <w:lang w:eastAsia="en-AU"/>
        </w:rPr>
        <w:t xml:space="preserve">leadership capability, talent development and succession planning, </w:t>
      </w:r>
      <w:r w:rsidR="00EC4E39" w:rsidRPr="00D720DA">
        <w:rPr>
          <w:rFonts w:ascii="Arial" w:eastAsia="Times New Roman" w:hAnsi="Arial" w:cs="Arial"/>
          <w:szCs w:val="24"/>
          <w:lang w:eastAsia="en-AU"/>
        </w:rPr>
        <w:t>mobility, and workforce management</w:t>
      </w:r>
      <w:r w:rsidRPr="00D720DA">
        <w:rPr>
          <w:rFonts w:ascii="Arial" w:eastAsia="Times New Roman" w:hAnsi="Arial" w:cs="Arial"/>
          <w:szCs w:val="24"/>
          <w:lang w:eastAsia="en-AU"/>
        </w:rPr>
        <w:t>.</w:t>
      </w:r>
    </w:p>
    <w:p w14:paraId="1EF67977" w14:textId="0A32EC30" w:rsidR="00EC4E39" w:rsidRPr="00D720DA" w:rsidRDefault="00EC4E39" w:rsidP="005656A3">
      <w:pPr>
        <w:rPr>
          <w:rFonts w:ascii="Arial" w:hAnsi="Arial" w:cs="Arial"/>
          <w:iCs/>
        </w:rPr>
      </w:pPr>
      <w:r w:rsidRPr="00D720DA">
        <w:rPr>
          <w:rFonts w:ascii="Arial" w:hAnsi="Arial" w:cs="Arial"/>
          <w:u w:val="single"/>
        </w:rPr>
        <w:t>Leadership capability</w:t>
      </w:r>
      <w:r w:rsidR="005656A3" w:rsidRPr="00D720DA">
        <w:rPr>
          <w:rFonts w:ascii="Arial" w:hAnsi="Arial" w:cs="Arial"/>
          <w:u w:val="single"/>
        </w:rPr>
        <w:t>:</w:t>
      </w:r>
      <w:r w:rsidR="005656A3" w:rsidRPr="00D720DA">
        <w:rPr>
          <w:rFonts w:ascii="Arial" w:hAnsi="Arial" w:cs="Arial"/>
        </w:rPr>
        <w:t xml:space="preserve"> </w:t>
      </w:r>
      <w:r w:rsidRPr="00D720DA">
        <w:rPr>
          <w:rFonts w:ascii="Arial" w:hAnsi="Arial" w:cs="Arial"/>
        </w:rPr>
        <w:t xml:space="preserve">The Final Report recommends that the </w:t>
      </w:r>
      <w:r w:rsidR="000D3DC7" w:rsidRPr="00D720DA">
        <w:rPr>
          <w:rFonts w:ascii="Arial" w:hAnsi="Arial" w:cs="Arial"/>
        </w:rPr>
        <w:t xml:space="preserve">government endorse ‘stewardship’ as a key principle to be included in the </w:t>
      </w:r>
      <w:r w:rsidR="000D3DC7" w:rsidRPr="00D720DA">
        <w:rPr>
          <w:rFonts w:ascii="Arial" w:hAnsi="Arial" w:cs="Arial"/>
          <w:i/>
          <w:iCs/>
        </w:rPr>
        <w:t>State Service Act 2000</w:t>
      </w:r>
      <w:r w:rsidR="000D3DC7" w:rsidRPr="00D720DA">
        <w:rPr>
          <w:rFonts w:ascii="Arial" w:hAnsi="Arial" w:cs="Arial"/>
        </w:rPr>
        <w:t xml:space="preserve"> (Rec. 12); that the </w:t>
      </w:r>
      <w:r w:rsidRPr="00D720DA">
        <w:rPr>
          <w:rFonts w:ascii="Arial" w:hAnsi="Arial" w:cs="Arial"/>
        </w:rPr>
        <w:t xml:space="preserve">TSS </w:t>
      </w:r>
      <w:r w:rsidRPr="00D720DA">
        <w:rPr>
          <w:rFonts w:ascii="Arial" w:hAnsi="Arial" w:cs="Arial"/>
          <w:i/>
          <w:iCs/>
        </w:rPr>
        <w:t>Senior Executive Leadership Capability Framework</w:t>
      </w:r>
      <w:r w:rsidRPr="00D720DA">
        <w:rPr>
          <w:rFonts w:ascii="Arial" w:hAnsi="Arial" w:cs="Arial"/>
        </w:rPr>
        <w:t xml:space="preserve"> be updated “to include an explicit recognition of stewardship and to align with the broader capability framework proposed for the TSS</w:t>
      </w:r>
      <w:r w:rsidR="000D3DC7" w:rsidRPr="00D720DA">
        <w:rPr>
          <w:rFonts w:ascii="Arial" w:hAnsi="Arial" w:cs="Arial"/>
        </w:rPr>
        <w:t>”</w:t>
      </w:r>
      <w:r w:rsidRPr="00D720DA">
        <w:rPr>
          <w:rFonts w:ascii="Arial" w:hAnsi="Arial" w:cs="Arial"/>
        </w:rPr>
        <w:t xml:space="preserve"> (Rec. 13)</w:t>
      </w:r>
      <w:r w:rsidR="000D3DC7" w:rsidRPr="00D720DA">
        <w:rPr>
          <w:rFonts w:ascii="Arial" w:hAnsi="Arial" w:cs="Arial"/>
        </w:rPr>
        <w:t>; and that t</w:t>
      </w:r>
      <w:r w:rsidRPr="00D720DA">
        <w:rPr>
          <w:rFonts w:ascii="Arial" w:hAnsi="Arial" w:cs="Arial"/>
        </w:rPr>
        <w:t xml:space="preserve">he development and implementation of a whole-of-service framework </w:t>
      </w:r>
      <w:r w:rsidRPr="00D720DA">
        <w:rPr>
          <w:rFonts w:ascii="Arial" w:hAnsi="Arial" w:cs="Arial"/>
        </w:rPr>
        <w:lastRenderedPageBreak/>
        <w:t>to be led by the SSMO (Rec. 50).</w:t>
      </w:r>
      <w:r w:rsidR="000D3DC7" w:rsidRPr="00D720DA">
        <w:rPr>
          <w:rFonts w:ascii="Arial" w:hAnsi="Arial" w:cs="Arial"/>
        </w:rPr>
        <w:t xml:space="preserve"> </w:t>
      </w:r>
      <w:r w:rsidRPr="00D720DA">
        <w:rPr>
          <w:rFonts w:ascii="Arial" w:hAnsi="Arial" w:cs="Arial"/>
        </w:rPr>
        <w:t xml:space="preserve">A sub-set of recommendations (21–24) relate to the “introduction of a functional leadership model for capability across the TSS” to be led by Heads of Agencies, and to include “clear governance </w:t>
      </w:r>
      <w:r w:rsidRPr="00D720DA">
        <w:rPr>
          <w:rFonts w:ascii="Arial" w:hAnsi="Arial" w:cs="Arial"/>
          <w:iCs/>
        </w:rPr>
        <w:t xml:space="preserve">for identifying capabilities for functional leadership, for empowering functional leaders and for holding them to account” </w:t>
      </w:r>
      <w:r w:rsidR="000D3DC7" w:rsidRPr="00D720DA">
        <w:rPr>
          <w:rFonts w:ascii="Arial" w:hAnsi="Arial" w:cs="Arial"/>
          <w:iCs/>
        </w:rPr>
        <w:t>(Rec. 21)</w:t>
      </w:r>
      <w:r w:rsidRPr="00D720DA">
        <w:rPr>
          <w:rFonts w:ascii="Arial" w:hAnsi="Arial" w:cs="Arial"/>
          <w:iCs/>
        </w:rPr>
        <w:t>.</w:t>
      </w:r>
    </w:p>
    <w:p w14:paraId="2657BC39" w14:textId="57321070" w:rsidR="000A6202" w:rsidRPr="00D720DA" w:rsidRDefault="00CD3D1B" w:rsidP="000A6202">
      <w:pPr>
        <w:rPr>
          <w:rFonts w:ascii="Arial" w:hAnsi="Arial" w:cs="Arial"/>
        </w:rPr>
      </w:pPr>
      <w:r w:rsidRPr="00D720DA">
        <w:rPr>
          <w:rFonts w:ascii="Arial" w:hAnsi="Arial" w:cs="Arial"/>
          <w:u w:val="single"/>
        </w:rPr>
        <w:t>Talent development and succession planning</w:t>
      </w:r>
      <w:r w:rsidR="005656A3" w:rsidRPr="00D720DA">
        <w:rPr>
          <w:rFonts w:ascii="Arial" w:hAnsi="Arial" w:cs="Arial"/>
          <w:u w:val="single"/>
        </w:rPr>
        <w:t xml:space="preserve">: </w:t>
      </w:r>
      <w:r w:rsidR="000A6202" w:rsidRPr="00D720DA">
        <w:rPr>
          <w:rFonts w:ascii="Arial" w:hAnsi="Arial" w:cs="Arial"/>
        </w:rPr>
        <w:t>The Final Report argues that a sub-group of Heads of Agencies, supported by the SSMO, be “designated to develop and oversee a talent management program for individuals with high potential” to ensure there is “a</w:t>
      </w:r>
      <w:r w:rsidR="000A6202" w:rsidRPr="00D720DA">
        <w:rPr>
          <w:rFonts w:ascii="Arial" w:hAnsi="Arial" w:cs="Arial"/>
          <w:i/>
          <w:iCs/>
        </w:rPr>
        <w:t xml:space="preserve"> </w:t>
      </w:r>
      <w:r w:rsidR="000A6202" w:rsidRPr="00D720DA">
        <w:rPr>
          <w:rFonts w:ascii="Arial" w:hAnsi="Arial" w:cs="Arial"/>
        </w:rPr>
        <w:t xml:space="preserve">healthy pool of potential leaders to fulfil senior roles” (Watt, 2021, pp 89, 92). It was argued that a whole-of-service investment in leadership development is required, including a formal program of training, such as those offered by ANZSOG. </w:t>
      </w:r>
    </w:p>
    <w:p w14:paraId="53B44DF8" w14:textId="5CFF92B1" w:rsidR="00CD3D1B" w:rsidRPr="00D720DA" w:rsidRDefault="00CD3D1B" w:rsidP="00A34207">
      <w:pPr>
        <w:pStyle w:val="indentpara"/>
        <w:ind w:left="720" w:firstLine="0"/>
        <w:rPr>
          <w:rFonts w:ascii="Arial" w:hAnsi="Arial" w:cs="Arial"/>
        </w:rPr>
      </w:pPr>
      <w:r w:rsidRPr="00D720DA">
        <w:rPr>
          <w:rFonts w:ascii="Arial" w:hAnsi="Arial" w:cs="Arial"/>
          <w:i/>
          <w:iCs w:val="0"/>
        </w:rPr>
        <w:t>Senior executives require a tailored approach to development to identify and address specific skills gaps required to undertake more complex and challenging positions in the future and ensure they are ready the next time an opportunity comes up</w:t>
      </w:r>
      <w:r w:rsidRPr="00D720DA">
        <w:rPr>
          <w:rFonts w:ascii="Arial" w:hAnsi="Arial" w:cs="Arial"/>
        </w:rPr>
        <w:t>. (</w:t>
      </w:r>
      <w:r w:rsidR="00687081" w:rsidRPr="00D720DA">
        <w:rPr>
          <w:rFonts w:ascii="Arial" w:hAnsi="Arial" w:cs="Arial"/>
        </w:rPr>
        <w:t xml:space="preserve">Watt, 2021, </w:t>
      </w:r>
      <w:r w:rsidRPr="00D720DA">
        <w:rPr>
          <w:rFonts w:ascii="Arial" w:hAnsi="Arial" w:cs="Arial"/>
        </w:rPr>
        <w:t>p. 92).</w:t>
      </w:r>
    </w:p>
    <w:p w14:paraId="5D883B00" w14:textId="426C72CB" w:rsidR="00F925F7" w:rsidRPr="00D720DA" w:rsidRDefault="00F925F7" w:rsidP="00E40D3C">
      <w:pPr>
        <w:pStyle w:val="NoSpacing"/>
        <w:ind w:firstLine="0"/>
        <w:rPr>
          <w:rFonts w:ascii="Arial" w:hAnsi="Arial" w:cs="Arial"/>
        </w:rPr>
      </w:pPr>
      <w:r w:rsidRPr="00D720DA">
        <w:rPr>
          <w:rFonts w:ascii="Arial" w:hAnsi="Arial" w:cs="Arial"/>
        </w:rPr>
        <w:t>Specific recommendations related to talent development and succession planning for the SES include:</w:t>
      </w:r>
    </w:p>
    <w:p w14:paraId="109E7963" w14:textId="29E0C7B9" w:rsidR="000D3DC7" w:rsidRPr="00D720DA" w:rsidRDefault="00F925F7" w:rsidP="00F925F7">
      <w:pPr>
        <w:pStyle w:val="NoSpacing"/>
        <w:numPr>
          <w:ilvl w:val="0"/>
          <w:numId w:val="9"/>
        </w:numPr>
        <w:rPr>
          <w:rFonts w:ascii="Arial" w:hAnsi="Arial" w:cs="Arial"/>
        </w:rPr>
      </w:pPr>
      <w:r w:rsidRPr="00D720DA">
        <w:rPr>
          <w:rFonts w:ascii="Arial" w:hAnsi="Arial" w:cs="Arial"/>
        </w:rPr>
        <w:t>a</w:t>
      </w:r>
      <w:r w:rsidR="000D3DC7" w:rsidRPr="00D720DA">
        <w:rPr>
          <w:rFonts w:ascii="Arial" w:hAnsi="Arial" w:cs="Arial"/>
          <w:lang w:eastAsia="en-AU"/>
        </w:rPr>
        <w:t>mendment</w:t>
      </w:r>
      <w:r w:rsidRPr="00D720DA">
        <w:rPr>
          <w:rFonts w:ascii="Arial" w:hAnsi="Arial" w:cs="Arial"/>
          <w:lang w:eastAsia="en-AU"/>
        </w:rPr>
        <w:t xml:space="preserve"> of</w:t>
      </w:r>
      <w:r w:rsidR="000D3DC7" w:rsidRPr="00D720DA">
        <w:rPr>
          <w:rFonts w:ascii="Arial" w:hAnsi="Arial" w:cs="Arial"/>
          <w:lang w:eastAsia="en-AU"/>
        </w:rPr>
        <w:t xml:space="preserve"> the </w:t>
      </w:r>
      <w:r w:rsidR="000D3DC7" w:rsidRPr="00D720DA">
        <w:rPr>
          <w:rFonts w:ascii="Arial" w:hAnsi="Arial" w:cs="Arial"/>
          <w:i/>
          <w:iCs/>
          <w:lang w:eastAsia="en-AU"/>
        </w:rPr>
        <w:t>State Service Act 2000</w:t>
      </w:r>
      <w:r w:rsidR="000D3DC7" w:rsidRPr="00D720DA">
        <w:rPr>
          <w:rFonts w:ascii="Arial" w:hAnsi="Arial" w:cs="Arial"/>
          <w:lang w:eastAsia="en-AU"/>
        </w:rPr>
        <w:t xml:space="preserve"> </w:t>
      </w:r>
      <w:r w:rsidR="000A6202" w:rsidRPr="00D720DA">
        <w:rPr>
          <w:rFonts w:ascii="Arial" w:hAnsi="Arial" w:cs="Arial"/>
          <w:lang w:eastAsia="en-AU"/>
        </w:rPr>
        <w:t>“</w:t>
      </w:r>
      <w:r w:rsidR="000D3DC7" w:rsidRPr="00D720DA">
        <w:rPr>
          <w:rFonts w:ascii="Arial" w:hAnsi="Arial" w:cs="Arial"/>
        </w:rPr>
        <w:t>to broaden the legislative function and powers of heads of agency to include development of capability</w:t>
      </w:r>
      <w:r w:rsidRPr="00D720DA">
        <w:rPr>
          <w:rFonts w:ascii="Arial" w:hAnsi="Arial" w:cs="Arial"/>
        </w:rPr>
        <w:t xml:space="preserve">” </w:t>
      </w:r>
      <w:r w:rsidR="000D3DC7" w:rsidRPr="00D720DA">
        <w:rPr>
          <w:rFonts w:ascii="Arial" w:hAnsi="Arial" w:cs="Arial"/>
        </w:rPr>
        <w:t xml:space="preserve">(Rec. 6). </w:t>
      </w:r>
    </w:p>
    <w:p w14:paraId="78EE544B" w14:textId="086EDEC8" w:rsidR="00453D60" w:rsidRPr="00D720DA" w:rsidRDefault="00453D60" w:rsidP="00F925F7">
      <w:pPr>
        <w:pStyle w:val="indentpara"/>
        <w:numPr>
          <w:ilvl w:val="0"/>
          <w:numId w:val="9"/>
        </w:numPr>
        <w:rPr>
          <w:rFonts w:ascii="Arial" w:hAnsi="Arial" w:cs="Arial"/>
          <w:i/>
          <w:iCs w:val="0"/>
        </w:rPr>
      </w:pPr>
      <w:r w:rsidRPr="00D720DA">
        <w:rPr>
          <w:rFonts w:ascii="Arial" w:hAnsi="Arial" w:cs="Arial"/>
          <w:i/>
          <w:iCs w:val="0"/>
        </w:rPr>
        <w:t>That the government establish and fund a talent development and management program to identify and develop future leaders of the TSS and future senior executives. The State Service Management Office should manage the program</w:t>
      </w:r>
      <w:r w:rsidR="00F925F7" w:rsidRPr="00D720DA">
        <w:rPr>
          <w:rFonts w:ascii="Arial" w:hAnsi="Arial" w:cs="Arial"/>
          <w:i/>
          <w:iCs w:val="0"/>
        </w:rPr>
        <w:t xml:space="preserve"> (Rec. 14).</w:t>
      </w:r>
    </w:p>
    <w:p w14:paraId="47EAD44E" w14:textId="4A059E0C" w:rsidR="00453D60" w:rsidRPr="00D720DA" w:rsidRDefault="00453D60" w:rsidP="00F925F7">
      <w:pPr>
        <w:pStyle w:val="indentpara"/>
        <w:numPr>
          <w:ilvl w:val="0"/>
          <w:numId w:val="9"/>
        </w:numPr>
        <w:rPr>
          <w:rFonts w:ascii="Arial" w:hAnsi="Arial" w:cs="Arial"/>
          <w:i/>
          <w:iCs w:val="0"/>
        </w:rPr>
      </w:pPr>
      <w:r w:rsidRPr="00D720DA">
        <w:rPr>
          <w:rFonts w:ascii="Arial" w:hAnsi="Arial" w:cs="Arial"/>
          <w:i/>
          <w:iCs w:val="0"/>
        </w:rPr>
        <w:t>That the TSS establish a network of former Tasmanians who are currently filling public sector leadership roles elsewhere in Australia and draw on them for informal ideas and advice</w:t>
      </w:r>
      <w:r w:rsidR="00F925F7" w:rsidRPr="00D720DA">
        <w:rPr>
          <w:rFonts w:ascii="Arial" w:hAnsi="Arial" w:cs="Arial"/>
          <w:i/>
          <w:iCs w:val="0"/>
        </w:rPr>
        <w:t xml:space="preserve"> (Rec. 15).</w:t>
      </w:r>
    </w:p>
    <w:p w14:paraId="6DA41527" w14:textId="5204F49A" w:rsidR="00CE4A63" w:rsidRPr="00D720DA" w:rsidRDefault="00F925F7" w:rsidP="00267B1D">
      <w:pPr>
        <w:rPr>
          <w:rFonts w:ascii="Arial" w:hAnsi="Arial" w:cs="Arial"/>
        </w:rPr>
      </w:pPr>
      <w:r w:rsidRPr="00D720DA">
        <w:rPr>
          <w:rFonts w:ascii="Arial" w:hAnsi="Arial" w:cs="Arial"/>
          <w:u w:val="single"/>
        </w:rPr>
        <w:t>Mobility</w:t>
      </w:r>
      <w:r w:rsidR="00E40D3C" w:rsidRPr="00D720DA">
        <w:rPr>
          <w:rFonts w:ascii="Arial" w:hAnsi="Arial" w:cs="Arial"/>
          <w:u w:val="single"/>
        </w:rPr>
        <w:t xml:space="preserve">: </w:t>
      </w:r>
      <w:r w:rsidRPr="00D720DA">
        <w:rPr>
          <w:rFonts w:ascii="Arial" w:hAnsi="Arial" w:cs="Arial"/>
          <w:szCs w:val="24"/>
        </w:rPr>
        <w:t>Recommendation</w:t>
      </w:r>
      <w:r w:rsidR="00E40D3C" w:rsidRPr="00D720DA">
        <w:rPr>
          <w:rFonts w:ascii="Arial" w:hAnsi="Arial" w:cs="Arial"/>
          <w:szCs w:val="24"/>
        </w:rPr>
        <w:t xml:space="preserve">s included that the Tasmanian DPC work with the Australian Public Service commission to design short term secondments </w:t>
      </w:r>
      <w:r w:rsidRPr="00D720DA">
        <w:rPr>
          <w:rFonts w:ascii="Arial" w:hAnsi="Arial" w:cs="Arial"/>
        </w:rPr>
        <w:t>(Rec. 32)</w:t>
      </w:r>
      <w:r w:rsidR="00E40D3C" w:rsidRPr="00D720DA">
        <w:rPr>
          <w:rFonts w:ascii="Arial" w:hAnsi="Arial" w:cs="Arial"/>
        </w:rPr>
        <w:t xml:space="preserve">; </w:t>
      </w:r>
      <w:r w:rsidR="00267B1D" w:rsidRPr="00D720DA">
        <w:rPr>
          <w:rFonts w:ascii="Arial" w:hAnsi="Arial" w:cs="Arial"/>
        </w:rPr>
        <w:t xml:space="preserve">with the SSMO advising on secondment agreements </w:t>
      </w:r>
      <w:r w:rsidRPr="00D720DA">
        <w:rPr>
          <w:rFonts w:ascii="Arial" w:hAnsi="Arial" w:cs="Arial"/>
        </w:rPr>
        <w:t>(Rec. 33)</w:t>
      </w:r>
      <w:r w:rsidR="00267B1D" w:rsidRPr="00D720DA">
        <w:rPr>
          <w:rFonts w:ascii="Arial" w:hAnsi="Arial" w:cs="Arial"/>
        </w:rPr>
        <w:t xml:space="preserve"> but also exploring an internal mobility register with unions </w:t>
      </w:r>
      <w:r w:rsidRPr="00D720DA">
        <w:rPr>
          <w:rFonts w:ascii="Arial" w:hAnsi="Arial" w:cs="Arial"/>
        </w:rPr>
        <w:t>(Rec. 49).</w:t>
      </w:r>
    </w:p>
    <w:p w14:paraId="2F463C86" w14:textId="6877FC67" w:rsidR="00F2639F" w:rsidRPr="00D720DA" w:rsidRDefault="00F2639F" w:rsidP="00687081">
      <w:pPr>
        <w:rPr>
          <w:rFonts w:ascii="Arial" w:hAnsi="Arial" w:cs="Arial"/>
        </w:rPr>
      </w:pPr>
      <w:r w:rsidRPr="00D720DA">
        <w:rPr>
          <w:rFonts w:ascii="Arial" w:hAnsi="Arial" w:cs="Arial"/>
          <w:u w:val="single"/>
        </w:rPr>
        <w:t>Workforce management</w:t>
      </w:r>
      <w:r w:rsidR="00267B1D" w:rsidRPr="00D720DA">
        <w:rPr>
          <w:rFonts w:ascii="Arial" w:hAnsi="Arial" w:cs="Arial"/>
          <w:u w:val="single"/>
        </w:rPr>
        <w:t xml:space="preserve">: </w:t>
      </w:r>
      <w:r w:rsidR="00687081" w:rsidRPr="00D720DA">
        <w:rPr>
          <w:rFonts w:ascii="Arial" w:hAnsi="Arial" w:cs="Arial"/>
        </w:rPr>
        <w:t>The Review argued that “</w:t>
      </w:r>
      <w:r w:rsidRPr="00D720DA">
        <w:rPr>
          <w:rFonts w:ascii="Arial" w:hAnsi="Arial" w:cs="Arial"/>
        </w:rPr>
        <w:t>reform of the employment framework in Tasmania is required to bring Tasmania up to the standard being used across the country</w:t>
      </w:r>
      <w:r w:rsidR="00687081" w:rsidRPr="00D720DA">
        <w:rPr>
          <w:rFonts w:ascii="Arial" w:hAnsi="Arial" w:cs="Arial"/>
          <w:i/>
          <w:iCs/>
        </w:rPr>
        <w:t xml:space="preserve">”, </w:t>
      </w:r>
      <w:r w:rsidR="00687081" w:rsidRPr="00D720DA">
        <w:rPr>
          <w:rFonts w:ascii="Arial" w:hAnsi="Arial" w:cs="Arial"/>
        </w:rPr>
        <w:t>including a r</w:t>
      </w:r>
      <w:r w:rsidRPr="00D720DA">
        <w:rPr>
          <w:rFonts w:ascii="Arial" w:hAnsi="Arial" w:cs="Arial"/>
        </w:rPr>
        <w:t xml:space="preserve">eview of the Employment Direction </w:t>
      </w:r>
      <w:r w:rsidR="00687081" w:rsidRPr="00D720DA">
        <w:rPr>
          <w:rFonts w:ascii="Arial" w:hAnsi="Arial" w:cs="Arial"/>
        </w:rPr>
        <w:t>on</w:t>
      </w:r>
      <w:r w:rsidRPr="00D720DA">
        <w:rPr>
          <w:rFonts w:ascii="Arial" w:hAnsi="Arial" w:cs="Arial"/>
        </w:rPr>
        <w:t xml:space="preserve"> </w:t>
      </w:r>
      <w:r w:rsidRPr="00D720DA">
        <w:rPr>
          <w:rFonts w:ascii="Arial" w:hAnsi="Arial" w:cs="Arial"/>
          <w:i/>
          <w:iCs/>
        </w:rPr>
        <w:t>Managing the Senior Executive Service</w:t>
      </w:r>
      <w:r w:rsidRPr="00D720DA">
        <w:rPr>
          <w:rFonts w:ascii="Arial" w:hAnsi="Arial" w:cs="Arial"/>
        </w:rPr>
        <w:t xml:space="preserve"> (</w:t>
      </w:r>
      <w:r w:rsidR="00687081" w:rsidRPr="00D720DA">
        <w:rPr>
          <w:rFonts w:ascii="Arial" w:hAnsi="Arial" w:cs="Arial"/>
        </w:rPr>
        <w:t xml:space="preserve">Watt, 2021, </w:t>
      </w:r>
      <w:r w:rsidRPr="00D720DA">
        <w:rPr>
          <w:rFonts w:ascii="Arial" w:hAnsi="Arial" w:cs="Arial"/>
        </w:rPr>
        <w:t>p. 164)</w:t>
      </w:r>
    </w:p>
    <w:p w14:paraId="2327BB2B" w14:textId="2F1A5A1A" w:rsidR="0095111C" w:rsidRDefault="00F2639F" w:rsidP="00652E35">
      <w:pPr>
        <w:pStyle w:val="indentpara"/>
        <w:ind w:left="720" w:firstLine="0"/>
        <w:rPr>
          <w:rFonts w:ascii="Arial" w:hAnsi="Arial" w:cs="Arial"/>
        </w:rPr>
      </w:pPr>
      <w:r w:rsidRPr="00D720DA">
        <w:rPr>
          <w:rFonts w:ascii="Arial" w:hAnsi="Arial" w:cs="Arial"/>
          <w:i/>
          <w:iCs w:val="0"/>
        </w:rPr>
        <w:t xml:space="preserve">The Review has previously discussed the delegation of employment decisions to heads of agency. If this includes the appointment of Senior Executive Service officers, then some of the requirements of this employment direction become unnecessary. </w:t>
      </w:r>
      <w:r w:rsidRPr="00D720DA">
        <w:rPr>
          <w:rFonts w:ascii="Arial" w:hAnsi="Arial" w:cs="Arial"/>
        </w:rPr>
        <w:t>(</w:t>
      </w:r>
      <w:r w:rsidR="00BD69F8" w:rsidRPr="00D720DA">
        <w:rPr>
          <w:rFonts w:ascii="Arial" w:hAnsi="Arial" w:cs="Arial"/>
        </w:rPr>
        <w:t xml:space="preserve">Watt, 2020, </w:t>
      </w:r>
      <w:r w:rsidRPr="00D720DA">
        <w:rPr>
          <w:rFonts w:ascii="Arial" w:hAnsi="Arial" w:cs="Arial"/>
        </w:rPr>
        <w:t>p. 165).</w:t>
      </w:r>
    </w:p>
    <w:p w14:paraId="028D107D" w14:textId="77777777" w:rsidR="00652E35" w:rsidRPr="00652E35" w:rsidRDefault="00652E35" w:rsidP="00652E35">
      <w:pPr>
        <w:pStyle w:val="indentpara"/>
        <w:ind w:left="720" w:firstLine="0"/>
        <w:rPr>
          <w:rFonts w:ascii="Arial" w:hAnsi="Arial" w:cs="Arial"/>
        </w:rPr>
      </w:pPr>
    </w:p>
    <w:p w14:paraId="2CB88F80" w14:textId="77777777" w:rsidR="00652E35" w:rsidRDefault="00652E35">
      <w:pPr>
        <w:spacing w:before="0" w:after="200" w:line="276" w:lineRule="auto"/>
        <w:rPr>
          <w:rFonts w:ascii="Arial" w:eastAsiaTheme="majorEastAsia" w:hAnsi="Arial" w:cs="Arial"/>
          <w:b/>
          <w:sz w:val="28"/>
          <w:szCs w:val="32"/>
          <w:u w:val="single"/>
        </w:rPr>
      </w:pPr>
      <w:bookmarkStart w:id="11" w:name="_Toc77356794"/>
      <w:r>
        <w:rPr>
          <w:rFonts w:ascii="Arial" w:hAnsi="Arial" w:cs="Arial"/>
        </w:rPr>
        <w:br w:type="page"/>
      </w:r>
    </w:p>
    <w:p w14:paraId="4CF8388D" w14:textId="19B0BFBE" w:rsidR="00F36A37" w:rsidRPr="00D720DA" w:rsidRDefault="003457AE" w:rsidP="00FA4D0A">
      <w:pPr>
        <w:pStyle w:val="Heading1"/>
        <w:rPr>
          <w:rFonts w:ascii="Arial" w:hAnsi="Arial" w:cs="Arial"/>
        </w:rPr>
      </w:pPr>
      <w:r w:rsidRPr="00D720DA">
        <w:rPr>
          <w:rFonts w:ascii="Arial" w:hAnsi="Arial" w:cs="Arial"/>
        </w:rPr>
        <w:lastRenderedPageBreak/>
        <w:t>The State Service under global crises</w:t>
      </w:r>
      <w:bookmarkEnd w:id="11"/>
    </w:p>
    <w:p w14:paraId="401A8B3A" w14:textId="77777777" w:rsidR="003457AE" w:rsidRPr="00D720DA" w:rsidRDefault="003457AE" w:rsidP="003457AE">
      <w:pPr>
        <w:rPr>
          <w:rFonts w:ascii="Arial" w:hAnsi="Arial" w:cs="Arial"/>
          <w:szCs w:val="24"/>
        </w:rPr>
      </w:pPr>
      <w:r w:rsidRPr="00D720DA">
        <w:rPr>
          <w:rFonts w:ascii="Arial" w:hAnsi="Arial" w:cs="Arial"/>
          <w:szCs w:val="24"/>
        </w:rPr>
        <w:t>This section outlines public service measures in response to the Global Financial Crisis (GFC) and the COVID-19 pandemic.</w:t>
      </w:r>
    </w:p>
    <w:p w14:paraId="555C0F4E" w14:textId="77777777" w:rsidR="003457AE" w:rsidRPr="00D720DA" w:rsidRDefault="003457AE" w:rsidP="003457AE">
      <w:pPr>
        <w:rPr>
          <w:rFonts w:ascii="Arial" w:hAnsi="Arial" w:cs="Arial"/>
          <w:b/>
          <w:bCs/>
          <w:szCs w:val="24"/>
          <w:u w:val="single"/>
        </w:rPr>
      </w:pPr>
      <w:r w:rsidRPr="00D720DA">
        <w:rPr>
          <w:rFonts w:ascii="Arial" w:hAnsi="Arial" w:cs="Arial"/>
          <w:b/>
          <w:bCs/>
          <w:szCs w:val="24"/>
          <w:u w:val="single"/>
        </w:rPr>
        <w:t>GFC</w:t>
      </w:r>
    </w:p>
    <w:p w14:paraId="47C3F801" w14:textId="5FFFB2CB" w:rsidR="003457AE" w:rsidRPr="00D720DA" w:rsidRDefault="005B1408" w:rsidP="00C8424F">
      <w:pPr>
        <w:pStyle w:val="indentpara"/>
        <w:ind w:firstLine="0"/>
        <w:rPr>
          <w:rFonts w:ascii="Arial" w:hAnsi="Arial" w:cs="Arial"/>
        </w:rPr>
      </w:pPr>
      <w:r w:rsidRPr="00D720DA">
        <w:rPr>
          <w:rFonts w:ascii="Arial" w:hAnsi="Arial" w:cs="Arial"/>
        </w:rPr>
        <w:t xml:space="preserve">In response to the GFC, </w:t>
      </w:r>
      <w:r w:rsidR="003457AE" w:rsidRPr="00D720DA">
        <w:rPr>
          <w:rFonts w:ascii="Arial" w:hAnsi="Arial" w:cs="Arial"/>
        </w:rPr>
        <w:t>State Service Structural Reforms were announced in 2011, including an expansion of an existing Workforce Renewal Incentive Program; internal agency vacancy management and interagency vacancy control; and a targeted voluntary redundancy program (Parliament of Tasmania, 2012).</w:t>
      </w:r>
    </w:p>
    <w:p w14:paraId="440E21F1" w14:textId="77777777" w:rsidR="003457AE" w:rsidRPr="00D720DA" w:rsidRDefault="003457AE" w:rsidP="003457AE">
      <w:pPr>
        <w:rPr>
          <w:rFonts w:ascii="Arial" w:hAnsi="Arial" w:cs="Arial"/>
          <w:b/>
          <w:bCs/>
          <w:szCs w:val="24"/>
          <w:u w:val="single"/>
        </w:rPr>
      </w:pPr>
      <w:r w:rsidRPr="00D720DA">
        <w:rPr>
          <w:rFonts w:ascii="Arial" w:hAnsi="Arial" w:cs="Arial"/>
          <w:b/>
          <w:bCs/>
          <w:szCs w:val="24"/>
          <w:u w:val="single"/>
        </w:rPr>
        <w:t>COVID-19</w:t>
      </w:r>
    </w:p>
    <w:p w14:paraId="0F9B9911" w14:textId="17B41B83" w:rsidR="003457AE" w:rsidRPr="00D720DA" w:rsidRDefault="005B1408" w:rsidP="00C8424F">
      <w:pPr>
        <w:pStyle w:val="indentpara"/>
        <w:ind w:firstLine="0"/>
        <w:rPr>
          <w:rFonts w:ascii="Arial" w:hAnsi="Arial" w:cs="Arial"/>
        </w:rPr>
      </w:pPr>
      <w:r w:rsidRPr="00D720DA">
        <w:rPr>
          <w:rFonts w:ascii="Arial" w:hAnsi="Arial" w:cs="Arial"/>
        </w:rPr>
        <w:t xml:space="preserve">Pre-pandemic planned cuts to government agencies were abandoned as part of the government’s </w:t>
      </w:r>
      <w:r w:rsidRPr="00D720DA">
        <w:rPr>
          <w:rFonts w:ascii="Arial" w:eastAsiaTheme="minorEastAsia" w:hAnsi="Arial" w:cs="Arial"/>
          <w:lang w:eastAsia="ja-JP"/>
        </w:rPr>
        <w:t>Coronavirus Stimulus Package in March 2020 (Jenkins, 2020).</w:t>
      </w:r>
    </w:p>
    <w:p w14:paraId="1234A10D" w14:textId="3EA11DD5" w:rsidR="00F36A37" w:rsidRPr="00D720DA" w:rsidRDefault="00F36A37" w:rsidP="00C8424F">
      <w:pPr>
        <w:rPr>
          <w:rFonts w:ascii="Arial" w:hAnsi="Arial" w:cs="Arial"/>
        </w:rPr>
      </w:pPr>
      <w:r w:rsidRPr="00D720DA">
        <w:rPr>
          <w:rFonts w:ascii="Arial" w:hAnsi="Arial" w:cs="Arial"/>
          <w:szCs w:val="24"/>
        </w:rPr>
        <w:t xml:space="preserve">In June, Premier Peter </w:t>
      </w:r>
      <w:proofErr w:type="spellStart"/>
      <w:r w:rsidRPr="00D720DA">
        <w:rPr>
          <w:rFonts w:ascii="Arial" w:hAnsi="Arial" w:cs="Arial"/>
          <w:szCs w:val="24"/>
        </w:rPr>
        <w:t>Gutwein</w:t>
      </w:r>
      <w:proofErr w:type="spellEnd"/>
      <w:r w:rsidRPr="00D720DA">
        <w:rPr>
          <w:rFonts w:ascii="Arial" w:hAnsi="Arial" w:cs="Arial"/>
          <w:szCs w:val="24"/>
        </w:rPr>
        <w:t xml:space="preserve"> (2020, Jun 24) announced that pay increases for senior public servants would be postponed, pending further consideration during Budget deliberations in November. The temporary pay freeze </w:t>
      </w:r>
      <w:r w:rsidR="005B1408" w:rsidRPr="00D720DA">
        <w:rPr>
          <w:rFonts w:ascii="Arial" w:hAnsi="Arial" w:cs="Arial"/>
          <w:szCs w:val="24"/>
        </w:rPr>
        <w:t xml:space="preserve">would have </w:t>
      </w:r>
      <w:r w:rsidRPr="00D720DA">
        <w:rPr>
          <w:rFonts w:ascii="Arial" w:hAnsi="Arial" w:cs="Arial"/>
          <w:szCs w:val="24"/>
        </w:rPr>
        <w:t>affect</w:t>
      </w:r>
      <w:r w:rsidR="005B1408" w:rsidRPr="00D720DA">
        <w:rPr>
          <w:rFonts w:ascii="Arial" w:hAnsi="Arial" w:cs="Arial"/>
          <w:szCs w:val="24"/>
        </w:rPr>
        <w:t xml:space="preserve">ed </w:t>
      </w:r>
      <w:r w:rsidRPr="00D720DA">
        <w:rPr>
          <w:rFonts w:ascii="Arial" w:hAnsi="Arial" w:cs="Arial"/>
          <w:szCs w:val="24"/>
        </w:rPr>
        <w:t>about 211 members of the SES. The CPSU oppose</w:t>
      </w:r>
      <w:r w:rsidR="005B1408" w:rsidRPr="00D720DA">
        <w:rPr>
          <w:rFonts w:ascii="Arial" w:hAnsi="Arial" w:cs="Arial"/>
          <w:szCs w:val="24"/>
        </w:rPr>
        <w:t>d</w:t>
      </w:r>
      <w:r w:rsidRPr="00D720DA">
        <w:rPr>
          <w:rFonts w:ascii="Arial" w:hAnsi="Arial" w:cs="Arial"/>
          <w:szCs w:val="24"/>
        </w:rPr>
        <w:t xml:space="preserve"> the policy, arguing it </w:t>
      </w:r>
      <w:r w:rsidR="005B1408" w:rsidRPr="00D720DA">
        <w:rPr>
          <w:rFonts w:ascii="Arial" w:hAnsi="Arial" w:cs="Arial"/>
          <w:szCs w:val="24"/>
        </w:rPr>
        <w:t xml:space="preserve">would </w:t>
      </w:r>
      <w:r w:rsidRPr="00D720DA">
        <w:rPr>
          <w:rFonts w:ascii="Arial" w:hAnsi="Arial" w:cs="Arial"/>
          <w:szCs w:val="24"/>
        </w:rPr>
        <w:t xml:space="preserve">limit discretionary spending in the businesses the Government </w:t>
      </w:r>
      <w:r w:rsidR="005B1408" w:rsidRPr="00D720DA">
        <w:rPr>
          <w:rFonts w:ascii="Arial" w:hAnsi="Arial" w:cs="Arial"/>
          <w:szCs w:val="24"/>
        </w:rPr>
        <w:t xml:space="preserve">sought </w:t>
      </w:r>
      <w:r w:rsidRPr="00D720DA">
        <w:rPr>
          <w:rFonts w:ascii="Arial" w:hAnsi="Arial" w:cs="Arial"/>
          <w:szCs w:val="24"/>
        </w:rPr>
        <w:t>to support into economic recovery (Bailey, 2020, Jun 24).</w:t>
      </w:r>
      <w:r w:rsidR="005B1408" w:rsidRPr="00D720DA">
        <w:rPr>
          <w:rFonts w:ascii="Arial" w:hAnsi="Arial" w:cs="Arial"/>
          <w:szCs w:val="24"/>
        </w:rPr>
        <w:t xml:space="preserve"> </w:t>
      </w:r>
      <w:r w:rsidR="005B1408" w:rsidRPr="00D720DA">
        <w:rPr>
          <w:rFonts w:ascii="Arial" w:hAnsi="Arial" w:cs="Arial"/>
        </w:rPr>
        <w:t>In October, ahead of the State Budget, the government announced that SES salary increases would be back paid to July 2020 and that existing public service agreements would be honoured (</w:t>
      </w:r>
      <w:proofErr w:type="spellStart"/>
      <w:r w:rsidR="005B1408" w:rsidRPr="00D720DA">
        <w:rPr>
          <w:rFonts w:ascii="Arial" w:hAnsi="Arial" w:cs="Arial"/>
        </w:rPr>
        <w:t>Elmas</w:t>
      </w:r>
      <w:proofErr w:type="spellEnd"/>
      <w:r w:rsidR="005B1408" w:rsidRPr="00D720DA">
        <w:rPr>
          <w:rFonts w:ascii="Arial" w:hAnsi="Arial" w:cs="Arial"/>
        </w:rPr>
        <w:t>, 2020).</w:t>
      </w:r>
    </w:p>
    <w:p w14:paraId="1C05A2D0" w14:textId="02A19095" w:rsidR="005B1408" w:rsidRPr="00D720DA" w:rsidRDefault="005B1408" w:rsidP="00C8424F">
      <w:pPr>
        <w:pStyle w:val="NoSpacing"/>
        <w:ind w:firstLine="0"/>
        <w:rPr>
          <w:rFonts w:ascii="Arial" w:hAnsi="Arial" w:cs="Arial"/>
        </w:rPr>
      </w:pPr>
      <w:r w:rsidRPr="00D720DA">
        <w:rPr>
          <w:rFonts w:ascii="Arial" w:hAnsi="Arial" w:cs="Arial"/>
        </w:rPr>
        <w:t>To enhance executive mobility</w:t>
      </w:r>
      <w:r w:rsidR="00312694" w:rsidRPr="00D720DA">
        <w:rPr>
          <w:rFonts w:ascii="Arial" w:hAnsi="Arial" w:cs="Arial"/>
        </w:rPr>
        <w:t xml:space="preserve"> during the uncertainties of the crisis</w:t>
      </w:r>
      <w:r w:rsidRPr="00D720DA">
        <w:rPr>
          <w:rFonts w:ascii="Arial" w:hAnsi="Arial" w:cs="Arial"/>
        </w:rPr>
        <w:t>, the Premier approved an amendment to a 2015 SES Employment Direction to allow Heads of Agencies to transfer officers between agencies for up to six months on mutual agreement, without the need to involve the Head of the State Service (DPAC, 2020</w:t>
      </w:r>
      <w:r w:rsidR="00E25C50" w:rsidRPr="00D720DA">
        <w:rPr>
          <w:rFonts w:ascii="Arial" w:hAnsi="Arial" w:cs="Arial"/>
        </w:rPr>
        <w:t>b</w:t>
      </w:r>
      <w:r w:rsidRPr="00D720DA">
        <w:rPr>
          <w:rFonts w:ascii="Arial" w:hAnsi="Arial" w:cs="Arial"/>
        </w:rPr>
        <w:t>). Heads of Agencies were also granted the power to extend fixed-term contracts (SSMO, 2020, p. 7).</w:t>
      </w:r>
    </w:p>
    <w:p w14:paraId="46926F6F" w14:textId="793EE5BF" w:rsidR="003457AE" w:rsidRPr="00D720DA" w:rsidRDefault="003457AE" w:rsidP="00C8424F">
      <w:pPr>
        <w:pStyle w:val="indentpara"/>
        <w:ind w:firstLine="0"/>
        <w:rPr>
          <w:rFonts w:ascii="Arial" w:hAnsi="Arial" w:cs="Arial"/>
          <w:b/>
          <w:bCs/>
        </w:rPr>
      </w:pPr>
      <w:r w:rsidRPr="00D720DA">
        <w:rPr>
          <w:rFonts w:ascii="Arial" w:hAnsi="Arial" w:cs="Arial"/>
        </w:rPr>
        <w:t xml:space="preserve">In </w:t>
      </w:r>
      <w:r w:rsidR="00D56088" w:rsidRPr="00D720DA">
        <w:rPr>
          <w:rFonts w:ascii="Arial" w:hAnsi="Arial" w:cs="Arial"/>
        </w:rPr>
        <w:t xml:space="preserve">April </w:t>
      </w:r>
      <w:r w:rsidRPr="00D720DA">
        <w:rPr>
          <w:rFonts w:ascii="Arial" w:hAnsi="Arial" w:cs="Arial"/>
        </w:rPr>
        <w:t>2020, the Tasmanian Government established the Premier’s Economic and Social Recovery Advisory Council (PESRAC) (</w:t>
      </w:r>
      <w:proofErr w:type="spellStart"/>
      <w:r w:rsidRPr="00D720DA">
        <w:rPr>
          <w:rFonts w:ascii="Arial" w:hAnsi="Arial" w:cs="Arial"/>
        </w:rPr>
        <w:t>Gutwein</w:t>
      </w:r>
      <w:proofErr w:type="spellEnd"/>
      <w:r w:rsidRPr="00D720DA">
        <w:rPr>
          <w:rFonts w:ascii="Arial" w:hAnsi="Arial" w:cs="Arial"/>
        </w:rPr>
        <w:t xml:space="preserve">, 2020, Jul 20). Chaired by former Treasury and Finance Secretary Don </w:t>
      </w:r>
      <w:proofErr w:type="spellStart"/>
      <w:r w:rsidRPr="00D720DA">
        <w:rPr>
          <w:rFonts w:ascii="Arial" w:hAnsi="Arial" w:cs="Arial"/>
        </w:rPr>
        <w:t>Challen</w:t>
      </w:r>
      <w:proofErr w:type="spellEnd"/>
      <w:r w:rsidRPr="00D720DA">
        <w:rPr>
          <w:rFonts w:ascii="Arial" w:hAnsi="Arial" w:cs="Arial"/>
        </w:rPr>
        <w:t>, Council members include representatives from the university, tourism, infrastructure, business and industry, local government and social policy sectors.</w:t>
      </w:r>
      <w:r w:rsidRPr="00D720DA">
        <w:rPr>
          <w:rFonts w:ascii="Arial" w:hAnsi="Arial" w:cs="Arial"/>
          <w:b/>
          <w:bCs/>
        </w:rPr>
        <w:t xml:space="preserve"> </w:t>
      </w:r>
      <w:r w:rsidRPr="00D720DA">
        <w:rPr>
          <w:rFonts w:ascii="Arial" w:hAnsi="Arial" w:cs="Arial"/>
        </w:rPr>
        <w:t>The Council’s Interim Report in July included 64 recommendations, including that “the State Government should accelerate the Tasmanian State Service Review” (PESRAC, 2020</w:t>
      </w:r>
      <w:r w:rsidR="008039F7" w:rsidRPr="00D720DA">
        <w:rPr>
          <w:rFonts w:ascii="Arial" w:hAnsi="Arial" w:cs="Arial"/>
        </w:rPr>
        <w:t>, p.</w:t>
      </w:r>
      <w:r w:rsidRPr="00D720DA">
        <w:rPr>
          <w:rFonts w:ascii="Arial" w:hAnsi="Arial" w:cs="Arial"/>
        </w:rPr>
        <w:t xml:space="preserve"> 66). </w:t>
      </w:r>
    </w:p>
    <w:p w14:paraId="530DAB05" w14:textId="763CB782" w:rsidR="00A054C1" w:rsidRPr="00D720DA" w:rsidRDefault="005B1408" w:rsidP="00C8424F">
      <w:pPr>
        <w:pStyle w:val="NoSpacing"/>
        <w:ind w:firstLine="0"/>
        <w:rPr>
          <w:rFonts w:ascii="Arial" w:hAnsi="Arial" w:cs="Arial"/>
        </w:rPr>
      </w:pPr>
      <w:r w:rsidRPr="00D720DA">
        <w:rPr>
          <w:rFonts w:ascii="Arial" w:hAnsi="Arial" w:cs="Arial"/>
        </w:rPr>
        <w:t>In November 2020, the Interim Report of the Review of the TSS (Watt, 2020) recommended that the SSMO</w:t>
      </w:r>
      <w:r w:rsidR="008039F7" w:rsidRPr="00D720DA">
        <w:rPr>
          <w:rFonts w:ascii="Arial" w:hAnsi="Arial" w:cs="Arial"/>
        </w:rPr>
        <w:t>:</w:t>
      </w:r>
      <w:r w:rsidRPr="00D720DA">
        <w:rPr>
          <w:rFonts w:ascii="Arial" w:hAnsi="Arial" w:cs="Arial"/>
        </w:rPr>
        <w:t xml:space="preserve"> </w:t>
      </w:r>
    </w:p>
    <w:p w14:paraId="16F2294B" w14:textId="2E5A236C" w:rsidR="005B1408" w:rsidRPr="00D720DA" w:rsidRDefault="005B1408" w:rsidP="008039F7">
      <w:pPr>
        <w:ind w:left="720"/>
        <w:rPr>
          <w:rFonts w:ascii="Arial" w:hAnsi="Arial" w:cs="Arial"/>
          <w:i/>
          <w:iCs/>
        </w:rPr>
      </w:pPr>
      <w:r w:rsidRPr="00D720DA">
        <w:rPr>
          <w:rFonts w:ascii="Arial" w:hAnsi="Arial" w:cs="Arial"/>
          <w:i/>
          <w:iCs/>
        </w:rPr>
        <w:t xml:space="preserve">urgently develop a short set of principles for working away from the office in the Tasmanian State Service, drawing extensively on existing agency arrangements and resources and taking into consideration benefits and cautions such as those outlined above, to provide a consistent, underlying basis for individual agency policies </w:t>
      </w:r>
      <w:r w:rsidRPr="00D720DA">
        <w:rPr>
          <w:rFonts w:ascii="Arial" w:hAnsi="Arial" w:cs="Arial"/>
        </w:rPr>
        <w:t>(Rec. 12).</w:t>
      </w:r>
    </w:p>
    <w:p w14:paraId="6326E0A9" w14:textId="6C7DE57F" w:rsidR="005B1408" w:rsidRPr="00D720DA" w:rsidRDefault="005B1408" w:rsidP="00C8424F">
      <w:pPr>
        <w:pStyle w:val="NoSpacing"/>
        <w:ind w:firstLine="0"/>
        <w:rPr>
          <w:rFonts w:ascii="Arial" w:hAnsi="Arial" w:cs="Arial"/>
        </w:rPr>
      </w:pPr>
      <w:r w:rsidRPr="00D720DA">
        <w:rPr>
          <w:rFonts w:ascii="Arial" w:hAnsi="Arial" w:cs="Arial"/>
        </w:rPr>
        <w:t xml:space="preserve">The report also suggested that youth and women’s employment should be high priorities for the TSS to replenish the workforce and aid recovery (Watt, 2020: 49). While the TSS has well-established </w:t>
      </w:r>
      <w:r w:rsidR="006E1E84" w:rsidRPr="00D720DA">
        <w:rPr>
          <w:rFonts w:ascii="Arial" w:hAnsi="Arial" w:cs="Arial"/>
        </w:rPr>
        <w:t>“i</w:t>
      </w:r>
      <w:r w:rsidRPr="00D720DA">
        <w:rPr>
          <w:rFonts w:ascii="Arial" w:hAnsi="Arial" w:cs="Arial"/>
        </w:rPr>
        <w:t>nter</w:t>
      </w:r>
      <w:r w:rsidR="0030748E" w:rsidRPr="00D720DA">
        <w:rPr>
          <w:rFonts w:ascii="Arial" w:hAnsi="Arial" w:cs="Arial"/>
        </w:rPr>
        <w:t>-</w:t>
      </w:r>
      <w:r w:rsidRPr="00D720DA">
        <w:rPr>
          <w:rFonts w:ascii="Arial" w:hAnsi="Arial" w:cs="Arial"/>
        </w:rPr>
        <w:t xml:space="preserve">operability </w:t>
      </w:r>
      <w:r w:rsidR="006E1E84" w:rsidRPr="00D720DA">
        <w:rPr>
          <w:rFonts w:ascii="Arial" w:hAnsi="Arial" w:cs="Arial"/>
        </w:rPr>
        <w:t>a</w:t>
      </w:r>
      <w:r w:rsidRPr="00D720DA">
        <w:rPr>
          <w:rFonts w:ascii="Arial" w:hAnsi="Arial" w:cs="Arial"/>
        </w:rPr>
        <w:t>rrangements</w:t>
      </w:r>
      <w:r w:rsidR="006E1E84" w:rsidRPr="00D720DA">
        <w:rPr>
          <w:rFonts w:ascii="Arial" w:hAnsi="Arial" w:cs="Arial"/>
        </w:rPr>
        <w:t>”</w:t>
      </w:r>
      <w:r w:rsidRPr="00D720DA">
        <w:rPr>
          <w:rFonts w:ascii="Arial" w:hAnsi="Arial" w:cs="Arial"/>
        </w:rPr>
        <w:t xml:space="preserve"> for rapid deployment of staff across agencies, Watt (2000</w:t>
      </w:r>
      <w:r w:rsidR="008039F7" w:rsidRPr="00D720DA">
        <w:rPr>
          <w:rFonts w:ascii="Arial" w:hAnsi="Arial" w:cs="Arial"/>
        </w:rPr>
        <w:t>, p. 50</w:t>
      </w:r>
      <w:r w:rsidRPr="00D720DA">
        <w:rPr>
          <w:rFonts w:ascii="Arial" w:hAnsi="Arial" w:cs="Arial"/>
        </w:rPr>
        <w:t>) argued that effective surge capacity planning was needed to enhance future emergency responses.</w:t>
      </w:r>
    </w:p>
    <w:p w14:paraId="658598FF" w14:textId="0F967E9A" w:rsidR="005B1408" w:rsidRPr="00D720DA" w:rsidRDefault="005B1408" w:rsidP="00C8424F">
      <w:pPr>
        <w:pStyle w:val="NoSpacing"/>
        <w:ind w:firstLine="0"/>
        <w:rPr>
          <w:rFonts w:ascii="Arial" w:hAnsi="Arial" w:cs="Arial"/>
        </w:rPr>
      </w:pPr>
      <w:r w:rsidRPr="00D720DA">
        <w:rPr>
          <w:rFonts w:ascii="Arial" w:hAnsi="Arial" w:cs="Arial"/>
        </w:rPr>
        <w:t>In terms of working from home, the Review was persuaded that the TSS should not revert to the pre-COVID status quo, arguing that working from home was “here to stay” (Watt, 2020</w:t>
      </w:r>
      <w:r w:rsidR="008039F7" w:rsidRPr="00D720DA">
        <w:rPr>
          <w:rFonts w:ascii="Arial" w:hAnsi="Arial" w:cs="Arial"/>
        </w:rPr>
        <w:t>, p. 58</w:t>
      </w:r>
      <w:r w:rsidRPr="00D720DA">
        <w:rPr>
          <w:rFonts w:ascii="Arial" w:hAnsi="Arial" w:cs="Arial"/>
        </w:rPr>
        <w:t>). However, a “patchwork of agency-specific policies” highlighted the need for service-wide principles to underpin future arrangements (Watt, 2020</w:t>
      </w:r>
      <w:r w:rsidR="008039F7" w:rsidRPr="00D720DA">
        <w:rPr>
          <w:rFonts w:ascii="Arial" w:hAnsi="Arial" w:cs="Arial"/>
        </w:rPr>
        <w:t>, p.</w:t>
      </w:r>
      <w:r w:rsidRPr="00D720DA">
        <w:rPr>
          <w:rFonts w:ascii="Arial" w:hAnsi="Arial" w:cs="Arial"/>
        </w:rPr>
        <w:t>58).</w:t>
      </w:r>
    </w:p>
    <w:p w14:paraId="1B83997D" w14:textId="114AE640" w:rsidR="00D56088" w:rsidRPr="00D720DA" w:rsidRDefault="00D56088" w:rsidP="00C8424F">
      <w:pPr>
        <w:pStyle w:val="NoSpacing"/>
        <w:ind w:firstLine="0"/>
        <w:rPr>
          <w:rFonts w:ascii="Arial" w:hAnsi="Arial" w:cs="Arial"/>
        </w:rPr>
      </w:pPr>
      <w:r w:rsidRPr="00D720DA">
        <w:rPr>
          <w:rFonts w:ascii="Arial" w:hAnsi="Arial" w:cs="Arial"/>
        </w:rPr>
        <w:lastRenderedPageBreak/>
        <w:t xml:space="preserve">PESRACs Final Report was delivered in March 2021 providing advice on long-term post-pandemic social and economic recovery, noting that the </w:t>
      </w:r>
      <w:r w:rsidR="00290A27" w:rsidRPr="00D720DA">
        <w:rPr>
          <w:rFonts w:ascii="Arial" w:hAnsi="Arial" w:cs="Arial"/>
        </w:rPr>
        <w:t xml:space="preserve">public sector would “shoulder much of the load” and that the </w:t>
      </w:r>
      <w:r w:rsidRPr="00D720DA">
        <w:rPr>
          <w:rFonts w:ascii="Arial" w:hAnsi="Arial" w:cs="Arial"/>
        </w:rPr>
        <w:t>Final Report of the State Service Review w</w:t>
      </w:r>
      <w:r w:rsidR="00290A27" w:rsidRPr="00D720DA">
        <w:rPr>
          <w:rFonts w:ascii="Arial" w:hAnsi="Arial" w:cs="Arial"/>
        </w:rPr>
        <w:t xml:space="preserve">ill </w:t>
      </w:r>
      <w:r w:rsidRPr="00D720DA">
        <w:rPr>
          <w:rFonts w:ascii="Arial" w:hAnsi="Arial" w:cs="Arial"/>
        </w:rPr>
        <w:t xml:space="preserve">be </w:t>
      </w:r>
      <w:r w:rsidR="00290A27" w:rsidRPr="00D720DA">
        <w:rPr>
          <w:rFonts w:ascii="Arial" w:hAnsi="Arial" w:cs="Arial"/>
        </w:rPr>
        <w:t xml:space="preserve">central to ensuring the State Service is </w:t>
      </w:r>
      <w:r w:rsidRPr="00D720DA">
        <w:rPr>
          <w:rFonts w:ascii="Arial" w:hAnsi="Arial" w:cs="Arial"/>
        </w:rPr>
        <w:t>“fit-for-the-future” (PESRAC, 2021, p 11).</w:t>
      </w:r>
    </w:p>
    <w:p w14:paraId="301F666A" w14:textId="4D570FA9" w:rsidR="001512D2" w:rsidRPr="00D720DA" w:rsidRDefault="001512D2" w:rsidP="00C8424F">
      <w:pPr>
        <w:pStyle w:val="NoSpacing"/>
        <w:ind w:firstLine="0"/>
        <w:rPr>
          <w:rFonts w:ascii="Arial" w:hAnsi="Arial" w:cs="Arial"/>
        </w:rPr>
      </w:pPr>
      <w:r w:rsidRPr="00D720DA">
        <w:rPr>
          <w:rFonts w:ascii="Arial" w:hAnsi="Arial" w:cs="Arial"/>
        </w:rPr>
        <w:t>The following table illustrates Tasmanian State Service measures in response to the GFC and COVID-19 pandemic.</w:t>
      </w:r>
    </w:p>
    <w:p w14:paraId="24E6338F" w14:textId="77777777" w:rsidR="008039F7" w:rsidRPr="00D720DA" w:rsidRDefault="008039F7" w:rsidP="001512D2">
      <w:pPr>
        <w:pStyle w:val="NoSpacing"/>
        <w:rPr>
          <w:rFonts w:ascii="Arial" w:hAnsi="Arial" w:cs="Arial"/>
        </w:rPr>
      </w:pPr>
    </w:p>
    <w:p w14:paraId="53C0DB89" w14:textId="1024D148" w:rsidR="00D90F95" w:rsidRPr="00D720DA" w:rsidRDefault="00D90F95" w:rsidP="00D90F95">
      <w:pPr>
        <w:pStyle w:val="Table"/>
        <w:rPr>
          <w:rFonts w:ascii="Arial" w:hAnsi="Arial" w:cs="Arial"/>
          <w:b/>
          <w:bCs/>
        </w:rPr>
      </w:pPr>
      <w:r w:rsidRPr="00D720DA">
        <w:rPr>
          <w:rFonts w:ascii="Arial" w:hAnsi="Arial" w:cs="Arial"/>
          <w:b/>
          <w:bCs/>
        </w:rPr>
        <w:t>Summary of crisis responses</w:t>
      </w:r>
    </w:p>
    <w:tbl>
      <w:tblPr>
        <w:tblStyle w:val="TableGrid"/>
        <w:tblW w:w="10060" w:type="dxa"/>
        <w:tblLayout w:type="fixed"/>
        <w:tblLook w:val="04A0" w:firstRow="1" w:lastRow="0" w:firstColumn="1" w:lastColumn="0" w:noHBand="0" w:noVBand="1"/>
      </w:tblPr>
      <w:tblGrid>
        <w:gridCol w:w="846"/>
        <w:gridCol w:w="850"/>
        <w:gridCol w:w="2127"/>
        <w:gridCol w:w="2126"/>
        <w:gridCol w:w="1984"/>
        <w:gridCol w:w="2127"/>
      </w:tblGrid>
      <w:tr w:rsidR="00D90F95" w:rsidRPr="00D720DA" w14:paraId="4E8F687C" w14:textId="77777777" w:rsidTr="00D90F95">
        <w:trPr>
          <w:tblHeader/>
        </w:trPr>
        <w:tc>
          <w:tcPr>
            <w:tcW w:w="846" w:type="dxa"/>
            <w:shd w:val="clear" w:color="auto" w:fill="BFBFBF" w:themeFill="background1" w:themeFillShade="BF"/>
          </w:tcPr>
          <w:p w14:paraId="463F159F" w14:textId="77777777" w:rsidR="00D90F95" w:rsidRPr="00D720DA" w:rsidRDefault="00D90F95" w:rsidP="00816A17">
            <w:pPr>
              <w:spacing w:before="60" w:after="60"/>
              <w:ind w:left="20" w:right="-105"/>
              <w:rPr>
                <w:rFonts w:ascii="Arial" w:hAnsi="Arial" w:cs="Arial"/>
                <w:b/>
                <w:bCs/>
                <w:sz w:val="20"/>
                <w:szCs w:val="20"/>
              </w:rPr>
            </w:pPr>
            <w:r w:rsidRPr="00D720DA">
              <w:rPr>
                <w:rFonts w:ascii="Arial" w:hAnsi="Arial" w:cs="Arial"/>
                <w:b/>
                <w:bCs/>
                <w:sz w:val="20"/>
                <w:szCs w:val="20"/>
              </w:rPr>
              <w:t>Crisis</w:t>
            </w:r>
          </w:p>
        </w:tc>
        <w:tc>
          <w:tcPr>
            <w:tcW w:w="850" w:type="dxa"/>
            <w:shd w:val="clear" w:color="auto" w:fill="BFBFBF" w:themeFill="background1" w:themeFillShade="BF"/>
          </w:tcPr>
          <w:p w14:paraId="7D2D4C93" w14:textId="77777777" w:rsidR="00D90F95" w:rsidRPr="00D720DA" w:rsidRDefault="00D90F95" w:rsidP="00816A17">
            <w:pPr>
              <w:spacing w:before="60" w:after="60"/>
              <w:ind w:left="20" w:right="20"/>
              <w:rPr>
                <w:rFonts w:ascii="Arial" w:hAnsi="Arial" w:cs="Arial"/>
                <w:b/>
                <w:bCs/>
                <w:sz w:val="20"/>
                <w:szCs w:val="20"/>
              </w:rPr>
            </w:pPr>
            <w:r w:rsidRPr="00D720DA">
              <w:rPr>
                <w:rFonts w:ascii="Arial" w:hAnsi="Arial" w:cs="Arial"/>
                <w:b/>
                <w:bCs/>
                <w:sz w:val="20"/>
                <w:szCs w:val="20"/>
              </w:rPr>
              <w:t>Party</w:t>
            </w:r>
          </w:p>
        </w:tc>
        <w:tc>
          <w:tcPr>
            <w:tcW w:w="2127" w:type="dxa"/>
            <w:shd w:val="clear" w:color="auto" w:fill="BFBFBF" w:themeFill="background1" w:themeFillShade="BF"/>
          </w:tcPr>
          <w:p w14:paraId="4DDF9F1C" w14:textId="77777777" w:rsidR="00D90F95" w:rsidRPr="00D720DA" w:rsidRDefault="00D90F95" w:rsidP="00816A17">
            <w:pPr>
              <w:spacing w:before="60" w:after="60"/>
              <w:ind w:left="20" w:right="20"/>
              <w:rPr>
                <w:rFonts w:ascii="Arial" w:hAnsi="Arial" w:cs="Arial"/>
                <w:b/>
                <w:bCs/>
                <w:sz w:val="20"/>
                <w:szCs w:val="20"/>
              </w:rPr>
            </w:pPr>
            <w:r w:rsidRPr="00D720DA">
              <w:rPr>
                <w:rFonts w:ascii="Arial" w:hAnsi="Arial" w:cs="Arial"/>
                <w:b/>
                <w:bCs/>
                <w:sz w:val="20"/>
                <w:szCs w:val="20"/>
              </w:rPr>
              <w:t>Pay approach</w:t>
            </w:r>
          </w:p>
        </w:tc>
        <w:tc>
          <w:tcPr>
            <w:tcW w:w="2126" w:type="dxa"/>
            <w:shd w:val="clear" w:color="auto" w:fill="BFBFBF" w:themeFill="background1" w:themeFillShade="BF"/>
          </w:tcPr>
          <w:p w14:paraId="16E7CAD1" w14:textId="77777777" w:rsidR="00D90F95" w:rsidRPr="00D720DA" w:rsidRDefault="00D90F95" w:rsidP="00816A17">
            <w:pPr>
              <w:spacing w:before="60" w:after="60"/>
              <w:ind w:left="20" w:right="20"/>
              <w:rPr>
                <w:rFonts w:ascii="Arial" w:hAnsi="Arial" w:cs="Arial"/>
                <w:b/>
                <w:bCs/>
                <w:sz w:val="20"/>
                <w:szCs w:val="20"/>
              </w:rPr>
            </w:pPr>
            <w:r w:rsidRPr="00D720DA">
              <w:rPr>
                <w:rFonts w:ascii="Arial" w:hAnsi="Arial" w:cs="Arial"/>
                <w:b/>
                <w:bCs/>
                <w:sz w:val="20"/>
                <w:szCs w:val="20"/>
              </w:rPr>
              <w:t>Recruitment</w:t>
            </w:r>
          </w:p>
        </w:tc>
        <w:tc>
          <w:tcPr>
            <w:tcW w:w="1984" w:type="dxa"/>
            <w:shd w:val="clear" w:color="auto" w:fill="BFBFBF" w:themeFill="background1" w:themeFillShade="BF"/>
          </w:tcPr>
          <w:p w14:paraId="555C7F01" w14:textId="77777777" w:rsidR="00D90F95" w:rsidRPr="00D720DA" w:rsidRDefault="00D90F95" w:rsidP="00816A17">
            <w:pPr>
              <w:spacing w:before="60" w:after="60"/>
              <w:ind w:left="20" w:right="20"/>
              <w:rPr>
                <w:rFonts w:ascii="Arial" w:hAnsi="Arial" w:cs="Arial"/>
                <w:b/>
                <w:bCs/>
                <w:sz w:val="20"/>
                <w:szCs w:val="20"/>
              </w:rPr>
            </w:pPr>
            <w:r w:rsidRPr="00D720DA">
              <w:rPr>
                <w:rFonts w:ascii="Arial" w:hAnsi="Arial" w:cs="Arial"/>
                <w:b/>
                <w:bCs/>
                <w:sz w:val="20"/>
                <w:szCs w:val="20"/>
              </w:rPr>
              <w:t>Downsizing (</w:t>
            </w:r>
            <w:proofErr w:type="spellStart"/>
            <w:r w:rsidRPr="00D720DA">
              <w:rPr>
                <w:rFonts w:ascii="Arial" w:hAnsi="Arial" w:cs="Arial"/>
                <w:b/>
                <w:bCs/>
                <w:sz w:val="20"/>
                <w:szCs w:val="20"/>
              </w:rPr>
              <w:t>approx</w:t>
            </w:r>
            <w:proofErr w:type="spellEnd"/>
            <w:r w:rsidRPr="00D720DA">
              <w:rPr>
                <w:rFonts w:ascii="Arial" w:hAnsi="Arial" w:cs="Arial"/>
                <w:b/>
                <w:bCs/>
                <w:sz w:val="20"/>
                <w:szCs w:val="20"/>
              </w:rPr>
              <w:t xml:space="preserve"> n)</w:t>
            </w:r>
          </w:p>
        </w:tc>
        <w:tc>
          <w:tcPr>
            <w:tcW w:w="2127" w:type="dxa"/>
            <w:shd w:val="clear" w:color="auto" w:fill="BFBFBF" w:themeFill="background1" w:themeFillShade="BF"/>
          </w:tcPr>
          <w:p w14:paraId="5881235A" w14:textId="77777777" w:rsidR="00D90F95" w:rsidRPr="00D720DA" w:rsidRDefault="00D90F95" w:rsidP="00816A17">
            <w:pPr>
              <w:spacing w:before="60" w:after="60"/>
              <w:ind w:left="20" w:right="20"/>
              <w:rPr>
                <w:rFonts w:ascii="Arial" w:hAnsi="Arial" w:cs="Arial"/>
                <w:b/>
                <w:bCs/>
                <w:sz w:val="20"/>
                <w:szCs w:val="20"/>
              </w:rPr>
            </w:pPr>
            <w:r w:rsidRPr="00D720DA">
              <w:rPr>
                <w:rFonts w:ascii="Arial" w:hAnsi="Arial" w:cs="Arial"/>
                <w:b/>
                <w:bCs/>
                <w:sz w:val="20"/>
                <w:szCs w:val="20"/>
              </w:rPr>
              <w:t>SES</w:t>
            </w:r>
          </w:p>
        </w:tc>
      </w:tr>
      <w:tr w:rsidR="00D90F95" w:rsidRPr="00D720DA" w14:paraId="696E65CD" w14:textId="77777777" w:rsidTr="00D90F95">
        <w:tc>
          <w:tcPr>
            <w:tcW w:w="846" w:type="dxa"/>
          </w:tcPr>
          <w:p w14:paraId="6EA82C18" w14:textId="77777777" w:rsidR="00D90F95" w:rsidRPr="00D720DA" w:rsidRDefault="00D90F95" w:rsidP="00816A17">
            <w:pPr>
              <w:spacing w:before="60" w:after="60"/>
              <w:ind w:left="20" w:right="20"/>
              <w:rPr>
                <w:rFonts w:ascii="Arial" w:hAnsi="Arial" w:cs="Arial"/>
                <w:b/>
                <w:bCs/>
                <w:sz w:val="20"/>
                <w:szCs w:val="20"/>
              </w:rPr>
            </w:pPr>
            <w:r w:rsidRPr="00D720DA">
              <w:rPr>
                <w:rFonts w:ascii="Arial" w:hAnsi="Arial" w:cs="Arial"/>
                <w:b/>
                <w:bCs/>
                <w:sz w:val="20"/>
                <w:szCs w:val="20"/>
              </w:rPr>
              <w:t>GFC</w:t>
            </w:r>
          </w:p>
        </w:tc>
        <w:tc>
          <w:tcPr>
            <w:tcW w:w="850" w:type="dxa"/>
          </w:tcPr>
          <w:p w14:paraId="44B086C2" w14:textId="77777777" w:rsidR="00D90F95" w:rsidRPr="00D720DA" w:rsidRDefault="00D90F95" w:rsidP="00816A17">
            <w:pPr>
              <w:spacing w:before="60" w:after="60"/>
              <w:ind w:left="20" w:right="20"/>
              <w:rPr>
                <w:rFonts w:ascii="Arial" w:hAnsi="Arial" w:cs="Arial"/>
                <w:b/>
                <w:bCs/>
                <w:sz w:val="20"/>
                <w:szCs w:val="20"/>
              </w:rPr>
            </w:pPr>
            <w:proofErr w:type="spellStart"/>
            <w:r w:rsidRPr="00D720DA">
              <w:rPr>
                <w:rFonts w:ascii="Arial" w:hAnsi="Arial" w:cs="Arial"/>
                <w:b/>
                <w:bCs/>
                <w:sz w:val="20"/>
                <w:szCs w:val="20"/>
              </w:rPr>
              <w:t>Labor</w:t>
            </w:r>
            <w:proofErr w:type="spellEnd"/>
          </w:p>
        </w:tc>
        <w:tc>
          <w:tcPr>
            <w:tcW w:w="2127" w:type="dxa"/>
          </w:tcPr>
          <w:p w14:paraId="432EAC00" w14:textId="77777777" w:rsidR="00D90F95" w:rsidRPr="00D720DA" w:rsidRDefault="00D90F95" w:rsidP="00816A17">
            <w:pPr>
              <w:spacing w:before="60" w:after="60"/>
              <w:ind w:left="20" w:right="20"/>
              <w:rPr>
                <w:rFonts w:ascii="Arial" w:hAnsi="Arial" w:cs="Arial"/>
                <w:sz w:val="20"/>
                <w:szCs w:val="20"/>
              </w:rPr>
            </w:pPr>
            <w:r w:rsidRPr="00D720DA">
              <w:rPr>
                <w:rFonts w:ascii="Arial" w:hAnsi="Arial" w:cs="Arial"/>
                <w:sz w:val="20"/>
                <w:szCs w:val="20"/>
              </w:rPr>
              <w:t>Honoured 3.5% increases for 2008–2011</w:t>
            </w:r>
          </w:p>
        </w:tc>
        <w:tc>
          <w:tcPr>
            <w:tcW w:w="2126" w:type="dxa"/>
          </w:tcPr>
          <w:p w14:paraId="70894893" w14:textId="77777777" w:rsidR="00D90F95" w:rsidRPr="00D720DA" w:rsidRDefault="00D90F95" w:rsidP="00816A17">
            <w:pPr>
              <w:spacing w:before="60" w:after="60"/>
              <w:ind w:left="20" w:right="20"/>
              <w:rPr>
                <w:rFonts w:ascii="Arial" w:hAnsi="Arial" w:cs="Arial"/>
                <w:sz w:val="20"/>
                <w:szCs w:val="20"/>
              </w:rPr>
            </w:pPr>
            <w:r w:rsidRPr="00D720DA">
              <w:rPr>
                <w:rFonts w:ascii="Arial" w:hAnsi="Arial" w:cs="Arial"/>
                <w:sz w:val="20"/>
                <w:szCs w:val="20"/>
              </w:rPr>
              <w:t>Vacancy management scheme: 20% reduction in job ads slowed growth to less than 0.3%</w:t>
            </w:r>
          </w:p>
        </w:tc>
        <w:tc>
          <w:tcPr>
            <w:tcW w:w="1984" w:type="dxa"/>
          </w:tcPr>
          <w:p w14:paraId="5DB221AB" w14:textId="77777777" w:rsidR="00D90F95" w:rsidRPr="00D720DA" w:rsidRDefault="00D90F95" w:rsidP="00816A17">
            <w:pPr>
              <w:spacing w:before="60" w:after="60"/>
              <w:ind w:left="20" w:right="20"/>
              <w:rPr>
                <w:rFonts w:ascii="Arial" w:hAnsi="Arial" w:cs="Arial"/>
                <w:sz w:val="20"/>
                <w:szCs w:val="20"/>
              </w:rPr>
            </w:pPr>
            <w:r w:rsidRPr="00D720DA">
              <w:rPr>
                <w:rFonts w:ascii="Arial" w:hAnsi="Arial" w:cs="Arial"/>
                <w:sz w:val="20"/>
                <w:szCs w:val="20"/>
              </w:rPr>
              <w:t>Natural attrition and severance incentive payments for 2300 fewer jobs.</w:t>
            </w:r>
          </w:p>
        </w:tc>
        <w:tc>
          <w:tcPr>
            <w:tcW w:w="2127" w:type="dxa"/>
          </w:tcPr>
          <w:p w14:paraId="15C2771D" w14:textId="77777777" w:rsidR="00D90F95" w:rsidRPr="00D720DA" w:rsidRDefault="00D90F95" w:rsidP="00816A17">
            <w:pPr>
              <w:spacing w:before="60" w:after="60"/>
              <w:ind w:left="20" w:right="20"/>
              <w:rPr>
                <w:rFonts w:ascii="Arial" w:hAnsi="Arial" w:cs="Arial"/>
                <w:b/>
                <w:bCs/>
                <w:sz w:val="20"/>
                <w:szCs w:val="20"/>
              </w:rPr>
            </w:pPr>
          </w:p>
        </w:tc>
      </w:tr>
      <w:tr w:rsidR="00D90F95" w:rsidRPr="00D720DA" w14:paraId="2AC849C0" w14:textId="77777777" w:rsidTr="00D90F95">
        <w:tc>
          <w:tcPr>
            <w:tcW w:w="846" w:type="dxa"/>
          </w:tcPr>
          <w:p w14:paraId="4B445ECF" w14:textId="77777777" w:rsidR="00D90F95" w:rsidRPr="00D720DA" w:rsidRDefault="00D90F95" w:rsidP="00816A17">
            <w:pPr>
              <w:spacing w:before="60" w:after="60"/>
              <w:ind w:left="20" w:right="20"/>
              <w:rPr>
                <w:rFonts w:ascii="Arial" w:hAnsi="Arial" w:cs="Arial"/>
                <w:b/>
                <w:bCs/>
                <w:sz w:val="20"/>
                <w:szCs w:val="20"/>
              </w:rPr>
            </w:pPr>
            <w:r w:rsidRPr="00D720DA">
              <w:rPr>
                <w:rFonts w:ascii="Arial" w:hAnsi="Arial" w:cs="Arial"/>
                <w:b/>
                <w:bCs/>
                <w:sz w:val="20"/>
                <w:szCs w:val="20"/>
              </w:rPr>
              <w:t>COVID</w:t>
            </w:r>
          </w:p>
        </w:tc>
        <w:tc>
          <w:tcPr>
            <w:tcW w:w="850" w:type="dxa"/>
          </w:tcPr>
          <w:p w14:paraId="18F61646" w14:textId="77777777" w:rsidR="00D90F95" w:rsidRPr="00D720DA" w:rsidRDefault="00D90F95" w:rsidP="00816A17">
            <w:pPr>
              <w:spacing w:before="60" w:after="60"/>
              <w:ind w:left="20" w:right="20"/>
              <w:rPr>
                <w:rFonts w:ascii="Arial" w:hAnsi="Arial" w:cs="Arial"/>
                <w:b/>
                <w:bCs/>
                <w:sz w:val="20"/>
                <w:szCs w:val="20"/>
              </w:rPr>
            </w:pPr>
            <w:r w:rsidRPr="00D720DA">
              <w:rPr>
                <w:rFonts w:ascii="Arial" w:hAnsi="Arial" w:cs="Arial"/>
                <w:b/>
                <w:bCs/>
                <w:sz w:val="20"/>
                <w:szCs w:val="20"/>
              </w:rPr>
              <w:t>Liberal</w:t>
            </w:r>
          </w:p>
        </w:tc>
        <w:tc>
          <w:tcPr>
            <w:tcW w:w="2127" w:type="dxa"/>
          </w:tcPr>
          <w:p w14:paraId="33C14490" w14:textId="77777777" w:rsidR="00D90F95" w:rsidRPr="00D720DA" w:rsidRDefault="00D90F95" w:rsidP="00816A17">
            <w:pPr>
              <w:spacing w:before="60" w:after="60"/>
              <w:ind w:left="20" w:right="20"/>
              <w:rPr>
                <w:rFonts w:ascii="Arial" w:hAnsi="Arial" w:cs="Arial"/>
                <w:sz w:val="20"/>
                <w:szCs w:val="20"/>
              </w:rPr>
            </w:pPr>
            <w:r w:rsidRPr="00D720DA">
              <w:rPr>
                <w:rFonts w:ascii="Arial" w:hAnsi="Arial" w:cs="Arial"/>
                <w:sz w:val="20"/>
                <w:szCs w:val="20"/>
              </w:rPr>
              <w:t>Honoured existing agreements.</w:t>
            </w:r>
          </w:p>
        </w:tc>
        <w:tc>
          <w:tcPr>
            <w:tcW w:w="2126" w:type="dxa"/>
          </w:tcPr>
          <w:p w14:paraId="18700695" w14:textId="77777777" w:rsidR="00D90F95" w:rsidRPr="00D720DA" w:rsidRDefault="00D90F95" w:rsidP="00816A17">
            <w:pPr>
              <w:spacing w:before="60" w:after="60"/>
              <w:ind w:left="20" w:right="20"/>
              <w:rPr>
                <w:rFonts w:ascii="Arial" w:hAnsi="Arial" w:cs="Arial"/>
                <w:sz w:val="20"/>
                <w:szCs w:val="20"/>
              </w:rPr>
            </w:pPr>
          </w:p>
        </w:tc>
        <w:tc>
          <w:tcPr>
            <w:tcW w:w="1984" w:type="dxa"/>
          </w:tcPr>
          <w:p w14:paraId="1CB9336F" w14:textId="77777777" w:rsidR="00D90F95" w:rsidRPr="00D720DA" w:rsidRDefault="00D90F95" w:rsidP="00816A17">
            <w:pPr>
              <w:spacing w:before="60" w:after="60"/>
              <w:ind w:left="20" w:right="20"/>
              <w:rPr>
                <w:rFonts w:ascii="Arial" w:hAnsi="Arial" w:cs="Arial"/>
                <w:sz w:val="20"/>
                <w:szCs w:val="20"/>
              </w:rPr>
            </w:pPr>
            <w:r w:rsidRPr="00D720DA">
              <w:rPr>
                <w:rFonts w:ascii="Arial" w:hAnsi="Arial" w:cs="Arial"/>
                <w:sz w:val="20"/>
                <w:szCs w:val="20"/>
              </w:rPr>
              <w:t xml:space="preserve">Nil </w:t>
            </w:r>
          </w:p>
        </w:tc>
        <w:tc>
          <w:tcPr>
            <w:tcW w:w="2127" w:type="dxa"/>
          </w:tcPr>
          <w:p w14:paraId="07F6F0BC" w14:textId="2A9379AE" w:rsidR="00D90F95" w:rsidRPr="00D720DA" w:rsidRDefault="000E6927" w:rsidP="00816A17">
            <w:pPr>
              <w:spacing w:before="60" w:after="60"/>
              <w:ind w:left="20" w:right="20"/>
              <w:rPr>
                <w:rFonts w:ascii="Arial" w:hAnsi="Arial" w:cs="Arial"/>
                <w:b/>
                <w:bCs/>
                <w:sz w:val="20"/>
                <w:szCs w:val="20"/>
              </w:rPr>
            </w:pPr>
            <w:r w:rsidRPr="00D720DA">
              <w:rPr>
                <w:rFonts w:ascii="Arial" w:hAnsi="Arial" w:cs="Arial"/>
                <w:sz w:val="20"/>
                <w:szCs w:val="20"/>
              </w:rPr>
              <w:t>SES increases expected July 2020, but initially deferred and later backdated.</w:t>
            </w:r>
          </w:p>
        </w:tc>
      </w:tr>
    </w:tbl>
    <w:p w14:paraId="77D272BB" w14:textId="34DA3BD0" w:rsidR="005B1408" w:rsidRPr="00D720DA" w:rsidRDefault="005B1408" w:rsidP="00CE18D7">
      <w:pPr>
        <w:ind w:firstLine="720"/>
        <w:rPr>
          <w:rFonts w:ascii="Arial" w:hAnsi="Arial" w:cs="Arial"/>
          <w:szCs w:val="24"/>
        </w:rPr>
      </w:pPr>
    </w:p>
    <w:p w14:paraId="33356C03" w14:textId="77777777" w:rsidR="006E1E84" w:rsidRPr="00D720DA" w:rsidRDefault="006E1E84" w:rsidP="00CE18D7">
      <w:pPr>
        <w:ind w:firstLine="720"/>
        <w:rPr>
          <w:rFonts w:ascii="Arial" w:hAnsi="Arial" w:cs="Arial"/>
          <w:szCs w:val="24"/>
        </w:rPr>
      </w:pPr>
    </w:p>
    <w:p w14:paraId="778B1691" w14:textId="4866629C" w:rsidR="00886F22" w:rsidRPr="00D720DA" w:rsidRDefault="008408AE" w:rsidP="00F0039C">
      <w:pPr>
        <w:pStyle w:val="Heading1"/>
        <w:ind w:left="431" w:hanging="431"/>
        <w:rPr>
          <w:rFonts w:ascii="Arial" w:hAnsi="Arial" w:cs="Arial"/>
        </w:rPr>
      </w:pPr>
      <w:bookmarkStart w:id="12" w:name="_Toc77356795"/>
      <w:bookmarkEnd w:id="2"/>
      <w:r w:rsidRPr="00D720DA">
        <w:rPr>
          <w:rFonts w:ascii="Arial" w:hAnsi="Arial" w:cs="Arial"/>
        </w:rPr>
        <w:t>T</w:t>
      </w:r>
      <w:r w:rsidR="009B520B" w:rsidRPr="00D720DA">
        <w:rPr>
          <w:rFonts w:ascii="Arial" w:hAnsi="Arial" w:cs="Arial"/>
        </w:rPr>
        <w:t>asmanian public service legislation</w:t>
      </w:r>
      <w:bookmarkEnd w:id="12"/>
    </w:p>
    <w:p w14:paraId="43F8B3EB" w14:textId="65973A3D" w:rsidR="009E0CA6" w:rsidRPr="00D720DA" w:rsidRDefault="009E0CA6" w:rsidP="00F0039C">
      <w:pPr>
        <w:pStyle w:val="Heading2"/>
        <w:spacing w:after="120"/>
        <w:ind w:left="578" w:hanging="578"/>
        <w:rPr>
          <w:rFonts w:ascii="Arial" w:hAnsi="Arial" w:cs="Arial"/>
          <w:u w:val="none"/>
        </w:rPr>
      </w:pPr>
      <w:bookmarkStart w:id="13" w:name="_Toc77356796"/>
      <w:r w:rsidRPr="00D720DA">
        <w:rPr>
          <w:rFonts w:ascii="Arial" w:hAnsi="Arial" w:cs="Arial"/>
          <w:u w:val="none"/>
        </w:rPr>
        <w:t>Historical background</w:t>
      </w:r>
      <w:bookmarkEnd w:id="13"/>
    </w:p>
    <w:p w14:paraId="1FB79044" w14:textId="072B07A9" w:rsidR="00E120F1" w:rsidRPr="00D720DA" w:rsidRDefault="004120E7" w:rsidP="00CA59ED">
      <w:pPr>
        <w:rPr>
          <w:rFonts w:ascii="Arial" w:hAnsi="Arial" w:cs="Arial"/>
        </w:rPr>
      </w:pPr>
      <w:r w:rsidRPr="00D720DA">
        <w:rPr>
          <w:rFonts w:ascii="Arial" w:hAnsi="Arial" w:cs="Arial"/>
          <w:color w:val="000000"/>
          <w:shd w:val="clear" w:color="auto" w:fill="FFFFFF"/>
        </w:rPr>
        <w:t xml:space="preserve">The </w:t>
      </w:r>
      <w:r w:rsidRPr="00D720DA">
        <w:rPr>
          <w:rFonts w:ascii="Arial" w:hAnsi="Arial" w:cs="Arial"/>
          <w:i/>
          <w:iCs/>
          <w:color w:val="000000"/>
          <w:shd w:val="clear" w:color="auto" w:fill="FFFFFF"/>
        </w:rPr>
        <w:t>Civil Service Act 1900</w:t>
      </w:r>
      <w:r w:rsidRPr="00D720DA">
        <w:rPr>
          <w:rFonts w:ascii="Arial" w:hAnsi="Arial" w:cs="Arial"/>
          <w:color w:val="000000"/>
          <w:shd w:val="clear" w:color="auto" w:fill="FFFFFF"/>
        </w:rPr>
        <w:t xml:space="preserve"> centralised the management of Tasmania's public servants for the first time</w:t>
      </w:r>
      <w:r w:rsidR="00A429AC" w:rsidRPr="00D720DA">
        <w:rPr>
          <w:rFonts w:ascii="Arial" w:hAnsi="Arial" w:cs="Arial"/>
          <w:color w:val="000000"/>
          <w:shd w:val="clear" w:color="auto" w:fill="FFFFFF"/>
        </w:rPr>
        <w:t xml:space="preserve">, providing </w:t>
      </w:r>
      <w:r w:rsidRPr="00D720DA">
        <w:rPr>
          <w:rFonts w:ascii="Arial" w:hAnsi="Arial" w:cs="Arial"/>
          <w:color w:val="000000"/>
          <w:shd w:val="clear" w:color="auto" w:fill="FFFFFF"/>
        </w:rPr>
        <w:t>for their classification and standardised their salary structure, system of appointments, promotions and retirement allowances. It established the Civil Service Board of Tasmania</w:t>
      </w:r>
      <w:r w:rsidR="006C7CE5" w:rsidRPr="00D720DA">
        <w:rPr>
          <w:rFonts w:ascii="Arial" w:hAnsi="Arial" w:cs="Arial"/>
          <w:color w:val="000000"/>
          <w:shd w:val="clear" w:color="auto" w:fill="FFFFFF"/>
        </w:rPr>
        <w:t xml:space="preserve"> – a part-time board with five members elected by public servants.</w:t>
      </w:r>
      <w:r w:rsidR="00717EE7" w:rsidRPr="00D720DA">
        <w:rPr>
          <w:rFonts w:ascii="Arial" w:hAnsi="Arial" w:cs="Arial"/>
          <w:color w:val="000000"/>
          <w:shd w:val="clear" w:color="auto" w:fill="FFFFFF"/>
        </w:rPr>
        <w:t xml:space="preserve">  </w:t>
      </w:r>
      <w:r w:rsidR="006C7CE5" w:rsidRPr="00D720DA">
        <w:rPr>
          <w:rFonts w:ascii="Arial" w:hAnsi="Arial" w:cs="Arial"/>
        </w:rPr>
        <w:t xml:space="preserve">In 1905, a Royal Commission </w:t>
      </w:r>
      <w:r w:rsidR="00235A7E" w:rsidRPr="00D720DA">
        <w:rPr>
          <w:rFonts w:ascii="Arial" w:hAnsi="Arial" w:cs="Arial"/>
        </w:rPr>
        <w:t xml:space="preserve">had </w:t>
      </w:r>
      <w:r w:rsidR="006C7CE5" w:rsidRPr="00D720DA">
        <w:rPr>
          <w:rFonts w:ascii="Arial" w:hAnsi="Arial" w:cs="Arial"/>
        </w:rPr>
        <w:t>argued that the self-regulation of public servants was flawed, recommending the establishment of an expert Public Service Board independent from the government (</w:t>
      </w:r>
      <w:proofErr w:type="spellStart"/>
      <w:r w:rsidR="006C7CE5" w:rsidRPr="00D720DA">
        <w:rPr>
          <w:rFonts w:ascii="Arial" w:hAnsi="Arial" w:cs="Arial"/>
        </w:rPr>
        <w:t>Wettenhal</w:t>
      </w:r>
      <w:r w:rsidR="0050627D" w:rsidRPr="00D720DA">
        <w:rPr>
          <w:rFonts w:ascii="Arial" w:hAnsi="Arial" w:cs="Arial"/>
        </w:rPr>
        <w:t>l</w:t>
      </w:r>
      <w:proofErr w:type="spellEnd"/>
      <w:r w:rsidR="006C7CE5" w:rsidRPr="00D720DA">
        <w:rPr>
          <w:rFonts w:ascii="Arial" w:hAnsi="Arial" w:cs="Arial"/>
        </w:rPr>
        <w:t>, 200</w:t>
      </w:r>
      <w:r w:rsidR="0050627D" w:rsidRPr="00D720DA">
        <w:rPr>
          <w:rFonts w:ascii="Arial" w:hAnsi="Arial" w:cs="Arial"/>
        </w:rPr>
        <w:t>5</w:t>
      </w:r>
      <w:r w:rsidR="006C7CE5" w:rsidRPr="00D720DA">
        <w:rPr>
          <w:rFonts w:ascii="Arial" w:hAnsi="Arial" w:cs="Arial"/>
        </w:rPr>
        <w:t xml:space="preserve">). The </w:t>
      </w:r>
      <w:r w:rsidR="00A429AC" w:rsidRPr="00D720DA">
        <w:rPr>
          <w:rFonts w:ascii="Arial" w:hAnsi="Arial" w:cs="Arial"/>
        </w:rPr>
        <w:t xml:space="preserve">recommendation was implemented through the </w:t>
      </w:r>
      <w:r w:rsidR="006C7CE5" w:rsidRPr="00D720DA">
        <w:rPr>
          <w:rFonts w:ascii="Arial" w:hAnsi="Arial" w:cs="Arial"/>
          <w:i/>
        </w:rPr>
        <w:t>Public Service Act 1905</w:t>
      </w:r>
      <w:r w:rsidR="00A429AC" w:rsidRPr="00D720DA">
        <w:rPr>
          <w:rFonts w:ascii="Arial" w:hAnsi="Arial" w:cs="Arial"/>
          <w:i/>
        </w:rPr>
        <w:t>,</w:t>
      </w:r>
      <w:r w:rsidR="00A429AC" w:rsidRPr="00D720DA">
        <w:rPr>
          <w:rFonts w:ascii="Arial" w:hAnsi="Arial" w:cs="Arial"/>
        </w:rPr>
        <w:t xml:space="preserve"> which r</w:t>
      </w:r>
      <w:r w:rsidR="006C7CE5" w:rsidRPr="00D720DA">
        <w:rPr>
          <w:rFonts w:ascii="Arial" w:hAnsi="Arial" w:cs="Arial"/>
        </w:rPr>
        <w:t>eplaced the Civil Service Board</w:t>
      </w:r>
      <w:r w:rsidR="009022CB" w:rsidRPr="00D720DA">
        <w:rPr>
          <w:rFonts w:ascii="Arial" w:hAnsi="Arial" w:cs="Arial"/>
        </w:rPr>
        <w:t xml:space="preserve"> with a Public Service Board</w:t>
      </w:r>
      <w:r w:rsidR="007C0412" w:rsidRPr="00D720DA">
        <w:rPr>
          <w:rFonts w:ascii="Arial" w:hAnsi="Arial" w:cs="Arial"/>
        </w:rPr>
        <w:t xml:space="preserve"> – with one of the three members elected by public servants (</w:t>
      </w:r>
      <w:proofErr w:type="spellStart"/>
      <w:r w:rsidR="007C0412" w:rsidRPr="00D720DA">
        <w:rPr>
          <w:rFonts w:ascii="Arial" w:hAnsi="Arial" w:cs="Arial"/>
        </w:rPr>
        <w:t>Wettenhall</w:t>
      </w:r>
      <w:proofErr w:type="spellEnd"/>
      <w:r w:rsidR="007C0412" w:rsidRPr="00D720DA">
        <w:rPr>
          <w:rFonts w:ascii="Arial" w:hAnsi="Arial" w:cs="Arial"/>
        </w:rPr>
        <w:t>, 1968)</w:t>
      </w:r>
      <w:r w:rsidR="00CE2284" w:rsidRPr="00D720DA">
        <w:rPr>
          <w:rFonts w:ascii="Arial" w:hAnsi="Arial" w:cs="Arial"/>
        </w:rPr>
        <w:t>.</w:t>
      </w:r>
      <w:r w:rsidR="00CA59ED" w:rsidRPr="00D720DA">
        <w:rPr>
          <w:rFonts w:ascii="Arial" w:hAnsi="Arial" w:cs="Arial"/>
        </w:rPr>
        <w:t xml:space="preserve"> </w:t>
      </w:r>
      <w:r w:rsidR="009022CB" w:rsidRPr="00D720DA">
        <w:rPr>
          <w:rFonts w:ascii="Arial" w:hAnsi="Arial" w:cs="Arial"/>
        </w:rPr>
        <w:t>The Public Service Act was refreshed twice o</w:t>
      </w:r>
      <w:r w:rsidR="00CE2284" w:rsidRPr="00D720DA">
        <w:rPr>
          <w:rFonts w:ascii="Arial" w:hAnsi="Arial" w:cs="Arial"/>
        </w:rPr>
        <w:t>ver the next two decades</w:t>
      </w:r>
      <w:r w:rsidR="00E120F1" w:rsidRPr="00D720DA">
        <w:rPr>
          <w:rFonts w:ascii="Arial" w:hAnsi="Arial" w:cs="Arial"/>
        </w:rPr>
        <w:t xml:space="preserve"> – </w:t>
      </w:r>
      <w:r w:rsidR="002E2ADF" w:rsidRPr="00D720DA">
        <w:rPr>
          <w:rFonts w:ascii="Arial" w:hAnsi="Arial" w:cs="Arial"/>
        </w:rPr>
        <w:t xml:space="preserve">via </w:t>
      </w:r>
      <w:r w:rsidR="00E120F1" w:rsidRPr="00D720DA">
        <w:rPr>
          <w:rFonts w:ascii="Arial" w:hAnsi="Arial" w:cs="Arial"/>
        </w:rPr>
        <w:t xml:space="preserve">the </w:t>
      </w:r>
      <w:r w:rsidR="009022CB" w:rsidRPr="00D720DA">
        <w:rPr>
          <w:rFonts w:ascii="Arial" w:hAnsi="Arial" w:cs="Arial"/>
          <w:i/>
          <w:iCs/>
        </w:rPr>
        <w:t>Public Service Act 1918</w:t>
      </w:r>
      <w:r w:rsidR="009022CB" w:rsidRPr="00D720DA">
        <w:rPr>
          <w:rFonts w:ascii="Arial" w:hAnsi="Arial" w:cs="Arial"/>
        </w:rPr>
        <w:t xml:space="preserve"> </w:t>
      </w:r>
      <w:r w:rsidR="00E120F1" w:rsidRPr="00D720DA">
        <w:rPr>
          <w:rFonts w:ascii="Arial" w:hAnsi="Arial" w:cs="Arial"/>
        </w:rPr>
        <w:t xml:space="preserve">and </w:t>
      </w:r>
      <w:r w:rsidR="00E120F1" w:rsidRPr="00D720DA">
        <w:rPr>
          <w:rFonts w:ascii="Arial" w:hAnsi="Arial" w:cs="Arial"/>
          <w:i/>
          <w:iCs/>
        </w:rPr>
        <w:t xml:space="preserve">Public Service Act 1923. </w:t>
      </w:r>
      <w:r w:rsidR="00E120F1" w:rsidRPr="00D720DA">
        <w:rPr>
          <w:rFonts w:ascii="Arial" w:hAnsi="Arial" w:cs="Arial"/>
        </w:rPr>
        <w:t xml:space="preserve">The former replaced the Public Service Board with a single Public Service Commissioner, with the latter </w:t>
      </w:r>
      <w:r w:rsidR="00235A7E" w:rsidRPr="00D720DA">
        <w:rPr>
          <w:rFonts w:ascii="Arial" w:hAnsi="Arial" w:cs="Arial"/>
        </w:rPr>
        <w:t xml:space="preserve">legislation </w:t>
      </w:r>
      <w:r w:rsidR="00E120F1" w:rsidRPr="00D720DA">
        <w:rPr>
          <w:rFonts w:ascii="Arial" w:hAnsi="Arial" w:cs="Arial"/>
        </w:rPr>
        <w:t xml:space="preserve">clarifying the duties of the Commissioner. </w:t>
      </w:r>
    </w:p>
    <w:p w14:paraId="017F5C55" w14:textId="62B42FF0" w:rsidR="002D177B" w:rsidRPr="00D720DA" w:rsidRDefault="00CE2284" w:rsidP="00C8424F">
      <w:pPr>
        <w:pStyle w:val="indentpara"/>
        <w:ind w:firstLine="0"/>
        <w:rPr>
          <w:rFonts w:ascii="Arial" w:hAnsi="Arial" w:cs="Arial"/>
        </w:rPr>
      </w:pPr>
      <w:r w:rsidRPr="00D720DA">
        <w:rPr>
          <w:rFonts w:ascii="Arial" w:hAnsi="Arial" w:cs="Arial"/>
        </w:rPr>
        <w:t>A Public Service Appeal</w:t>
      </w:r>
      <w:r w:rsidR="00E120F1" w:rsidRPr="00D720DA">
        <w:rPr>
          <w:rFonts w:ascii="Arial" w:hAnsi="Arial" w:cs="Arial"/>
        </w:rPr>
        <w:t>s</w:t>
      </w:r>
      <w:r w:rsidRPr="00D720DA">
        <w:rPr>
          <w:rFonts w:ascii="Arial" w:hAnsi="Arial" w:cs="Arial"/>
        </w:rPr>
        <w:t xml:space="preserve"> Board was established by the </w:t>
      </w:r>
      <w:r w:rsidRPr="00D720DA">
        <w:rPr>
          <w:rFonts w:ascii="Arial" w:hAnsi="Arial" w:cs="Arial"/>
          <w:i/>
          <w:iCs w:val="0"/>
        </w:rPr>
        <w:t>Public Service Tribunal Act 1958</w:t>
      </w:r>
      <w:r w:rsidRPr="00D720DA">
        <w:rPr>
          <w:rFonts w:ascii="Arial" w:hAnsi="Arial" w:cs="Arial"/>
        </w:rPr>
        <w:t xml:space="preserve">. </w:t>
      </w:r>
      <w:r w:rsidR="00E120F1" w:rsidRPr="00D720DA">
        <w:rPr>
          <w:rFonts w:ascii="Arial" w:hAnsi="Arial" w:cs="Arial"/>
        </w:rPr>
        <w:t xml:space="preserve">The Appeal Board heard and determined appeals against decisions by the Public Service Commissioner relating to appointment, promotion and disciplinary action. </w:t>
      </w:r>
    </w:p>
    <w:p w14:paraId="359FEC1F" w14:textId="61488B4A" w:rsidR="00897AD4" w:rsidRPr="00D720DA" w:rsidRDefault="00897AD4" w:rsidP="00C8424F">
      <w:pPr>
        <w:pStyle w:val="indentpara"/>
        <w:ind w:firstLine="0"/>
        <w:rPr>
          <w:rFonts w:ascii="Arial" w:hAnsi="Arial" w:cs="Arial"/>
        </w:rPr>
      </w:pPr>
      <w:r w:rsidRPr="00D720DA">
        <w:rPr>
          <w:rFonts w:ascii="Arial" w:hAnsi="Arial" w:cs="Arial"/>
        </w:rPr>
        <w:t xml:space="preserve">The </w:t>
      </w:r>
      <w:r w:rsidR="006F400E" w:rsidRPr="00D720DA">
        <w:rPr>
          <w:rFonts w:ascii="Arial" w:hAnsi="Arial" w:cs="Arial"/>
        </w:rPr>
        <w:t>‘</w:t>
      </w:r>
      <w:r w:rsidRPr="00D720DA">
        <w:rPr>
          <w:rFonts w:ascii="Arial" w:hAnsi="Arial" w:cs="Arial"/>
        </w:rPr>
        <w:t>marriage bar</w:t>
      </w:r>
      <w:r w:rsidR="006F400E" w:rsidRPr="00D720DA">
        <w:rPr>
          <w:rFonts w:ascii="Arial" w:hAnsi="Arial" w:cs="Arial"/>
        </w:rPr>
        <w:t>’</w:t>
      </w:r>
      <w:r w:rsidRPr="00D720DA">
        <w:rPr>
          <w:rFonts w:ascii="Arial" w:hAnsi="Arial" w:cs="Arial"/>
        </w:rPr>
        <w:t xml:space="preserve"> – preventing women from remaining in the public service after marriage – was lifted in Tasmania in 1967, </w:t>
      </w:r>
      <w:r w:rsidR="006F400E" w:rsidRPr="00D720DA">
        <w:rPr>
          <w:rFonts w:ascii="Arial" w:hAnsi="Arial" w:cs="Arial"/>
        </w:rPr>
        <w:t xml:space="preserve">a year after the rule was </w:t>
      </w:r>
      <w:r w:rsidR="008039F7" w:rsidRPr="00D720DA">
        <w:rPr>
          <w:rFonts w:ascii="Arial" w:hAnsi="Arial" w:cs="Arial"/>
        </w:rPr>
        <w:t>revoked</w:t>
      </w:r>
      <w:r w:rsidR="006F400E" w:rsidRPr="00D720DA">
        <w:rPr>
          <w:rFonts w:ascii="Arial" w:hAnsi="Arial" w:cs="Arial"/>
        </w:rPr>
        <w:t xml:space="preserve"> for Commonwealth public servants, and two decades after the legal age of marriage for Tasmanian girls had been raised from 12 to 16 (Gollan, 2018)</w:t>
      </w:r>
      <w:r w:rsidRPr="00D720DA">
        <w:rPr>
          <w:rFonts w:ascii="Arial" w:hAnsi="Arial" w:cs="Arial"/>
        </w:rPr>
        <w:t xml:space="preserve">. </w:t>
      </w:r>
    </w:p>
    <w:p w14:paraId="078A587E" w14:textId="77777777" w:rsidR="00027A38" w:rsidRPr="00D720DA" w:rsidRDefault="002D177B" w:rsidP="00C8424F">
      <w:pPr>
        <w:pStyle w:val="indentpara"/>
        <w:ind w:firstLine="0"/>
        <w:rPr>
          <w:rFonts w:ascii="Arial" w:hAnsi="Arial" w:cs="Arial"/>
          <w:i/>
          <w:iCs w:val="0"/>
        </w:rPr>
      </w:pPr>
      <w:r w:rsidRPr="00D720DA">
        <w:rPr>
          <w:rFonts w:ascii="Arial" w:hAnsi="Arial" w:cs="Arial"/>
        </w:rPr>
        <w:t xml:space="preserve">The </w:t>
      </w:r>
      <w:r w:rsidRPr="00D720DA">
        <w:rPr>
          <w:rFonts w:ascii="Arial" w:hAnsi="Arial" w:cs="Arial"/>
          <w:i/>
          <w:iCs w:val="0"/>
        </w:rPr>
        <w:t>Public Service Act 1973</w:t>
      </w:r>
      <w:r w:rsidRPr="00D720DA">
        <w:rPr>
          <w:rFonts w:ascii="Arial" w:hAnsi="Arial" w:cs="Arial"/>
        </w:rPr>
        <w:t xml:space="preserve"> substituted the Public Service Commissioner – a role that had been operating for more than half a century (since 1918) – with a three-member Public Service </w:t>
      </w:r>
      <w:r w:rsidRPr="00D720DA">
        <w:rPr>
          <w:rFonts w:ascii="Arial" w:hAnsi="Arial" w:cs="Arial"/>
        </w:rPr>
        <w:lastRenderedPageBreak/>
        <w:t xml:space="preserve">Board. </w:t>
      </w:r>
      <w:r w:rsidR="00E120F1" w:rsidRPr="00D720DA">
        <w:rPr>
          <w:rFonts w:ascii="Arial" w:hAnsi="Arial" w:cs="Arial"/>
        </w:rPr>
        <w:t xml:space="preserve">The Appeals Board operated until 1984, when the Tribunal Act was repealed by the </w:t>
      </w:r>
      <w:r w:rsidR="00E120F1" w:rsidRPr="00D720DA">
        <w:rPr>
          <w:rFonts w:ascii="Arial" w:hAnsi="Arial" w:cs="Arial"/>
          <w:i/>
          <w:iCs w:val="0"/>
        </w:rPr>
        <w:t>Tasmania State Service Act 1984</w:t>
      </w:r>
      <w:r w:rsidR="0072080F" w:rsidRPr="00D720DA">
        <w:rPr>
          <w:rFonts w:ascii="Arial" w:hAnsi="Arial" w:cs="Arial"/>
          <w:i/>
          <w:iCs w:val="0"/>
        </w:rPr>
        <w:t xml:space="preserve">, </w:t>
      </w:r>
      <w:r w:rsidR="0072080F" w:rsidRPr="00D720DA">
        <w:rPr>
          <w:rFonts w:ascii="Arial" w:hAnsi="Arial" w:cs="Arial"/>
        </w:rPr>
        <w:t>which created a Commissioner for Review in its place (Part X)</w:t>
      </w:r>
      <w:r w:rsidR="00C1192E" w:rsidRPr="00D720DA">
        <w:rPr>
          <w:rFonts w:ascii="Arial" w:hAnsi="Arial" w:cs="Arial"/>
          <w:i/>
          <w:iCs w:val="0"/>
        </w:rPr>
        <w:t>.</w:t>
      </w:r>
      <w:r w:rsidR="00C1192E" w:rsidRPr="00D720DA">
        <w:rPr>
          <w:rFonts w:ascii="Arial" w:hAnsi="Arial" w:cs="Arial"/>
        </w:rPr>
        <w:t xml:space="preserve"> </w:t>
      </w:r>
    </w:p>
    <w:p w14:paraId="1B2C200D" w14:textId="20E49F7B" w:rsidR="00552CCC" w:rsidRPr="00D720DA" w:rsidRDefault="00C1192E" w:rsidP="00C8424F">
      <w:pPr>
        <w:rPr>
          <w:rFonts w:ascii="Arial" w:hAnsi="Arial" w:cs="Arial"/>
        </w:rPr>
      </w:pPr>
      <w:r w:rsidRPr="00D720DA">
        <w:rPr>
          <w:rFonts w:ascii="Arial" w:hAnsi="Arial" w:cs="Arial"/>
        </w:rPr>
        <w:t>The</w:t>
      </w:r>
      <w:r w:rsidRPr="00D720DA">
        <w:rPr>
          <w:rFonts w:ascii="Arial" w:hAnsi="Arial" w:cs="Arial"/>
          <w:i/>
          <w:iCs/>
        </w:rPr>
        <w:t xml:space="preserve"> </w:t>
      </w:r>
      <w:r w:rsidRPr="00D720DA">
        <w:rPr>
          <w:rFonts w:ascii="Arial" w:hAnsi="Arial" w:cs="Arial"/>
        </w:rPr>
        <w:t xml:space="preserve">1984 Act created </w:t>
      </w:r>
      <w:r w:rsidR="00E120F1" w:rsidRPr="00D720DA">
        <w:rPr>
          <w:rFonts w:ascii="Arial" w:hAnsi="Arial" w:cs="Arial"/>
        </w:rPr>
        <w:t xml:space="preserve">a Commissioner for </w:t>
      </w:r>
      <w:r w:rsidRPr="00D720DA">
        <w:rPr>
          <w:rFonts w:ascii="Arial" w:hAnsi="Arial" w:cs="Arial"/>
        </w:rPr>
        <w:t>Public Employment</w:t>
      </w:r>
      <w:r w:rsidR="00E120F1" w:rsidRPr="00D720DA">
        <w:rPr>
          <w:rFonts w:ascii="Arial" w:hAnsi="Arial" w:cs="Arial"/>
        </w:rPr>
        <w:t xml:space="preserve"> </w:t>
      </w:r>
      <w:r w:rsidRPr="00D720DA">
        <w:rPr>
          <w:rFonts w:ascii="Arial" w:hAnsi="Arial" w:cs="Arial"/>
        </w:rPr>
        <w:t xml:space="preserve">and a Department of Public Administration. </w:t>
      </w:r>
      <w:r w:rsidR="0072080F" w:rsidRPr="00D720DA">
        <w:rPr>
          <w:rFonts w:ascii="Arial" w:hAnsi="Arial" w:cs="Arial"/>
        </w:rPr>
        <w:t xml:space="preserve">The Act regulated the powers of Ministers, </w:t>
      </w:r>
      <w:r w:rsidR="00BE47E4" w:rsidRPr="00D720DA">
        <w:rPr>
          <w:rFonts w:ascii="Arial" w:hAnsi="Arial" w:cs="Arial"/>
        </w:rPr>
        <w:t xml:space="preserve">and </w:t>
      </w:r>
      <w:r w:rsidR="0072080F" w:rsidRPr="00D720DA">
        <w:rPr>
          <w:rFonts w:ascii="Arial" w:hAnsi="Arial" w:cs="Arial"/>
        </w:rPr>
        <w:t>created offices and positions for Heads of Agencies, outlining their accountabilities and functions.</w:t>
      </w:r>
      <w:r w:rsidR="00552CCC" w:rsidRPr="00D720DA">
        <w:rPr>
          <w:rFonts w:ascii="Arial" w:hAnsi="Arial" w:cs="Arial"/>
        </w:rPr>
        <w:t xml:space="preserve"> </w:t>
      </w:r>
      <w:r w:rsidR="009F39CE" w:rsidRPr="00D720DA">
        <w:rPr>
          <w:rFonts w:ascii="Arial" w:hAnsi="Arial" w:cs="Arial"/>
        </w:rPr>
        <w:t xml:space="preserve">According to former Commissioner for Public Employment David Hawkes, </w:t>
      </w:r>
      <w:r w:rsidR="00552CCC" w:rsidRPr="00D720DA">
        <w:rPr>
          <w:rFonts w:ascii="Arial" w:hAnsi="Arial" w:cs="Arial"/>
        </w:rPr>
        <w:t>“The proclamation of the Tasmanian State Service Act on 1 December 1985 was the formal sign for the introduction of radical and fundamental change in the Tasmanian public sector” (Hawkes, 1987, p. 160).</w:t>
      </w:r>
    </w:p>
    <w:p w14:paraId="0487508A" w14:textId="4D8BA2F2" w:rsidR="00E120F1" w:rsidRPr="00D720DA" w:rsidRDefault="00C1192E" w:rsidP="00C8424F">
      <w:pPr>
        <w:pStyle w:val="indentpara"/>
        <w:ind w:firstLine="0"/>
        <w:rPr>
          <w:rFonts w:ascii="Arial" w:hAnsi="Arial" w:cs="Arial"/>
        </w:rPr>
      </w:pPr>
      <w:r w:rsidRPr="00D720DA">
        <w:rPr>
          <w:rFonts w:ascii="Arial" w:hAnsi="Arial" w:cs="Arial"/>
        </w:rPr>
        <w:t xml:space="preserve">Amended several times between </w:t>
      </w:r>
      <w:r w:rsidR="00E120F1" w:rsidRPr="00D720DA">
        <w:rPr>
          <w:rFonts w:ascii="Arial" w:hAnsi="Arial" w:cs="Arial"/>
        </w:rPr>
        <w:t>1985 and 1993</w:t>
      </w:r>
      <w:r w:rsidR="002D177B" w:rsidRPr="00D720DA">
        <w:rPr>
          <w:rFonts w:ascii="Arial" w:hAnsi="Arial" w:cs="Arial"/>
        </w:rPr>
        <w:t>, the</w:t>
      </w:r>
      <w:r w:rsidRPr="00D720DA">
        <w:rPr>
          <w:rFonts w:ascii="Arial" w:hAnsi="Arial" w:cs="Arial"/>
        </w:rPr>
        <w:t xml:space="preserve"> </w:t>
      </w:r>
      <w:r w:rsidRPr="00D720DA">
        <w:rPr>
          <w:rFonts w:ascii="Arial" w:hAnsi="Arial" w:cs="Arial"/>
          <w:i/>
          <w:iCs w:val="0"/>
        </w:rPr>
        <w:t>Tasmanian State Service Act 1984</w:t>
      </w:r>
      <w:r w:rsidRPr="00D720DA">
        <w:rPr>
          <w:rFonts w:ascii="Arial" w:hAnsi="Arial" w:cs="Arial"/>
        </w:rPr>
        <w:t xml:space="preserve"> was </w:t>
      </w:r>
      <w:r w:rsidR="002D177B" w:rsidRPr="00D720DA">
        <w:rPr>
          <w:rFonts w:ascii="Arial" w:hAnsi="Arial" w:cs="Arial"/>
        </w:rPr>
        <w:t xml:space="preserve">reviewed in the late-1990s, leading to </w:t>
      </w:r>
      <w:r w:rsidR="00DA183C" w:rsidRPr="00D720DA">
        <w:rPr>
          <w:rFonts w:ascii="Arial" w:hAnsi="Arial" w:cs="Arial"/>
        </w:rPr>
        <w:t xml:space="preserve">its </w:t>
      </w:r>
      <w:r w:rsidR="00C54B10" w:rsidRPr="00D720DA">
        <w:rPr>
          <w:rFonts w:ascii="Arial" w:hAnsi="Arial" w:cs="Arial"/>
        </w:rPr>
        <w:t xml:space="preserve">replacement </w:t>
      </w:r>
      <w:r w:rsidR="00DA183C" w:rsidRPr="00D720DA">
        <w:rPr>
          <w:rFonts w:ascii="Arial" w:hAnsi="Arial" w:cs="Arial"/>
        </w:rPr>
        <w:t xml:space="preserve">by </w:t>
      </w:r>
      <w:r w:rsidR="002D177B" w:rsidRPr="00D720DA">
        <w:rPr>
          <w:rFonts w:ascii="Arial" w:hAnsi="Arial" w:cs="Arial"/>
        </w:rPr>
        <w:t xml:space="preserve">the </w:t>
      </w:r>
      <w:r w:rsidR="002D177B" w:rsidRPr="00D720DA">
        <w:rPr>
          <w:rFonts w:ascii="Arial" w:hAnsi="Arial" w:cs="Arial"/>
          <w:i/>
          <w:iCs w:val="0"/>
        </w:rPr>
        <w:t>State Service Act 2000</w:t>
      </w:r>
      <w:r w:rsidR="002D177B" w:rsidRPr="00D720DA">
        <w:rPr>
          <w:rFonts w:ascii="Arial" w:hAnsi="Arial" w:cs="Arial"/>
        </w:rPr>
        <w:t>.</w:t>
      </w:r>
    </w:p>
    <w:p w14:paraId="7E12DF66" w14:textId="77777777" w:rsidR="00DA183C" w:rsidRPr="00D720DA" w:rsidRDefault="00DA183C" w:rsidP="00DA183C">
      <w:pPr>
        <w:pStyle w:val="Heading2"/>
        <w:spacing w:after="120"/>
        <w:ind w:left="578" w:hanging="578"/>
        <w:rPr>
          <w:rFonts w:ascii="Arial" w:hAnsi="Arial" w:cs="Arial"/>
          <w:u w:val="none"/>
        </w:rPr>
      </w:pPr>
      <w:bookmarkStart w:id="14" w:name="_Toc77356797"/>
      <w:r w:rsidRPr="00D720DA">
        <w:rPr>
          <w:rFonts w:ascii="Arial" w:hAnsi="Arial" w:cs="Arial"/>
          <w:u w:val="none"/>
        </w:rPr>
        <w:t>State Service Act 2000</w:t>
      </w:r>
      <w:bookmarkEnd w:id="14"/>
    </w:p>
    <w:p w14:paraId="19227575" w14:textId="21125E3E" w:rsidR="00DA183C" w:rsidRPr="00D720DA" w:rsidRDefault="006F400E" w:rsidP="00165646">
      <w:pPr>
        <w:rPr>
          <w:rFonts w:ascii="Arial" w:hAnsi="Arial" w:cs="Arial"/>
        </w:rPr>
      </w:pPr>
      <w:r w:rsidRPr="00D720DA">
        <w:rPr>
          <w:rFonts w:ascii="Arial" w:hAnsi="Arial" w:cs="Arial"/>
          <w:shd w:val="clear" w:color="auto" w:fill="FFFFFF"/>
        </w:rPr>
        <w:t xml:space="preserve">The Tasmanian State Service is regulated by the </w:t>
      </w:r>
      <w:hyperlink r:id="rId12" w:history="1">
        <w:r w:rsidR="006F6AC1" w:rsidRPr="00D720DA">
          <w:rPr>
            <w:rStyle w:val="Hyperlink"/>
            <w:rFonts w:ascii="Arial" w:hAnsi="Arial" w:cs="Arial"/>
            <w:i/>
            <w:iCs/>
            <w:color w:val="auto"/>
            <w:u w:val="none"/>
            <w:bdr w:val="none" w:sz="0" w:space="0" w:color="auto" w:frame="1"/>
            <w:shd w:val="clear" w:color="auto" w:fill="FFFFFF"/>
          </w:rPr>
          <w:t>State Service Act 2000</w:t>
        </w:r>
      </w:hyperlink>
      <w:r w:rsidR="006F6AC1" w:rsidRPr="00D720DA">
        <w:rPr>
          <w:rFonts w:ascii="Arial" w:hAnsi="Arial" w:cs="Arial"/>
          <w:shd w:val="clear" w:color="auto" w:fill="FFFFFF"/>
        </w:rPr>
        <w:t> </w:t>
      </w:r>
      <w:r w:rsidR="00DA183C" w:rsidRPr="00D720DA">
        <w:rPr>
          <w:rFonts w:ascii="Arial" w:hAnsi="Arial" w:cs="Arial"/>
          <w:shd w:val="clear" w:color="auto" w:fill="FFFFFF"/>
        </w:rPr>
        <w:t xml:space="preserve">(SSA), which is </w:t>
      </w:r>
      <w:r w:rsidR="00F0039C" w:rsidRPr="00D720DA">
        <w:rPr>
          <w:rFonts w:ascii="Arial" w:hAnsi="Arial" w:cs="Arial"/>
          <w:shd w:val="clear" w:color="auto" w:fill="FFFFFF"/>
        </w:rPr>
        <w:t xml:space="preserve">regularly amended by </w:t>
      </w:r>
      <w:r w:rsidR="00F0039C" w:rsidRPr="00D720DA">
        <w:rPr>
          <w:rFonts w:ascii="Arial" w:hAnsi="Arial" w:cs="Arial"/>
          <w:i/>
          <w:iCs/>
        </w:rPr>
        <w:t>State Service (Agencies and Heads of Agencies) Orders</w:t>
      </w:r>
      <w:r w:rsidR="00F0039C" w:rsidRPr="00D720DA">
        <w:rPr>
          <w:rFonts w:ascii="Arial" w:hAnsi="Arial" w:cs="Arial"/>
        </w:rPr>
        <w:t xml:space="preserve"> and </w:t>
      </w:r>
      <w:r w:rsidR="00F0039C" w:rsidRPr="00D720DA">
        <w:rPr>
          <w:rFonts w:ascii="Arial" w:hAnsi="Arial" w:cs="Arial"/>
          <w:i/>
          <w:iCs/>
        </w:rPr>
        <w:t>State Service (Restructuring) Orders</w:t>
      </w:r>
      <w:r w:rsidR="00F0039C" w:rsidRPr="00D720DA">
        <w:rPr>
          <w:rFonts w:ascii="Arial" w:hAnsi="Arial" w:cs="Arial"/>
        </w:rPr>
        <w:t xml:space="preserve"> (under ss 11 and 12) whenever there are machinery of government changes. </w:t>
      </w:r>
      <w:r w:rsidR="00DA183C" w:rsidRPr="00D720DA">
        <w:rPr>
          <w:rFonts w:ascii="Arial" w:hAnsi="Arial" w:cs="Arial"/>
        </w:rPr>
        <w:t xml:space="preserve">The SSA replaced the </w:t>
      </w:r>
      <w:r w:rsidR="00BF30FC" w:rsidRPr="00D720DA">
        <w:rPr>
          <w:rFonts w:ascii="Arial" w:hAnsi="Arial" w:cs="Arial"/>
        </w:rPr>
        <w:t xml:space="preserve">role of </w:t>
      </w:r>
      <w:r w:rsidR="00DA183C" w:rsidRPr="00D720DA">
        <w:rPr>
          <w:rFonts w:ascii="Arial" w:hAnsi="Arial" w:cs="Arial"/>
        </w:rPr>
        <w:t>Commissioner for Public Employment</w:t>
      </w:r>
      <w:r w:rsidR="00D24F17" w:rsidRPr="00D720DA">
        <w:rPr>
          <w:rFonts w:ascii="Arial" w:hAnsi="Arial" w:cs="Arial"/>
        </w:rPr>
        <w:t xml:space="preserve"> –</w:t>
      </w:r>
      <w:r w:rsidR="008039F7" w:rsidRPr="00D720DA">
        <w:rPr>
          <w:rFonts w:ascii="Arial" w:hAnsi="Arial" w:cs="Arial"/>
        </w:rPr>
        <w:t xml:space="preserve"> </w:t>
      </w:r>
      <w:r w:rsidR="00D24F17" w:rsidRPr="00D720DA">
        <w:rPr>
          <w:rFonts w:ascii="Arial" w:hAnsi="Arial" w:cs="Arial"/>
        </w:rPr>
        <w:t>that had been in place since 1985 – with a State Service Commissioner.</w:t>
      </w:r>
      <w:r w:rsidR="00165646" w:rsidRPr="00D720DA">
        <w:rPr>
          <w:rFonts w:ascii="Arial" w:hAnsi="Arial" w:cs="Arial"/>
        </w:rPr>
        <w:t xml:space="preserve"> </w:t>
      </w:r>
      <w:r w:rsidR="00984F10" w:rsidRPr="00D720DA">
        <w:rPr>
          <w:rFonts w:ascii="Arial" w:hAnsi="Arial" w:cs="Arial"/>
        </w:rPr>
        <w:t>In later years</w:t>
      </w:r>
      <w:r w:rsidR="00F0039C" w:rsidRPr="00D720DA">
        <w:rPr>
          <w:rFonts w:ascii="Arial" w:hAnsi="Arial" w:cs="Arial"/>
        </w:rPr>
        <w:t xml:space="preserve">, </w:t>
      </w:r>
      <w:r w:rsidR="00F0039C" w:rsidRPr="00D720DA">
        <w:rPr>
          <w:rFonts w:ascii="Arial" w:hAnsi="Arial" w:cs="Arial"/>
          <w:i/>
          <w:iCs/>
        </w:rPr>
        <w:t>State Service Regulations 2011</w:t>
      </w:r>
      <w:r w:rsidR="00F0039C" w:rsidRPr="00D720DA">
        <w:rPr>
          <w:rFonts w:ascii="Arial" w:hAnsi="Arial" w:cs="Arial"/>
        </w:rPr>
        <w:t xml:space="preserve"> were developed to supplement the Act.</w:t>
      </w:r>
      <w:r w:rsidR="00D24F17" w:rsidRPr="00D720DA">
        <w:rPr>
          <w:rFonts w:ascii="Arial" w:hAnsi="Arial" w:cs="Arial"/>
        </w:rPr>
        <w:t xml:space="preserve"> Amendments the same year included the </w:t>
      </w:r>
      <w:hyperlink r:id="rId13" w:history="1">
        <w:r w:rsidR="00043D02" w:rsidRPr="00D720DA">
          <w:rPr>
            <w:rFonts w:ascii="Arial" w:hAnsi="Arial" w:cs="Arial"/>
            <w:i/>
            <w:iCs/>
          </w:rPr>
          <w:t>State Service Amendment (Redeployment) Act 2011</w:t>
        </w:r>
      </w:hyperlink>
      <w:r w:rsidR="00D24F17" w:rsidRPr="00D720DA">
        <w:rPr>
          <w:rFonts w:ascii="Arial" w:hAnsi="Arial" w:cs="Arial"/>
        </w:rPr>
        <w:t xml:space="preserve"> and </w:t>
      </w:r>
      <w:hyperlink r:id="rId14" w:history="1">
        <w:r w:rsidR="00043D02" w:rsidRPr="00D720DA">
          <w:rPr>
            <w:rFonts w:ascii="Arial" w:hAnsi="Arial" w:cs="Arial"/>
            <w:i/>
            <w:iCs/>
          </w:rPr>
          <w:t>State Service Amendment (Performance) Act 2011</w:t>
        </w:r>
      </w:hyperlink>
      <w:r w:rsidR="00184670" w:rsidRPr="00D720DA">
        <w:rPr>
          <w:rFonts w:ascii="Arial" w:hAnsi="Arial" w:cs="Arial"/>
          <w:i/>
          <w:iCs/>
        </w:rPr>
        <w:t>.</w:t>
      </w:r>
      <w:hyperlink r:id="rId15" w:history="1">
        <w:r w:rsidR="00C12B7B" w:rsidRPr="00D720DA">
          <w:rPr>
            <w:rStyle w:val="Hyperlink"/>
            <w:rFonts w:ascii="Arial" w:hAnsi="Arial" w:cs="Arial"/>
          </w:rPr>
          <w:t>https://www.legislation.tas.gov.au/view/html/asmade/sr-2008-004</w:t>
        </w:r>
      </w:hyperlink>
    </w:p>
    <w:p w14:paraId="1A89DFC2" w14:textId="69BFE54A" w:rsidR="004B342F" w:rsidRPr="00D720DA" w:rsidRDefault="00C34A71" w:rsidP="00C8424F">
      <w:pPr>
        <w:pStyle w:val="indentpara"/>
        <w:ind w:firstLine="0"/>
        <w:rPr>
          <w:rFonts w:ascii="Arial" w:hAnsi="Arial" w:cs="Arial"/>
        </w:rPr>
      </w:pPr>
      <w:r w:rsidRPr="00D720DA">
        <w:rPr>
          <w:rFonts w:ascii="Arial" w:hAnsi="Arial" w:cs="Arial"/>
        </w:rPr>
        <w:t xml:space="preserve">The </w:t>
      </w:r>
      <w:hyperlink r:id="rId16" w:history="1">
        <w:r w:rsidR="00424A13" w:rsidRPr="00D720DA">
          <w:rPr>
            <w:rFonts w:ascii="Arial" w:hAnsi="Arial" w:cs="Arial"/>
            <w:i/>
            <w:iCs w:val="0"/>
          </w:rPr>
          <w:t>State Service Amendment Act 2012</w:t>
        </w:r>
      </w:hyperlink>
      <w:r w:rsidR="00DA183C" w:rsidRPr="00D720DA">
        <w:rPr>
          <w:rFonts w:ascii="Arial" w:hAnsi="Arial" w:cs="Arial"/>
        </w:rPr>
        <w:t xml:space="preserve"> </w:t>
      </w:r>
      <w:r w:rsidR="00184670" w:rsidRPr="00D720DA">
        <w:rPr>
          <w:rFonts w:ascii="Arial" w:hAnsi="Arial" w:cs="Arial"/>
        </w:rPr>
        <w:t xml:space="preserve">abolished the position of State Service Commissioner and transferred its </w:t>
      </w:r>
      <w:r w:rsidR="002008DF" w:rsidRPr="00D720DA">
        <w:rPr>
          <w:rFonts w:ascii="Arial" w:hAnsi="Arial" w:cs="Arial"/>
        </w:rPr>
        <w:t xml:space="preserve">employment-related </w:t>
      </w:r>
      <w:r w:rsidR="00184670" w:rsidRPr="00D720DA">
        <w:rPr>
          <w:rFonts w:ascii="Arial" w:hAnsi="Arial" w:cs="Arial"/>
        </w:rPr>
        <w:t>functions to the State Service Management Office</w:t>
      </w:r>
      <w:r w:rsidR="00A06000" w:rsidRPr="00D720DA">
        <w:rPr>
          <w:rFonts w:ascii="Arial" w:hAnsi="Arial" w:cs="Arial"/>
        </w:rPr>
        <w:t xml:space="preserve"> (SSMO)</w:t>
      </w:r>
      <w:r w:rsidR="002008DF" w:rsidRPr="00D720DA">
        <w:rPr>
          <w:rFonts w:ascii="Arial" w:hAnsi="Arial" w:cs="Arial"/>
        </w:rPr>
        <w:t>, selection review functions to the Tasmanian Industrial Commission (TIC), and</w:t>
      </w:r>
      <w:r w:rsidR="000056D7" w:rsidRPr="00D720DA">
        <w:rPr>
          <w:rFonts w:ascii="Arial" w:hAnsi="Arial" w:cs="Arial"/>
        </w:rPr>
        <w:t xml:space="preserve"> evaluation </w:t>
      </w:r>
      <w:r w:rsidR="007658C6" w:rsidRPr="00D720DA">
        <w:rPr>
          <w:rFonts w:ascii="Arial" w:hAnsi="Arial" w:cs="Arial"/>
        </w:rPr>
        <w:t xml:space="preserve">to the </w:t>
      </w:r>
      <w:r w:rsidR="002008DF" w:rsidRPr="00D720DA">
        <w:rPr>
          <w:rFonts w:ascii="Arial" w:hAnsi="Arial" w:cs="Arial"/>
        </w:rPr>
        <w:t>Tasmanian Audit Office (TAO)</w:t>
      </w:r>
      <w:r w:rsidR="00184670" w:rsidRPr="00D720DA">
        <w:rPr>
          <w:rFonts w:ascii="Arial" w:hAnsi="Arial" w:cs="Arial"/>
        </w:rPr>
        <w:t xml:space="preserve">. </w:t>
      </w:r>
    </w:p>
    <w:p w14:paraId="6012712A" w14:textId="136AF102" w:rsidR="00DA183C" w:rsidRPr="00D720DA" w:rsidRDefault="00184670" w:rsidP="00C8424F">
      <w:pPr>
        <w:pStyle w:val="indentpara"/>
        <w:ind w:firstLine="0"/>
        <w:rPr>
          <w:rFonts w:ascii="Arial" w:hAnsi="Arial" w:cs="Arial"/>
        </w:rPr>
      </w:pPr>
      <w:r w:rsidRPr="00D720DA">
        <w:rPr>
          <w:rFonts w:ascii="Arial" w:hAnsi="Arial" w:cs="Arial"/>
        </w:rPr>
        <w:t xml:space="preserve">In </w:t>
      </w:r>
      <w:r w:rsidR="00C34A71" w:rsidRPr="00D720DA">
        <w:rPr>
          <w:rFonts w:ascii="Arial" w:hAnsi="Arial" w:cs="Arial"/>
        </w:rPr>
        <w:t xml:space="preserve">early 2013, </w:t>
      </w:r>
      <w:r w:rsidRPr="00D720DA">
        <w:rPr>
          <w:rFonts w:ascii="Arial" w:hAnsi="Arial" w:cs="Arial"/>
        </w:rPr>
        <w:t xml:space="preserve">the </w:t>
      </w:r>
      <w:r w:rsidR="002A6AD4" w:rsidRPr="00D720DA">
        <w:rPr>
          <w:rFonts w:ascii="Arial" w:hAnsi="Arial" w:cs="Arial"/>
        </w:rPr>
        <w:t xml:space="preserve">Premier appointed the </w:t>
      </w:r>
      <w:r w:rsidRPr="00D720DA">
        <w:rPr>
          <w:rFonts w:ascii="Arial" w:hAnsi="Arial" w:cs="Arial"/>
        </w:rPr>
        <w:t xml:space="preserve">Secretary of DPC </w:t>
      </w:r>
      <w:r w:rsidR="002A6AD4" w:rsidRPr="00D720DA">
        <w:rPr>
          <w:rFonts w:ascii="Arial" w:hAnsi="Arial" w:cs="Arial"/>
        </w:rPr>
        <w:t>as</w:t>
      </w:r>
      <w:r w:rsidRPr="00D720DA">
        <w:rPr>
          <w:rFonts w:ascii="Arial" w:hAnsi="Arial" w:cs="Arial"/>
        </w:rPr>
        <w:t xml:space="preserve"> Head of the State Service</w:t>
      </w:r>
      <w:r w:rsidR="00A06000" w:rsidRPr="00D720DA">
        <w:rPr>
          <w:rFonts w:ascii="Arial" w:hAnsi="Arial" w:cs="Arial"/>
        </w:rPr>
        <w:t xml:space="preserve"> – but</w:t>
      </w:r>
      <w:r w:rsidR="002A6AD4" w:rsidRPr="00D720DA">
        <w:rPr>
          <w:rFonts w:ascii="Arial" w:hAnsi="Arial" w:cs="Arial"/>
        </w:rPr>
        <w:t xml:space="preserve">, </w:t>
      </w:r>
      <w:r w:rsidR="00984F10" w:rsidRPr="00D720DA">
        <w:rPr>
          <w:rFonts w:ascii="Arial" w:hAnsi="Arial" w:cs="Arial"/>
        </w:rPr>
        <w:t>in the terms of</w:t>
      </w:r>
      <w:r w:rsidR="002A6AD4" w:rsidRPr="00D720DA">
        <w:rPr>
          <w:rFonts w:ascii="Arial" w:hAnsi="Arial" w:cs="Arial"/>
        </w:rPr>
        <w:t xml:space="preserve"> Section 20 (1)</w:t>
      </w:r>
      <w:r w:rsidR="00D33DA3" w:rsidRPr="00D720DA">
        <w:rPr>
          <w:rFonts w:ascii="Arial" w:hAnsi="Arial" w:cs="Arial"/>
        </w:rPr>
        <w:t>,</w:t>
      </w:r>
      <w:r w:rsidR="00A06000" w:rsidRPr="00D720DA">
        <w:rPr>
          <w:rFonts w:ascii="Arial" w:hAnsi="Arial" w:cs="Arial"/>
        </w:rPr>
        <w:t xml:space="preserve"> </w:t>
      </w:r>
      <w:r w:rsidR="00984F10" w:rsidRPr="00D720DA">
        <w:rPr>
          <w:rFonts w:ascii="Arial" w:hAnsi="Arial" w:cs="Arial"/>
        </w:rPr>
        <w:t>an</w:t>
      </w:r>
      <w:r w:rsidR="002A6AD4" w:rsidRPr="00D720DA">
        <w:rPr>
          <w:rFonts w:ascii="Arial" w:hAnsi="Arial" w:cs="Arial"/>
        </w:rPr>
        <w:t>other agency head may hold this position at the discretion of the Premier</w:t>
      </w:r>
      <w:r w:rsidRPr="00D720DA">
        <w:rPr>
          <w:rFonts w:ascii="Arial" w:hAnsi="Arial" w:cs="Arial"/>
        </w:rPr>
        <w:t xml:space="preserve">. </w:t>
      </w:r>
      <w:r w:rsidR="002A6AD4" w:rsidRPr="00D720DA">
        <w:rPr>
          <w:rFonts w:ascii="Arial" w:hAnsi="Arial" w:cs="Arial"/>
        </w:rPr>
        <w:t xml:space="preserve">Section 20(2) authorises the Head of the State Service “to perform and exercise the functions and powers of the Employer … (other than the power to issue Employment Directions)” – which is the purview of the Premier.  </w:t>
      </w:r>
    </w:p>
    <w:p w14:paraId="6413E1E5" w14:textId="5EDA13C0" w:rsidR="003C4FD6" w:rsidRPr="00D720DA" w:rsidRDefault="00F0039C" w:rsidP="00C8424F">
      <w:pPr>
        <w:pStyle w:val="indentpara"/>
        <w:ind w:firstLine="0"/>
        <w:rPr>
          <w:rFonts w:ascii="Arial" w:hAnsi="Arial" w:cs="Arial"/>
        </w:rPr>
      </w:pPr>
      <w:r w:rsidRPr="00D720DA">
        <w:rPr>
          <w:rFonts w:ascii="Arial" w:hAnsi="Arial" w:cs="Arial"/>
        </w:rPr>
        <w:t xml:space="preserve">The </w:t>
      </w:r>
      <w:r w:rsidR="00B11837" w:rsidRPr="00D720DA">
        <w:rPr>
          <w:rFonts w:ascii="Arial" w:hAnsi="Arial" w:cs="Arial"/>
        </w:rPr>
        <w:t xml:space="preserve">State Service Review </w:t>
      </w:r>
      <w:r w:rsidRPr="00D720DA">
        <w:rPr>
          <w:rFonts w:ascii="Arial" w:hAnsi="Arial" w:cs="Arial"/>
        </w:rPr>
        <w:t xml:space="preserve">underway in 2020 </w:t>
      </w:r>
      <w:r w:rsidR="00BF30FC" w:rsidRPr="00D720DA">
        <w:rPr>
          <w:rFonts w:ascii="Arial" w:hAnsi="Arial" w:cs="Arial"/>
        </w:rPr>
        <w:t>include</w:t>
      </w:r>
      <w:r w:rsidR="00984F10" w:rsidRPr="00D720DA">
        <w:rPr>
          <w:rFonts w:ascii="Arial" w:hAnsi="Arial" w:cs="Arial"/>
        </w:rPr>
        <w:t>d</w:t>
      </w:r>
      <w:r w:rsidRPr="00D720DA">
        <w:rPr>
          <w:rFonts w:ascii="Arial" w:hAnsi="Arial" w:cs="Arial"/>
        </w:rPr>
        <w:t xml:space="preserve"> examin</w:t>
      </w:r>
      <w:r w:rsidR="002E2ADF" w:rsidRPr="00D720DA">
        <w:rPr>
          <w:rFonts w:ascii="Arial" w:hAnsi="Arial" w:cs="Arial"/>
        </w:rPr>
        <w:t>ation</w:t>
      </w:r>
      <w:r w:rsidRPr="00D720DA">
        <w:rPr>
          <w:rFonts w:ascii="Arial" w:hAnsi="Arial" w:cs="Arial"/>
        </w:rPr>
        <w:t xml:space="preserve"> of state service legislation. As described by the Head of State Service,</w:t>
      </w:r>
      <w:r w:rsidR="00051218" w:rsidRPr="00D720DA">
        <w:rPr>
          <w:rFonts w:ascii="Arial" w:hAnsi="Arial" w:cs="Arial"/>
        </w:rPr>
        <w:t xml:space="preserve"> Jenny Gale:</w:t>
      </w:r>
    </w:p>
    <w:p w14:paraId="22BA728D" w14:textId="03CCD421" w:rsidR="00F0039C" w:rsidRPr="00D720DA" w:rsidRDefault="00F0039C" w:rsidP="00F0039C">
      <w:pPr>
        <w:pStyle w:val="NormalWeb"/>
        <w:spacing w:before="0" w:beforeAutospacing="0" w:after="240" w:afterAutospacing="0"/>
        <w:ind w:left="720"/>
        <w:textAlignment w:val="baseline"/>
        <w:rPr>
          <w:rFonts w:ascii="Arial" w:hAnsi="Arial" w:cs="Arial"/>
          <w:i/>
          <w:iCs/>
          <w:sz w:val="22"/>
          <w:szCs w:val="22"/>
        </w:rPr>
      </w:pPr>
      <w:r w:rsidRPr="00D720DA">
        <w:rPr>
          <w:rFonts w:ascii="Arial" w:hAnsi="Arial" w:cs="Arial"/>
          <w:i/>
          <w:iCs/>
          <w:sz w:val="22"/>
          <w:szCs w:val="22"/>
        </w:rPr>
        <w:t xml:space="preserve">The current legislative framework for the service, the State Service Act 2000, was comprehensively developed during the late 1990s, making it nearly 20 years old. It is therefore timely to ask whether that framework is best suited to meet the needs of Tasmania today and into the future… </w:t>
      </w:r>
      <w:r w:rsidRPr="00D720DA">
        <w:rPr>
          <w:rFonts w:ascii="Arial" w:hAnsi="Arial" w:cs="Arial"/>
          <w:sz w:val="22"/>
          <w:szCs w:val="22"/>
        </w:rPr>
        <w:t>(Gale</w:t>
      </w:r>
      <w:r w:rsidR="001503E7" w:rsidRPr="00D720DA">
        <w:rPr>
          <w:rFonts w:ascii="Arial" w:hAnsi="Arial" w:cs="Arial"/>
          <w:sz w:val="22"/>
          <w:szCs w:val="22"/>
        </w:rPr>
        <w:t>,</w:t>
      </w:r>
      <w:r w:rsidRPr="00D720DA">
        <w:rPr>
          <w:rFonts w:ascii="Arial" w:hAnsi="Arial" w:cs="Arial"/>
          <w:sz w:val="22"/>
          <w:szCs w:val="22"/>
        </w:rPr>
        <w:t xml:space="preserve"> 2019).</w:t>
      </w:r>
    </w:p>
    <w:p w14:paraId="3A73E974" w14:textId="77777777" w:rsidR="00BB4C16" w:rsidRPr="00D720DA" w:rsidRDefault="00B11837" w:rsidP="00C8424F">
      <w:pPr>
        <w:pStyle w:val="indentpara"/>
        <w:ind w:firstLine="0"/>
        <w:rPr>
          <w:rFonts w:ascii="Arial" w:hAnsi="Arial" w:cs="Arial"/>
        </w:rPr>
      </w:pPr>
      <w:r w:rsidRPr="00D720DA">
        <w:rPr>
          <w:rFonts w:ascii="Arial" w:hAnsi="Arial" w:cs="Arial"/>
        </w:rPr>
        <w:t xml:space="preserve">In January 2020, the Tasmania Law Reform Institute (TLRI) expressed concerns about the “devolution of the public service to private agencies and using consultants instead of public servants to make public policy or administer public services”. The Institute recommended “improvements in the way government decisions can be challenged by Tasmanian citizens and reviewed by the courts” with a key </w:t>
      </w:r>
      <w:r w:rsidR="000D1D7C" w:rsidRPr="00D720DA">
        <w:rPr>
          <w:rFonts w:ascii="Arial" w:hAnsi="Arial" w:cs="Arial"/>
        </w:rPr>
        <w:t xml:space="preserve">proposed </w:t>
      </w:r>
      <w:r w:rsidRPr="00D720DA">
        <w:rPr>
          <w:rFonts w:ascii="Arial" w:hAnsi="Arial" w:cs="Arial"/>
        </w:rPr>
        <w:t xml:space="preserve">reform a change to the legal definition of ‘decision’ in the </w:t>
      </w:r>
      <w:r w:rsidRPr="00D720DA">
        <w:rPr>
          <w:rFonts w:ascii="Arial" w:hAnsi="Arial" w:cs="Arial"/>
          <w:i/>
          <w:iCs w:val="0"/>
        </w:rPr>
        <w:t>Judicial Review Act 2000</w:t>
      </w:r>
      <w:r w:rsidRPr="00D720DA">
        <w:rPr>
          <w:rFonts w:ascii="Arial" w:hAnsi="Arial" w:cs="Arial"/>
        </w:rPr>
        <w:t xml:space="preserve"> (TLRI, 2020).</w:t>
      </w:r>
    </w:p>
    <w:p w14:paraId="283E1859" w14:textId="72A05899" w:rsidR="00694A97" w:rsidRPr="00D720DA" w:rsidRDefault="00694A97" w:rsidP="001503E7">
      <w:pPr>
        <w:pStyle w:val="indentpara"/>
        <w:rPr>
          <w:rFonts w:ascii="Arial" w:hAnsi="Arial" w:cs="Arial"/>
          <w:bCs/>
          <w:color w:val="FF0000"/>
        </w:rPr>
      </w:pPr>
    </w:p>
    <w:p w14:paraId="3DDF2184" w14:textId="4976C40F" w:rsidR="00043D02" w:rsidRPr="00D720DA" w:rsidRDefault="008408AE" w:rsidP="00496629">
      <w:pPr>
        <w:pStyle w:val="Heading1"/>
        <w:spacing w:after="240"/>
        <w:ind w:left="431" w:hanging="431"/>
        <w:rPr>
          <w:rFonts w:ascii="Arial" w:hAnsi="Arial" w:cs="Arial"/>
        </w:rPr>
      </w:pPr>
      <w:bookmarkStart w:id="15" w:name="_Toc77356798"/>
      <w:r w:rsidRPr="00D720DA">
        <w:rPr>
          <w:rFonts w:ascii="Arial" w:hAnsi="Arial" w:cs="Arial"/>
        </w:rPr>
        <w:lastRenderedPageBreak/>
        <w:t>T</w:t>
      </w:r>
      <w:r w:rsidR="00476E93" w:rsidRPr="00D720DA">
        <w:rPr>
          <w:rFonts w:ascii="Arial" w:hAnsi="Arial" w:cs="Arial"/>
        </w:rPr>
        <w:t xml:space="preserve">asmanian </w:t>
      </w:r>
      <w:r w:rsidR="00F040C1" w:rsidRPr="00D720DA">
        <w:rPr>
          <w:rFonts w:ascii="Arial" w:hAnsi="Arial" w:cs="Arial"/>
        </w:rPr>
        <w:t xml:space="preserve">SES </w:t>
      </w:r>
      <w:r w:rsidR="00476E93" w:rsidRPr="00D720DA">
        <w:rPr>
          <w:rFonts w:ascii="Arial" w:hAnsi="Arial" w:cs="Arial"/>
        </w:rPr>
        <w:t>p</w:t>
      </w:r>
      <w:r w:rsidR="00F040C1" w:rsidRPr="00D720DA">
        <w:rPr>
          <w:rFonts w:ascii="Arial" w:hAnsi="Arial" w:cs="Arial"/>
        </w:rPr>
        <w:t>olicy</w:t>
      </w:r>
      <w:r w:rsidR="00635DEF" w:rsidRPr="00D720DA">
        <w:rPr>
          <w:rFonts w:ascii="Arial" w:hAnsi="Arial" w:cs="Arial"/>
        </w:rPr>
        <w:t xml:space="preserve"> changes</w:t>
      </w:r>
      <w:bookmarkEnd w:id="15"/>
      <w:r w:rsidR="00F040C1" w:rsidRPr="00D720DA">
        <w:rPr>
          <w:rFonts w:ascii="Arial" w:hAnsi="Arial" w:cs="Arial"/>
        </w:rPr>
        <w:t xml:space="preserve"> </w:t>
      </w:r>
    </w:p>
    <w:p w14:paraId="2A5895EA" w14:textId="77777777" w:rsidR="00F040C1" w:rsidRPr="00D720DA" w:rsidRDefault="00F040C1" w:rsidP="00496629">
      <w:pPr>
        <w:pStyle w:val="Heading2"/>
        <w:spacing w:after="120"/>
        <w:ind w:left="578" w:hanging="578"/>
        <w:rPr>
          <w:rFonts w:ascii="Arial" w:hAnsi="Arial" w:cs="Arial"/>
          <w:u w:val="none"/>
        </w:rPr>
      </w:pPr>
      <w:bookmarkStart w:id="16" w:name="_Toc77356799"/>
      <w:r w:rsidRPr="00D720DA">
        <w:rPr>
          <w:rFonts w:ascii="Arial" w:hAnsi="Arial" w:cs="Arial"/>
          <w:u w:val="none"/>
        </w:rPr>
        <w:t>Discussion</w:t>
      </w:r>
      <w:bookmarkEnd w:id="16"/>
    </w:p>
    <w:p w14:paraId="237BE87C" w14:textId="56B0EEEE" w:rsidR="001129F5" w:rsidRPr="00D720DA" w:rsidRDefault="001129F5" w:rsidP="00D224FE">
      <w:pPr>
        <w:rPr>
          <w:rFonts w:ascii="Arial" w:hAnsi="Arial" w:cs="Arial"/>
        </w:rPr>
      </w:pPr>
      <w:r w:rsidRPr="00D720DA">
        <w:rPr>
          <w:rFonts w:ascii="Arial" w:hAnsi="Arial" w:cs="Arial"/>
        </w:rPr>
        <w:t xml:space="preserve">The Senior Executive Service </w:t>
      </w:r>
      <w:r w:rsidR="005056C5" w:rsidRPr="00D720DA">
        <w:rPr>
          <w:rFonts w:ascii="Arial" w:hAnsi="Arial" w:cs="Arial"/>
        </w:rPr>
        <w:t xml:space="preserve">(SES) </w:t>
      </w:r>
      <w:r w:rsidRPr="00D720DA">
        <w:rPr>
          <w:rFonts w:ascii="Arial" w:hAnsi="Arial" w:cs="Arial"/>
        </w:rPr>
        <w:t xml:space="preserve">was introduced in </w:t>
      </w:r>
      <w:r w:rsidR="000C59F3" w:rsidRPr="00D720DA">
        <w:rPr>
          <w:rFonts w:ascii="Arial" w:hAnsi="Arial" w:cs="Arial"/>
        </w:rPr>
        <w:t>Tasmania</w:t>
      </w:r>
      <w:r w:rsidRPr="00D720DA">
        <w:rPr>
          <w:rFonts w:ascii="Arial" w:hAnsi="Arial" w:cs="Arial"/>
        </w:rPr>
        <w:t xml:space="preserve"> in </w:t>
      </w:r>
      <w:r w:rsidR="00E943C3" w:rsidRPr="00D720DA">
        <w:rPr>
          <w:rFonts w:ascii="Arial" w:hAnsi="Arial" w:cs="Arial"/>
        </w:rPr>
        <w:t>1989</w:t>
      </w:r>
      <w:r w:rsidRPr="00D720DA">
        <w:rPr>
          <w:rFonts w:ascii="Arial" w:hAnsi="Arial" w:cs="Arial"/>
        </w:rPr>
        <w:t xml:space="preserve"> under public sector reforms </w:t>
      </w:r>
      <w:r w:rsidR="00C71EC3" w:rsidRPr="00D720DA">
        <w:rPr>
          <w:rFonts w:ascii="Arial" w:hAnsi="Arial" w:cs="Arial"/>
        </w:rPr>
        <w:t>implemented</w:t>
      </w:r>
      <w:r w:rsidRPr="00D720DA">
        <w:rPr>
          <w:rFonts w:ascii="Arial" w:hAnsi="Arial" w:cs="Arial"/>
        </w:rPr>
        <w:t xml:space="preserve"> by the </w:t>
      </w:r>
      <w:r w:rsidR="00C71EC3" w:rsidRPr="00D720DA">
        <w:rPr>
          <w:rFonts w:ascii="Arial" w:hAnsi="Arial" w:cs="Arial"/>
        </w:rPr>
        <w:t xml:space="preserve">Field </w:t>
      </w:r>
      <w:proofErr w:type="spellStart"/>
      <w:r w:rsidR="00C71EC3" w:rsidRPr="00D720DA">
        <w:rPr>
          <w:rFonts w:ascii="Arial" w:hAnsi="Arial" w:cs="Arial"/>
        </w:rPr>
        <w:t>Labor</w:t>
      </w:r>
      <w:proofErr w:type="spellEnd"/>
      <w:r w:rsidRPr="00D720DA">
        <w:rPr>
          <w:rFonts w:ascii="Arial" w:hAnsi="Arial" w:cs="Arial"/>
        </w:rPr>
        <w:t xml:space="preserve"> government (</w:t>
      </w:r>
      <w:r w:rsidR="00C71EC3" w:rsidRPr="00D720DA">
        <w:rPr>
          <w:rFonts w:ascii="Arial" w:hAnsi="Arial" w:cs="Arial"/>
        </w:rPr>
        <w:t xml:space="preserve">building on earlier reforms of the Gray Liberal government, </w:t>
      </w:r>
      <w:r w:rsidR="00BF30FC" w:rsidRPr="00D720DA">
        <w:rPr>
          <w:rFonts w:ascii="Arial" w:hAnsi="Arial" w:cs="Arial"/>
        </w:rPr>
        <w:t xml:space="preserve">embodied </w:t>
      </w:r>
      <w:r w:rsidRPr="00D720DA">
        <w:rPr>
          <w:rFonts w:ascii="Arial" w:hAnsi="Arial" w:cs="Arial"/>
        </w:rPr>
        <w:t xml:space="preserve">in the </w:t>
      </w:r>
      <w:r w:rsidR="00C71EC3" w:rsidRPr="00D720DA">
        <w:rPr>
          <w:rFonts w:ascii="Arial" w:hAnsi="Arial" w:cs="Arial"/>
          <w:i/>
        </w:rPr>
        <w:t>Tasmanian State Service Act 1984</w:t>
      </w:r>
      <w:r w:rsidRPr="00D720DA">
        <w:rPr>
          <w:rFonts w:ascii="Arial" w:hAnsi="Arial" w:cs="Arial"/>
        </w:rPr>
        <w:t xml:space="preserve"> and subsequent amendments). The </w:t>
      </w:r>
      <w:r w:rsidR="00A52B3B" w:rsidRPr="00D720DA">
        <w:rPr>
          <w:rFonts w:ascii="Arial" w:hAnsi="Arial" w:cs="Arial"/>
          <w:i/>
        </w:rPr>
        <w:t>State Service</w:t>
      </w:r>
      <w:r w:rsidR="00FE506B" w:rsidRPr="00D720DA">
        <w:rPr>
          <w:rFonts w:ascii="Arial" w:hAnsi="Arial" w:cs="Arial"/>
          <w:i/>
        </w:rPr>
        <w:t xml:space="preserve"> </w:t>
      </w:r>
      <w:r w:rsidRPr="00D720DA">
        <w:rPr>
          <w:rFonts w:ascii="Arial" w:hAnsi="Arial" w:cs="Arial"/>
          <w:i/>
        </w:rPr>
        <w:t xml:space="preserve">Act </w:t>
      </w:r>
      <w:r w:rsidR="00A52B3B" w:rsidRPr="00D720DA">
        <w:rPr>
          <w:rFonts w:ascii="Arial" w:hAnsi="Arial" w:cs="Arial"/>
          <w:i/>
        </w:rPr>
        <w:t>2000</w:t>
      </w:r>
      <w:r w:rsidR="00A52B3B" w:rsidRPr="00D720DA">
        <w:rPr>
          <w:rFonts w:ascii="Arial" w:hAnsi="Arial" w:cs="Arial"/>
        </w:rPr>
        <w:t xml:space="preserve"> </w:t>
      </w:r>
      <w:r w:rsidR="007E036D" w:rsidRPr="00D720DA">
        <w:rPr>
          <w:rFonts w:ascii="Arial" w:hAnsi="Arial" w:cs="Arial"/>
        </w:rPr>
        <w:t xml:space="preserve">and </w:t>
      </w:r>
      <w:r w:rsidR="007E036D" w:rsidRPr="00D720DA">
        <w:rPr>
          <w:rFonts w:ascii="Arial" w:hAnsi="Arial" w:cs="Arial"/>
          <w:i/>
        </w:rPr>
        <w:t>State Service Regulations 2001</w:t>
      </w:r>
      <w:r w:rsidR="007E036D" w:rsidRPr="00D720DA">
        <w:rPr>
          <w:rFonts w:ascii="Arial" w:hAnsi="Arial" w:cs="Arial"/>
        </w:rPr>
        <w:t xml:space="preserve"> </w:t>
      </w:r>
      <w:r w:rsidRPr="00D720DA">
        <w:rPr>
          <w:rFonts w:ascii="Arial" w:hAnsi="Arial" w:cs="Arial"/>
        </w:rPr>
        <w:t xml:space="preserve">introduced by the </w:t>
      </w:r>
      <w:r w:rsidR="00A52B3B" w:rsidRPr="00D720DA">
        <w:rPr>
          <w:rFonts w:ascii="Arial" w:hAnsi="Arial" w:cs="Arial"/>
        </w:rPr>
        <w:t xml:space="preserve">Bacon </w:t>
      </w:r>
      <w:proofErr w:type="spellStart"/>
      <w:r w:rsidR="00A52B3B" w:rsidRPr="00D720DA">
        <w:rPr>
          <w:rFonts w:ascii="Arial" w:hAnsi="Arial" w:cs="Arial"/>
        </w:rPr>
        <w:t>Labor</w:t>
      </w:r>
      <w:proofErr w:type="spellEnd"/>
      <w:r w:rsidRPr="00D720DA">
        <w:rPr>
          <w:rFonts w:ascii="Arial" w:hAnsi="Arial" w:cs="Arial"/>
        </w:rPr>
        <w:t xml:space="preserve"> government replaced </w:t>
      </w:r>
      <w:r w:rsidR="00984F10" w:rsidRPr="00D720DA">
        <w:rPr>
          <w:rFonts w:ascii="Arial" w:hAnsi="Arial" w:cs="Arial"/>
        </w:rPr>
        <w:t xml:space="preserve">previous </w:t>
      </w:r>
      <w:r w:rsidRPr="00D720DA">
        <w:rPr>
          <w:rFonts w:ascii="Arial" w:hAnsi="Arial" w:cs="Arial"/>
        </w:rPr>
        <w:t>public sector management legislation and regulations</w:t>
      </w:r>
      <w:r w:rsidR="007E036D" w:rsidRPr="00D720DA">
        <w:rPr>
          <w:rFonts w:ascii="Arial" w:hAnsi="Arial" w:cs="Arial"/>
        </w:rPr>
        <w:t xml:space="preserve"> </w:t>
      </w:r>
      <w:r w:rsidRPr="00D720DA">
        <w:rPr>
          <w:rFonts w:ascii="Arial" w:hAnsi="Arial" w:cs="Arial"/>
        </w:rPr>
        <w:t>(including SES-specific</w:t>
      </w:r>
      <w:r w:rsidR="00C71EC3" w:rsidRPr="00D720DA">
        <w:rPr>
          <w:rFonts w:ascii="Arial" w:hAnsi="Arial" w:cs="Arial"/>
        </w:rPr>
        <w:t xml:space="preserve"> guidelines</w:t>
      </w:r>
      <w:r w:rsidRPr="00D720DA">
        <w:rPr>
          <w:rFonts w:ascii="Arial" w:hAnsi="Arial" w:cs="Arial"/>
        </w:rPr>
        <w:t>)</w:t>
      </w:r>
      <w:r w:rsidR="007E036D" w:rsidRPr="00D720DA">
        <w:rPr>
          <w:rFonts w:ascii="Arial" w:hAnsi="Arial" w:cs="Arial"/>
        </w:rPr>
        <w:t xml:space="preserve"> </w:t>
      </w:r>
      <w:r w:rsidR="00984F10" w:rsidRPr="00D720DA">
        <w:rPr>
          <w:rFonts w:ascii="Arial" w:hAnsi="Arial" w:cs="Arial"/>
        </w:rPr>
        <w:t>and</w:t>
      </w:r>
      <w:r w:rsidR="00BF30FC" w:rsidRPr="00D720DA">
        <w:rPr>
          <w:rFonts w:ascii="Arial" w:hAnsi="Arial" w:cs="Arial"/>
        </w:rPr>
        <w:t xml:space="preserve"> </w:t>
      </w:r>
      <w:r w:rsidR="007E036D" w:rsidRPr="00D720DA">
        <w:rPr>
          <w:rFonts w:ascii="Arial" w:hAnsi="Arial" w:cs="Arial"/>
        </w:rPr>
        <w:t xml:space="preserve">conditions of employment in the Tasmanian public service; these reforms were </w:t>
      </w:r>
      <w:r w:rsidR="00BF30FC" w:rsidRPr="00D720DA">
        <w:rPr>
          <w:rFonts w:ascii="Arial" w:hAnsi="Arial" w:cs="Arial"/>
        </w:rPr>
        <w:t>modified</w:t>
      </w:r>
      <w:r w:rsidR="007E036D" w:rsidRPr="00D720DA">
        <w:rPr>
          <w:rFonts w:ascii="Arial" w:hAnsi="Arial" w:cs="Arial"/>
        </w:rPr>
        <w:t xml:space="preserve"> in late 2002 </w:t>
      </w:r>
      <w:r w:rsidR="00C71EC3" w:rsidRPr="00D720DA">
        <w:rPr>
          <w:rFonts w:ascii="Arial" w:hAnsi="Arial" w:cs="Arial"/>
        </w:rPr>
        <w:t>(and again in 20</w:t>
      </w:r>
      <w:r w:rsidR="006B681C" w:rsidRPr="00D720DA">
        <w:rPr>
          <w:rFonts w:ascii="Arial" w:hAnsi="Arial" w:cs="Arial"/>
        </w:rPr>
        <w:t>13</w:t>
      </w:r>
      <w:r w:rsidR="00C71EC3" w:rsidRPr="00D720DA">
        <w:rPr>
          <w:rFonts w:ascii="Arial" w:hAnsi="Arial" w:cs="Arial"/>
        </w:rPr>
        <w:t xml:space="preserve">) </w:t>
      </w:r>
      <w:r w:rsidR="007E036D" w:rsidRPr="00D720DA">
        <w:rPr>
          <w:rFonts w:ascii="Arial" w:hAnsi="Arial" w:cs="Arial"/>
        </w:rPr>
        <w:t xml:space="preserve">with changes to the classification and </w:t>
      </w:r>
      <w:r w:rsidR="004A48F3" w:rsidRPr="00D720DA">
        <w:rPr>
          <w:rFonts w:ascii="Arial" w:hAnsi="Arial" w:cs="Arial"/>
        </w:rPr>
        <w:t>nature of SES positions</w:t>
      </w:r>
      <w:r w:rsidR="007E036D" w:rsidRPr="00D720DA">
        <w:rPr>
          <w:rFonts w:ascii="Arial" w:hAnsi="Arial" w:cs="Arial"/>
        </w:rPr>
        <w:t>.</w:t>
      </w:r>
    </w:p>
    <w:p w14:paraId="246FFE1C" w14:textId="0CB3C22A" w:rsidR="004843DD" w:rsidRPr="00D720DA" w:rsidRDefault="00546B81" w:rsidP="00C8424F">
      <w:pPr>
        <w:pStyle w:val="indentpara"/>
        <w:ind w:firstLine="0"/>
        <w:rPr>
          <w:rFonts w:ascii="Arial" w:hAnsi="Arial" w:cs="Arial"/>
        </w:rPr>
      </w:pPr>
      <w:r w:rsidRPr="00D720DA">
        <w:rPr>
          <w:rFonts w:ascii="Arial" w:hAnsi="Arial" w:cs="Arial"/>
        </w:rPr>
        <w:t xml:space="preserve">Senior Executive employment in the Tasmanian State Service is governed by the </w:t>
      </w:r>
      <w:r w:rsidRPr="00D720DA">
        <w:rPr>
          <w:rFonts w:ascii="Arial" w:hAnsi="Arial" w:cs="Arial"/>
          <w:i/>
          <w:iCs w:val="0"/>
        </w:rPr>
        <w:t>State Service Act 2000, State Service Regulations 2011</w:t>
      </w:r>
      <w:r w:rsidRPr="00D720DA">
        <w:rPr>
          <w:rFonts w:ascii="Arial" w:hAnsi="Arial" w:cs="Arial"/>
        </w:rPr>
        <w:t xml:space="preserve">, </w:t>
      </w:r>
      <w:r w:rsidRPr="00D720DA">
        <w:rPr>
          <w:rFonts w:ascii="Arial" w:hAnsi="Arial" w:cs="Arial"/>
          <w:i/>
          <w:iCs w:val="0"/>
        </w:rPr>
        <w:t>State Service Code of Conduct</w:t>
      </w:r>
      <w:r w:rsidRPr="00D720DA">
        <w:rPr>
          <w:rFonts w:ascii="Arial" w:hAnsi="Arial" w:cs="Arial"/>
        </w:rPr>
        <w:t xml:space="preserve">, </w:t>
      </w:r>
      <w:r w:rsidRPr="00D720DA">
        <w:rPr>
          <w:rFonts w:ascii="Arial" w:hAnsi="Arial" w:cs="Arial"/>
          <w:i/>
          <w:iCs w:val="0"/>
        </w:rPr>
        <w:t>State Service Principles</w:t>
      </w:r>
      <w:r w:rsidRPr="00D720DA">
        <w:rPr>
          <w:rFonts w:ascii="Arial" w:hAnsi="Arial" w:cs="Arial"/>
        </w:rPr>
        <w:t xml:space="preserve"> and </w:t>
      </w:r>
      <w:r w:rsidRPr="00D720DA">
        <w:rPr>
          <w:rFonts w:ascii="Arial" w:hAnsi="Arial" w:cs="Arial"/>
          <w:i/>
          <w:iCs w:val="0"/>
        </w:rPr>
        <w:t>Employment Direction No. 17</w:t>
      </w:r>
      <w:r w:rsidRPr="00D720DA">
        <w:rPr>
          <w:rFonts w:ascii="Arial" w:hAnsi="Arial" w:cs="Arial"/>
        </w:rPr>
        <w:t xml:space="preserve">. </w:t>
      </w:r>
      <w:r w:rsidR="004843DD" w:rsidRPr="00D720DA">
        <w:rPr>
          <w:rFonts w:ascii="Arial" w:hAnsi="Arial" w:cs="Arial"/>
        </w:rPr>
        <w:t>A four-level senior executive classification framework was developed by Mercer in 2001 and implemented in 2002 (Carpenter &amp; Wyman, 2008; State Service Commissioner, 2002).</w:t>
      </w:r>
      <w:r w:rsidR="00601538" w:rsidRPr="00D720DA">
        <w:rPr>
          <w:rFonts w:ascii="Arial" w:hAnsi="Arial" w:cs="Arial"/>
          <w:color w:val="FF0000"/>
        </w:rPr>
        <w:t xml:space="preserve"> </w:t>
      </w:r>
      <w:r w:rsidR="00601538" w:rsidRPr="00D720DA">
        <w:rPr>
          <w:rFonts w:ascii="Arial" w:hAnsi="Arial" w:cs="Arial"/>
        </w:rPr>
        <w:t xml:space="preserve">Mercer was </w:t>
      </w:r>
      <w:r w:rsidR="005056C5" w:rsidRPr="00D720DA">
        <w:rPr>
          <w:rFonts w:ascii="Arial" w:hAnsi="Arial" w:cs="Arial"/>
        </w:rPr>
        <w:t>commissioned</w:t>
      </w:r>
      <w:r w:rsidR="00601538" w:rsidRPr="00D720DA">
        <w:rPr>
          <w:rFonts w:ascii="Arial" w:hAnsi="Arial" w:cs="Arial"/>
        </w:rPr>
        <w:t xml:space="preserve"> by SSMO in 2008 to provide independent advice on a revised SES classification framework and a proposed remuneration framework. Mercer noted there had been ‘classification creep’ since the introduction of the executive framework</w:t>
      </w:r>
      <w:r w:rsidR="00496629" w:rsidRPr="00D720DA">
        <w:rPr>
          <w:rFonts w:ascii="Arial" w:hAnsi="Arial" w:cs="Arial"/>
        </w:rPr>
        <w:t xml:space="preserve"> and</w:t>
      </w:r>
      <w:r w:rsidR="00601538" w:rsidRPr="00D720DA">
        <w:rPr>
          <w:rFonts w:ascii="Arial" w:hAnsi="Arial" w:cs="Arial"/>
        </w:rPr>
        <w:t xml:space="preserve"> recommended an overlapping structure between non-executives and SES and between SES and H</w:t>
      </w:r>
      <w:r w:rsidR="005056C5" w:rsidRPr="00D720DA">
        <w:rPr>
          <w:rFonts w:ascii="Arial" w:hAnsi="Arial" w:cs="Arial"/>
        </w:rPr>
        <w:t>eads of Agencies</w:t>
      </w:r>
      <w:r w:rsidR="00601538" w:rsidRPr="00D720DA">
        <w:rPr>
          <w:rFonts w:ascii="Arial" w:hAnsi="Arial" w:cs="Arial"/>
        </w:rPr>
        <w:t xml:space="preserve"> (Carpenter &amp; Wyman, 2008).</w:t>
      </w:r>
    </w:p>
    <w:p w14:paraId="6D13C66F" w14:textId="12440774" w:rsidR="00546B81" w:rsidRPr="00D720DA" w:rsidRDefault="00273FC4" w:rsidP="00C8424F">
      <w:pPr>
        <w:pStyle w:val="indentpara"/>
        <w:ind w:firstLine="0"/>
        <w:rPr>
          <w:rFonts w:ascii="Arial" w:hAnsi="Arial" w:cs="Arial"/>
        </w:rPr>
      </w:pPr>
      <w:r w:rsidRPr="00D720DA">
        <w:rPr>
          <w:rFonts w:ascii="Arial" w:hAnsi="Arial" w:cs="Arial"/>
        </w:rPr>
        <w:t>There are four classification levels for SES officers: SES 1 through to SES 4 (with SES 4 the highest)</w:t>
      </w:r>
      <w:r w:rsidR="00984F10" w:rsidRPr="00D720DA">
        <w:rPr>
          <w:rFonts w:ascii="Arial" w:hAnsi="Arial" w:cs="Arial"/>
        </w:rPr>
        <w:t>. There are</w:t>
      </w:r>
      <w:r w:rsidRPr="00D720DA">
        <w:rPr>
          <w:rFonts w:ascii="Arial" w:hAnsi="Arial" w:cs="Arial"/>
        </w:rPr>
        <w:t xml:space="preserve"> six salary points for </w:t>
      </w:r>
      <w:r w:rsidR="00383ADE" w:rsidRPr="00D720DA">
        <w:rPr>
          <w:rFonts w:ascii="Arial" w:hAnsi="Arial" w:cs="Arial"/>
        </w:rPr>
        <w:t xml:space="preserve">each of </w:t>
      </w:r>
      <w:r w:rsidRPr="00D720DA">
        <w:rPr>
          <w:rFonts w:ascii="Arial" w:hAnsi="Arial" w:cs="Arial"/>
        </w:rPr>
        <w:t xml:space="preserve">SES 1 to </w:t>
      </w:r>
      <w:r w:rsidR="00383ADE" w:rsidRPr="00D720DA">
        <w:rPr>
          <w:rFonts w:ascii="Arial" w:hAnsi="Arial" w:cs="Arial"/>
        </w:rPr>
        <w:t>SES</w:t>
      </w:r>
      <w:r w:rsidRPr="00D720DA">
        <w:rPr>
          <w:rFonts w:ascii="Arial" w:hAnsi="Arial" w:cs="Arial"/>
        </w:rPr>
        <w:t xml:space="preserve">3 and seven </w:t>
      </w:r>
      <w:r w:rsidR="00383ADE" w:rsidRPr="00D720DA">
        <w:rPr>
          <w:rFonts w:ascii="Arial" w:hAnsi="Arial" w:cs="Arial"/>
        </w:rPr>
        <w:t xml:space="preserve">salary </w:t>
      </w:r>
      <w:r w:rsidRPr="00D720DA">
        <w:rPr>
          <w:rFonts w:ascii="Arial" w:hAnsi="Arial" w:cs="Arial"/>
        </w:rPr>
        <w:t>levels for SES 4</w:t>
      </w:r>
      <w:r w:rsidR="004843DD" w:rsidRPr="00D720DA">
        <w:rPr>
          <w:rFonts w:ascii="Arial" w:hAnsi="Arial" w:cs="Arial"/>
        </w:rPr>
        <w:t>.</w:t>
      </w:r>
      <w:r w:rsidRPr="00D720DA">
        <w:rPr>
          <w:rFonts w:ascii="Arial" w:hAnsi="Arial" w:cs="Arial"/>
        </w:rPr>
        <w:t xml:space="preserve"> In addition, a </w:t>
      </w:r>
      <w:r w:rsidR="004843DD" w:rsidRPr="00D720DA">
        <w:rPr>
          <w:rFonts w:ascii="Arial" w:hAnsi="Arial" w:cs="Arial"/>
        </w:rPr>
        <w:t>‘</w:t>
      </w:r>
      <w:r w:rsidRPr="00D720DA">
        <w:rPr>
          <w:rFonts w:ascii="Arial" w:hAnsi="Arial" w:cs="Arial"/>
        </w:rPr>
        <w:t>Special Salary Point</w:t>
      </w:r>
      <w:r w:rsidR="004843DD" w:rsidRPr="00D720DA">
        <w:rPr>
          <w:rFonts w:ascii="Arial" w:hAnsi="Arial" w:cs="Arial"/>
        </w:rPr>
        <w:t>’</w:t>
      </w:r>
      <w:r w:rsidRPr="00D720DA">
        <w:rPr>
          <w:rFonts w:ascii="Arial" w:hAnsi="Arial" w:cs="Arial"/>
        </w:rPr>
        <w:t xml:space="preserve"> </w:t>
      </w:r>
      <w:r w:rsidR="00383ADE" w:rsidRPr="00D720DA">
        <w:rPr>
          <w:rFonts w:ascii="Arial" w:hAnsi="Arial" w:cs="Arial"/>
        </w:rPr>
        <w:t xml:space="preserve">may be invoked </w:t>
      </w:r>
      <w:r w:rsidRPr="00D720DA">
        <w:rPr>
          <w:rFonts w:ascii="Arial" w:hAnsi="Arial" w:cs="Arial"/>
        </w:rPr>
        <w:t xml:space="preserve">for each level, requiring the approval of the Head of the State Service (DPAC, 2019, Attachment 1B). Progression through the salary points is based on performance as assessed by Heads of Agencies </w:t>
      </w:r>
      <w:r w:rsidR="00825B75" w:rsidRPr="00D720DA">
        <w:rPr>
          <w:rFonts w:ascii="Arial" w:hAnsi="Arial" w:cs="Arial"/>
        </w:rPr>
        <w:t xml:space="preserve">on successful completion of a performance agreement, or by the </w:t>
      </w:r>
      <w:r w:rsidRPr="00D720DA">
        <w:rPr>
          <w:rFonts w:ascii="Arial" w:hAnsi="Arial" w:cs="Arial"/>
        </w:rPr>
        <w:t>Head of the State Service</w:t>
      </w:r>
      <w:r w:rsidR="00825B75" w:rsidRPr="00D720DA">
        <w:rPr>
          <w:rFonts w:ascii="Arial" w:hAnsi="Arial" w:cs="Arial"/>
        </w:rPr>
        <w:t xml:space="preserve"> if there is a recommendation to progress more than one salary point</w:t>
      </w:r>
      <w:r w:rsidRPr="00D720DA">
        <w:rPr>
          <w:rFonts w:ascii="Arial" w:hAnsi="Arial" w:cs="Arial"/>
        </w:rPr>
        <w:t xml:space="preserve"> (DP</w:t>
      </w:r>
      <w:r w:rsidR="008A45B8" w:rsidRPr="00D720DA">
        <w:rPr>
          <w:rFonts w:ascii="Arial" w:hAnsi="Arial" w:cs="Arial"/>
        </w:rPr>
        <w:t>A</w:t>
      </w:r>
      <w:r w:rsidRPr="00D720DA">
        <w:rPr>
          <w:rFonts w:ascii="Arial" w:hAnsi="Arial" w:cs="Arial"/>
        </w:rPr>
        <w:t>C, 2015, p. 14).</w:t>
      </w:r>
    </w:p>
    <w:p w14:paraId="219EAF07" w14:textId="1ED55C1C" w:rsidR="002A6AD4" w:rsidRPr="00D720DA" w:rsidRDefault="002A6AD4" w:rsidP="00C8424F">
      <w:pPr>
        <w:pStyle w:val="indentpara"/>
        <w:ind w:firstLine="0"/>
        <w:rPr>
          <w:rFonts w:ascii="Arial" w:hAnsi="Arial" w:cs="Arial"/>
        </w:rPr>
      </w:pPr>
      <w:r w:rsidRPr="00D720DA">
        <w:rPr>
          <w:rFonts w:ascii="Arial" w:hAnsi="Arial" w:cs="Arial"/>
        </w:rPr>
        <w:t xml:space="preserve">Heads of Agencies and Senior Executives are appointed under section 29 of the </w:t>
      </w:r>
      <w:r w:rsidRPr="00D720DA">
        <w:rPr>
          <w:rFonts w:ascii="Arial" w:hAnsi="Arial" w:cs="Arial"/>
          <w:i/>
          <w:iCs w:val="0"/>
        </w:rPr>
        <w:t>State Service Act 2000</w:t>
      </w:r>
      <w:r w:rsidRPr="00D720DA">
        <w:rPr>
          <w:rFonts w:ascii="Arial" w:hAnsi="Arial" w:cs="Arial"/>
        </w:rPr>
        <w:t>, with the Premier granted authority to create or abolish SES ‘</w:t>
      </w:r>
      <w:proofErr w:type="gramStart"/>
      <w:r w:rsidRPr="00D720DA">
        <w:rPr>
          <w:rFonts w:ascii="Arial" w:hAnsi="Arial" w:cs="Arial"/>
        </w:rPr>
        <w:t>offices’</w:t>
      </w:r>
      <w:proofErr w:type="gramEnd"/>
      <w:r w:rsidRPr="00D720DA">
        <w:rPr>
          <w:rFonts w:ascii="Arial" w:hAnsi="Arial" w:cs="Arial"/>
        </w:rPr>
        <w:t>.</w:t>
      </w:r>
    </w:p>
    <w:p w14:paraId="3C458A35" w14:textId="143E76AA" w:rsidR="00863984" w:rsidRPr="00D720DA" w:rsidRDefault="00E95644" w:rsidP="00C8424F">
      <w:pPr>
        <w:pStyle w:val="indentpara"/>
        <w:ind w:firstLine="0"/>
        <w:rPr>
          <w:rFonts w:ascii="Arial" w:hAnsi="Arial" w:cs="Arial"/>
        </w:rPr>
      </w:pPr>
      <w:r w:rsidRPr="00D720DA">
        <w:rPr>
          <w:rFonts w:ascii="Arial" w:hAnsi="Arial" w:cs="Arial"/>
        </w:rPr>
        <w:t>Members of the Senior Executive Service</w:t>
      </w:r>
      <w:r w:rsidR="00546B81" w:rsidRPr="00D720DA">
        <w:rPr>
          <w:rFonts w:ascii="Arial" w:hAnsi="Arial" w:cs="Arial"/>
        </w:rPr>
        <w:t xml:space="preserve"> </w:t>
      </w:r>
      <w:r w:rsidR="00A06000" w:rsidRPr="00D720DA">
        <w:rPr>
          <w:rFonts w:ascii="Arial" w:hAnsi="Arial" w:cs="Arial"/>
        </w:rPr>
        <w:t xml:space="preserve">are </w:t>
      </w:r>
      <w:r w:rsidRPr="00D720DA">
        <w:rPr>
          <w:rFonts w:ascii="Arial" w:hAnsi="Arial" w:cs="Arial"/>
        </w:rPr>
        <w:t>appointed to the Tasmanian State Service</w:t>
      </w:r>
      <w:r w:rsidR="00383ADE" w:rsidRPr="00D720DA">
        <w:rPr>
          <w:rFonts w:ascii="Arial" w:hAnsi="Arial" w:cs="Arial"/>
        </w:rPr>
        <w:t>,</w:t>
      </w:r>
      <w:r w:rsidRPr="00D720DA">
        <w:rPr>
          <w:rFonts w:ascii="Arial" w:hAnsi="Arial" w:cs="Arial"/>
        </w:rPr>
        <w:t xml:space="preserve"> </w:t>
      </w:r>
      <w:r w:rsidR="00546B81" w:rsidRPr="00D720DA">
        <w:rPr>
          <w:rFonts w:ascii="Arial" w:hAnsi="Arial" w:cs="Arial"/>
        </w:rPr>
        <w:t xml:space="preserve">rather than to </w:t>
      </w:r>
      <w:proofErr w:type="gramStart"/>
      <w:r w:rsidRPr="00D720DA">
        <w:rPr>
          <w:rFonts w:ascii="Arial" w:hAnsi="Arial" w:cs="Arial"/>
        </w:rPr>
        <w:t xml:space="preserve">particular </w:t>
      </w:r>
      <w:r w:rsidR="00546B81" w:rsidRPr="00D720DA">
        <w:rPr>
          <w:rFonts w:ascii="Arial" w:hAnsi="Arial" w:cs="Arial"/>
        </w:rPr>
        <w:t>agencies</w:t>
      </w:r>
      <w:proofErr w:type="gramEnd"/>
      <w:r w:rsidR="00383ADE" w:rsidRPr="00D720DA">
        <w:rPr>
          <w:rFonts w:ascii="Arial" w:hAnsi="Arial" w:cs="Arial"/>
        </w:rPr>
        <w:t>,</w:t>
      </w:r>
      <w:r w:rsidR="00546B81" w:rsidRPr="00D720DA">
        <w:rPr>
          <w:rFonts w:ascii="Arial" w:hAnsi="Arial" w:cs="Arial"/>
        </w:rPr>
        <w:t xml:space="preserve"> on fixed-term contracts of up to five years. They are accountable </w:t>
      </w:r>
      <w:r w:rsidR="004B6AAB" w:rsidRPr="00D720DA">
        <w:rPr>
          <w:rFonts w:ascii="Arial" w:hAnsi="Arial" w:cs="Arial"/>
        </w:rPr>
        <w:t xml:space="preserve">for the achievement of agency and government goals </w:t>
      </w:r>
      <w:r w:rsidR="00383ADE" w:rsidRPr="00D720DA">
        <w:rPr>
          <w:rFonts w:ascii="Arial" w:hAnsi="Arial" w:cs="Arial"/>
        </w:rPr>
        <w:t>as specified</w:t>
      </w:r>
      <w:r w:rsidR="004B6AAB" w:rsidRPr="00D720DA">
        <w:rPr>
          <w:rFonts w:ascii="Arial" w:hAnsi="Arial" w:cs="Arial"/>
        </w:rPr>
        <w:t xml:space="preserve"> in their</w:t>
      </w:r>
      <w:r w:rsidR="00546B81" w:rsidRPr="00D720DA">
        <w:rPr>
          <w:rFonts w:ascii="Arial" w:hAnsi="Arial" w:cs="Arial"/>
        </w:rPr>
        <w:t xml:space="preserve"> </w:t>
      </w:r>
      <w:r w:rsidR="004B6AAB" w:rsidRPr="00D720DA">
        <w:rPr>
          <w:rFonts w:ascii="Arial" w:hAnsi="Arial" w:cs="Arial"/>
        </w:rPr>
        <w:t>Statement of Duties, Instrument of Appointment and performance review documentation</w:t>
      </w:r>
      <w:r w:rsidR="00546B81" w:rsidRPr="00D720DA">
        <w:rPr>
          <w:rFonts w:ascii="Arial" w:hAnsi="Arial" w:cs="Arial"/>
        </w:rPr>
        <w:t>. The SES are responsible for providing “</w:t>
      </w:r>
      <w:r w:rsidR="004B6AAB" w:rsidRPr="00D720DA">
        <w:rPr>
          <w:rFonts w:ascii="Arial" w:hAnsi="Arial" w:cs="Arial"/>
        </w:rPr>
        <w:t>frank, impartial and timely policy advice and undertake high level responsibilities</w:t>
      </w:r>
      <w:r w:rsidR="00546B81" w:rsidRPr="00D720DA">
        <w:rPr>
          <w:rFonts w:ascii="Arial" w:hAnsi="Arial" w:cs="Arial"/>
        </w:rPr>
        <w:t xml:space="preserve"> </w:t>
      </w:r>
      <w:r w:rsidR="004B6AAB" w:rsidRPr="00D720DA">
        <w:rPr>
          <w:rFonts w:ascii="Arial" w:hAnsi="Arial" w:cs="Arial"/>
        </w:rPr>
        <w:t>in and across agencies to achieve government objectives</w:t>
      </w:r>
      <w:r w:rsidR="00546B81" w:rsidRPr="00D720DA">
        <w:rPr>
          <w:rFonts w:ascii="Arial" w:hAnsi="Arial" w:cs="Arial"/>
        </w:rPr>
        <w:t xml:space="preserve">” (Tasmania Audit Office, 2017). </w:t>
      </w:r>
    </w:p>
    <w:p w14:paraId="459D6525" w14:textId="01CC331C" w:rsidR="00273FC4" w:rsidRPr="00D720DA" w:rsidRDefault="009F2130" w:rsidP="00C8424F">
      <w:pPr>
        <w:pStyle w:val="indentpara"/>
        <w:ind w:firstLine="0"/>
        <w:rPr>
          <w:rFonts w:ascii="Arial" w:hAnsi="Arial" w:cs="Arial"/>
        </w:rPr>
      </w:pPr>
      <w:r w:rsidRPr="00D720DA">
        <w:rPr>
          <w:rFonts w:ascii="Arial" w:hAnsi="Arial" w:cs="Arial"/>
        </w:rPr>
        <w:t xml:space="preserve">In November 2017, </w:t>
      </w:r>
      <w:r w:rsidR="00F3054A" w:rsidRPr="00D720DA">
        <w:rPr>
          <w:rFonts w:ascii="Arial" w:hAnsi="Arial" w:cs="Arial"/>
        </w:rPr>
        <w:t xml:space="preserve">after </w:t>
      </w:r>
      <w:r w:rsidR="00273FC4" w:rsidRPr="00D720DA">
        <w:rPr>
          <w:rFonts w:ascii="Arial" w:hAnsi="Arial" w:cs="Arial"/>
        </w:rPr>
        <w:t xml:space="preserve">investigating the </w:t>
      </w:r>
      <w:r w:rsidR="009A0066" w:rsidRPr="00D720DA">
        <w:rPr>
          <w:rFonts w:ascii="Arial" w:hAnsi="Arial" w:cs="Arial"/>
        </w:rPr>
        <w:t>2015</w:t>
      </w:r>
      <w:r w:rsidR="00921515" w:rsidRPr="00D720DA">
        <w:rPr>
          <w:rFonts w:ascii="Arial" w:hAnsi="Arial" w:cs="Arial"/>
        </w:rPr>
        <w:t>–</w:t>
      </w:r>
      <w:r w:rsidR="009A0066" w:rsidRPr="00D720DA">
        <w:rPr>
          <w:rFonts w:ascii="Arial" w:hAnsi="Arial" w:cs="Arial"/>
        </w:rPr>
        <w:t xml:space="preserve">16 </w:t>
      </w:r>
      <w:r w:rsidR="00273FC4" w:rsidRPr="00D720DA">
        <w:rPr>
          <w:rFonts w:ascii="Arial" w:hAnsi="Arial" w:cs="Arial"/>
        </w:rPr>
        <w:t>appointment</w:t>
      </w:r>
      <w:r w:rsidR="009A0066" w:rsidRPr="00D720DA">
        <w:rPr>
          <w:rFonts w:ascii="Arial" w:hAnsi="Arial" w:cs="Arial"/>
        </w:rPr>
        <w:t>s</w:t>
      </w:r>
      <w:r w:rsidR="00273FC4" w:rsidRPr="00D720DA">
        <w:rPr>
          <w:rFonts w:ascii="Arial" w:hAnsi="Arial" w:cs="Arial"/>
        </w:rPr>
        <w:t xml:space="preserve"> of senior executives and other senior staff to four government departments including DPAC, the Auditor-General found</w:t>
      </w:r>
      <w:r w:rsidR="002E2ADF" w:rsidRPr="00D720DA">
        <w:rPr>
          <w:rFonts w:ascii="Arial" w:hAnsi="Arial" w:cs="Arial"/>
        </w:rPr>
        <w:t xml:space="preserve"> that, in some cases</w:t>
      </w:r>
      <w:r w:rsidR="00273FC4" w:rsidRPr="00D720DA">
        <w:rPr>
          <w:rFonts w:ascii="Arial" w:hAnsi="Arial" w:cs="Arial"/>
        </w:rPr>
        <w:t>:</w:t>
      </w:r>
    </w:p>
    <w:p w14:paraId="423E14C8" w14:textId="77777777" w:rsidR="00273FC4" w:rsidRPr="00D720DA" w:rsidRDefault="00273FC4" w:rsidP="004B3184">
      <w:pPr>
        <w:pStyle w:val="ListParagraph"/>
        <w:numPr>
          <w:ilvl w:val="0"/>
          <w:numId w:val="2"/>
        </w:numPr>
        <w:rPr>
          <w:rFonts w:ascii="Arial" w:hAnsi="Arial" w:cs="Arial"/>
          <w:iCs/>
        </w:rPr>
      </w:pPr>
      <w:r w:rsidRPr="00D720DA">
        <w:rPr>
          <w:rFonts w:ascii="Arial" w:hAnsi="Arial" w:cs="Arial"/>
          <w:iCs/>
        </w:rPr>
        <w:t>conflicts of interest had neither been reported nor managed</w:t>
      </w:r>
    </w:p>
    <w:p w14:paraId="62B01C6A" w14:textId="7C884EDE" w:rsidR="00273FC4" w:rsidRPr="00D720DA" w:rsidRDefault="00273FC4" w:rsidP="004B3184">
      <w:pPr>
        <w:pStyle w:val="ListParagraph"/>
        <w:numPr>
          <w:ilvl w:val="0"/>
          <w:numId w:val="2"/>
        </w:numPr>
        <w:rPr>
          <w:rFonts w:ascii="Arial" w:hAnsi="Arial" w:cs="Arial"/>
          <w:iCs/>
        </w:rPr>
      </w:pPr>
      <w:r w:rsidRPr="00D720DA">
        <w:rPr>
          <w:rFonts w:ascii="Arial" w:hAnsi="Arial" w:cs="Arial"/>
          <w:iCs/>
        </w:rPr>
        <w:t>inadequa</w:t>
      </w:r>
      <w:r w:rsidR="00984F10" w:rsidRPr="00D720DA">
        <w:rPr>
          <w:rFonts w:ascii="Arial" w:hAnsi="Arial" w:cs="Arial"/>
          <w:iCs/>
        </w:rPr>
        <w:t>te</w:t>
      </w:r>
      <w:r w:rsidRPr="00D720DA">
        <w:rPr>
          <w:rFonts w:ascii="Arial" w:hAnsi="Arial" w:cs="Arial"/>
          <w:iCs/>
        </w:rPr>
        <w:t xml:space="preserve"> documentation supporting key decisions in the recruitment and selection process</w:t>
      </w:r>
    </w:p>
    <w:p w14:paraId="193EED98" w14:textId="31267350" w:rsidR="00273FC4" w:rsidRPr="00D720DA" w:rsidRDefault="00273FC4" w:rsidP="004B3184">
      <w:pPr>
        <w:pStyle w:val="ListParagraph"/>
        <w:numPr>
          <w:ilvl w:val="0"/>
          <w:numId w:val="2"/>
        </w:numPr>
        <w:rPr>
          <w:rFonts w:ascii="Arial" w:hAnsi="Arial" w:cs="Arial"/>
          <w:iCs/>
        </w:rPr>
      </w:pPr>
      <w:r w:rsidRPr="00D720DA">
        <w:rPr>
          <w:rFonts w:ascii="Arial" w:hAnsi="Arial" w:cs="Arial"/>
          <w:iCs/>
        </w:rPr>
        <w:t xml:space="preserve">some senior appointments had not complied with the requirements of s.31 of the </w:t>
      </w:r>
      <w:r w:rsidRPr="00D720DA">
        <w:rPr>
          <w:rFonts w:ascii="Arial" w:hAnsi="Arial" w:cs="Arial"/>
          <w:i/>
        </w:rPr>
        <w:t>State Service Act 2000</w:t>
      </w:r>
      <w:r w:rsidRPr="00D720DA">
        <w:rPr>
          <w:rFonts w:ascii="Arial" w:hAnsi="Arial" w:cs="Arial"/>
          <w:iCs/>
        </w:rPr>
        <w:t xml:space="preserve"> or its associat</w:t>
      </w:r>
      <w:r w:rsidR="00383ADE" w:rsidRPr="00D720DA">
        <w:rPr>
          <w:rFonts w:ascii="Arial" w:hAnsi="Arial" w:cs="Arial"/>
          <w:iCs/>
        </w:rPr>
        <w:t>ed</w:t>
      </w:r>
      <w:r w:rsidRPr="00D720DA">
        <w:rPr>
          <w:rFonts w:ascii="Arial" w:hAnsi="Arial" w:cs="Arial"/>
          <w:iCs/>
        </w:rPr>
        <w:t xml:space="preserve"> Employment Directions</w:t>
      </w:r>
    </w:p>
    <w:p w14:paraId="1E2DA6F4" w14:textId="7E673E8B" w:rsidR="00273FC4" w:rsidRPr="00D720DA" w:rsidRDefault="00273FC4" w:rsidP="004B3184">
      <w:pPr>
        <w:pStyle w:val="ListParagraph"/>
        <w:numPr>
          <w:ilvl w:val="0"/>
          <w:numId w:val="2"/>
        </w:numPr>
        <w:rPr>
          <w:rFonts w:ascii="Arial" w:hAnsi="Arial" w:cs="Arial"/>
          <w:iCs/>
        </w:rPr>
      </w:pPr>
      <w:r w:rsidRPr="00D720DA">
        <w:rPr>
          <w:rFonts w:ascii="Arial" w:hAnsi="Arial" w:cs="Arial"/>
          <w:iCs/>
        </w:rPr>
        <w:t xml:space="preserve">previous </w:t>
      </w:r>
      <w:r w:rsidR="00D96C66" w:rsidRPr="00D720DA">
        <w:rPr>
          <w:rFonts w:ascii="Arial" w:hAnsi="Arial" w:cs="Arial"/>
          <w:iCs/>
        </w:rPr>
        <w:t xml:space="preserve">Auditor-General </w:t>
      </w:r>
      <w:r w:rsidRPr="00D720DA">
        <w:rPr>
          <w:rFonts w:ascii="Arial" w:hAnsi="Arial" w:cs="Arial"/>
          <w:iCs/>
        </w:rPr>
        <w:t xml:space="preserve">recommendations to improve the transparency of recruitment processes had </w:t>
      </w:r>
      <w:r w:rsidR="002E2ADF" w:rsidRPr="00D720DA">
        <w:rPr>
          <w:rFonts w:ascii="Arial" w:hAnsi="Arial" w:cs="Arial"/>
          <w:iCs/>
        </w:rPr>
        <w:t xml:space="preserve">not been implemented or incorporated </w:t>
      </w:r>
      <w:r w:rsidRPr="00D720DA">
        <w:rPr>
          <w:rFonts w:ascii="Arial" w:hAnsi="Arial" w:cs="Arial"/>
          <w:iCs/>
        </w:rPr>
        <w:t xml:space="preserve">(Tasmania Audit Office, 2017; Whitson, 2017, Nov 22). </w:t>
      </w:r>
    </w:p>
    <w:p w14:paraId="15B7BC73" w14:textId="4423D95F" w:rsidR="00273FC4" w:rsidRPr="00D720DA" w:rsidRDefault="00273FC4" w:rsidP="00C8424F">
      <w:pPr>
        <w:pStyle w:val="indentpara"/>
        <w:ind w:firstLine="0"/>
        <w:rPr>
          <w:rFonts w:ascii="Arial" w:hAnsi="Arial" w:cs="Arial"/>
        </w:rPr>
      </w:pPr>
      <w:r w:rsidRPr="00D720DA">
        <w:rPr>
          <w:rFonts w:ascii="Arial" w:hAnsi="Arial" w:cs="Arial"/>
        </w:rPr>
        <w:lastRenderedPageBreak/>
        <w:t xml:space="preserve">Recommendations of </w:t>
      </w:r>
      <w:r w:rsidR="00452DF5" w:rsidRPr="00D720DA">
        <w:rPr>
          <w:rFonts w:ascii="Arial" w:hAnsi="Arial" w:cs="Arial"/>
        </w:rPr>
        <w:t xml:space="preserve">the </w:t>
      </w:r>
      <w:r w:rsidRPr="00D720DA">
        <w:rPr>
          <w:rFonts w:ascii="Arial" w:hAnsi="Arial" w:cs="Arial"/>
        </w:rPr>
        <w:t xml:space="preserve">Auditor-General’s </w:t>
      </w:r>
      <w:r w:rsidR="00452DF5" w:rsidRPr="00D720DA">
        <w:rPr>
          <w:rFonts w:ascii="Arial" w:hAnsi="Arial" w:cs="Arial"/>
        </w:rPr>
        <w:t xml:space="preserve">2017 </w:t>
      </w:r>
      <w:r w:rsidRPr="00D720DA">
        <w:rPr>
          <w:rFonts w:ascii="Arial" w:hAnsi="Arial" w:cs="Arial"/>
        </w:rPr>
        <w:t xml:space="preserve">report led to new </w:t>
      </w:r>
      <w:r w:rsidRPr="00D720DA">
        <w:rPr>
          <w:rFonts w:ascii="Arial" w:hAnsi="Arial" w:cs="Arial"/>
          <w:i/>
          <w:iCs w:val="0"/>
        </w:rPr>
        <w:t>Guidelines for Senior Executive Recruitment</w:t>
      </w:r>
      <w:r w:rsidRPr="00D720DA">
        <w:rPr>
          <w:rFonts w:ascii="Arial" w:hAnsi="Arial" w:cs="Arial"/>
        </w:rPr>
        <w:t xml:space="preserve"> (SSMO, 2018a) and </w:t>
      </w:r>
      <w:r w:rsidRPr="00D720DA">
        <w:rPr>
          <w:rFonts w:ascii="Arial" w:hAnsi="Arial" w:cs="Arial"/>
          <w:i/>
          <w:iCs w:val="0"/>
        </w:rPr>
        <w:t>Managing Conflicts of Interest in Recruitment</w:t>
      </w:r>
      <w:r w:rsidRPr="00D720DA">
        <w:rPr>
          <w:rFonts w:ascii="Arial" w:hAnsi="Arial" w:cs="Arial"/>
        </w:rPr>
        <w:t xml:space="preserve"> (SSMO, 2018b).</w:t>
      </w:r>
      <w:r w:rsidR="009A0066" w:rsidRPr="00D720DA">
        <w:rPr>
          <w:rFonts w:ascii="Arial" w:hAnsi="Arial" w:cs="Arial"/>
        </w:rPr>
        <w:t xml:space="preserve"> The new guidelines aim to improve selection processes, ameliorate conflicts of interest and improve the veracity and transparency of selection documentation. </w:t>
      </w:r>
    </w:p>
    <w:p w14:paraId="71A5AD28" w14:textId="123B5CF0" w:rsidR="00452DF5" w:rsidRPr="00D720DA" w:rsidRDefault="00F3054A" w:rsidP="00C8424F">
      <w:pPr>
        <w:pStyle w:val="indentpara"/>
        <w:ind w:firstLine="0"/>
        <w:rPr>
          <w:rFonts w:ascii="Arial" w:hAnsi="Arial" w:cs="Arial"/>
          <w:i/>
          <w:iCs w:val="0"/>
          <w:color w:val="1D1D1D"/>
        </w:rPr>
      </w:pPr>
      <w:r w:rsidRPr="00D720DA">
        <w:rPr>
          <w:rFonts w:ascii="Arial" w:hAnsi="Arial" w:cs="Arial"/>
        </w:rPr>
        <w:t xml:space="preserve">Former Head of the State Service and DPC Secretary Greg Johannes resigned in November 2017 (Baines &amp; Whitson 2017, Nov 27). Current </w:t>
      </w:r>
      <w:r w:rsidR="00452DF5" w:rsidRPr="00D720DA">
        <w:rPr>
          <w:rFonts w:ascii="Arial" w:hAnsi="Arial" w:cs="Arial"/>
        </w:rPr>
        <w:t xml:space="preserve">DPAC Secretary and Head of the State Service Jenny Gale (2019) </w:t>
      </w:r>
      <w:r w:rsidR="00984F10" w:rsidRPr="00D720DA">
        <w:rPr>
          <w:rFonts w:ascii="Arial" w:hAnsi="Arial" w:cs="Arial"/>
        </w:rPr>
        <w:t>stated</w:t>
      </w:r>
      <w:r w:rsidR="00452DF5" w:rsidRPr="00D720DA">
        <w:rPr>
          <w:rFonts w:ascii="Arial" w:hAnsi="Arial" w:cs="Arial"/>
        </w:rPr>
        <w:t xml:space="preserve"> the State Service must be apolitical, adaptable to change and continually strive for improvement</w:t>
      </w:r>
      <w:r w:rsidR="003C4FD6" w:rsidRPr="00D720DA">
        <w:rPr>
          <w:rFonts w:ascii="Arial" w:hAnsi="Arial" w:cs="Arial"/>
        </w:rPr>
        <w:t xml:space="preserve">. She said </w:t>
      </w:r>
      <w:r w:rsidR="001606E9" w:rsidRPr="00D720DA">
        <w:rPr>
          <w:rFonts w:ascii="Arial" w:hAnsi="Arial" w:cs="Arial"/>
        </w:rPr>
        <w:t>the</w:t>
      </w:r>
      <w:r w:rsidR="003C4FD6" w:rsidRPr="00D720DA">
        <w:rPr>
          <w:rFonts w:ascii="Arial" w:hAnsi="Arial" w:cs="Arial"/>
        </w:rPr>
        <w:t xml:space="preserve"> review of the Tasmanian State Service was “</w:t>
      </w:r>
      <w:r w:rsidR="00452DF5" w:rsidRPr="00D720DA">
        <w:rPr>
          <w:rFonts w:ascii="Arial" w:hAnsi="Arial" w:cs="Arial"/>
        </w:rPr>
        <w:t>an exciting opportunity to transform current structures, services and practices to deliver a more contemporary and effective public service</w:t>
      </w:r>
      <w:r w:rsidR="003C4FD6" w:rsidRPr="00D720DA">
        <w:rPr>
          <w:rFonts w:ascii="Arial" w:hAnsi="Arial" w:cs="Arial"/>
        </w:rPr>
        <w:t>”</w:t>
      </w:r>
      <w:r w:rsidR="00452DF5" w:rsidRPr="00D720DA">
        <w:rPr>
          <w:rFonts w:ascii="Arial" w:hAnsi="Arial" w:cs="Arial"/>
        </w:rPr>
        <w:t>.</w:t>
      </w:r>
      <w:r w:rsidR="003C4FD6" w:rsidRPr="00D720DA">
        <w:rPr>
          <w:rFonts w:ascii="Arial" w:hAnsi="Arial" w:cs="Arial"/>
        </w:rPr>
        <w:t xml:space="preserve"> </w:t>
      </w:r>
    </w:p>
    <w:p w14:paraId="5F329441" w14:textId="77777777" w:rsidR="00452DF5" w:rsidRPr="00D720DA" w:rsidRDefault="00452DF5" w:rsidP="00452DF5">
      <w:pPr>
        <w:pStyle w:val="NormalWeb"/>
        <w:spacing w:before="0" w:beforeAutospacing="0" w:after="240" w:afterAutospacing="0"/>
        <w:ind w:left="720"/>
        <w:textAlignment w:val="baseline"/>
        <w:rPr>
          <w:rFonts w:ascii="Arial" w:hAnsi="Arial" w:cs="Arial"/>
          <w:i/>
          <w:iCs/>
          <w:sz w:val="22"/>
          <w:szCs w:val="22"/>
        </w:rPr>
      </w:pPr>
      <w:r w:rsidRPr="00D720DA">
        <w:rPr>
          <w:rFonts w:ascii="Arial" w:hAnsi="Arial" w:cs="Arial"/>
          <w:i/>
          <w:iCs/>
          <w:sz w:val="22"/>
          <w:szCs w:val="22"/>
        </w:rPr>
        <w:t>Other Australian jurisdictions have recognised the need to ensure their public sectors are fit- for-purpose in the present and for the future. Western Australia, New South Wales and Victoria have done so in recent years. Queensland and the Australian Government have been conducting reviews this year. The report of the review of the Australian Public Service was submitted to the Australian Government in September 2019.</w:t>
      </w:r>
    </w:p>
    <w:p w14:paraId="326E74A1" w14:textId="36F9D64D" w:rsidR="00452DF5" w:rsidRPr="00D720DA" w:rsidRDefault="00452DF5" w:rsidP="00452DF5">
      <w:pPr>
        <w:pStyle w:val="NormalWeb"/>
        <w:spacing w:before="0" w:beforeAutospacing="0" w:after="240" w:afterAutospacing="0"/>
        <w:ind w:left="720"/>
        <w:textAlignment w:val="baseline"/>
        <w:rPr>
          <w:rFonts w:ascii="Arial" w:hAnsi="Arial" w:cs="Arial"/>
          <w:sz w:val="22"/>
          <w:szCs w:val="22"/>
        </w:rPr>
      </w:pPr>
      <w:r w:rsidRPr="00D720DA">
        <w:rPr>
          <w:rFonts w:ascii="Arial" w:hAnsi="Arial" w:cs="Arial"/>
          <w:i/>
          <w:iCs/>
          <w:sz w:val="22"/>
          <w:szCs w:val="22"/>
        </w:rPr>
        <w:t>The Tasmanian review will look to these reviews as one source of information, and the Independent Reviewer, Dr Ian Watt AC, will also consult widely</w:t>
      </w:r>
      <w:r w:rsidR="00761E1C" w:rsidRPr="00D720DA">
        <w:rPr>
          <w:rFonts w:ascii="Arial" w:hAnsi="Arial" w:cs="Arial"/>
          <w:i/>
          <w:iCs/>
          <w:sz w:val="22"/>
          <w:szCs w:val="22"/>
        </w:rPr>
        <w:t xml:space="preserve"> </w:t>
      </w:r>
      <w:r w:rsidR="00761E1C" w:rsidRPr="00D720DA">
        <w:rPr>
          <w:rFonts w:ascii="Arial" w:hAnsi="Arial" w:cs="Arial"/>
          <w:sz w:val="22"/>
          <w:szCs w:val="22"/>
        </w:rPr>
        <w:t>(Gale, 2019).</w:t>
      </w:r>
    </w:p>
    <w:p w14:paraId="5873BF26" w14:textId="0E09818B" w:rsidR="001503E7" w:rsidRPr="00D720DA" w:rsidRDefault="00383ADE" w:rsidP="006A1C00">
      <w:pPr>
        <w:rPr>
          <w:rFonts w:ascii="Arial" w:hAnsi="Arial" w:cs="Arial"/>
        </w:rPr>
      </w:pPr>
      <w:r w:rsidRPr="00D720DA">
        <w:rPr>
          <w:rFonts w:ascii="Arial" w:hAnsi="Arial" w:cs="Arial"/>
        </w:rPr>
        <w:t>Finalisation of t</w:t>
      </w:r>
      <w:r w:rsidR="001503E7" w:rsidRPr="00D720DA">
        <w:rPr>
          <w:rFonts w:ascii="Arial" w:hAnsi="Arial" w:cs="Arial"/>
        </w:rPr>
        <w:t xml:space="preserve">his initiative </w:t>
      </w:r>
      <w:r w:rsidRPr="00D720DA">
        <w:rPr>
          <w:rFonts w:ascii="Arial" w:hAnsi="Arial" w:cs="Arial"/>
        </w:rPr>
        <w:t>was delayed</w:t>
      </w:r>
      <w:r w:rsidR="001503E7" w:rsidRPr="00D720DA">
        <w:rPr>
          <w:rFonts w:ascii="Arial" w:hAnsi="Arial" w:cs="Arial"/>
        </w:rPr>
        <w:t xml:space="preserve"> due to COVID-19.</w:t>
      </w:r>
    </w:p>
    <w:p w14:paraId="299F1EF7" w14:textId="77777777" w:rsidR="001503E7" w:rsidRPr="00D720DA" w:rsidRDefault="001503E7" w:rsidP="00452DF5">
      <w:pPr>
        <w:pStyle w:val="NormalWeb"/>
        <w:spacing w:before="0" w:beforeAutospacing="0" w:after="240" w:afterAutospacing="0"/>
        <w:ind w:left="720"/>
        <w:textAlignment w:val="baseline"/>
        <w:rPr>
          <w:rFonts w:ascii="Arial" w:hAnsi="Arial" w:cs="Arial"/>
          <w:i/>
          <w:iCs/>
          <w:color w:val="1D1D1D"/>
          <w:sz w:val="22"/>
          <w:szCs w:val="22"/>
        </w:rPr>
      </w:pPr>
    </w:p>
    <w:p w14:paraId="51BBE481" w14:textId="77777777" w:rsidR="008C25F2" w:rsidRPr="00D720DA" w:rsidRDefault="008C25F2">
      <w:pPr>
        <w:rPr>
          <w:rFonts w:ascii="Arial" w:hAnsi="Arial" w:cs="Arial"/>
        </w:rPr>
      </w:pPr>
    </w:p>
    <w:p w14:paraId="0E3B5726" w14:textId="7F4DDCE3" w:rsidR="00635DEF" w:rsidRPr="00D720DA" w:rsidRDefault="00635DEF" w:rsidP="00F040C1">
      <w:pPr>
        <w:rPr>
          <w:rFonts w:ascii="Arial" w:eastAsiaTheme="majorEastAsia" w:hAnsi="Arial" w:cs="Arial"/>
          <w:b/>
          <w:szCs w:val="26"/>
          <w:u w:val="single"/>
        </w:rPr>
      </w:pPr>
      <w:bookmarkStart w:id="17" w:name="_Hlk536188194"/>
      <w:r w:rsidRPr="00D720DA">
        <w:rPr>
          <w:rFonts w:ascii="Arial" w:hAnsi="Arial" w:cs="Arial"/>
        </w:rPr>
        <w:t xml:space="preserve">This summary table </w:t>
      </w:r>
      <w:r w:rsidR="00984F10" w:rsidRPr="00D720DA">
        <w:rPr>
          <w:rFonts w:ascii="Arial" w:hAnsi="Arial" w:cs="Arial"/>
        </w:rPr>
        <w:t>compares</w:t>
      </w:r>
      <w:r w:rsidRPr="00D720DA">
        <w:rPr>
          <w:rFonts w:ascii="Arial" w:hAnsi="Arial" w:cs="Arial"/>
        </w:rPr>
        <w:t xml:space="preserve"> the 1999 </w:t>
      </w:r>
      <w:r w:rsidR="00984F10" w:rsidRPr="00D720DA">
        <w:rPr>
          <w:rFonts w:ascii="Arial" w:hAnsi="Arial" w:cs="Arial"/>
        </w:rPr>
        <w:t>arrangements with recent arrangements for senior</w:t>
      </w:r>
      <w:r w:rsidR="00644A51" w:rsidRPr="00D720DA">
        <w:rPr>
          <w:rFonts w:ascii="Arial" w:hAnsi="Arial" w:cs="Arial"/>
        </w:rPr>
        <w:t xml:space="preserve"> executives</w:t>
      </w:r>
      <w:r w:rsidR="00984F10" w:rsidRPr="00D720DA">
        <w:rPr>
          <w:rFonts w:ascii="Arial" w:hAnsi="Arial" w:cs="Arial"/>
        </w:rPr>
        <w:t>.</w:t>
      </w:r>
    </w:p>
    <w:p w14:paraId="158AFE56" w14:textId="707FC3A6" w:rsidR="00F040C1" w:rsidRPr="00D720DA" w:rsidRDefault="00F040C1" w:rsidP="007A04DD">
      <w:pPr>
        <w:pStyle w:val="Table"/>
        <w:rPr>
          <w:rFonts w:ascii="Arial" w:hAnsi="Arial" w:cs="Arial"/>
          <w:b/>
          <w:bCs/>
        </w:rPr>
      </w:pPr>
      <w:r w:rsidRPr="00D720DA">
        <w:rPr>
          <w:rFonts w:ascii="Arial" w:hAnsi="Arial" w:cs="Arial"/>
          <w:b/>
          <w:bCs/>
        </w:rPr>
        <w:t xml:space="preserve">Senior Executive </w:t>
      </w:r>
      <w:r w:rsidR="006F1CFF" w:rsidRPr="00D720DA">
        <w:rPr>
          <w:rFonts w:ascii="Arial" w:hAnsi="Arial" w:cs="Arial"/>
          <w:b/>
          <w:bCs/>
        </w:rPr>
        <w:t>Service</w:t>
      </w:r>
      <w:r w:rsidRPr="00D720DA">
        <w:rPr>
          <w:rFonts w:ascii="Arial" w:hAnsi="Arial" w:cs="Arial"/>
          <w:b/>
          <w:bCs/>
        </w:rPr>
        <w:t xml:space="preserve"> – Tasmania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410"/>
        <w:gridCol w:w="2552"/>
        <w:gridCol w:w="2976"/>
      </w:tblGrid>
      <w:tr w:rsidR="00F040C1" w:rsidRPr="00D720DA" w14:paraId="01CD4C19" w14:textId="77777777" w:rsidTr="004C160E">
        <w:tc>
          <w:tcPr>
            <w:tcW w:w="1696" w:type="dxa"/>
            <w:shd w:val="clear" w:color="auto" w:fill="BFBFBF" w:themeFill="background1" w:themeFillShade="BF"/>
          </w:tcPr>
          <w:bookmarkEnd w:id="17"/>
          <w:p w14:paraId="104BDF32" w14:textId="77777777" w:rsidR="00F040C1" w:rsidRPr="00D720DA" w:rsidRDefault="00F040C1" w:rsidP="00AD59DB">
            <w:pPr>
              <w:rPr>
                <w:rFonts w:ascii="Arial" w:hAnsi="Arial" w:cs="Arial"/>
                <w:b/>
              </w:rPr>
            </w:pPr>
            <w:r w:rsidRPr="00D720DA">
              <w:rPr>
                <w:rFonts w:ascii="Arial" w:hAnsi="Arial" w:cs="Arial"/>
                <w:b/>
              </w:rPr>
              <w:t>Employment Practices</w:t>
            </w:r>
          </w:p>
        </w:tc>
        <w:tc>
          <w:tcPr>
            <w:tcW w:w="2410" w:type="dxa"/>
            <w:shd w:val="clear" w:color="auto" w:fill="BFBFBF" w:themeFill="background1" w:themeFillShade="BF"/>
          </w:tcPr>
          <w:p w14:paraId="49BE2C3F" w14:textId="77777777" w:rsidR="00F040C1" w:rsidRPr="00D720DA" w:rsidRDefault="00F040C1" w:rsidP="00AD59DB">
            <w:pPr>
              <w:rPr>
                <w:rFonts w:ascii="Arial" w:hAnsi="Arial" w:cs="Arial"/>
                <w:b/>
              </w:rPr>
            </w:pPr>
            <w:r w:rsidRPr="00D720DA">
              <w:rPr>
                <w:rFonts w:ascii="Arial" w:hAnsi="Arial" w:cs="Arial"/>
                <w:b/>
              </w:rPr>
              <w:t>1999 position</w:t>
            </w:r>
          </w:p>
        </w:tc>
        <w:tc>
          <w:tcPr>
            <w:tcW w:w="2552" w:type="dxa"/>
            <w:shd w:val="clear" w:color="auto" w:fill="BFBFBF" w:themeFill="background1" w:themeFillShade="BF"/>
          </w:tcPr>
          <w:p w14:paraId="1FB457BD" w14:textId="77777777" w:rsidR="00F040C1" w:rsidRPr="00D720DA" w:rsidRDefault="00F040C1" w:rsidP="00AD59DB">
            <w:pPr>
              <w:rPr>
                <w:rFonts w:ascii="Arial" w:hAnsi="Arial" w:cs="Arial"/>
                <w:b/>
              </w:rPr>
            </w:pPr>
            <w:r w:rsidRPr="00D720DA">
              <w:rPr>
                <w:rFonts w:ascii="Arial" w:hAnsi="Arial" w:cs="Arial"/>
                <w:b/>
              </w:rPr>
              <w:t>Interim changes</w:t>
            </w:r>
          </w:p>
        </w:tc>
        <w:tc>
          <w:tcPr>
            <w:tcW w:w="2976" w:type="dxa"/>
            <w:shd w:val="clear" w:color="auto" w:fill="BFBFBF" w:themeFill="background1" w:themeFillShade="BF"/>
          </w:tcPr>
          <w:p w14:paraId="6496A1E2" w14:textId="77777777" w:rsidR="00F040C1" w:rsidRPr="00D720DA" w:rsidRDefault="00F040C1" w:rsidP="00AD59DB">
            <w:pPr>
              <w:rPr>
                <w:rFonts w:ascii="Arial" w:hAnsi="Arial" w:cs="Arial"/>
                <w:b/>
              </w:rPr>
            </w:pPr>
            <w:r w:rsidRPr="00D720DA">
              <w:rPr>
                <w:rFonts w:ascii="Arial" w:hAnsi="Arial" w:cs="Arial"/>
                <w:b/>
              </w:rPr>
              <w:t>Current position</w:t>
            </w:r>
          </w:p>
        </w:tc>
      </w:tr>
      <w:tr w:rsidR="00E95644" w:rsidRPr="00D720DA" w14:paraId="09E4B2A5" w14:textId="77777777" w:rsidTr="0007647F">
        <w:tc>
          <w:tcPr>
            <w:tcW w:w="9634" w:type="dxa"/>
            <w:gridSpan w:val="4"/>
            <w:shd w:val="pct10" w:color="auto" w:fill="FFFFFF"/>
          </w:tcPr>
          <w:p w14:paraId="5B5FEBC4" w14:textId="57F04C1F" w:rsidR="00E95644" w:rsidRPr="00D720DA" w:rsidRDefault="00E95644" w:rsidP="00AD59DB">
            <w:pPr>
              <w:rPr>
                <w:rFonts w:ascii="Arial" w:hAnsi="Arial" w:cs="Arial"/>
                <w:b/>
              </w:rPr>
            </w:pPr>
            <w:r w:rsidRPr="00D720DA">
              <w:rPr>
                <w:rFonts w:ascii="Arial" w:hAnsi="Arial" w:cs="Arial"/>
                <w:b/>
              </w:rPr>
              <w:t xml:space="preserve">Recruitment </w:t>
            </w:r>
          </w:p>
        </w:tc>
      </w:tr>
      <w:tr w:rsidR="004A1B49" w:rsidRPr="00D720DA" w14:paraId="0EEA7FB3" w14:textId="77777777" w:rsidTr="00FD70E5">
        <w:tc>
          <w:tcPr>
            <w:tcW w:w="1696" w:type="dxa"/>
          </w:tcPr>
          <w:p w14:paraId="625D79F4" w14:textId="77777777" w:rsidR="004A1B49" w:rsidRPr="00D720DA" w:rsidRDefault="004A1B49" w:rsidP="00AD59DB">
            <w:pPr>
              <w:rPr>
                <w:rFonts w:ascii="Arial" w:hAnsi="Arial" w:cs="Arial"/>
                <w:b/>
                <w:bCs/>
                <w:sz w:val="20"/>
                <w:szCs w:val="20"/>
              </w:rPr>
            </w:pPr>
          </w:p>
        </w:tc>
        <w:tc>
          <w:tcPr>
            <w:tcW w:w="2410" w:type="dxa"/>
          </w:tcPr>
          <w:p w14:paraId="371C8279" w14:textId="77777777" w:rsidR="004A1B49" w:rsidRPr="00D720DA" w:rsidRDefault="004A1B49" w:rsidP="00AD59DB">
            <w:pPr>
              <w:rPr>
                <w:rFonts w:ascii="Arial" w:hAnsi="Arial" w:cs="Arial"/>
                <w:sz w:val="20"/>
                <w:szCs w:val="20"/>
              </w:rPr>
            </w:pPr>
          </w:p>
        </w:tc>
        <w:tc>
          <w:tcPr>
            <w:tcW w:w="2552" w:type="dxa"/>
          </w:tcPr>
          <w:p w14:paraId="5BC626F5" w14:textId="112BF718" w:rsidR="004A1B49" w:rsidRPr="00D720DA" w:rsidRDefault="00F75454" w:rsidP="00AD59DB">
            <w:pPr>
              <w:rPr>
                <w:rFonts w:ascii="Arial" w:hAnsi="Arial" w:cs="Arial"/>
                <w:color w:val="FF0000"/>
                <w:sz w:val="20"/>
                <w:szCs w:val="20"/>
              </w:rPr>
            </w:pPr>
            <w:r w:rsidRPr="00D720DA">
              <w:rPr>
                <w:rFonts w:ascii="Arial" w:hAnsi="Arial" w:cs="Arial"/>
                <w:sz w:val="20"/>
                <w:szCs w:val="20"/>
              </w:rPr>
              <w:t xml:space="preserve">Recommendations of a </w:t>
            </w:r>
            <w:r w:rsidR="004A1B49" w:rsidRPr="00D720DA">
              <w:rPr>
                <w:rFonts w:ascii="Arial" w:hAnsi="Arial" w:cs="Arial"/>
                <w:sz w:val="20"/>
                <w:szCs w:val="20"/>
              </w:rPr>
              <w:t xml:space="preserve">2017 Auditor-General’s report </w:t>
            </w:r>
            <w:r w:rsidRPr="00D720DA">
              <w:rPr>
                <w:rFonts w:ascii="Arial" w:hAnsi="Arial" w:cs="Arial"/>
                <w:sz w:val="20"/>
                <w:szCs w:val="20"/>
              </w:rPr>
              <w:t xml:space="preserve">(TAO 2017) </w:t>
            </w:r>
            <w:r w:rsidR="00CF14E3" w:rsidRPr="00D720DA">
              <w:rPr>
                <w:rFonts w:ascii="Arial" w:hAnsi="Arial" w:cs="Arial"/>
                <w:sz w:val="20"/>
                <w:szCs w:val="20"/>
              </w:rPr>
              <w:t xml:space="preserve">into the recruitment of senior executives </w:t>
            </w:r>
            <w:r w:rsidR="004A1B49" w:rsidRPr="00D720DA">
              <w:rPr>
                <w:rFonts w:ascii="Arial" w:hAnsi="Arial" w:cs="Arial"/>
                <w:sz w:val="20"/>
                <w:szCs w:val="20"/>
              </w:rPr>
              <w:t xml:space="preserve">led to </w:t>
            </w:r>
            <w:r w:rsidR="00CF14E3" w:rsidRPr="00D720DA">
              <w:rPr>
                <w:rFonts w:ascii="Arial" w:hAnsi="Arial" w:cs="Arial"/>
                <w:sz w:val="20"/>
                <w:szCs w:val="20"/>
              </w:rPr>
              <w:t xml:space="preserve">the implementation of </w:t>
            </w:r>
            <w:r w:rsidR="004A1B49" w:rsidRPr="00D720DA">
              <w:rPr>
                <w:rFonts w:ascii="Arial" w:hAnsi="Arial" w:cs="Arial"/>
                <w:sz w:val="20"/>
                <w:szCs w:val="20"/>
              </w:rPr>
              <w:t>new Guidelines for Senior Executive Recruitment and Managing Conflicts of Interest in Recruitment</w:t>
            </w:r>
            <w:r w:rsidR="00CF14E3" w:rsidRPr="00D720DA">
              <w:rPr>
                <w:rFonts w:ascii="Arial" w:hAnsi="Arial" w:cs="Arial"/>
                <w:sz w:val="20"/>
                <w:szCs w:val="20"/>
              </w:rPr>
              <w:t xml:space="preserve"> in 2018</w:t>
            </w:r>
            <w:r w:rsidR="00034E76" w:rsidRPr="00D720DA">
              <w:rPr>
                <w:rFonts w:ascii="Arial" w:hAnsi="Arial" w:cs="Arial"/>
                <w:sz w:val="20"/>
                <w:szCs w:val="20"/>
              </w:rPr>
              <w:t>.</w:t>
            </w:r>
          </w:p>
        </w:tc>
        <w:tc>
          <w:tcPr>
            <w:tcW w:w="2976" w:type="dxa"/>
          </w:tcPr>
          <w:p w14:paraId="5BD17E63" w14:textId="77777777" w:rsidR="004A1B49" w:rsidRPr="00D720DA" w:rsidRDefault="004A1B49" w:rsidP="00AD59DB">
            <w:pPr>
              <w:rPr>
                <w:rFonts w:ascii="Arial" w:hAnsi="Arial" w:cs="Arial"/>
                <w:sz w:val="20"/>
                <w:szCs w:val="20"/>
              </w:rPr>
            </w:pPr>
          </w:p>
        </w:tc>
      </w:tr>
      <w:tr w:rsidR="00F040C1" w:rsidRPr="00D720DA" w14:paraId="6DF072D8" w14:textId="77777777" w:rsidTr="00FD70E5">
        <w:tc>
          <w:tcPr>
            <w:tcW w:w="1696" w:type="dxa"/>
          </w:tcPr>
          <w:p w14:paraId="25A621C2" w14:textId="77777777" w:rsidR="00F040C1" w:rsidRPr="00D720DA" w:rsidRDefault="00F040C1" w:rsidP="00AD59DB">
            <w:pPr>
              <w:rPr>
                <w:rFonts w:ascii="Arial" w:hAnsi="Arial" w:cs="Arial"/>
                <w:b/>
                <w:bCs/>
                <w:sz w:val="20"/>
                <w:szCs w:val="20"/>
              </w:rPr>
            </w:pPr>
            <w:r w:rsidRPr="00D720DA">
              <w:rPr>
                <w:rFonts w:ascii="Arial" w:hAnsi="Arial" w:cs="Arial"/>
                <w:b/>
                <w:bCs/>
                <w:sz w:val="20"/>
                <w:szCs w:val="20"/>
              </w:rPr>
              <w:t>Advertised internally</w:t>
            </w:r>
          </w:p>
        </w:tc>
        <w:tc>
          <w:tcPr>
            <w:tcW w:w="2410" w:type="dxa"/>
          </w:tcPr>
          <w:p w14:paraId="7169E3B1" w14:textId="77777777" w:rsidR="00F040C1" w:rsidRPr="00D720DA" w:rsidRDefault="00F040C1" w:rsidP="00AD59DB">
            <w:pPr>
              <w:rPr>
                <w:rFonts w:ascii="Arial" w:hAnsi="Arial" w:cs="Arial"/>
                <w:sz w:val="20"/>
                <w:szCs w:val="20"/>
              </w:rPr>
            </w:pPr>
            <w:r w:rsidRPr="00D720DA">
              <w:rPr>
                <w:rFonts w:ascii="Arial" w:hAnsi="Arial" w:cs="Arial"/>
                <w:sz w:val="20"/>
                <w:szCs w:val="20"/>
              </w:rPr>
              <w:t>Yes</w:t>
            </w:r>
          </w:p>
        </w:tc>
        <w:tc>
          <w:tcPr>
            <w:tcW w:w="2552" w:type="dxa"/>
          </w:tcPr>
          <w:p w14:paraId="065103CD" w14:textId="77777777" w:rsidR="00F040C1" w:rsidRPr="00D720DA" w:rsidRDefault="00F040C1" w:rsidP="00AD59DB">
            <w:pPr>
              <w:rPr>
                <w:rFonts w:ascii="Arial" w:hAnsi="Arial" w:cs="Arial"/>
                <w:sz w:val="20"/>
                <w:szCs w:val="20"/>
              </w:rPr>
            </w:pPr>
          </w:p>
        </w:tc>
        <w:tc>
          <w:tcPr>
            <w:tcW w:w="2976" w:type="dxa"/>
          </w:tcPr>
          <w:p w14:paraId="6D0B84BF" w14:textId="77777777" w:rsidR="00F040C1" w:rsidRPr="00D720DA" w:rsidRDefault="003108CB" w:rsidP="00AD59DB">
            <w:pPr>
              <w:rPr>
                <w:rFonts w:ascii="Arial" w:hAnsi="Arial" w:cs="Arial"/>
                <w:sz w:val="20"/>
                <w:szCs w:val="20"/>
              </w:rPr>
            </w:pPr>
            <w:r w:rsidRPr="00D720DA">
              <w:rPr>
                <w:rFonts w:ascii="Arial" w:hAnsi="Arial" w:cs="Arial"/>
                <w:sz w:val="20"/>
                <w:szCs w:val="20"/>
              </w:rPr>
              <w:t>Yes</w:t>
            </w:r>
          </w:p>
        </w:tc>
      </w:tr>
      <w:tr w:rsidR="00F040C1" w:rsidRPr="00D720DA" w14:paraId="7317449F" w14:textId="77777777" w:rsidTr="00FD70E5">
        <w:tc>
          <w:tcPr>
            <w:tcW w:w="1696" w:type="dxa"/>
          </w:tcPr>
          <w:p w14:paraId="3C72B231" w14:textId="77777777" w:rsidR="00F040C1" w:rsidRPr="00D720DA" w:rsidRDefault="00F040C1" w:rsidP="00AD59DB">
            <w:pPr>
              <w:rPr>
                <w:rFonts w:ascii="Arial" w:hAnsi="Arial" w:cs="Arial"/>
                <w:b/>
                <w:bCs/>
                <w:sz w:val="20"/>
                <w:szCs w:val="20"/>
              </w:rPr>
            </w:pPr>
            <w:r w:rsidRPr="00D720DA">
              <w:rPr>
                <w:rFonts w:ascii="Arial" w:hAnsi="Arial" w:cs="Arial"/>
                <w:b/>
                <w:bCs/>
                <w:sz w:val="20"/>
                <w:szCs w:val="20"/>
              </w:rPr>
              <w:t>Advertised externally</w:t>
            </w:r>
          </w:p>
        </w:tc>
        <w:tc>
          <w:tcPr>
            <w:tcW w:w="2410" w:type="dxa"/>
          </w:tcPr>
          <w:p w14:paraId="172AE708" w14:textId="77777777" w:rsidR="00F040C1" w:rsidRPr="00D720DA" w:rsidRDefault="00F040C1" w:rsidP="00AD59DB">
            <w:pPr>
              <w:rPr>
                <w:rFonts w:ascii="Arial" w:hAnsi="Arial" w:cs="Arial"/>
                <w:sz w:val="20"/>
                <w:szCs w:val="20"/>
              </w:rPr>
            </w:pPr>
            <w:r w:rsidRPr="00D720DA">
              <w:rPr>
                <w:rFonts w:ascii="Arial" w:hAnsi="Arial" w:cs="Arial"/>
                <w:sz w:val="20"/>
                <w:szCs w:val="20"/>
              </w:rPr>
              <w:t>Sometimes, as required.</w:t>
            </w:r>
          </w:p>
        </w:tc>
        <w:tc>
          <w:tcPr>
            <w:tcW w:w="2552" w:type="dxa"/>
          </w:tcPr>
          <w:p w14:paraId="64F0F30B" w14:textId="614D94A4" w:rsidR="00F040C1" w:rsidRPr="00D720DA" w:rsidRDefault="00B56520" w:rsidP="00AD59DB">
            <w:pPr>
              <w:rPr>
                <w:rFonts w:ascii="Arial" w:hAnsi="Arial" w:cs="Arial"/>
                <w:sz w:val="20"/>
                <w:szCs w:val="20"/>
              </w:rPr>
            </w:pPr>
            <w:r w:rsidRPr="00D720DA">
              <w:rPr>
                <w:rFonts w:ascii="Arial" w:hAnsi="Arial" w:cs="Arial"/>
                <w:i/>
                <w:iCs/>
                <w:sz w:val="20"/>
                <w:szCs w:val="20"/>
              </w:rPr>
              <w:t>Employment Direction No. 17</w:t>
            </w:r>
            <w:r w:rsidRPr="00D720DA">
              <w:rPr>
                <w:rFonts w:ascii="Arial" w:hAnsi="Arial" w:cs="Arial"/>
                <w:sz w:val="20"/>
                <w:szCs w:val="20"/>
              </w:rPr>
              <w:t xml:space="preserve">, first </w:t>
            </w:r>
            <w:r w:rsidR="00DA2C09" w:rsidRPr="00D720DA">
              <w:rPr>
                <w:rFonts w:ascii="Arial" w:hAnsi="Arial" w:cs="Arial"/>
                <w:sz w:val="20"/>
                <w:szCs w:val="20"/>
              </w:rPr>
              <w:t>implemented in 2013, requires advertising vacancies</w:t>
            </w:r>
            <w:r w:rsidR="004E0463" w:rsidRPr="00D720DA">
              <w:rPr>
                <w:rFonts w:ascii="Arial" w:hAnsi="Arial" w:cs="Arial"/>
                <w:sz w:val="20"/>
                <w:szCs w:val="20"/>
              </w:rPr>
              <w:t xml:space="preserve"> for </w:t>
            </w:r>
            <w:r w:rsidR="002E2ADF" w:rsidRPr="00D720DA">
              <w:rPr>
                <w:rFonts w:ascii="Arial" w:hAnsi="Arial" w:cs="Arial"/>
                <w:sz w:val="20"/>
                <w:szCs w:val="20"/>
              </w:rPr>
              <w:t>new</w:t>
            </w:r>
            <w:r w:rsidR="00C3396E" w:rsidRPr="00D720DA">
              <w:rPr>
                <w:rFonts w:ascii="Arial" w:hAnsi="Arial" w:cs="Arial"/>
                <w:sz w:val="20"/>
                <w:szCs w:val="20"/>
              </w:rPr>
              <w:t xml:space="preserve"> </w:t>
            </w:r>
            <w:r w:rsidR="004E0463" w:rsidRPr="00D720DA">
              <w:rPr>
                <w:rFonts w:ascii="Arial" w:hAnsi="Arial" w:cs="Arial"/>
                <w:sz w:val="20"/>
                <w:szCs w:val="20"/>
              </w:rPr>
              <w:t>appointment</w:t>
            </w:r>
            <w:r w:rsidR="002E2ADF" w:rsidRPr="00D720DA">
              <w:rPr>
                <w:rFonts w:ascii="Arial" w:hAnsi="Arial" w:cs="Arial"/>
                <w:sz w:val="20"/>
                <w:szCs w:val="20"/>
              </w:rPr>
              <w:t>s</w:t>
            </w:r>
            <w:r w:rsidR="00DA2C09" w:rsidRPr="00D720DA">
              <w:rPr>
                <w:rFonts w:ascii="Arial" w:hAnsi="Arial" w:cs="Arial"/>
                <w:sz w:val="20"/>
                <w:szCs w:val="20"/>
              </w:rPr>
              <w:t xml:space="preserve"> through </w:t>
            </w:r>
            <w:r w:rsidR="00DA2C09" w:rsidRPr="00D720DA">
              <w:rPr>
                <w:rFonts w:ascii="Arial" w:hAnsi="Arial" w:cs="Arial"/>
                <w:sz w:val="20"/>
                <w:szCs w:val="20"/>
              </w:rPr>
              <w:lastRenderedPageBreak/>
              <w:t>online jobs portal as a minimum.</w:t>
            </w:r>
          </w:p>
          <w:p w14:paraId="63EDE097" w14:textId="52152E5A" w:rsidR="009B5891" w:rsidRPr="00D720DA" w:rsidRDefault="009B5891" w:rsidP="00AD59DB">
            <w:pPr>
              <w:rPr>
                <w:rFonts w:ascii="Arial" w:hAnsi="Arial" w:cs="Arial"/>
                <w:sz w:val="20"/>
                <w:szCs w:val="20"/>
              </w:rPr>
            </w:pPr>
            <w:r w:rsidRPr="00D720DA">
              <w:rPr>
                <w:rFonts w:ascii="Arial" w:hAnsi="Arial" w:cs="Arial"/>
                <w:sz w:val="20"/>
                <w:szCs w:val="20"/>
              </w:rPr>
              <w:t>Exemptions apply for temporary assignments and transfers of an existing officer.</w:t>
            </w:r>
          </w:p>
        </w:tc>
        <w:tc>
          <w:tcPr>
            <w:tcW w:w="2976" w:type="dxa"/>
          </w:tcPr>
          <w:p w14:paraId="37CDF405" w14:textId="4F3B8989" w:rsidR="00F040C1" w:rsidRPr="00D720DA" w:rsidRDefault="00B56520" w:rsidP="00AD59DB">
            <w:pPr>
              <w:rPr>
                <w:rFonts w:ascii="Arial" w:hAnsi="Arial" w:cs="Arial"/>
                <w:sz w:val="20"/>
                <w:szCs w:val="20"/>
              </w:rPr>
            </w:pPr>
            <w:r w:rsidRPr="00D720DA">
              <w:rPr>
                <w:rFonts w:ascii="Arial" w:hAnsi="Arial" w:cs="Arial"/>
                <w:sz w:val="20"/>
                <w:szCs w:val="20"/>
              </w:rPr>
              <w:lastRenderedPageBreak/>
              <w:t>Yes</w:t>
            </w:r>
            <w:r w:rsidR="002E2ADF" w:rsidRPr="00D720DA">
              <w:rPr>
                <w:rFonts w:ascii="Arial" w:hAnsi="Arial" w:cs="Arial"/>
                <w:sz w:val="20"/>
                <w:szCs w:val="20"/>
              </w:rPr>
              <w:t>, for new appointments</w:t>
            </w:r>
            <w:r w:rsidR="00450C84" w:rsidRPr="00D720DA">
              <w:rPr>
                <w:rFonts w:ascii="Arial" w:hAnsi="Arial" w:cs="Arial"/>
                <w:sz w:val="20"/>
                <w:szCs w:val="20"/>
              </w:rPr>
              <w:t xml:space="preserve"> – </w:t>
            </w:r>
            <w:r w:rsidR="00C4573C" w:rsidRPr="00D720DA">
              <w:rPr>
                <w:rFonts w:ascii="Arial" w:hAnsi="Arial" w:cs="Arial"/>
                <w:sz w:val="20"/>
                <w:szCs w:val="20"/>
              </w:rPr>
              <w:t>www.</w:t>
            </w:r>
            <w:r w:rsidR="00450C84" w:rsidRPr="00D720DA">
              <w:rPr>
                <w:rFonts w:ascii="Arial" w:hAnsi="Arial" w:cs="Arial"/>
                <w:sz w:val="20"/>
                <w:szCs w:val="20"/>
              </w:rPr>
              <w:t xml:space="preserve">jobs.tas.gov.au at minimum. May also include Tasmanian Government Gazette, professional journals, </w:t>
            </w:r>
            <w:r w:rsidR="00450C84" w:rsidRPr="00D720DA">
              <w:rPr>
                <w:rFonts w:ascii="Arial" w:hAnsi="Arial" w:cs="Arial"/>
                <w:sz w:val="20"/>
                <w:szCs w:val="20"/>
              </w:rPr>
              <w:lastRenderedPageBreak/>
              <w:t>print media or specialists recruiting services.</w:t>
            </w:r>
          </w:p>
        </w:tc>
      </w:tr>
      <w:tr w:rsidR="00F040C1" w:rsidRPr="00D720DA" w14:paraId="5BCA0809" w14:textId="77777777" w:rsidTr="00FD70E5">
        <w:tc>
          <w:tcPr>
            <w:tcW w:w="1696" w:type="dxa"/>
          </w:tcPr>
          <w:p w14:paraId="5EB07BAD" w14:textId="77777777" w:rsidR="00F040C1" w:rsidRPr="00D720DA" w:rsidRDefault="00F040C1" w:rsidP="00AD59DB">
            <w:pPr>
              <w:rPr>
                <w:rFonts w:ascii="Arial" w:hAnsi="Arial" w:cs="Arial"/>
                <w:b/>
                <w:bCs/>
                <w:sz w:val="20"/>
                <w:szCs w:val="20"/>
              </w:rPr>
            </w:pPr>
            <w:r w:rsidRPr="00D720DA">
              <w:rPr>
                <w:rFonts w:ascii="Arial" w:hAnsi="Arial" w:cs="Arial"/>
                <w:b/>
                <w:bCs/>
                <w:sz w:val="20"/>
                <w:szCs w:val="20"/>
              </w:rPr>
              <w:lastRenderedPageBreak/>
              <w:t>Search Agency</w:t>
            </w:r>
          </w:p>
        </w:tc>
        <w:tc>
          <w:tcPr>
            <w:tcW w:w="2410" w:type="dxa"/>
          </w:tcPr>
          <w:p w14:paraId="338575B0" w14:textId="77777777" w:rsidR="00F040C1" w:rsidRPr="00D720DA" w:rsidRDefault="00F040C1" w:rsidP="00AD59DB">
            <w:pPr>
              <w:rPr>
                <w:rFonts w:ascii="Arial" w:hAnsi="Arial" w:cs="Arial"/>
                <w:sz w:val="20"/>
                <w:szCs w:val="20"/>
              </w:rPr>
            </w:pPr>
            <w:r w:rsidRPr="00D720DA">
              <w:rPr>
                <w:rFonts w:ascii="Arial" w:hAnsi="Arial" w:cs="Arial"/>
                <w:sz w:val="20"/>
                <w:szCs w:val="20"/>
              </w:rPr>
              <w:t>As required by Head of Agency/Secretary</w:t>
            </w:r>
            <w:r w:rsidR="00021A55" w:rsidRPr="00D720DA">
              <w:rPr>
                <w:rFonts w:ascii="Arial" w:hAnsi="Arial" w:cs="Arial"/>
                <w:sz w:val="20"/>
                <w:szCs w:val="20"/>
              </w:rPr>
              <w:t>.</w:t>
            </w:r>
          </w:p>
        </w:tc>
        <w:tc>
          <w:tcPr>
            <w:tcW w:w="2552" w:type="dxa"/>
          </w:tcPr>
          <w:p w14:paraId="2200B29D" w14:textId="77777777" w:rsidR="00F040C1" w:rsidRPr="00D720DA" w:rsidRDefault="00F040C1" w:rsidP="00AD59DB">
            <w:pPr>
              <w:rPr>
                <w:rFonts w:ascii="Arial" w:hAnsi="Arial" w:cs="Arial"/>
                <w:sz w:val="20"/>
                <w:szCs w:val="20"/>
              </w:rPr>
            </w:pPr>
          </w:p>
        </w:tc>
        <w:tc>
          <w:tcPr>
            <w:tcW w:w="2976" w:type="dxa"/>
          </w:tcPr>
          <w:p w14:paraId="0FD0E411" w14:textId="77777777" w:rsidR="00F040C1" w:rsidRPr="00D720DA" w:rsidRDefault="00DA2C09" w:rsidP="00AD59DB">
            <w:pPr>
              <w:rPr>
                <w:rFonts w:ascii="Arial" w:hAnsi="Arial" w:cs="Arial"/>
                <w:sz w:val="20"/>
                <w:szCs w:val="20"/>
              </w:rPr>
            </w:pPr>
            <w:r w:rsidRPr="00D720DA">
              <w:rPr>
                <w:rFonts w:ascii="Arial" w:hAnsi="Arial" w:cs="Arial"/>
                <w:sz w:val="20"/>
                <w:szCs w:val="20"/>
              </w:rPr>
              <w:t>As required by Head of Agency/Secretary</w:t>
            </w:r>
            <w:r w:rsidR="00021A55" w:rsidRPr="00D720DA">
              <w:rPr>
                <w:rFonts w:ascii="Arial" w:hAnsi="Arial" w:cs="Arial"/>
                <w:sz w:val="20"/>
                <w:szCs w:val="20"/>
              </w:rPr>
              <w:t>.</w:t>
            </w:r>
          </w:p>
        </w:tc>
      </w:tr>
      <w:tr w:rsidR="00F040C1" w:rsidRPr="00D720DA" w14:paraId="6AD84EC2" w14:textId="77777777" w:rsidTr="00FD70E5">
        <w:tc>
          <w:tcPr>
            <w:tcW w:w="1696" w:type="dxa"/>
          </w:tcPr>
          <w:p w14:paraId="70A33362" w14:textId="77777777" w:rsidR="00F040C1" w:rsidRPr="00D720DA" w:rsidRDefault="00F040C1" w:rsidP="00AD59DB">
            <w:pPr>
              <w:rPr>
                <w:rFonts w:ascii="Arial" w:hAnsi="Arial" w:cs="Arial"/>
                <w:b/>
                <w:bCs/>
                <w:sz w:val="20"/>
                <w:szCs w:val="20"/>
              </w:rPr>
            </w:pPr>
            <w:r w:rsidRPr="00D720DA">
              <w:rPr>
                <w:rFonts w:ascii="Arial" w:hAnsi="Arial" w:cs="Arial"/>
                <w:b/>
                <w:bCs/>
                <w:sz w:val="20"/>
                <w:szCs w:val="20"/>
              </w:rPr>
              <w:t>Selection body</w:t>
            </w:r>
          </w:p>
        </w:tc>
        <w:tc>
          <w:tcPr>
            <w:tcW w:w="2410" w:type="dxa"/>
          </w:tcPr>
          <w:p w14:paraId="3FF728F1" w14:textId="77777777" w:rsidR="00F040C1" w:rsidRPr="00D720DA" w:rsidRDefault="00F040C1" w:rsidP="00AD59DB">
            <w:pPr>
              <w:rPr>
                <w:rFonts w:ascii="Arial" w:hAnsi="Arial" w:cs="Arial"/>
                <w:sz w:val="20"/>
                <w:szCs w:val="20"/>
              </w:rPr>
            </w:pPr>
            <w:r w:rsidRPr="00D720DA">
              <w:rPr>
                <w:rFonts w:ascii="Arial" w:hAnsi="Arial" w:cs="Arial"/>
                <w:sz w:val="20"/>
                <w:szCs w:val="20"/>
              </w:rPr>
              <w:t xml:space="preserve">Selection Panel arranged by Secretary/Agency Head. </w:t>
            </w:r>
          </w:p>
          <w:p w14:paraId="07EA8696" w14:textId="77777777" w:rsidR="00F040C1" w:rsidRPr="00D720DA" w:rsidRDefault="00F040C1" w:rsidP="00AD59DB">
            <w:pPr>
              <w:rPr>
                <w:rFonts w:ascii="Arial" w:hAnsi="Arial" w:cs="Arial"/>
                <w:sz w:val="20"/>
                <w:szCs w:val="20"/>
              </w:rPr>
            </w:pPr>
            <w:r w:rsidRPr="00D720DA">
              <w:rPr>
                <w:rFonts w:ascii="Arial" w:hAnsi="Arial" w:cs="Arial"/>
                <w:sz w:val="20"/>
                <w:szCs w:val="20"/>
              </w:rPr>
              <w:t>Once determined, Secretary/Agency Head fills position.</w:t>
            </w:r>
          </w:p>
        </w:tc>
        <w:tc>
          <w:tcPr>
            <w:tcW w:w="2552" w:type="dxa"/>
          </w:tcPr>
          <w:p w14:paraId="4B39E496" w14:textId="77777777" w:rsidR="00F040C1" w:rsidRPr="00D720DA" w:rsidRDefault="00F040C1" w:rsidP="00AD59DB">
            <w:pPr>
              <w:rPr>
                <w:rFonts w:ascii="Arial" w:hAnsi="Arial" w:cs="Arial"/>
                <w:sz w:val="20"/>
                <w:szCs w:val="20"/>
              </w:rPr>
            </w:pPr>
          </w:p>
        </w:tc>
        <w:tc>
          <w:tcPr>
            <w:tcW w:w="2976" w:type="dxa"/>
          </w:tcPr>
          <w:p w14:paraId="07031BE6" w14:textId="77777777" w:rsidR="00DA2C09" w:rsidRPr="00D720DA" w:rsidRDefault="00DA2C09" w:rsidP="00AD59DB">
            <w:pPr>
              <w:rPr>
                <w:rFonts w:ascii="Arial" w:hAnsi="Arial" w:cs="Arial"/>
                <w:sz w:val="20"/>
                <w:szCs w:val="20"/>
              </w:rPr>
            </w:pPr>
            <w:r w:rsidRPr="00D720DA">
              <w:rPr>
                <w:rFonts w:ascii="Arial" w:hAnsi="Arial" w:cs="Arial"/>
                <w:sz w:val="20"/>
                <w:szCs w:val="20"/>
              </w:rPr>
              <w:t xml:space="preserve">Selection Panel arranged by Secretary/Agency Head. </w:t>
            </w:r>
          </w:p>
          <w:p w14:paraId="1D51EC05" w14:textId="77777777" w:rsidR="00F040C1" w:rsidRPr="00D720DA" w:rsidRDefault="00DA2C09" w:rsidP="00AD59DB">
            <w:pPr>
              <w:rPr>
                <w:rFonts w:ascii="Arial" w:hAnsi="Arial" w:cs="Arial"/>
                <w:sz w:val="20"/>
                <w:szCs w:val="20"/>
              </w:rPr>
            </w:pPr>
            <w:r w:rsidRPr="00D720DA">
              <w:rPr>
                <w:rFonts w:ascii="Arial" w:hAnsi="Arial" w:cs="Arial"/>
                <w:sz w:val="20"/>
                <w:szCs w:val="20"/>
              </w:rPr>
              <w:t xml:space="preserve">Once determined, Secretary/Agency Head </w:t>
            </w:r>
            <w:r w:rsidR="00021A55" w:rsidRPr="00D720DA">
              <w:rPr>
                <w:rFonts w:ascii="Arial" w:hAnsi="Arial" w:cs="Arial"/>
                <w:sz w:val="20"/>
                <w:szCs w:val="20"/>
              </w:rPr>
              <w:t xml:space="preserve">(or Head of State Service) </w:t>
            </w:r>
            <w:r w:rsidRPr="00D720DA">
              <w:rPr>
                <w:rFonts w:ascii="Arial" w:hAnsi="Arial" w:cs="Arial"/>
                <w:sz w:val="20"/>
                <w:szCs w:val="20"/>
              </w:rPr>
              <w:t>fills position.</w:t>
            </w:r>
          </w:p>
        </w:tc>
      </w:tr>
      <w:tr w:rsidR="00F040C1" w:rsidRPr="00D720DA" w14:paraId="0898F64B" w14:textId="77777777" w:rsidTr="00FD70E5">
        <w:tc>
          <w:tcPr>
            <w:tcW w:w="1696" w:type="dxa"/>
          </w:tcPr>
          <w:p w14:paraId="07526B9B" w14:textId="77777777" w:rsidR="00F040C1" w:rsidRPr="00D720DA" w:rsidRDefault="00F040C1" w:rsidP="00AD59DB">
            <w:pPr>
              <w:rPr>
                <w:rFonts w:ascii="Arial" w:hAnsi="Arial" w:cs="Arial"/>
                <w:b/>
                <w:bCs/>
                <w:sz w:val="20"/>
                <w:szCs w:val="20"/>
              </w:rPr>
            </w:pPr>
            <w:r w:rsidRPr="00D720DA">
              <w:rPr>
                <w:rFonts w:ascii="Arial" w:hAnsi="Arial" w:cs="Arial"/>
                <w:b/>
                <w:bCs/>
                <w:sz w:val="20"/>
                <w:szCs w:val="20"/>
              </w:rPr>
              <w:t>Role of Portfolio Minister</w:t>
            </w:r>
          </w:p>
        </w:tc>
        <w:tc>
          <w:tcPr>
            <w:tcW w:w="2410" w:type="dxa"/>
          </w:tcPr>
          <w:p w14:paraId="7FF6C7FC" w14:textId="77777777" w:rsidR="00F040C1" w:rsidRPr="00D720DA" w:rsidRDefault="00F040C1" w:rsidP="00AD59DB">
            <w:pPr>
              <w:rPr>
                <w:rFonts w:ascii="Arial" w:hAnsi="Arial" w:cs="Arial"/>
                <w:sz w:val="20"/>
                <w:szCs w:val="20"/>
              </w:rPr>
            </w:pPr>
            <w:proofErr w:type="gramStart"/>
            <w:r w:rsidRPr="00D720DA">
              <w:rPr>
                <w:rFonts w:ascii="Arial" w:hAnsi="Arial" w:cs="Arial"/>
                <w:sz w:val="20"/>
                <w:szCs w:val="20"/>
              </w:rPr>
              <w:t>Has to</w:t>
            </w:r>
            <w:proofErr w:type="gramEnd"/>
            <w:r w:rsidRPr="00D720DA">
              <w:rPr>
                <w:rFonts w:ascii="Arial" w:hAnsi="Arial" w:cs="Arial"/>
                <w:sz w:val="20"/>
                <w:szCs w:val="20"/>
              </w:rPr>
              <w:t xml:space="preserve"> be consulted.</w:t>
            </w:r>
          </w:p>
        </w:tc>
        <w:tc>
          <w:tcPr>
            <w:tcW w:w="2552" w:type="dxa"/>
          </w:tcPr>
          <w:p w14:paraId="396314F8" w14:textId="77777777" w:rsidR="00F040C1" w:rsidRPr="00D720DA" w:rsidRDefault="00F040C1" w:rsidP="00AD59DB">
            <w:pPr>
              <w:rPr>
                <w:rFonts w:ascii="Arial" w:hAnsi="Arial" w:cs="Arial"/>
                <w:sz w:val="20"/>
                <w:szCs w:val="20"/>
              </w:rPr>
            </w:pPr>
          </w:p>
        </w:tc>
        <w:tc>
          <w:tcPr>
            <w:tcW w:w="2976" w:type="dxa"/>
          </w:tcPr>
          <w:p w14:paraId="292842D7" w14:textId="5D31B0D1" w:rsidR="00F040C1" w:rsidRPr="00D720DA" w:rsidRDefault="003777B3" w:rsidP="00AD59DB">
            <w:pPr>
              <w:rPr>
                <w:rFonts w:ascii="Arial" w:hAnsi="Arial" w:cs="Arial"/>
                <w:sz w:val="20"/>
                <w:szCs w:val="20"/>
              </w:rPr>
            </w:pPr>
            <w:r w:rsidRPr="00D720DA">
              <w:rPr>
                <w:rFonts w:ascii="Arial" w:hAnsi="Arial" w:cs="Arial"/>
                <w:sz w:val="20"/>
                <w:szCs w:val="20"/>
              </w:rPr>
              <w:t>No requirement to</w:t>
            </w:r>
            <w:r w:rsidR="00021A55" w:rsidRPr="00D720DA">
              <w:rPr>
                <w:rFonts w:ascii="Arial" w:hAnsi="Arial" w:cs="Arial"/>
                <w:sz w:val="20"/>
                <w:szCs w:val="20"/>
              </w:rPr>
              <w:t xml:space="preserve"> be consulted.</w:t>
            </w:r>
          </w:p>
        </w:tc>
      </w:tr>
      <w:tr w:rsidR="00F040C1" w:rsidRPr="00D720DA" w14:paraId="0CDC3416" w14:textId="77777777" w:rsidTr="00FD70E5">
        <w:tc>
          <w:tcPr>
            <w:tcW w:w="1696" w:type="dxa"/>
          </w:tcPr>
          <w:p w14:paraId="6F2D59F5" w14:textId="77777777" w:rsidR="00F040C1" w:rsidRPr="00D720DA" w:rsidRDefault="00F040C1" w:rsidP="00AD59DB">
            <w:pPr>
              <w:rPr>
                <w:rFonts w:ascii="Arial" w:hAnsi="Arial" w:cs="Arial"/>
                <w:b/>
                <w:bCs/>
                <w:sz w:val="20"/>
                <w:szCs w:val="20"/>
              </w:rPr>
            </w:pPr>
            <w:r w:rsidRPr="00D720DA">
              <w:rPr>
                <w:rFonts w:ascii="Arial" w:hAnsi="Arial" w:cs="Arial"/>
                <w:b/>
                <w:bCs/>
                <w:sz w:val="20"/>
                <w:szCs w:val="20"/>
              </w:rPr>
              <w:t>Role of Premier</w:t>
            </w:r>
          </w:p>
        </w:tc>
        <w:tc>
          <w:tcPr>
            <w:tcW w:w="2410" w:type="dxa"/>
          </w:tcPr>
          <w:p w14:paraId="39E10D7B" w14:textId="77777777" w:rsidR="00F040C1" w:rsidRPr="00D720DA" w:rsidRDefault="00F040C1" w:rsidP="00AD59DB">
            <w:pPr>
              <w:rPr>
                <w:rFonts w:ascii="Arial" w:hAnsi="Arial" w:cs="Arial"/>
                <w:sz w:val="20"/>
                <w:szCs w:val="20"/>
              </w:rPr>
            </w:pPr>
            <w:r w:rsidRPr="00D720DA">
              <w:rPr>
                <w:rFonts w:ascii="Arial" w:hAnsi="Arial" w:cs="Arial"/>
                <w:sz w:val="20"/>
                <w:szCs w:val="20"/>
              </w:rPr>
              <w:t>Not involved in appointment process.</w:t>
            </w:r>
          </w:p>
        </w:tc>
        <w:tc>
          <w:tcPr>
            <w:tcW w:w="2552" w:type="dxa"/>
          </w:tcPr>
          <w:p w14:paraId="09CEFCBB" w14:textId="4AEE23E4" w:rsidR="00F040C1" w:rsidRPr="00D720DA" w:rsidRDefault="00021A55" w:rsidP="00AD59DB">
            <w:pPr>
              <w:rPr>
                <w:rFonts w:ascii="Arial" w:hAnsi="Arial" w:cs="Arial"/>
                <w:sz w:val="20"/>
                <w:szCs w:val="20"/>
              </w:rPr>
            </w:pPr>
            <w:r w:rsidRPr="00D720DA">
              <w:rPr>
                <w:rFonts w:ascii="Arial" w:hAnsi="Arial" w:cs="Arial"/>
                <w:i/>
                <w:sz w:val="20"/>
                <w:szCs w:val="20"/>
              </w:rPr>
              <w:t>State Service Act 2000</w:t>
            </w:r>
            <w:r w:rsidRPr="00D720DA">
              <w:rPr>
                <w:rFonts w:ascii="Arial" w:hAnsi="Arial" w:cs="Arial"/>
                <w:sz w:val="20"/>
                <w:szCs w:val="20"/>
              </w:rPr>
              <w:t xml:space="preserve"> </w:t>
            </w:r>
            <w:r w:rsidR="00315D70" w:rsidRPr="00D720DA">
              <w:rPr>
                <w:rFonts w:ascii="Arial" w:hAnsi="Arial" w:cs="Arial"/>
                <w:sz w:val="20"/>
                <w:szCs w:val="20"/>
              </w:rPr>
              <w:t>empowers Premier to make SES appointments, though Employment Direction No. 17 delegates this authority to agency heads/H</w:t>
            </w:r>
            <w:r w:rsidR="00FA192E" w:rsidRPr="00D720DA">
              <w:rPr>
                <w:rFonts w:ascii="Arial" w:hAnsi="Arial" w:cs="Arial"/>
                <w:sz w:val="20"/>
                <w:szCs w:val="20"/>
              </w:rPr>
              <w:t xml:space="preserve">ead </w:t>
            </w:r>
            <w:r w:rsidR="00315D70" w:rsidRPr="00D720DA">
              <w:rPr>
                <w:rFonts w:ascii="Arial" w:hAnsi="Arial" w:cs="Arial"/>
                <w:sz w:val="20"/>
                <w:szCs w:val="20"/>
              </w:rPr>
              <w:t>o</w:t>
            </w:r>
            <w:r w:rsidR="00FA192E" w:rsidRPr="00D720DA">
              <w:rPr>
                <w:rFonts w:ascii="Arial" w:hAnsi="Arial" w:cs="Arial"/>
                <w:sz w:val="20"/>
                <w:szCs w:val="20"/>
              </w:rPr>
              <w:t xml:space="preserve">f </w:t>
            </w:r>
            <w:r w:rsidR="00315D70" w:rsidRPr="00D720DA">
              <w:rPr>
                <w:rFonts w:ascii="Arial" w:hAnsi="Arial" w:cs="Arial"/>
                <w:sz w:val="20"/>
                <w:szCs w:val="20"/>
              </w:rPr>
              <w:t>S</w:t>
            </w:r>
            <w:r w:rsidR="00FA192E" w:rsidRPr="00D720DA">
              <w:rPr>
                <w:rFonts w:ascii="Arial" w:hAnsi="Arial" w:cs="Arial"/>
                <w:sz w:val="20"/>
                <w:szCs w:val="20"/>
              </w:rPr>
              <w:t xml:space="preserve">tate </w:t>
            </w:r>
            <w:r w:rsidR="00315D70" w:rsidRPr="00D720DA">
              <w:rPr>
                <w:rFonts w:ascii="Arial" w:hAnsi="Arial" w:cs="Arial"/>
                <w:sz w:val="20"/>
                <w:szCs w:val="20"/>
              </w:rPr>
              <w:t>S</w:t>
            </w:r>
            <w:r w:rsidR="00FA192E" w:rsidRPr="00D720DA">
              <w:rPr>
                <w:rFonts w:ascii="Arial" w:hAnsi="Arial" w:cs="Arial"/>
                <w:sz w:val="20"/>
                <w:szCs w:val="20"/>
              </w:rPr>
              <w:t>ervice</w:t>
            </w:r>
            <w:r w:rsidR="00315D70" w:rsidRPr="00D720DA">
              <w:rPr>
                <w:rFonts w:ascii="Arial" w:hAnsi="Arial" w:cs="Arial"/>
                <w:sz w:val="20"/>
                <w:szCs w:val="20"/>
              </w:rPr>
              <w:t>.</w:t>
            </w:r>
          </w:p>
        </w:tc>
        <w:tc>
          <w:tcPr>
            <w:tcW w:w="2976" w:type="dxa"/>
          </w:tcPr>
          <w:p w14:paraId="64C24BA0" w14:textId="68C19FAA" w:rsidR="00F040C1" w:rsidRPr="00D720DA" w:rsidRDefault="00021A55" w:rsidP="00945B00">
            <w:pPr>
              <w:rPr>
                <w:rFonts w:ascii="Arial" w:hAnsi="Arial" w:cs="Arial"/>
                <w:sz w:val="20"/>
                <w:szCs w:val="20"/>
              </w:rPr>
            </w:pPr>
            <w:r w:rsidRPr="00D720DA">
              <w:rPr>
                <w:rFonts w:ascii="Arial" w:hAnsi="Arial" w:cs="Arial"/>
                <w:sz w:val="20"/>
                <w:szCs w:val="20"/>
              </w:rPr>
              <w:t>Authorised</w:t>
            </w:r>
            <w:r w:rsidR="00501782" w:rsidRPr="00D720DA">
              <w:rPr>
                <w:rFonts w:ascii="Arial" w:hAnsi="Arial" w:cs="Arial"/>
                <w:sz w:val="20"/>
                <w:szCs w:val="20"/>
              </w:rPr>
              <w:t xml:space="preserve"> to appoint, th</w:t>
            </w:r>
            <w:r w:rsidR="00315D70" w:rsidRPr="00D720DA">
              <w:rPr>
                <w:rFonts w:ascii="Arial" w:hAnsi="Arial" w:cs="Arial"/>
                <w:sz w:val="20"/>
                <w:szCs w:val="20"/>
              </w:rPr>
              <w:t>ough authority</w:t>
            </w:r>
            <w:r w:rsidR="00501782" w:rsidRPr="00D720DA">
              <w:rPr>
                <w:rFonts w:ascii="Arial" w:hAnsi="Arial" w:cs="Arial"/>
                <w:sz w:val="20"/>
                <w:szCs w:val="20"/>
              </w:rPr>
              <w:t xml:space="preserve"> is delegated to agency heads</w:t>
            </w:r>
            <w:r w:rsidR="00315D70" w:rsidRPr="00D720DA">
              <w:rPr>
                <w:rFonts w:ascii="Arial" w:hAnsi="Arial" w:cs="Arial"/>
                <w:sz w:val="20"/>
                <w:szCs w:val="20"/>
              </w:rPr>
              <w:t>/</w:t>
            </w:r>
            <w:r w:rsidRPr="00D720DA">
              <w:rPr>
                <w:rFonts w:ascii="Arial" w:hAnsi="Arial" w:cs="Arial"/>
                <w:sz w:val="20"/>
                <w:szCs w:val="20"/>
              </w:rPr>
              <w:t>He</w:t>
            </w:r>
            <w:r w:rsidR="00501782" w:rsidRPr="00D720DA">
              <w:rPr>
                <w:rFonts w:ascii="Arial" w:hAnsi="Arial" w:cs="Arial"/>
                <w:sz w:val="20"/>
                <w:szCs w:val="20"/>
              </w:rPr>
              <w:t>ad of State Service</w:t>
            </w:r>
            <w:r w:rsidR="00315D70" w:rsidRPr="00D720DA">
              <w:rPr>
                <w:rFonts w:ascii="Arial" w:hAnsi="Arial" w:cs="Arial"/>
                <w:sz w:val="20"/>
                <w:szCs w:val="20"/>
              </w:rPr>
              <w:t>.</w:t>
            </w:r>
            <w:r w:rsidR="00C433FE" w:rsidRPr="00D720DA">
              <w:rPr>
                <w:rFonts w:ascii="Arial" w:hAnsi="Arial" w:cs="Arial"/>
                <w:sz w:val="20"/>
                <w:szCs w:val="20"/>
              </w:rPr>
              <w:t xml:space="preserve"> Some offices that are prescribed</w:t>
            </w:r>
            <w:r w:rsidR="00945B00" w:rsidRPr="00D720DA">
              <w:rPr>
                <w:rFonts w:ascii="Arial" w:hAnsi="Arial" w:cs="Arial"/>
                <w:sz w:val="20"/>
                <w:szCs w:val="20"/>
              </w:rPr>
              <w:t xml:space="preserve"> or statutory</w:t>
            </w:r>
            <w:r w:rsidR="00C433FE" w:rsidRPr="00D720DA">
              <w:rPr>
                <w:rFonts w:ascii="Arial" w:hAnsi="Arial" w:cs="Arial"/>
                <w:sz w:val="20"/>
                <w:szCs w:val="20"/>
              </w:rPr>
              <w:t xml:space="preserve"> must remain with Premier</w:t>
            </w:r>
            <w:r w:rsidR="009B5891" w:rsidRPr="00D720DA">
              <w:rPr>
                <w:rFonts w:ascii="Arial" w:hAnsi="Arial" w:cs="Arial"/>
                <w:sz w:val="20"/>
                <w:szCs w:val="20"/>
              </w:rPr>
              <w:t>.</w:t>
            </w:r>
            <w:r w:rsidR="00C433FE" w:rsidRPr="00D720DA">
              <w:rPr>
                <w:rFonts w:ascii="Arial" w:hAnsi="Arial" w:cs="Arial"/>
                <w:sz w:val="20"/>
                <w:szCs w:val="20"/>
              </w:rPr>
              <w:t xml:space="preserve"> </w:t>
            </w:r>
          </w:p>
        </w:tc>
      </w:tr>
      <w:tr w:rsidR="00F040C1" w:rsidRPr="00D720DA" w14:paraId="6CBED65C" w14:textId="77777777" w:rsidTr="00FD70E5">
        <w:tc>
          <w:tcPr>
            <w:tcW w:w="1696" w:type="dxa"/>
          </w:tcPr>
          <w:p w14:paraId="76C6E63D" w14:textId="77777777" w:rsidR="00F040C1" w:rsidRPr="00D720DA" w:rsidRDefault="00F040C1" w:rsidP="00AD59DB">
            <w:pPr>
              <w:rPr>
                <w:rFonts w:ascii="Arial" w:hAnsi="Arial" w:cs="Arial"/>
                <w:b/>
                <w:bCs/>
                <w:sz w:val="20"/>
                <w:szCs w:val="20"/>
              </w:rPr>
            </w:pPr>
            <w:r w:rsidRPr="00D720DA">
              <w:rPr>
                <w:rFonts w:ascii="Arial" w:hAnsi="Arial" w:cs="Arial"/>
                <w:b/>
                <w:bCs/>
                <w:sz w:val="20"/>
                <w:szCs w:val="20"/>
              </w:rPr>
              <w:t>Role of Cabinet</w:t>
            </w:r>
          </w:p>
        </w:tc>
        <w:tc>
          <w:tcPr>
            <w:tcW w:w="2410" w:type="dxa"/>
          </w:tcPr>
          <w:p w14:paraId="477B9F7B" w14:textId="40A9E9E7" w:rsidR="00F040C1" w:rsidRPr="00D720DA" w:rsidRDefault="00F040C1" w:rsidP="00AD59DB">
            <w:pPr>
              <w:rPr>
                <w:rFonts w:ascii="Arial" w:hAnsi="Arial" w:cs="Arial"/>
                <w:sz w:val="20"/>
                <w:szCs w:val="20"/>
              </w:rPr>
            </w:pPr>
            <w:r w:rsidRPr="00D720DA">
              <w:rPr>
                <w:rFonts w:ascii="Arial" w:hAnsi="Arial" w:cs="Arial"/>
                <w:sz w:val="20"/>
                <w:szCs w:val="20"/>
              </w:rPr>
              <w:t xml:space="preserve">Not </w:t>
            </w:r>
            <w:r w:rsidR="00C11DC2" w:rsidRPr="00D720DA">
              <w:rPr>
                <w:rFonts w:ascii="Arial" w:hAnsi="Arial" w:cs="Arial"/>
                <w:sz w:val="20"/>
                <w:szCs w:val="20"/>
              </w:rPr>
              <w:t>involved but</w:t>
            </w:r>
            <w:r w:rsidRPr="00D720DA">
              <w:rPr>
                <w:rFonts w:ascii="Arial" w:hAnsi="Arial" w:cs="Arial"/>
                <w:sz w:val="20"/>
                <w:szCs w:val="20"/>
              </w:rPr>
              <w:t xml:space="preserve"> is advised of appointments</w:t>
            </w:r>
            <w:r w:rsidR="00315D70" w:rsidRPr="00D720DA">
              <w:rPr>
                <w:rFonts w:ascii="Arial" w:hAnsi="Arial" w:cs="Arial"/>
                <w:sz w:val="20"/>
                <w:szCs w:val="20"/>
              </w:rPr>
              <w:t>.</w:t>
            </w:r>
          </w:p>
        </w:tc>
        <w:tc>
          <w:tcPr>
            <w:tcW w:w="2552" w:type="dxa"/>
          </w:tcPr>
          <w:p w14:paraId="6CA20C1F" w14:textId="77777777" w:rsidR="00F040C1" w:rsidRPr="00D720DA" w:rsidRDefault="00F040C1" w:rsidP="00AD59DB">
            <w:pPr>
              <w:rPr>
                <w:rFonts w:ascii="Arial" w:hAnsi="Arial" w:cs="Arial"/>
                <w:sz w:val="20"/>
                <w:szCs w:val="20"/>
              </w:rPr>
            </w:pPr>
          </w:p>
        </w:tc>
        <w:tc>
          <w:tcPr>
            <w:tcW w:w="2976" w:type="dxa"/>
          </w:tcPr>
          <w:p w14:paraId="1FB7E452" w14:textId="11B3505B" w:rsidR="00F040C1" w:rsidRPr="00D720DA" w:rsidRDefault="001C259C" w:rsidP="00AD59DB">
            <w:pPr>
              <w:rPr>
                <w:rFonts w:ascii="Arial" w:hAnsi="Arial" w:cs="Arial"/>
                <w:sz w:val="20"/>
                <w:szCs w:val="20"/>
              </w:rPr>
            </w:pPr>
            <w:r w:rsidRPr="00D720DA">
              <w:rPr>
                <w:rFonts w:ascii="Arial" w:hAnsi="Arial" w:cs="Arial"/>
                <w:sz w:val="20"/>
                <w:szCs w:val="20"/>
              </w:rPr>
              <w:t xml:space="preserve">Not </w:t>
            </w:r>
            <w:r w:rsidR="00C11DC2" w:rsidRPr="00D720DA">
              <w:rPr>
                <w:rFonts w:ascii="Arial" w:hAnsi="Arial" w:cs="Arial"/>
                <w:sz w:val="20"/>
                <w:szCs w:val="20"/>
              </w:rPr>
              <w:t>involved but</w:t>
            </w:r>
            <w:r w:rsidRPr="00D720DA">
              <w:rPr>
                <w:rFonts w:ascii="Arial" w:hAnsi="Arial" w:cs="Arial"/>
                <w:sz w:val="20"/>
                <w:szCs w:val="20"/>
              </w:rPr>
              <w:t xml:space="preserve"> is advised of appointments</w:t>
            </w:r>
            <w:r w:rsidR="00315D70" w:rsidRPr="00D720DA">
              <w:rPr>
                <w:rFonts w:ascii="Arial" w:hAnsi="Arial" w:cs="Arial"/>
                <w:sz w:val="20"/>
                <w:szCs w:val="20"/>
              </w:rPr>
              <w:t>.</w:t>
            </w:r>
          </w:p>
        </w:tc>
      </w:tr>
      <w:tr w:rsidR="00F040C1" w:rsidRPr="00D720DA" w14:paraId="5BF270E4" w14:textId="77777777" w:rsidTr="00FD70E5">
        <w:tc>
          <w:tcPr>
            <w:tcW w:w="1696" w:type="dxa"/>
          </w:tcPr>
          <w:p w14:paraId="70326694" w14:textId="2BB3FDAA" w:rsidR="00F040C1" w:rsidRPr="00D720DA" w:rsidRDefault="00F040C1" w:rsidP="00AD59DB">
            <w:pPr>
              <w:rPr>
                <w:rFonts w:ascii="Arial" w:hAnsi="Arial" w:cs="Arial"/>
                <w:b/>
                <w:bCs/>
                <w:sz w:val="20"/>
                <w:szCs w:val="20"/>
              </w:rPr>
            </w:pPr>
            <w:r w:rsidRPr="00D720DA">
              <w:rPr>
                <w:rFonts w:ascii="Arial" w:hAnsi="Arial" w:cs="Arial"/>
                <w:b/>
                <w:bCs/>
                <w:sz w:val="20"/>
                <w:szCs w:val="20"/>
              </w:rPr>
              <w:t>Role of Dept. Head</w:t>
            </w:r>
            <w:r w:rsidR="00D243F1" w:rsidRPr="00D720DA">
              <w:rPr>
                <w:rFonts w:ascii="Arial" w:hAnsi="Arial" w:cs="Arial"/>
                <w:b/>
                <w:bCs/>
                <w:sz w:val="20"/>
                <w:szCs w:val="20"/>
              </w:rPr>
              <w:t xml:space="preserve"> </w:t>
            </w:r>
          </w:p>
        </w:tc>
        <w:tc>
          <w:tcPr>
            <w:tcW w:w="2410" w:type="dxa"/>
          </w:tcPr>
          <w:p w14:paraId="58962FFA" w14:textId="77777777" w:rsidR="00F040C1" w:rsidRPr="00D720DA" w:rsidRDefault="00F040C1" w:rsidP="00AD59DB">
            <w:pPr>
              <w:rPr>
                <w:rFonts w:ascii="Arial" w:hAnsi="Arial" w:cs="Arial"/>
                <w:sz w:val="20"/>
                <w:szCs w:val="20"/>
              </w:rPr>
            </w:pPr>
            <w:r w:rsidRPr="00D720DA">
              <w:rPr>
                <w:rFonts w:ascii="Arial" w:hAnsi="Arial" w:cs="Arial"/>
                <w:sz w:val="20"/>
                <w:szCs w:val="20"/>
              </w:rPr>
              <w:t>Appoints</w:t>
            </w:r>
          </w:p>
        </w:tc>
        <w:tc>
          <w:tcPr>
            <w:tcW w:w="2552" w:type="dxa"/>
          </w:tcPr>
          <w:p w14:paraId="14BB7F89" w14:textId="77777777" w:rsidR="00F040C1" w:rsidRPr="00D720DA" w:rsidRDefault="00F040C1" w:rsidP="00AD59DB">
            <w:pPr>
              <w:rPr>
                <w:rFonts w:ascii="Arial" w:hAnsi="Arial" w:cs="Arial"/>
                <w:sz w:val="20"/>
                <w:szCs w:val="20"/>
              </w:rPr>
            </w:pPr>
          </w:p>
        </w:tc>
        <w:tc>
          <w:tcPr>
            <w:tcW w:w="2976" w:type="dxa"/>
          </w:tcPr>
          <w:p w14:paraId="78186BF4" w14:textId="13E1B41A" w:rsidR="00F040C1" w:rsidRPr="00D720DA" w:rsidRDefault="00501782" w:rsidP="00AD59DB">
            <w:pPr>
              <w:rPr>
                <w:rFonts w:ascii="Arial" w:hAnsi="Arial" w:cs="Arial"/>
                <w:sz w:val="20"/>
                <w:szCs w:val="20"/>
              </w:rPr>
            </w:pPr>
            <w:r w:rsidRPr="00D720DA">
              <w:rPr>
                <w:rFonts w:ascii="Arial" w:hAnsi="Arial" w:cs="Arial"/>
                <w:sz w:val="20"/>
                <w:szCs w:val="20"/>
              </w:rPr>
              <w:t>Can appoint SES Level 1 and 2 positions; Level 3 and above appointed by Head of State Service</w:t>
            </w:r>
            <w:r w:rsidR="009B5891" w:rsidRPr="00D720DA">
              <w:rPr>
                <w:rFonts w:ascii="Arial" w:hAnsi="Arial" w:cs="Arial"/>
                <w:sz w:val="20"/>
                <w:szCs w:val="20"/>
              </w:rPr>
              <w:t>, but the Premier must appoint Prescribed or Statutory office holders.</w:t>
            </w:r>
          </w:p>
        </w:tc>
      </w:tr>
      <w:tr w:rsidR="00E95644" w:rsidRPr="00D720DA" w14:paraId="5FF8A02E" w14:textId="77777777" w:rsidTr="0007647F">
        <w:tc>
          <w:tcPr>
            <w:tcW w:w="9634" w:type="dxa"/>
            <w:gridSpan w:val="4"/>
            <w:shd w:val="pct10" w:color="auto" w:fill="FFFFFF"/>
          </w:tcPr>
          <w:p w14:paraId="43599D69" w14:textId="66CA6600" w:rsidR="00E95644" w:rsidRPr="00D720DA" w:rsidRDefault="00E95644" w:rsidP="00AD59DB">
            <w:pPr>
              <w:rPr>
                <w:rFonts w:ascii="Arial" w:hAnsi="Arial" w:cs="Arial"/>
                <w:sz w:val="22"/>
              </w:rPr>
            </w:pPr>
            <w:r w:rsidRPr="00D720DA">
              <w:rPr>
                <w:rFonts w:ascii="Arial" w:hAnsi="Arial" w:cs="Arial"/>
                <w:b/>
                <w:sz w:val="22"/>
              </w:rPr>
              <w:t>Employment Conditions</w:t>
            </w:r>
          </w:p>
        </w:tc>
      </w:tr>
      <w:tr w:rsidR="00F040C1" w:rsidRPr="00D720DA" w14:paraId="5CF462CE" w14:textId="77777777" w:rsidTr="00FD70E5">
        <w:tc>
          <w:tcPr>
            <w:tcW w:w="1696" w:type="dxa"/>
          </w:tcPr>
          <w:p w14:paraId="6025F926" w14:textId="77777777" w:rsidR="00F040C1" w:rsidRPr="00D720DA" w:rsidRDefault="00F040C1" w:rsidP="00AD59DB">
            <w:pPr>
              <w:rPr>
                <w:rFonts w:ascii="Arial" w:hAnsi="Arial" w:cs="Arial"/>
                <w:b/>
                <w:bCs/>
                <w:sz w:val="20"/>
                <w:szCs w:val="20"/>
              </w:rPr>
            </w:pPr>
            <w:r w:rsidRPr="00D720DA">
              <w:rPr>
                <w:rFonts w:ascii="Arial" w:hAnsi="Arial" w:cs="Arial"/>
                <w:b/>
                <w:bCs/>
                <w:sz w:val="20"/>
                <w:szCs w:val="20"/>
              </w:rPr>
              <w:t>Contract</w:t>
            </w:r>
          </w:p>
        </w:tc>
        <w:tc>
          <w:tcPr>
            <w:tcW w:w="2410" w:type="dxa"/>
          </w:tcPr>
          <w:p w14:paraId="2BD40AFC" w14:textId="77777777" w:rsidR="00F040C1" w:rsidRPr="00D720DA" w:rsidRDefault="00F040C1" w:rsidP="00AD59DB">
            <w:pPr>
              <w:rPr>
                <w:rFonts w:ascii="Arial" w:hAnsi="Arial" w:cs="Arial"/>
                <w:sz w:val="20"/>
                <w:szCs w:val="20"/>
              </w:rPr>
            </w:pPr>
            <w:r w:rsidRPr="00D720DA">
              <w:rPr>
                <w:rFonts w:ascii="Arial" w:hAnsi="Arial" w:cs="Arial"/>
                <w:sz w:val="20"/>
                <w:szCs w:val="20"/>
              </w:rPr>
              <w:t>Yes</w:t>
            </w:r>
          </w:p>
        </w:tc>
        <w:tc>
          <w:tcPr>
            <w:tcW w:w="2552" w:type="dxa"/>
          </w:tcPr>
          <w:p w14:paraId="00B639C5" w14:textId="77777777" w:rsidR="00F040C1" w:rsidRPr="00D720DA" w:rsidRDefault="00F040C1" w:rsidP="00AD59DB">
            <w:pPr>
              <w:rPr>
                <w:rFonts w:ascii="Arial" w:hAnsi="Arial" w:cs="Arial"/>
                <w:sz w:val="20"/>
                <w:szCs w:val="20"/>
              </w:rPr>
            </w:pPr>
          </w:p>
        </w:tc>
        <w:tc>
          <w:tcPr>
            <w:tcW w:w="2976" w:type="dxa"/>
          </w:tcPr>
          <w:p w14:paraId="1361883D" w14:textId="77777777" w:rsidR="00F040C1" w:rsidRPr="00D720DA" w:rsidRDefault="005F1077" w:rsidP="00AD59DB">
            <w:pPr>
              <w:rPr>
                <w:rFonts w:ascii="Arial" w:hAnsi="Arial" w:cs="Arial"/>
                <w:sz w:val="20"/>
                <w:szCs w:val="20"/>
              </w:rPr>
            </w:pPr>
            <w:r w:rsidRPr="00D720DA">
              <w:rPr>
                <w:rFonts w:ascii="Arial" w:hAnsi="Arial" w:cs="Arial"/>
                <w:sz w:val="20"/>
                <w:szCs w:val="20"/>
              </w:rPr>
              <w:t>Yes</w:t>
            </w:r>
          </w:p>
          <w:p w14:paraId="69D2F455" w14:textId="56A4FA2A" w:rsidR="00E95644" w:rsidRPr="00D720DA" w:rsidRDefault="00E95644" w:rsidP="00AD59DB">
            <w:pPr>
              <w:rPr>
                <w:rFonts w:ascii="Arial" w:hAnsi="Arial" w:cs="Arial"/>
                <w:sz w:val="20"/>
                <w:szCs w:val="20"/>
              </w:rPr>
            </w:pPr>
            <w:r w:rsidRPr="00D720DA">
              <w:rPr>
                <w:rFonts w:ascii="Arial" w:hAnsi="Arial" w:cs="Arial"/>
                <w:sz w:val="20"/>
                <w:szCs w:val="20"/>
                <w:shd w:val="clear" w:color="auto" w:fill="FFFFFF"/>
              </w:rPr>
              <w:t>Senior Executive roles are offered as fixed-term contracts for up to five years.</w:t>
            </w:r>
          </w:p>
        </w:tc>
      </w:tr>
      <w:tr w:rsidR="00F040C1" w:rsidRPr="00D720DA" w14:paraId="2B7BFBC1" w14:textId="77777777" w:rsidTr="00FD70E5">
        <w:tc>
          <w:tcPr>
            <w:tcW w:w="1696" w:type="dxa"/>
          </w:tcPr>
          <w:p w14:paraId="267F5CCB" w14:textId="77777777" w:rsidR="00F040C1" w:rsidRPr="00D720DA" w:rsidRDefault="00F040C1" w:rsidP="00AD59DB">
            <w:pPr>
              <w:rPr>
                <w:rFonts w:ascii="Arial" w:hAnsi="Arial" w:cs="Arial"/>
                <w:b/>
                <w:bCs/>
                <w:sz w:val="20"/>
                <w:szCs w:val="20"/>
              </w:rPr>
            </w:pPr>
            <w:r w:rsidRPr="00D720DA">
              <w:rPr>
                <w:rFonts w:ascii="Arial" w:hAnsi="Arial" w:cs="Arial"/>
                <w:b/>
                <w:bCs/>
                <w:sz w:val="20"/>
                <w:szCs w:val="20"/>
              </w:rPr>
              <w:t>Contract timeframe</w:t>
            </w:r>
          </w:p>
        </w:tc>
        <w:tc>
          <w:tcPr>
            <w:tcW w:w="2410" w:type="dxa"/>
          </w:tcPr>
          <w:p w14:paraId="7F17970F" w14:textId="77777777" w:rsidR="00F040C1" w:rsidRPr="00D720DA" w:rsidRDefault="00F040C1" w:rsidP="00AD59DB">
            <w:pPr>
              <w:rPr>
                <w:rFonts w:ascii="Arial" w:hAnsi="Arial" w:cs="Arial"/>
                <w:sz w:val="20"/>
                <w:szCs w:val="20"/>
              </w:rPr>
            </w:pPr>
            <w:r w:rsidRPr="00D720DA">
              <w:rPr>
                <w:rFonts w:ascii="Arial" w:hAnsi="Arial" w:cs="Arial"/>
                <w:sz w:val="20"/>
                <w:szCs w:val="20"/>
              </w:rPr>
              <w:t>Not specified, but generally up to 5 years</w:t>
            </w:r>
          </w:p>
        </w:tc>
        <w:tc>
          <w:tcPr>
            <w:tcW w:w="2552" w:type="dxa"/>
          </w:tcPr>
          <w:p w14:paraId="470B06F2" w14:textId="77777777" w:rsidR="00F040C1" w:rsidRPr="00D720DA" w:rsidRDefault="00F040C1" w:rsidP="00AD59DB">
            <w:pPr>
              <w:rPr>
                <w:rFonts w:ascii="Arial" w:hAnsi="Arial" w:cs="Arial"/>
                <w:sz w:val="20"/>
                <w:szCs w:val="20"/>
              </w:rPr>
            </w:pPr>
          </w:p>
        </w:tc>
        <w:tc>
          <w:tcPr>
            <w:tcW w:w="2976" w:type="dxa"/>
          </w:tcPr>
          <w:p w14:paraId="0D164C5B" w14:textId="77777777" w:rsidR="00F040C1" w:rsidRPr="00D720DA" w:rsidRDefault="005F1077" w:rsidP="00AD59DB">
            <w:pPr>
              <w:rPr>
                <w:rFonts w:ascii="Arial" w:hAnsi="Arial" w:cs="Arial"/>
                <w:sz w:val="20"/>
                <w:szCs w:val="20"/>
              </w:rPr>
            </w:pPr>
            <w:r w:rsidRPr="00D720DA">
              <w:rPr>
                <w:rFonts w:ascii="Arial" w:hAnsi="Arial" w:cs="Arial"/>
                <w:sz w:val="20"/>
                <w:szCs w:val="20"/>
              </w:rPr>
              <w:t>Up to 5 years</w:t>
            </w:r>
          </w:p>
        </w:tc>
      </w:tr>
      <w:tr w:rsidR="00F040C1" w:rsidRPr="00D720DA" w14:paraId="10783F7B" w14:textId="77777777" w:rsidTr="00FD70E5">
        <w:tc>
          <w:tcPr>
            <w:tcW w:w="1696" w:type="dxa"/>
          </w:tcPr>
          <w:p w14:paraId="4E75D389" w14:textId="77777777" w:rsidR="00F040C1" w:rsidRPr="00D720DA" w:rsidRDefault="00F040C1" w:rsidP="00AD59DB">
            <w:pPr>
              <w:rPr>
                <w:rFonts w:ascii="Arial" w:hAnsi="Arial" w:cs="Arial"/>
                <w:b/>
                <w:bCs/>
                <w:sz w:val="20"/>
                <w:szCs w:val="20"/>
              </w:rPr>
            </w:pPr>
            <w:r w:rsidRPr="00D720DA">
              <w:rPr>
                <w:rFonts w:ascii="Arial" w:hAnsi="Arial" w:cs="Arial"/>
                <w:b/>
                <w:bCs/>
                <w:sz w:val="20"/>
                <w:szCs w:val="20"/>
              </w:rPr>
              <w:t>Contract Extension</w:t>
            </w:r>
          </w:p>
        </w:tc>
        <w:tc>
          <w:tcPr>
            <w:tcW w:w="2410" w:type="dxa"/>
          </w:tcPr>
          <w:p w14:paraId="1940FFFF" w14:textId="77777777" w:rsidR="00F040C1" w:rsidRPr="00D720DA" w:rsidRDefault="00F040C1" w:rsidP="00AD59DB">
            <w:pPr>
              <w:rPr>
                <w:rFonts w:ascii="Arial" w:hAnsi="Arial" w:cs="Arial"/>
                <w:sz w:val="20"/>
                <w:szCs w:val="20"/>
              </w:rPr>
            </w:pPr>
            <w:r w:rsidRPr="00D720DA">
              <w:rPr>
                <w:rFonts w:ascii="Arial" w:hAnsi="Arial" w:cs="Arial"/>
                <w:sz w:val="20"/>
                <w:szCs w:val="20"/>
              </w:rPr>
              <w:t>Yes</w:t>
            </w:r>
          </w:p>
        </w:tc>
        <w:tc>
          <w:tcPr>
            <w:tcW w:w="2552" w:type="dxa"/>
          </w:tcPr>
          <w:p w14:paraId="6DA98937" w14:textId="77777777" w:rsidR="00F040C1" w:rsidRPr="00D720DA" w:rsidRDefault="00F040C1" w:rsidP="00AD59DB">
            <w:pPr>
              <w:rPr>
                <w:rFonts w:ascii="Arial" w:hAnsi="Arial" w:cs="Arial"/>
                <w:sz w:val="20"/>
                <w:szCs w:val="20"/>
              </w:rPr>
            </w:pPr>
          </w:p>
        </w:tc>
        <w:tc>
          <w:tcPr>
            <w:tcW w:w="2976" w:type="dxa"/>
          </w:tcPr>
          <w:p w14:paraId="1C01E9EF" w14:textId="64D401BB" w:rsidR="00F040C1" w:rsidRPr="00D720DA" w:rsidRDefault="0019095E" w:rsidP="00AD59DB">
            <w:pPr>
              <w:rPr>
                <w:rFonts w:ascii="Arial" w:hAnsi="Arial" w:cs="Arial"/>
                <w:sz w:val="20"/>
                <w:szCs w:val="20"/>
              </w:rPr>
            </w:pPr>
            <w:r w:rsidRPr="00D720DA">
              <w:rPr>
                <w:rFonts w:ascii="Arial" w:hAnsi="Arial" w:cs="Arial"/>
                <w:sz w:val="20"/>
                <w:szCs w:val="20"/>
              </w:rPr>
              <w:t>Yes</w:t>
            </w:r>
            <w:r w:rsidR="009B5891" w:rsidRPr="00D720DA">
              <w:rPr>
                <w:rFonts w:ascii="Arial" w:hAnsi="Arial" w:cs="Arial"/>
                <w:sz w:val="20"/>
                <w:szCs w:val="20"/>
              </w:rPr>
              <w:t>, if at least 60% of existing contract. Otherwise severance (termination) or reversion (right of return) are triggered.</w:t>
            </w:r>
          </w:p>
        </w:tc>
      </w:tr>
      <w:tr w:rsidR="00F040C1" w:rsidRPr="00D720DA" w14:paraId="1EC8837D" w14:textId="77777777" w:rsidTr="00FD70E5">
        <w:tc>
          <w:tcPr>
            <w:tcW w:w="1696" w:type="dxa"/>
          </w:tcPr>
          <w:p w14:paraId="70281A5D" w14:textId="77777777" w:rsidR="00F040C1" w:rsidRPr="00D720DA" w:rsidRDefault="00F040C1" w:rsidP="00AD59DB">
            <w:pPr>
              <w:rPr>
                <w:rFonts w:ascii="Arial" w:hAnsi="Arial" w:cs="Arial"/>
                <w:b/>
                <w:bCs/>
                <w:sz w:val="20"/>
                <w:szCs w:val="20"/>
              </w:rPr>
            </w:pPr>
            <w:r w:rsidRPr="00D720DA">
              <w:rPr>
                <w:rFonts w:ascii="Arial" w:hAnsi="Arial" w:cs="Arial"/>
                <w:b/>
                <w:bCs/>
                <w:sz w:val="20"/>
                <w:szCs w:val="20"/>
              </w:rPr>
              <w:lastRenderedPageBreak/>
              <w:t>Redundancy/ Termination provisions</w:t>
            </w:r>
          </w:p>
        </w:tc>
        <w:tc>
          <w:tcPr>
            <w:tcW w:w="2410" w:type="dxa"/>
          </w:tcPr>
          <w:p w14:paraId="4D8842F7" w14:textId="77777777" w:rsidR="00F040C1" w:rsidRPr="00D720DA" w:rsidRDefault="00F040C1" w:rsidP="00AD59DB">
            <w:pPr>
              <w:rPr>
                <w:rFonts w:ascii="Arial" w:hAnsi="Arial" w:cs="Arial"/>
                <w:sz w:val="20"/>
                <w:szCs w:val="20"/>
              </w:rPr>
            </w:pPr>
            <w:r w:rsidRPr="00D720DA">
              <w:rPr>
                <w:rFonts w:ascii="Arial" w:hAnsi="Arial" w:cs="Arial"/>
                <w:sz w:val="20"/>
                <w:szCs w:val="20"/>
              </w:rPr>
              <w:t>One weeks’ remuneration for every 6 weeks remaining in contract</w:t>
            </w:r>
            <w:r w:rsidR="00211362" w:rsidRPr="00D720DA">
              <w:rPr>
                <w:rFonts w:ascii="Arial" w:hAnsi="Arial" w:cs="Arial"/>
                <w:sz w:val="20"/>
                <w:szCs w:val="20"/>
              </w:rPr>
              <w:t>,</w:t>
            </w:r>
            <w:r w:rsidRPr="00D720DA">
              <w:rPr>
                <w:rFonts w:ascii="Arial" w:hAnsi="Arial" w:cs="Arial"/>
                <w:sz w:val="20"/>
                <w:szCs w:val="20"/>
              </w:rPr>
              <w:t xml:space="preserve"> plus superannuation based on same formula.</w:t>
            </w:r>
          </w:p>
        </w:tc>
        <w:tc>
          <w:tcPr>
            <w:tcW w:w="2552" w:type="dxa"/>
          </w:tcPr>
          <w:p w14:paraId="50E33D09" w14:textId="77777777" w:rsidR="00F040C1" w:rsidRPr="00D720DA" w:rsidRDefault="000867E6" w:rsidP="00AD59DB">
            <w:pPr>
              <w:rPr>
                <w:rFonts w:ascii="Arial" w:hAnsi="Arial" w:cs="Arial"/>
                <w:sz w:val="20"/>
                <w:szCs w:val="20"/>
              </w:rPr>
            </w:pPr>
            <w:r w:rsidRPr="00D720DA">
              <w:rPr>
                <w:rFonts w:ascii="Arial" w:hAnsi="Arial" w:cs="Arial"/>
                <w:i/>
                <w:sz w:val="20"/>
                <w:szCs w:val="20"/>
              </w:rPr>
              <w:t>State Service Act 2000</w:t>
            </w:r>
            <w:r w:rsidRPr="00D720DA">
              <w:rPr>
                <w:rFonts w:ascii="Arial" w:hAnsi="Arial" w:cs="Arial"/>
                <w:sz w:val="20"/>
                <w:szCs w:val="20"/>
              </w:rPr>
              <w:t xml:space="preserve"> </w:t>
            </w:r>
            <w:r w:rsidR="00BC4EA1" w:rsidRPr="00D720DA">
              <w:rPr>
                <w:rFonts w:ascii="Arial" w:hAnsi="Arial" w:cs="Arial"/>
                <w:sz w:val="20"/>
                <w:szCs w:val="20"/>
              </w:rPr>
              <w:t>introduced greater provisions for termination entitlements and/or</w:t>
            </w:r>
            <w:r w:rsidRPr="00D720DA">
              <w:rPr>
                <w:rFonts w:ascii="Arial" w:hAnsi="Arial" w:cs="Arial"/>
                <w:sz w:val="20"/>
                <w:szCs w:val="20"/>
              </w:rPr>
              <w:t xml:space="preserve"> </w:t>
            </w:r>
            <w:r w:rsidR="00BC4EA1" w:rsidRPr="00D720DA">
              <w:rPr>
                <w:rFonts w:ascii="Arial" w:hAnsi="Arial" w:cs="Arial"/>
                <w:sz w:val="20"/>
                <w:szCs w:val="20"/>
              </w:rPr>
              <w:t>Right of Return.</w:t>
            </w:r>
          </w:p>
          <w:p w14:paraId="7F7DEE32" w14:textId="465B980C" w:rsidR="002A6AD4" w:rsidRPr="00D720DA" w:rsidRDefault="002A6AD4" w:rsidP="00AD59DB">
            <w:pPr>
              <w:rPr>
                <w:rFonts w:ascii="Arial" w:hAnsi="Arial" w:cs="Arial"/>
                <w:sz w:val="20"/>
                <w:szCs w:val="20"/>
              </w:rPr>
            </w:pPr>
            <w:r w:rsidRPr="00D720DA">
              <w:rPr>
                <w:rFonts w:ascii="Arial" w:hAnsi="Arial" w:cs="Arial"/>
                <w:sz w:val="20"/>
                <w:szCs w:val="20"/>
              </w:rPr>
              <w:t xml:space="preserve">The Premier may terminate SES appointments </w:t>
            </w:r>
            <w:r w:rsidR="002008DF" w:rsidRPr="00D720DA">
              <w:rPr>
                <w:rFonts w:ascii="Arial" w:hAnsi="Arial" w:cs="Arial"/>
                <w:sz w:val="20"/>
                <w:szCs w:val="20"/>
              </w:rPr>
              <w:t xml:space="preserve">(or delegate the power to terminate) </w:t>
            </w:r>
            <w:r w:rsidRPr="00D720DA">
              <w:rPr>
                <w:rFonts w:ascii="Arial" w:hAnsi="Arial" w:cs="Arial"/>
                <w:sz w:val="20"/>
                <w:szCs w:val="20"/>
              </w:rPr>
              <w:t>under s. 32</w:t>
            </w:r>
            <w:r w:rsidR="002008DF" w:rsidRPr="00D720DA">
              <w:rPr>
                <w:rFonts w:ascii="Arial" w:hAnsi="Arial" w:cs="Arial"/>
                <w:sz w:val="20"/>
                <w:szCs w:val="20"/>
              </w:rPr>
              <w:t>.</w:t>
            </w:r>
          </w:p>
        </w:tc>
        <w:tc>
          <w:tcPr>
            <w:tcW w:w="2976" w:type="dxa"/>
          </w:tcPr>
          <w:p w14:paraId="1D27E6A8" w14:textId="77777777" w:rsidR="00F040C1" w:rsidRPr="00D720DA" w:rsidRDefault="00B67BF7" w:rsidP="00AD59DB">
            <w:pPr>
              <w:rPr>
                <w:rFonts w:ascii="Arial" w:hAnsi="Arial" w:cs="Arial"/>
                <w:sz w:val="20"/>
                <w:szCs w:val="20"/>
              </w:rPr>
            </w:pPr>
            <w:r w:rsidRPr="00D720DA">
              <w:rPr>
                <w:rFonts w:ascii="Arial" w:hAnsi="Arial" w:cs="Arial"/>
                <w:sz w:val="20"/>
                <w:szCs w:val="20"/>
              </w:rPr>
              <w:t>O</w:t>
            </w:r>
            <w:r w:rsidR="00211362" w:rsidRPr="00D720DA">
              <w:rPr>
                <w:rFonts w:ascii="Arial" w:hAnsi="Arial" w:cs="Arial"/>
                <w:sz w:val="20"/>
                <w:szCs w:val="20"/>
              </w:rPr>
              <w:t>ne weeks’ remuneration for every six weeks remaining in contract, plus superannuation based on same formula; or four weeks’ remuneration plus two weeks salary for every completed year of continuous service, whichever is greater.</w:t>
            </w:r>
          </w:p>
        </w:tc>
      </w:tr>
      <w:tr w:rsidR="00F040C1" w:rsidRPr="00D720DA" w14:paraId="5C46E928" w14:textId="77777777" w:rsidTr="00FD70E5">
        <w:tc>
          <w:tcPr>
            <w:tcW w:w="1696" w:type="dxa"/>
          </w:tcPr>
          <w:p w14:paraId="0D691EB1" w14:textId="77777777" w:rsidR="00F040C1" w:rsidRPr="00D720DA" w:rsidRDefault="00F040C1" w:rsidP="00AD59DB">
            <w:pPr>
              <w:rPr>
                <w:rFonts w:ascii="Arial" w:hAnsi="Arial" w:cs="Arial"/>
                <w:b/>
                <w:bCs/>
                <w:sz w:val="22"/>
              </w:rPr>
            </w:pPr>
            <w:r w:rsidRPr="00D720DA">
              <w:rPr>
                <w:rFonts w:ascii="Arial" w:hAnsi="Arial" w:cs="Arial"/>
                <w:b/>
                <w:bCs/>
                <w:sz w:val="22"/>
              </w:rPr>
              <w:t>Process re extension</w:t>
            </w:r>
          </w:p>
        </w:tc>
        <w:tc>
          <w:tcPr>
            <w:tcW w:w="2410" w:type="dxa"/>
          </w:tcPr>
          <w:p w14:paraId="14CB1C55" w14:textId="77777777" w:rsidR="00F040C1" w:rsidRPr="00D720DA" w:rsidRDefault="00F040C1" w:rsidP="00AD59DB">
            <w:pPr>
              <w:rPr>
                <w:rFonts w:ascii="Arial" w:hAnsi="Arial" w:cs="Arial"/>
                <w:sz w:val="20"/>
                <w:szCs w:val="20"/>
              </w:rPr>
            </w:pPr>
            <w:r w:rsidRPr="00D720DA">
              <w:rPr>
                <w:rFonts w:ascii="Arial" w:hAnsi="Arial" w:cs="Arial"/>
                <w:sz w:val="20"/>
                <w:szCs w:val="20"/>
              </w:rPr>
              <w:t>Yes, without advertising</w:t>
            </w:r>
          </w:p>
        </w:tc>
        <w:tc>
          <w:tcPr>
            <w:tcW w:w="2552" w:type="dxa"/>
          </w:tcPr>
          <w:p w14:paraId="4F0AACEA" w14:textId="77777777" w:rsidR="00F040C1" w:rsidRPr="00D720DA" w:rsidRDefault="003F0D60" w:rsidP="00AD59DB">
            <w:pPr>
              <w:rPr>
                <w:rFonts w:ascii="Arial" w:hAnsi="Arial" w:cs="Arial"/>
                <w:sz w:val="20"/>
                <w:szCs w:val="20"/>
              </w:rPr>
            </w:pPr>
            <w:r w:rsidRPr="00D720DA">
              <w:rPr>
                <w:rFonts w:ascii="Arial" w:hAnsi="Arial" w:cs="Arial"/>
                <w:sz w:val="20"/>
                <w:szCs w:val="20"/>
              </w:rPr>
              <w:t xml:space="preserve">Employment Direction No. 17 includes detailed schedule of </w:t>
            </w:r>
            <w:r w:rsidR="00692CA3" w:rsidRPr="00D720DA">
              <w:rPr>
                <w:rFonts w:ascii="Arial" w:hAnsi="Arial" w:cs="Arial"/>
                <w:sz w:val="20"/>
                <w:szCs w:val="20"/>
              </w:rPr>
              <w:t>‘</w:t>
            </w:r>
            <w:r w:rsidRPr="00D720DA">
              <w:rPr>
                <w:rFonts w:ascii="Arial" w:hAnsi="Arial" w:cs="Arial"/>
                <w:sz w:val="20"/>
                <w:szCs w:val="20"/>
              </w:rPr>
              <w:t>consecutive appointment</w:t>
            </w:r>
            <w:r w:rsidR="00692CA3" w:rsidRPr="00D720DA">
              <w:rPr>
                <w:rFonts w:ascii="Arial" w:hAnsi="Arial" w:cs="Arial"/>
                <w:sz w:val="20"/>
                <w:szCs w:val="20"/>
              </w:rPr>
              <w:t>’</w:t>
            </w:r>
            <w:r w:rsidRPr="00D720DA">
              <w:rPr>
                <w:rFonts w:ascii="Arial" w:hAnsi="Arial" w:cs="Arial"/>
                <w:sz w:val="20"/>
                <w:szCs w:val="20"/>
              </w:rPr>
              <w:t xml:space="preserve"> process.</w:t>
            </w:r>
          </w:p>
        </w:tc>
        <w:tc>
          <w:tcPr>
            <w:tcW w:w="2976" w:type="dxa"/>
          </w:tcPr>
          <w:p w14:paraId="67986426" w14:textId="18198EC3" w:rsidR="00F040C1" w:rsidRPr="00D720DA" w:rsidRDefault="00571013" w:rsidP="00AD59DB">
            <w:pPr>
              <w:rPr>
                <w:rFonts w:ascii="Arial" w:hAnsi="Arial" w:cs="Arial"/>
                <w:sz w:val="20"/>
                <w:szCs w:val="20"/>
              </w:rPr>
            </w:pPr>
            <w:r w:rsidRPr="00D720DA">
              <w:rPr>
                <w:rFonts w:ascii="Arial" w:hAnsi="Arial" w:cs="Arial"/>
                <w:sz w:val="20"/>
                <w:szCs w:val="20"/>
              </w:rPr>
              <w:t xml:space="preserve">Head of Agency </w:t>
            </w:r>
            <w:r w:rsidR="009B5891" w:rsidRPr="00D720DA">
              <w:rPr>
                <w:rFonts w:ascii="Arial" w:hAnsi="Arial" w:cs="Arial"/>
                <w:sz w:val="20"/>
                <w:szCs w:val="20"/>
              </w:rPr>
              <w:t xml:space="preserve">(for SES 1 or 2 or equivalent) </w:t>
            </w:r>
            <w:r w:rsidRPr="00D720DA">
              <w:rPr>
                <w:rFonts w:ascii="Arial" w:hAnsi="Arial" w:cs="Arial"/>
                <w:sz w:val="20"/>
                <w:szCs w:val="20"/>
              </w:rPr>
              <w:t xml:space="preserve">or Head of State Service </w:t>
            </w:r>
            <w:r w:rsidR="009B5891" w:rsidRPr="00D720DA">
              <w:rPr>
                <w:rFonts w:ascii="Arial" w:hAnsi="Arial" w:cs="Arial"/>
                <w:sz w:val="20"/>
                <w:szCs w:val="20"/>
              </w:rPr>
              <w:t xml:space="preserve">(for SES 3 or 4) </w:t>
            </w:r>
            <w:r w:rsidRPr="00D720DA">
              <w:rPr>
                <w:rFonts w:ascii="Arial" w:hAnsi="Arial" w:cs="Arial"/>
                <w:sz w:val="20"/>
                <w:szCs w:val="20"/>
              </w:rPr>
              <w:t xml:space="preserve">can offer a consecutive appointment (extension) </w:t>
            </w:r>
            <w:r w:rsidR="003F0D60" w:rsidRPr="00D720DA">
              <w:rPr>
                <w:rFonts w:ascii="Arial" w:hAnsi="Arial" w:cs="Arial"/>
                <w:sz w:val="20"/>
                <w:szCs w:val="20"/>
              </w:rPr>
              <w:t xml:space="preserve">at least three months </w:t>
            </w:r>
            <w:r w:rsidR="009B5891" w:rsidRPr="00D720DA">
              <w:rPr>
                <w:rFonts w:ascii="Arial" w:hAnsi="Arial" w:cs="Arial"/>
                <w:sz w:val="20"/>
                <w:szCs w:val="20"/>
              </w:rPr>
              <w:t xml:space="preserve">(up to six months) </w:t>
            </w:r>
            <w:r w:rsidR="003F0D60" w:rsidRPr="00D720DA">
              <w:rPr>
                <w:rFonts w:ascii="Arial" w:hAnsi="Arial" w:cs="Arial"/>
                <w:sz w:val="20"/>
                <w:szCs w:val="20"/>
              </w:rPr>
              <w:t>prior to contract expiry.</w:t>
            </w:r>
          </w:p>
        </w:tc>
      </w:tr>
      <w:tr w:rsidR="00E95644" w:rsidRPr="00D720DA" w14:paraId="29175DE1" w14:textId="77777777" w:rsidTr="0007647F">
        <w:tc>
          <w:tcPr>
            <w:tcW w:w="9634" w:type="dxa"/>
            <w:gridSpan w:val="4"/>
            <w:shd w:val="pct10" w:color="auto" w:fill="FFFFFF"/>
          </w:tcPr>
          <w:p w14:paraId="03171F45" w14:textId="59DC23A8" w:rsidR="00E95644" w:rsidRPr="00D720DA" w:rsidRDefault="00E95644" w:rsidP="00AD59DB">
            <w:pPr>
              <w:rPr>
                <w:rFonts w:ascii="Arial" w:hAnsi="Arial" w:cs="Arial"/>
                <w:sz w:val="22"/>
              </w:rPr>
            </w:pPr>
            <w:r w:rsidRPr="00D720DA">
              <w:rPr>
                <w:rFonts w:ascii="Arial" w:hAnsi="Arial" w:cs="Arial"/>
                <w:b/>
                <w:bCs/>
                <w:sz w:val="22"/>
              </w:rPr>
              <w:t>Performance Management</w:t>
            </w:r>
          </w:p>
        </w:tc>
      </w:tr>
      <w:tr w:rsidR="00F040C1" w:rsidRPr="00D720DA" w14:paraId="21ABC6C2" w14:textId="77777777" w:rsidTr="00FD70E5">
        <w:tc>
          <w:tcPr>
            <w:tcW w:w="1696" w:type="dxa"/>
          </w:tcPr>
          <w:p w14:paraId="007942FB" w14:textId="77777777" w:rsidR="00F040C1" w:rsidRPr="00D720DA" w:rsidRDefault="00F040C1" w:rsidP="00AD59DB">
            <w:pPr>
              <w:rPr>
                <w:rFonts w:ascii="Arial" w:hAnsi="Arial" w:cs="Arial"/>
                <w:b/>
                <w:bCs/>
                <w:sz w:val="20"/>
                <w:szCs w:val="20"/>
              </w:rPr>
            </w:pPr>
            <w:r w:rsidRPr="00D720DA">
              <w:rPr>
                <w:rFonts w:ascii="Arial" w:hAnsi="Arial" w:cs="Arial"/>
                <w:b/>
                <w:bCs/>
                <w:sz w:val="20"/>
                <w:szCs w:val="20"/>
              </w:rPr>
              <w:t>Program in place</w:t>
            </w:r>
          </w:p>
        </w:tc>
        <w:tc>
          <w:tcPr>
            <w:tcW w:w="2410" w:type="dxa"/>
          </w:tcPr>
          <w:p w14:paraId="470B512E" w14:textId="77777777" w:rsidR="00F040C1" w:rsidRPr="00D720DA" w:rsidRDefault="00F040C1" w:rsidP="00AD59DB">
            <w:pPr>
              <w:rPr>
                <w:rFonts w:ascii="Arial" w:hAnsi="Arial" w:cs="Arial"/>
                <w:sz w:val="20"/>
                <w:szCs w:val="20"/>
              </w:rPr>
            </w:pPr>
            <w:r w:rsidRPr="00D720DA">
              <w:rPr>
                <w:rFonts w:ascii="Arial" w:hAnsi="Arial" w:cs="Arial"/>
                <w:sz w:val="20"/>
                <w:szCs w:val="20"/>
              </w:rPr>
              <w:t xml:space="preserve">Option available if Secretary/Agency Head elects.  </w:t>
            </w:r>
          </w:p>
        </w:tc>
        <w:tc>
          <w:tcPr>
            <w:tcW w:w="2552" w:type="dxa"/>
          </w:tcPr>
          <w:p w14:paraId="18361BD2" w14:textId="77777777" w:rsidR="00F040C1" w:rsidRPr="00D720DA" w:rsidRDefault="009143BB" w:rsidP="00AD59DB">
            <w:pPr>
              <w:rPr>
                <w:rFonts w:ascii="Arial" w:hAnsi="Arial" w:cs="Arial"/>
                <w:sz w:val="20"/>
                <w:szCs w:val="20"/>
              </w:rPr>
            </w:pPr>
            <w:r w:rsidRPr="00D720DA">
              <w:rPr>
                <w:rFonts w:ascii="Arial" w:hAnsi="Arial" w:cs="Arial"/>
                <w:sz w:val="20"/>
                <w:szCs w:val="20"/>
              </w:rPr>
              <w:t xml:space="preserve">Employment Direction No. 17 includes detailed </w:t>
            </w:r>
            <w:r w:rsidR="00142900" w:rsidRPr="00D720DA">
              <w:rPr>
                <w:rFonts w:ascii="Arial" w:hAnsi="Arial" w:cs="Arial"/>
                <w:sz w:val="20"/>
                <w:szCs w:val="20"/>
              </w:rPr>
              <w:t>outline</w:t>
            </w:r>
            <w:r w:rsidRPr="00D720DA">
              <w:rPr>
                <w:rFonts w:ascii="Arial" w:hAnsi="Arial" w:cs="Arial"/>
                <w:sz w:val="20"/>
                <w:szCs w:val="20"/>
              </w:rPr>
              <w:t xml:space="preserve"> of </w:t>
            </w:r>
            <w:r w:rsidR="00142900" w:rsidRPr="00D720DA">
              <w:rPr>
                <w:rFonts w:ascii="Arial" w:hAnsi="Arial" w:cs="Arial"/>
                <w:sz w:val="20"/>
                <w:szCs w:val="20"/>
              </w:rPr>
              <w:t>performance management system applying to all SES officers</w:t>
            </w:r>
            <w:r w:rsidRPr="00D720DA">
              <w:rPr>
                <w:rFonts w:ascii="Arial" w:hAnsi="Arial" w:cs="Arial"/>
                <w:sz w:val="20"/>
                <w:szCs w:val="20"/>
              </w:rPr>
              <w:t>.</w:t>
            </w:r>
          </w:p>
        </w:tc>
        <w:tc>
          <w:tcPr>
            <w:tcW w:w="2976" w:type="dxa"/>
          </w:tcPr>
          <w:p w14:paraId="781F0A45" w14:textId="365213CC" w:rsidR="00F040C1" w:rsidRPr="00D720DA" w:rsidRDefault="008412D9" w:rsidP="00AD59DB">
            <w:pPr>
              <w:rPr>
                <w:rFonts w:ascii="Arial" w:hAnsi="Arial" w:cs="Arial"/>
                <w:sz w:val="20"/>
                <w:szCs w:val="20"/>
              </w:rPr>
            </w:pPr>
            <w:r w:rsidRPr="00D720DA">
              <w:rPr>
                <w:rFonts w:ascii="Arial" w:hAnsi="Arial" w:cs="Arial"/>
                <w:sz w:val="20"/>
                <w:szCs w:val="20"/>
              </w:rPr>
              <w:t>Yes, sector</w:t>
            </w:r>
            <w:r w:rsidR="00FD70E5" w:rsidRPr="00D720DA">
              <w:rPr>
                <w:rFonts w:ascii="Arial" w:hAnsi="Arial" w:cs="Arial"/>
                <w:sz w:val="20"/>
                <w:szCs w:val="20"/>
              </w:rPr>
              <w:t xml:space="preserve"> </w:t>
            </w:r>
            <w:r w:rsidRPr="00D720DA">
              <w:rPr>
                <w:rFonts w:ascii="Arial" w:hAnsi="Arial" w:cs="Arial"/>
                <w:sz w:val="20"/>
                <w:szCs w:val="20"/>
              </w:rPr>
              <w:t>wide</w:t>
            </w:r>
            <w:r w:rsidR="00E95644" w:rsidRPr="00D720DA">
              <w:rPr>
                <w:rFonts w:ascii="Arial" w:hAnsi="Arial" w:cs="Arial"/>
                <w:sz w:val="20"/>
                <w:szCs w:val="20"/>
              </w:rPr>
              <w:t>.</w:t>
            </w:r>
          </w:p>
          <w:p w14:paraId="6ED5F884" w14:textId="61B60BEE" w:rsidR="00E95644" w:rsidRPr="00D720DA" w:rsidRDefault="00E95644" w:rsidP="00AD59DB">
            <w:pPr>
              <w:rPr>
                <w:rFonts w:ascii="Arial" w:hAnsi="Arial" w:cs="Arial"/>
                <w:sz w:val="20"/>
                <w:szCs w:val="20"/>
              </w:rPr>
            </w:pPr>
            <w:r w:rsidRPr="00D720DA">
              <w:rPr>
                <w:rFonts w:ascii="Arial" w:hAnsi="Arial" w:cs="Arial"/>
                <w:sz w:val="20"/>
                <w:szCs w:val="20"/>
              </w:rPr>
              <w:t>Upon appointment</w:t>
            </w:r>
            <w:r w:rsidR="00E73668" w:rsidRPr="00D720DA">
              <w:rPr>
                <w:rFonts w:ascii="Arial" w:hAnsi="Arial" w:cs="Arial"/>
                <w:sz w:val="20"/>
                <w:szCs w:val="20"/>
              </w:rPr>
              <w:t>,</w:t>
            </w:r>
            <w:r w:rsidRPr="00D720DA">
              <w:rPr>
                <w:rFonts w:ascii="Arial" w:hAnsi="Arial" w:cs="Arial"/>
                <w:sz w:val="20"/>
                <w:szCs w:val="20"/>
              </w:rPr>
              <w:t xml:space="preserve"> all SES officers are required to develop a Performance Management Plan (PMP).  </w:t>
            </w:r>
          </w:p>
        </w:tc>
      </w:tr>
      <w:tr w:rsidR="00F040C1" w:rsidRPr="00D720DA" w14:paraId="65DD40C0" w14:textId="77777777" w:rsidTr="00FD70E5">
        <w:tc>
          <w:tcPr>
            <w:tcW w:w="1696" w:type="dxa"/>
          </w:tcPr>
          <w:p w14:paraId="55F4BC0B" w14:textId="77777777" w:rsidR="00F040C1" w:rsidRPr="00D720DA" w:rsidRDefault="00F040C1" w:rsidP="00AD59DB">
            <w:pPr>
              <w:rPr>
                <w:rFonts w:ascii="Arial" w:hAnsi="Arial" w:cs="Arial"/>
                <w:b/>
                <w:bCs/>
                <w:sz w:val="20"/>
                <w:szCs w:val="20"/>
              </w:rPr>
            </w:pPr>
            <w:r w:rsidRPr="00D720DA">
              <w:rPr>
                <w:rFonts w:ascii="Arial" w:hAnsi="Arial" w:cs="Arial"/>
                <w:b/>
                <w:bCs/>
                <w:sz w:val="20"/>
                <w:szCs w:val="20"/>
              </w:rPr>
              <w:t>Frequency of assessment</w:t>
            </w:r>
          </w:p>
        </w:tc>
        <w:tc>
          <w:tcPr>
            <w:tcW w:w="2410" w:type="dxa"/>
          </w:tcPr>
          <w:p w14:paraId="28DEDB59" w14:textId="77777777" w:rsidR="00F040C1" w:rsidRPr="00D720DA" w:rsidRDefault="00F040C1" w:rsidP="00AD59DB">
            <w:pPr>
              <w:rPr>
                <w:rFonts w:ascii="Arial" w:hAnsi="Arial" w:cs="Arial"/>
                <w:sz w:val="20"/>
                <w:szCs w:val="20"/>
              </w:rPr>
            </w:pPr>
            <w:r w:rsidRPr="00D720DA">
              <w:rPr>
                <w:rFonts w:ascii="Arial" w:hAnsi="Arial" w:cs="Arial"/>
                <w:sz w:val="20"/>
                <w:szCs w:val="20"/>
              </w:rPr>
              <w:t>6 to 12 months</w:t>
            </w:r>
          </w:p>
        </w:tc>
        <w:tc>
          <w:tcPr>
            <w:tcW w:w="2552" w:type="dxa"/>
          </w:tcPr>
          <w:p w14:paraId="0891A7A6" w14:textId="77777777" w:rsidR="00F040C1" w:rsidRPr="00D720DA" w:rsidRDefault="00F040C1" w:rsidP="00AD59DB">
            <w:pPr>
              <w:rPr>
                <w:rFonts w:ascii="Arial" w:hAnsi="Arial" w:cs="Arial"/>
                <w:sz w:val="20"/>
                <w:szCs w:val="20"/>
              </w:rPr>
            </w:pPr>
          </w:p>
        </w:tc>
        <w:tc>
          <w:tcPr>
            <w:tcW w:w="2976" w:type="dxa"/>
          </w:tcPr>
          <w:p w14:paraId="56D93543" w14:textId="77777777" w:rsidR="00F040C1" w:rsidRPr="00D720DA" w:rsidRDefault="008412D9" w:rsidP="00AD59DB">
            <w:pPr>
              <w:rPr>
                <w:rFonts w:ascii="Arial" w:hAnsi="Arial" w:cs="Arial"/>
                <w:sz w:val="20"/>
                <w:szCs w:val="20"/>
              </w:rPr>
            </w:pPr>
            <w:r w:rsidRPr="00D720DA">
              <w:rPr>
                <w:rFonts w:ascii="Arial" w:hAnsi="Arial" w:cs="Arial"/>
                <w:sz w:val="20"/>
                <w:szCs w:val="20"/>
              </w:rPr>
              <w:t>Annually</w:t>
            </w:r>
          </w:p>
        </w:tc>
      </w:tr>
      <w:tr w:rsidR="00F040C1" w:rsidRPr="00D720DA" w14:paraId="06EFC00E" w14:textId="77777777" w:rsidTr="00FD70E5">
        <w:tc>
          <w:tcPr>
            <w:tcW w:w="1696" w:type="dxa"/>
          </w:tcPr>
          <w:p w14:paraId="7409F7CA" w14:textId="77777777" w:rsidR="00F040C1" w:rsidRPr="00D720DA" w:rsidRDefault="00F040C1" w:rsidP="00AD59DB">
            <w:pPr>
              <w:rPr>
                <w:rFonts w:ascii="Arial" w:hAnsi="Arial" w:cs="Arial"/>
                <w:b/>
                <w:bCs/>
                <w:sz w:val="20"/>
                <w:szCs w:val="20"/>
              </w:rPr>
            </w:pPr>
            <w:r w:rsidRPr="00D720DA">
              <w:rPr>
                <w:rFonts w:ascii="Arial" w:hAnsi="Arial" w:cs="Arial"/>
                <w:b/>
                <w:bCs/>
                <w:sz w:val="20"/>
                <w:szCs w:val="20"/>
              </w:rPr>
              <w:t>Types of measures</w:t>
            </w:r>
          </w:p>
        </w:tc>
        <w:tc>
          <w:tcPr>
            <w:tcW w:w="2410" w:type="dxa"/>
          </w:tcPr>
          <w:p w14:paraId="3D73EBC1" w14:textId="77777777" w:rsidR="00F040C1" w:rsidRPr="00D720DA" w:rsidRDefault="00F040C1" w:rsidP="00AD59DB">
            <w:pPr>
              <w:rPr>
                <w:rFonts w:ascii="Arial" w:hAnsi="Arial" w:cs="Arial"/>
                <w:sz w:val="20"/>
                <w:szCs w:val="20"/>
              </w:rPr>
            </w:pPr>
            <w:r w:rsidRPr="00D720DA">
              <w:rPr>
                <w:rFonts w:ascii="Arial" w:hAnsi="Arial" w:cs="Arial"/>
                <w:sz w:val="20"/>
                <w:szCs w:val="20"/>
              </w:rPr>
              <w:t>Targets set in Plans</w:t>
            </w:r>
          </w:p>
        </w:tc>
        <w:tc>
          <w:tcPr>
            <w:tcW w:w="2552" w:type="dxa"/>
          </w:tcPr>
          <w:p w14:paraId="23283032" w14:textId="77777777" w:rsidR="00F040C1" w:rsidRPr="00D720DA" w:rsidRDefault="00F040C1" w:rsidP="00AD59DB">
            <w:pPr>
              <w:rPr>
                <w:rFonts w:ascii="Arial" w:hAnsi="Arial" w:cs="Arial"/>
                <w:sz w:val="20"/>
                <w:szCs w:val="20"/>
              </w:rPr>
            </w:pPr>
          </w:p>
        </w:tc>
        <w:tc>
          <w:tcPr>
            <w:tcW w:w="2976" w:type="dxa"/>
          </w:tcPr>
          <w:p w14:paraId="57CDA2EA" w14:textId="77777777" w:rsidR="00F040C1" w:rsidRPr="00D720DA" w:rsidRDefault="00962584" w:rsidP="00AD59DB">
            <w:pPr>
              <w:rPr>
                <w:rFonts w:ascii="Arial" w:hAnsi="Arial" w:cs="Arial"/>
                <w:sz w:val="20"/>
                <w:szCs w:val="20"/>
              </w:rPr>
            </w:pPr>
            <w:r w:rsidRPr="00D720DA">
              <w:rPr>
                <w:rFonts w:ascii="Arial" w:hAnsi="Arial" w:cs="Arial"/>
                <w:sz w:val="20"/>
                <w:szCs w:val="20"/>
              </w:rPr>
              <w:t>Targets set in Performance Management Plans (PMPs)</w:t>
            </w:r>
          </w:p>
        </w:tc>
      </w:tr>
      <w:tr w:rsidR="00F040C1" w:rsidRPr="00D720DA" w14:paraId="28D1D3E4" w14:textId="77777777" w:rsidTr="00FD70E5">
        <w:tc>
          <w:tcPr>
            <w:tcW w:w="1696" w:type="dxa"/>
          </w:tcPr>
          <w:p w14:paraId="36A792C8" w14:textId="77777777" w:rsidR="00F040C1" w:rsidRPr="00D720DA" w:rsidRDefault="00F040C1" w:rsidP="00AD59DB">
            <w:pPr>
              <w:rPr>
                <w:rFonts w:ascii="Arial" w:hAnsi="Arial" w:cs="Arial"/>
                <w:b/>
                <w:bCs/>
                <w:sz w:val="20"/>
                <w:szCs w:val="20"/>
              </w:rPr>
            </w:pPr>
            <w:r w:rsidRPr="00D720DA">
              <w:rPr>
                <w:rFonts w:ascii="Arial" w:hAnsi="Arial" w:cs="Arial"/>
                <w:b/>
                <w:bCs/>
                <w:sz w:val="20"/>
                <w:szCs w:val="20"/>
              </w:rPr>
              <w:t>Purpose</w:t>
            </w:r>
          </w:p>
        </w:tc>
        <w:tc>
          <w:tcPr>
            <w:tcW w:w="2410" w:type="dxa"/>
          </w:tcPr>
          <w:p w14:paraId="55B6D740" w14:textId="77777777" w:rsidR="00F040C1" w:rsidRPr="00D720DA" w:rsidRDefault="00F040C1" w:rsidP="00AD59DB">
            <w:pPr>
              <w:rPr>
                <w:rFonts w:ascii="Arial" w:hAnsi="Arial" w:cs="Arial"/>
                <w:sz w:val="20"/>
                <w:szCs w:val="20"/>
              </w:rPr>
            </w:pPr>
            <w:r w:rsidRPr="00D720DA">
              <w:rPr>
                <w:rFonts w:ascii="Arial" w:hAnsi="Arial" w:cs="Arial"/>
                <w:sz w:val="20"/>
                <w:szCs w:val="20"/>
              </w:rPr>
              <w:t>Performance improvement</w:t>
            </w:r>
          </w:p>
        </w:tc>
        <w:tc>
          <w:tcPr>
            <w:tcW w:w="2552" w:type="dxa"/>
          </w:tcPr>
          <w:p w14:paraId="626C8EDC" w14:textId="77777777" w:rsidR="00F040C1" w:rsidRPr="00D720DA" w:rsidRDefault="00F040C1" w:rsidP="00AD59DB">
            <w:pPr>
              <w:rPr>
                <w:rFonts w:ascii="Arial" w:hAnsi="Arial" w:cs="Arial"/>
                <w:sz w:val="20"/>
                <w:szCs w:val="20"/>
              </w:rPr>
            </w:pPr>
          </w:p>
        </w:tc>
        <w:tc>
          <w:tcPr>
            <w:tcW w:w="2976" w:type="dxa"/>
          </w:tcPr>
          <w:p w14:paraId="79B17B3D" w14:textId="77777777" w:rsidR="00F040C1" w:rsidRPr="00D720DA" w:rsidRDefault="00142900" w:rsidP="00AD59DB">
            <w:pPr>
              <w:rPr>
                <w:rFonts w:ascii="Arial" w:hAnsi="Arial" w:cs="Arial"/>
                <w:sz w:val="20"/>
                <w:szCs w:val="20"/>
              </w:rPr>
            </w:pPr>
            <w:r w:rsidRPr="00D720DA">
              <w:rPr>
                <w:rFonts w:ascii="Arial" w:hAnsi="Arial" w:cs="Arial"/>
                <w:sz w:val="20"/>
                <w:szCs w:val="20"/>
              </w:rPr>
              <w:t>Performance improvement; salary progression; public service standards and priorities</w:t>
            </w:r>
          </w:p>
        </w:tc>
      </w:tr>
      <w:tr w:rsidR="00F040C1" w:rsidRPr="00D720DA" w14:paraId="0D187130" w14:textId="77777777" w:rsidTr="00FD70E5">
        <w:tc>
          <w:tcPr>
            <w:tcW w:w="1696" w:type="dxa"/>
          </w:tcPr>
          <w:p w14:paraId="14BA87B4" w14:textId="77777777" w:rsidR="00F040C1" w:rsidRPr="00D720DA" w:rsidRDefault="00F040C1" w:rsidP="00AD59DB">
            <w:pPr>
              <w:rPr>
                <w:rFonts w:ascii="Arial" w:hAnsi="Arial" w:cs="Arial"/>
                <w:b/>
                <w:bCs/>
                <w:sz w:val="20"/>
                <w:szCs w:val="20"/>
              </w:rPr>
            </w:pPr>
            <w:r w:rsidRPr="00D720DA">
              <w:rPr>
                <w:rFonts w:ascii="Arial" w:hAnsi="Arial" w:cs="Arial"/>
                <w:b/>
                <w:bCs/>
                <w:sz w:val="20"/>
                <w:szCs w:val="20"/>
              </w:rPr>
              <w:t>Who makes assessment</w:t>
            </w:r>
          </w:p>
        </w:tc>
        <w:tc>
          <w:tcPr>
            <w:tcW w:w="2410" w:type="dxa"/>
          </w:tcPr>
          <w:p w14:paraId="52F4CEDE" w14:textId="77777777" w:rsidR="00F040C1" w:rsidRPr="00D720DA" w:rsidRDefault="00F040C1" w:rsidP="00AD59DB">
            <w:pPr>
              <w:rPr>
                <w:rFonts w:ascii="Arial" w:hAnsi="Arial" w:cs="Arial"/>
                <w:sz w:val="20"/>
                <w:szCs w:val="20"/>
              </w:rPr>
            </w:pPr>
            <w:r w:rsidRPr="00D720DA">
              <w:rPr>
                <w:rFonts w:ascii="Arial" w:hAnsi="Arial" w:cs="Arial"/>
                <w:sz w:val="20"/>
                <w:szCs w:val="20"/>
              </w:rPr>
              <w:t>Secretaries/Agency Heads</w:t>
            </w:r>
          </w:p>
        </w:tc>
        <w:tc>
          <w:tcPr>
            <w:tcW w:w="2552" w:type="dxa"/>
          </w:tcPr>
          <w:p w14:paraId="14B1099F" w14:textId="77777777" w:rsidR="00F040C1" w:rsidRPr="00D720DA" w:rsidRDefault="00F040C1" w:rsidP="00AD59DB">
            <w:pPr>
              <w:rPr>
                <w:rFonts w:ascii="Arial" w:hAnsi="Arial" w:cs="Arial"/>
                <w:sz w:val="20"/>
                <w:szCs w:val="20"/>
              </w:rPr>
            </w:pPr>
          </w:p>
        </w:tc>
        <w:tc>
          <w:tcPr>
            <w:tcW w:w="2976" w:type="dxa"/>
          </w:tcPr>
          <w:p w14:paraId="66CACC9C" w14:textId="77777777" w:rsidR="00F040C1" w:rsidRPr="00D720DA" w:rsidRDefault="00962584" w:rsidP="00AD59DB">
            <w:pPr>
              <w:rPr>
                <w:rFonts w:ascii="Arial" w:hAnsi="Arial" w:cs="Arial"/>
                <w:sz w:val="20"/>
                <w:szCs w:val="20"/>
              </w:rPr>
            </w:pPr>
            <w:r w:rsidRPr="00D720DA">
              <w:rPr>
                <w:rFonts w:ascii="Arial" w:hAnsi="Arial" w:cs="Arial"/>
                <w:sz w:val="20"/>
                <w:szCs w:val="20"/>
              </w:rPr>
              <w:t>Secretaries/Agency Heads</w:t>
            </w:r>
          </w:p>
        </w:tc>
      </w:tr>
      <w:tr w:rsidR="00E95644" w:rsidRPr="00D720DA" w14:paraId="08F1B4DF" w14:textId="77777777" w:rsidTr="0007647F">
        <w:tc>
          <w:tcPr>
            <w:tcW w:w="9634" w:type="dxa"/>
            <w:gridSpan w:val="4"/>
            <w:shd w:val="pct10" w:color="auto" w:fill="FFFFFF"/>
          </w:tcPr>
          <w:p w14:paraId="2D9003E2" w14:textId="09169CD6" w:rsidR="00E95644" w:rsidRPr="00D720DA" w:rsidRDefault="00E95644" w:rsidP="00AD59DB">
            <w:pPr>
              <w:rPr>
                <w:rFonts w:ascii="Arial" w:hAnsi="Arial" w:cs="Arial"/>
                <w:sz w:val="22"/>
              </w:rPr>
            </w:pPr>
            <w:r w:rsidRPr="00D720DA">
              <w:rPr>
                <w:rFonts w:ascii="Arial" w:hAnsi="Arial" w:cs="Arial"/>
                <w:b/>
                <w:bCs/>
                <w:sz w:val="22"/>
              </w:rPr>
              <w:t>Remuneration</w:t>
            </w:r>
          </w:p>
        </w:tc>
      </w:tr>
      <w:tr w:rsidR="00F040C1" w:rsidRPr="00D720DA" w14:paraId="26FC92AE" w14:textId="77777777" w:rsidTr="00FD70E5">
        <w:tc>
          <w:tcPr>
            <w:tcW w:w="1696" w:type="dxa"/>
          </w:tcPr>
          <w:p w14:paraId="3BB4723B" w14:textId="77777777" w:rsidR="00F040C1" w:rsidRPr="00D720DA" w:rsidRDefault="00F040C1" w:rsidP="00AD59DB">
            <w:pPr>
              <w:rPr>
                <w:rFonts w:ascii="Arial" w:hAnsi="Arial" w:cs="Arial"/>
                <w:b/>
                <w:bCs/>
                <w:sz w:val="20"/>
                <w:szCs w:val="20"/>
              </w:rPr>
            </w:pPr>
          </w:p>
        </w:tc>
        <w:tc>
          <w:tcPr>
            <w:tcW w:w="2410" w:type="dxa"/>
          </w:tcPr>
          <w:p w14:paraId="148F0326" w14:textId="77777777" w:rsidR="00F040C1" w:rsidRPr="00D720DA" w:rsidRDefault="00F040C1" w:rsidP="00AD59DB">
            <w:pPr>
              <w:rPr>
                <w:rFonts w:ascii="Arial" w:hAnsi="Arial" w:cs="Arial"/>
                <w:sz w:val="20"/>
                <w:szCs w:val="20"/>
              </w:rPr>
            </w:pPr>
            <w:r w:rsidRPr="00D720DA">
              <w:rPr>
                <w:rFonts w:ascii="Arial" w:hAnsi="Arial" w:cs="Arial"/>
                <w:sz w:val="20"/>
                <w:szCs w:val="20"/>
              </w:rPr>
              <w:t>Secretary/Head of Agency recommendation submitted to SES Committee for review.  Office for Employment Policy presents report and options to Committee.  Committee recommends to Premier.</w:t>
            </w:r>
          </w:p>
        </w:tc>
        <w:tc>
          <w:tcPr>
            <w:tcW w:w="2552" w:type="dxa"/>
          </w:tcPr>
          <w:p w14:paraId="4D7887BE" w14:textId="0A5EB93A" w:rsidR="005212F6" w:rsidRPr="00D720DA" w:rsidRDefault="00AB5C6C" w:rsidP="00AD59DB">
            <w:pPr>
              <w:rPr>
                <w:rFonts w:ascii="Arial" w:hAnsi="Arial" w:cs="Arial"/>
                <w:sz w:val="20"/>
                <w:szCs w:val="20"/>
              </w:rPr>
            </w:pPr>
            <w:r w:rsidRPr="00D720DA">
              <w:rPr>
                <w:rFonts w:ascii="Arial" w:hAnsi="Arial" w:cs="Arial"/>
                <w:sz w:val="20"/>
                <w:szCs w:val="20"/>
              </w:rPr>
              <w:t xml:space="preserve">Employment Direction No. 17 </w:t>
            </w:r>
            <w:r w:rsidR="001B590D" w:rsidRPr="00D720DA">
              <w:rPr>
                <w:rFonts w:ascii="Arial" w:hAnsi="Arial" w:cs="Arial"/>
                <w:sz w:val="20"/>
                <w:szCs w:val="20"/>
              </w:rPr>
              <w:t>includes a schedule of SES salaries by level and classification</w:t>
            </w:r>
            <w:r w:rsidRPr="00D720DA">
              <w:rPr>
                <w:rFonts w:ascii="Arial" w:hAnsi="Arial" w:cs="Arial"/>
                <w:sz w:val="20"/>
                <w:szCs w:val="20"/>
              </w:rPr>
              <w:t>.</w:t>
            </w:r>
            <w:r w:rsidR="001B590D" w:rsidRPr="00D720DA">
              <w:rPr>
                <w:rFonts w:ascii="Arial" w:hAnsi="Arial" w:cs="Arial"/>
                <w:sz w:val="20"/>
                <w:szCs w:val="20"/>
              </w:rPr>
              <w:t xml:space="preserve"> The Premier can determine increases to SES salar</w:t>
            </w:r>
            <w:r w:rsidR="00C433FE" w:rsidRPr="00D720DA">
              <w:rPr>
                <w:rFonts w:ascii="Arial" w:hAnsi="Arial" w:cs="Arial"/>
                <w:sz w:val="20"/>
                <w:szCs w:val="20"/>
              </w:rPr>
              <w:t>ies within that</w:t>
            </w:r>
            <w:r w:rsidR="001B590D" w:rsidRPr="00D720DA">
              <w:rPr>
                <w:rFonts w:ascii="Arial" w:hAnsi="Arial" w:cs="Arial"/>
                <w:sz w:val="20"/>
                <w:szCs w:val="20"/>
              </w:rPr>
              <w:t xml:space="preserve"> structure</w:t>
            </w:r>
            <w:r w:rsidR="009B5891" w:rsidRPr="00D720DA">
              <w:rPr>
                <w:rFonts w:ascii="Arial" w:hAnsi="Arial" w:cs="Arial"/>
                <w:sz w:val="20"/>
                <w:szCs w:val="20"/>
              </w:rPr>
              <w:t xml:space="preserve"> (i.e. the structure remains, but the salaries can increase as/when desired)</w:t>
            </w:r>
            <w:r w:rsidR="001B590D" w:rsidRPr="00D720DA">
              <w:rPr>
                <w:rFonts w:ascii="Arial" w:hAnsi="Arial" w:cs="Arial"/>
                <w:sz w:val="20"/>
                <w:szCs w:val="20"/>
              </w:rPr>
              <w:t>.</w:t>
            </w:r>
          </w:p>
        </w:tc>
        <w:tc>
          <w:tcPr>
            <w:tcW w:w="2976" w:type="dxa"/>
          </w:tcPr>
          <w:p w14:paraId="23FC740B" w14:textId="77777777" w:rsidR="00807388" w:rsidRPr="00D720DA" w:rsidRDefault="00807388" w:rsidP="00AD59DB">
            <w:pPr>
              <w:rPr>
                <w:rFonts w:ascii="Arial" w:hAnsi="Arial" w:cs="Arial"/>
                <w:sz w:val="20"/>
                <w:szCs w:val="20"/>
              </w:rPr>
            </w:pPr>
            <w:r w:rsidRPr="00D720DA">
              <w:rPr>
                <w:rFonts w:ascii="Arial" w:hAnsi="Arial" w:cs="Arial"/>
                <w:sz w:val="20"/>
                <w:szCs w:val="20"/>
              </w:rPr>
              <w:t xml:space="preserve">SES appointees start at base salary level </w:t>
            </w:r>
            <w:r w:rsidR="001B590D" w:rsidRPr="00D720DA">
              <w:rPr>
                <w:rFonts w:ascii="Arial" w:hAnsi="Arial" w:cs="Arial"/>
                <w:sz w:val="20"/>
                <w:szCs w:val="20"/>
              </w:rPr>
              <w:t xml:space="preserve">of the relevant classification </w:t>
            </w:r>
            <w:r w:rsidRPr="00D720DA">
              <w:rPr>
                <w:rFonts w:ascii="Arial" w:hAnsi="Arial" w:cs="Arial"/>
                <w:sz w:val="20"/>
                <w:szCs w:val="20"/>
              </w:rPr>
              <w:t>unless otherwise approved by Head of State Service.</w:t>
            </w:r>
          </w:p>
        </w:tc>
      </w:tr>
      <w:tr w:rsidR="00E95644" w:rsidRPr="00D720DA" w14:paraId="6B8AF08B" w14:textId="77777777" w:rsidTr="0007647F">
        <w:tc>
          <w:tcPr>
            <w:tcW w:w="9634" w:type="dxa"/>
            <w:gridSpan w:val="4"/>
            <w:shd w:val="pct10" w:color="auto" w:fill="FFFFFF"/>
          </w:tcPr>
          <w:p w14:paraId="226082E9" w14:textId="25BF50E4" w:rsidR="00E95644" w:rsidRPr="00D720DA" w:rsidRDefault="00E95644" w:rsidP="00AD59DB">
            <w:pPr>
              <w:rPr>
                <w:rFonts w:ascii="Arial" w:hAnsi="Arial" w:cs="Arial"/>
                <w:sz w:val="22"/>
              </w:rPr>
            </w:pPr>
            <w:r w:rsidRPr="00D720DA">
              <w:rPr>
                <w:rFonts w:ascii="Arial" w:hAnsi="Arial" w:cs="Arial"/>
                <w:b/>
                <w:bCs/>
                <w:sz w:val="22"/>
              </w:rPr>
              <w:t>Performance Pay</w:t>
            </w:r>
          </w:p>
        </w:tc>
      </w:tr>
      <w:tr w:rsidR="00F040C1" w:rsidRPr="00D720DA" w14:paraId="59E80134" w14:textId="77777777" w:rsidTr="00FD70E5">
        <w:tc>
          <w:tcPr>
            <w:tcW w:w="1696" w:type="dxa"/>
          </w:tcPr>
          <w:p w14:paraId="4C3B04C6" w14:textId="77777777" w:rsidR="00F040C1" w:rsidRPr="00D720DA" w:rsidRDefault="00F040C1" w:rsidP="00AD59DB">
            <w:pPr>
              <w:rPr>
                <w:rFonts w:ascii="Arial" w:hAnsi="Arial" w:cs="Arial"/>
                <w:b/>
                <w:bCs/>
                <w:sz w:val="20"/>
                <w:szCs w:val="20"/>
              </w:rPr>
            </w:pPr>
            <w:r w:rsidRPr="00D720DA">
              <w:rPr>
                <w:rFonts w:ascii="Arial" w:hAnsi="Arial" w:cs="Arial"/>
                <w:b/>
                <w:bCs/>
                <w:sz w:val="20"/>
                <w:szCs w:val="20"/>
              </w:rPr>
              <w:lastRenderedPageBreak/>
              <w:t>Availability</w:t>
            </w:r>
          </w:p>
        </w:tc>
        <w:tc>
          <w:tcPr>
            <w:tcW w:w="2410" w:type="dxa"/>
          </w:tcPr>
          <w:p w14:paraId="0F32F893" w14:textId="77777777" w:rsidR="00F040C1" w:rsidRPr="00D720DA" w:rsidRDefault="00F040C1" w:rsidP="00AD59DB">
            <w:pPr>
              <w:ind w:left="34" w:hanging="34"/>
              <w:rPr>
                <w:rFonts w:ascii="Arial" w:hAnsi="Arial" w:cs="Arial"/>
                <w:sz w:val="20"/>
                <w:szCs w:val="20"/>
              </w:rPr>
            </w:pPr>
            <w:r w:rsidRPr="00D720DA">
              <w:rPr>
                <w:rFonts w:ascii="Arial" w:hAnsi="Arial" w:cs="Arial"/>
                <w:sz w:val="20"/>
                <w:szCs w:val="20"/>
              </w:rPr>
              <w:t>Secretary/Agency Head may elect to prepare performance management plan (PMP).  Must submit PMP to SES Committee (Heads PAC, Treasury, EP) for approval. Can provide for 5% or 10% above classification level. About 50% of Secretaries/AH’s have elected to submit PMPs.</w:t>
            </w:r>
          </w:p>
        </w:tc>
        <w:tc>
          <w:tcPr>
            <w:tcW w:w="2552" w:type="dxa"/>
          </w:tcPr>
          <w:p w14:paraId="3176CE4F" w14:textId="77777777" w:rsidR="00F040C1" w:rsidRPr="00D720DA" w:rsidRDefault="0019533A" w:rsidP="00AD59DB">
            <w:pPr>
              <w:rPr>
                <w:rFonts w:ascii="Arial" w:hAnsi="Arial" w:cs="Arial"/>
                <w:sz w:val="20"/>
                <w:szCs w:val="20"/>
              </w:rPr>
            </w:pPr>
            <w:r w:rsidRPr="00D720DA">
              <w:rPr>
                <w:rFonts w:ascii="Arial" w:hAnsi="Arial" w:cs="Arial"/>
                <w:sz w:val="20"/>
                <w:szCs w:val="20"/>
              </w:rPr>
              <w:t>Employment Direction No. 17 includes detailed outline of performance management system applying to all SES officers, including provision for increased/accelerated performance-based pay.</w:t>
            </w:r>
          </w:p>
        </w:tc>
        <w:tc>
          <w:tcPr>
            <w:tcW w:w="2976" w:type="dxa"/>
          </w:tcPr>
          <w:p w14:paraId="35D57B4D" w14:textId="45AE569A" w:rsidR="00F040C1" w:rsidRPr="00D720DA" w:rsidRDefault="0019533A" w:rsidP="00AD59DB">
            <w:pPr>
              <w:rPr>
                <w:rFonts w:ascii="Arial" w:hAnsi="Arial" w:cs="Arial"/>
                <w:sz w:val="20"/>
                <w:szCs w:val="20"/>
              </w:rPr>
            </w:pPr>
            <w:r w:rsidRPr="00D720DA">
              <w:rPr>
                <w:rFonts w:ascii="Arial" w:hAnsi="Arial" w:cs="Arial"/>
                <w:sz w:val="20"/>
                <w:szCs w:val="20"/>
              </w:rPr>
              <w:t>Secretary/Agency Head may elect</w:t>
            </w:r>
            <w:r w:rsidR="00E558B7" w:rsidRPr="00D720DA">
              <w:rPr>
                <w:rFonts w:ascii="Arial" w:hAnsi="Arial" w:cs="Arial"/>
                <w:sz w:val="20"/>
                <w:szCs w:val="20"/>
              </w:rPr>
              <w:t>, in view of SES officer’s ‘outstanding’ performance,</w:t>
            </w:r>
            <w:r w:rsidRPr="00D720DA">
              <w:rPr>
                <w:rFonts w:ascii="Arial" w:hAnsi="Arial" w:cs="Arial"/>
                <w:sz w:val="20"/>
                <w:szCs w:val="20"/>
              </w:rPr>
              <w:t xml:space="preserve"> to </w:t>
            </w:r>
            <w:r w:rsidR="00E558B7" w:rsidRPr="00D720DA">
              <w:rPr>
                <w:rFonts w:ascii="Arial" w:hAnsi="Arial" w:cs="Arial"/>
                <w:sz w:val="20"/>
                <w:szCs w:val="20"/>
              </w:rPr>
              <w:t xml:space="preserve">submit </w:t>
            </w:r>
            <w:r w:rsidR="009B5891" w:rsidRPr="00D720DA">
              <w:rPr>
                <w:rFonts w:ascii="Arial" w:hAnsi="Arial" w:cs="Arial"/>
                <w:sz w:val="20"/>
                <w:szCs w:val="20"/>
              </w:rPr>
              <w:t xml:space="preserve">a </w:t>
            </w:r>
            <w:r w:rsidR="00E558B7" w:rsidRPr="00D720DA">
              <w:rPr>
                <w:rFonts w:ascii="Arial" w:hAnsi="Arial" w:cs="Arial"/>
                <w:sz w:val="20"/>
                <w:szCs w:val="20"/>
              </w:rPr>
              <w:t xml:space="preserve">case </w:t>
            </w:r>
            <w:r w:rsidR="009B5891" w:rsidRPr="00D720DA">
              <w:rPr>
                <w:rFonts w:ascii="Arial" w:hAnsi="Arial" w:cs="Arial"/>
                <w:sz w:val="20"/>
                <w:szCs w:val="20"/>
              </w:rPr>
              <w:t xml:space="preserve">(moderated by a Head of Agencies group) </w:t>
            </w:r>
            <w:r w:rsidR="00E558B7" w:rsidRPr="00D720DA">
              <w:rPr>
                <w:rFonts w:ascii="Arial" w:hAnsi="Arial" w:cs="Arial"/>
                <w:sz w:val="20"/>
                <w:szCs w:val="20"/>
              </w:rPr>
              <w:t>for advanced salary progression</w:t>
            </w:r>
            <w:r w:rsidRPr="00D720DA">
              <w:rPr>
                <w:rFonts w:ascii="Arial" w:hAnsi="Arial" w:cs="Arial"/>
                <w:sz w:val="20"/>
                <w:szCs w:val="20"/>
              </w:rPr>
              <w:t xml:space="preserve"> to </w:t>
            </w:r>
            <w:r w:rsidR="00E558B7" w:rsidRPr="00D720DA">
              <w:rPr>
                <w:rFonts w:ascii="Arial" w:hAnsi="Arial" w:cs="Arial"/>
                <w:sz w:val="20"/>
                <w:szCs w:val="20"/>
              </w:rPr>
              <w:t>Head of State Service</w:t>
            </w:r>
            <w:r w:rsidR="009B5891" w:rsidRPr="00D720DA">
              <w:rPr>
                <w:rFonts w:ascii="Arial" w:hAnsi="Arial" w:cs="Arial"/>
                <w:sz w:val="20"/>
                <w:szCs w:val="20"/>
              </w:rPr>
              <w:t xml:space="preserve">. While this does not usual exceed the </w:t>
            </w:r>
            <w:r w:rsidR="00E558B7" w:rsidRPr="00D720DA">
              <w:rPr>
                <w:rFonts w:ascii="Arial" w:hAnsi="Arial" w:cs="Arial"/>
                <w:sz w:val="20"/>
                <w:szCs w:val="20"/>
              </w:rPr>
              <w:t>final Salary Progression Point for the officer’s classification</w:t>
            </w:r>
            <w:r w:rsidR="009B5891" w:rsidRPr="00D720DA">
              <w:rPr>
                <w:rFonts w:ascii="Arial" w:hAnsi="Arial" w:cs="Arial"/>
                <w:sz w:val="20"/>
                <w:szCs w:val="20"/>
              </w:rPr>
              <w:t xml:space="preserve">, </w:t>
            </w:r>
            <w:r w:rsidR="00536C1E" w:rsidRPr="00D720DA">
              <w:rPr>
                <w:rFonts w:ascii="Arial" w:hAnsi="Arial" w:cs="Arial"/>
                <w:sz w:val="20"/>
                <w:szCs w:val="20"/>
              </w:rPr>
              <w:t xml:space="preserve">the </w:t>
            </w:r>
            <w:proofErr w:type="spellStart"/>
            <w:r w:rsidR="00536C1E" w:rsidRPr="00D720DA">
              <w:rPr>
                <w:rFonts w:ascii="Arial" w:hAnsi="Arial" w:cs="Arial"/>
                <w:sz w:val="20"/>
                <w:szCs w:val="20"/>
              </w:rPr>
              <w:t>HoSS</w:t>
            </w:r>
            <w:proofErr w:type="spellEnd"/>
            <w:r w:rsidR="00536C1E" w:rsidRPr="00D720DA">
              <w:rPr>
                <w:rFonts w:ascii="Arial" w:hAnsi="Arial" w:cs="Arial"/>
                <w:sz w:val="20"/>
                <w:szCs w:val="20"/>
              </w:rPr>
              <w:t xml:space="preserve"> </w:t>
            </w:r>
            <w:proofErr w:type="gramStart"/>
            <w:r w:rsidR="00536C1E" w:rsidRPr="00D720DA">
              <w:rPr>
                <w:rFonts w:ascii="Arial" w:hAnsi="Arial" w:cs="Arial"/>
                <w:sz w:val="20"/>
                <w:szCs w:val="20"/>
              </w:rPr>
              <w:t>has the ability to</w:t>
            </w:r>
            <w:proofErr w:type="gramEnd"/>
            <w:r w:rsidR="00536C1E" w:rsidRPr="00D720DA">
              <w:rPr>
                <w:rFonts w:ascii="Arial" w:hAnsi="Arial" w:cs="Arial"/>
                <w:sz w:val="20"/>
                <w:szCs w:val="20"/>
              </w:rPr>
              <w:t xml:space="preserve"> approve progression beyond the SPP</w:t>
            </w:r>
            <w:r w:rsidR="00E558B7" w:rsidRPr="00D720DA">
              <w:rPr>
                <w:rFonts w:ascii="Arial" w:hAnsi="Arial" w:cs="Arial"/>
                <w:sz w:val="20"/>
                <w:szCs w:val="20"/>
              </w:rPr>
              <w:t>.</w:t>
            </w:r>
          </w:p>
        </w:tc>
      </w:tr>
      <w:tr w:rsidR="00F040C1" w:rsidRPr="00D720DA" w14:paraId="2A86B48E" w14:textId="77777777" w:rsidTr="00FD70E5">
        <w:tc>
          <w:tcPr>
            <w:tcW w:w="1696" w:type="dxa"/>
          </w:tcPr>
          <w:p w14:paraId="348305A0" w14:textId="77777777" w:rsidR="00F040C1" w:rsidRPr="00D720DA" w:rsidRDefault="00F040C1" w:rsidP="00AD59DB">
            <w:pPr>
              <w:rPr>
                <w:rFonts w:ascii="Arial" w:hAnsi="Arial" w:cs="Arial"/>
                <w:b/>
                <w:bCs/>
                <w:sz w:val="20"/>
                <w:szCs w:val="20"/>
              </w:rPr>
            </w:pPr>
            <w:r w:rsidRPr="00D720DA">
              <w:rPr>
                <w:rFonts w:ascii="Arial" w:hAnsi="Arial" w:cs="Arial"/>
                <w:b/>
                <w:bCs/>
                <w:sz w:val="20"/>
                <w:szCs w:val="20"/>
              </w:rPr>
              <w:t>Basis</w:t>
            </w:r>
          </w:p>
        </w:tc>
        <w:tc>
          <w:tcPr>
            <w:tcW w:w="2410" w:type="dxa"/>
          </w:tcPr>
          <w:p w14:paraId="217BADE2" w14:textId="77777777" w:rsidR="00F040C1" w:rsidRPr="00D720DA" w:rsidRDefault="00F040C1" w:rsidP="00AD59DB">
            <w:pPr>
              <w:rPr>
                <w:rFonts w:ascii="Arial" w:hAnsi="Arial" w:cs="Arial"/>
                <w:sz w:val="20"/>
                <w:szCs w:val="20"/>
              </w:rPr>
            </w:pPr>
            <w:r w:rsidRPr="00D720DA">
              <w:rPr>
                <w:rFonts w:ascii="Arial" w:hAnsi="Arial" w:cs="Arial"/>
                <w:sz w:val="20"/>
                <w:szCs w:val="20"/>
              </w:rPr>
              <w:t>As provided in PMP.</w:t>
            </w:r>
          </w:p>
        </w:tc>
        <w:tc>
          <w:tcPr>
            <w:tcW w:w="2552" w:type="dxa"/>
          </w:tcPr>
          <w:p w14:paraId="20CA7A04" w14:textId="77777777" w:rsidR="00F040C1" w:rsidRPr="00D720DA" w:rsidRDefault="00F040C1" w:rsidP="00AD59DB">
            <w:pPr>
              <w:rPr>
                <w:rFonts w:ascii="Arial" w:hAnsi="Arial" w:cs="Arial"/>
                <w:sz w:val="20"/>
                <w:szCs w:val="20"/>
              </w:rPr>
            </w:pPr>
          </w:p>
        </w:tc>
        <w:tc>
          <w:tcPr>
            <w:tcW w:w="2976" w:type="dxa"/>
          </w:tcPr>
          <w:p w14:paraId="12B7A6CD" w14:textId="77777777" w:rsidR="00F040C1" w:rsidRPr="00D720DA" w:rsidRDefault="0019533A" w:rsidP="00AD59DB">
            <w:pPr>
              <w:rPr>
                <w:rFonts w:ascii="Arial" w:hAnsi="Arial" w:cs="Arial"/>
                <w:sz w:val="20"/>
                <w:szCs w:val="20"/>
              </w:rPr>
            </w:pPr>
            <w:r w:rsidRPr="00D720DA">
              <w:rPr>
                <w:rFonts w:ascii="Arial" w:hAnsi="Arial" w:cs="Arial"/>
                <w:sz w:val="20"/>
                <w:szCs w:val="20"/>
              </w:rPr>
              <w:t>As provided in PMP.</w:t>
            </w:r>
          </w:p>
        </w:tc>
      </w:tr>
      <w:tr w:rsidR="00F040C1" w:rsidRPr="00D720DA" w14:paraId="660BBDB4" w14:textId="77777777" w:rsidTr="00FD70E5">
        <w:tc>
          <w:tcPr>
            <w:tcW w:w="1696" w:type="dxa"/>
          </w:tcPr>
          <w:p w14:paraId="0CC97A44" w14:textId="77777777" w:rsidR="00F040C1" w:rsidRPr="00D720DA" w:rsidRDefault="00F040C1" w:rsidP="00AD59DB">
            <w:pPr>
              <w:rPr>
                <w:rFonts w:ascii="Arial" w:hAnsi="Arial" w:cs="Arial"/>
                <w:b/>
                <w:bCs/>
                <w:sz w:val="20"/>
                <w:szCs w:val="20"/>
              </w:rPr>
            </w:pPr>
            <w:r w:rsidRPr="00D720DA">
              <w:rPr>
                <w:rFonts w:ascii="Arial" w:hAnsi="Arial" w:cs="Arial"/>
                <w:b/>
                <w:bCs/>
                <w:sz w:val="20"/>
                <w:szCs w:val="20"/>
              </w:rPr>
              <w:t>Who makes assessment</w:t>
            </w:r>
          </w:p>
        </w:tc>
        <w:tc>
          <w:tcPr>
            <w:tcW w:w="2410" w:type="dxa"/>
          </w:tcPr>
          <w:p w14:paraId="28642B8A" w14:textId="77777777" w:rsidR="00F040C1" w:rsidRPr="00D720DA" w:rsidRDefault="00F040C1" w:rsidP="00AD59DB">
            <w:pPr>
              <w:rPr>
                <w:rFonts w:ascii="Arial" w:hAnsi="Arial" w:cs="Arial"/>
                <w:sz w:val="20"/>
                <w:szCs w:val="20"/>
              </w:rPr>
            </w:pPr>
            <w:r w:rsidRPr="00D720DA">
              <w:rPr>
                <w:rFonts w:ascii="Arial" w:hAnsi="Arial" w:cs="Arial"/>
                <w:sz w:val="20"/>
                <w:szCs w:val="20"/>
              </w:rPr>
              <w:t>Secretary/Agency Head</w:t>
            </w:r>
          </w:p>
        </w:tc>
        <w:tc>
          <w:tcPr>
            <w:tcW w:w="2552" w:type="dxa"/>
          </w:tcPr>
          <w:p w14:paraId="25E726C0" w14:textId="77777777" w:rsidR="00F040C1" w:rsidRPr="00D720DA" w:rsidRDefault="00F040C1" w:rsidP="00AD59DB">
            <w:pPr>
              <w:rPr>
                <w:rFonts w:ascii="Arial" w:hAnsi="Arial" w:cs="Arial"/>
                <w:sz w:val="20"/>
                <w:szCs w:val="20"/>
              </w:rPr>
            </w:pPr>
          </w:p>
        </w:tc>
        <w:tc>
          <w:tcPr>
            <w:tcW w:w="2976" w:type="dxa"/>
          </w:tcPr>
          <w:p w14:paraId="2FC65085" w14:textId="77777777" w:rsidR="00F040C1" w:rsidRPr="00D720DA" w:rsidRDefault="0019533A" w:rsidP="00AD59DB">
            <w:pPr>
              <w:rPr>
                <w:rFonts w:ascii="Arial" w:hAnsi="Arial" w:cs="Arial"/>
                <w:sz w:val="20"/>
                <w:szCs w:val="20"/>
              </w:rPr>
            </w:pPr>
            <w:r w:rsidRPr="00D720DA">
              <w:rPr>
                <w:rFonts w:ascii="Arial" w:hAnsi="Arial" w:cs="Arial"/>
                <w:sz w:val="20"/>
                <w:szCs w:val="20"/>
              </w:rPr>
              <w:t>Secretaries/Agency Heads</w:t>
            </w:r>
          </w:p>
        </w:tc>
      </w:tr>
      <w:tr w:rsidR="00E95644" w:rsidRPr="00D720DA" w14:paraId="473E3010" w14:textId="77777777" w:rsidTr="0007647F">
        <w:tc>
          <w:tcPr>
            <w:tcW w:w="9634" w:type="dxa"/>
            <w:gridSpan w:val="4"/>
            <w:shd w:val="pct10" w:color="auto" w:fill="FFFFFF"/>
          </w:tcPr>
          <w:p w14:paraId="692EE619" w14:textId="7F0FB137" w:rsidR="00E95644" w:rsidRPr="00D720DA" w:rsidRDefault="00E95644" w:rsidP="00AD59DB">
            <w:pPr>
              <w:rPr>
                <w:rFonts w:ascii="Arial" w:hAnsi="Arial" w:cs="Arial"/>
                <w:sz w:val="22"/>
              </w:rPr>
            </w:pPr>
            <w:r w:rsidRPr="00D720DA">
              <w:rPr>
                <w:rFonts w:ascii="Arial" w:hAnsi="Arial" w:cs="Arial"/>
                <w:b/>
                <w:sz w:val="22"/>
              </w:rPr>
              <w:t>Right of Return</w:t>
            </w:r>
          </w:p>
        </w:tc>
      </w:tr>
      <w:tr w:rsidR="00C4573C" w:rsidRPr="00D720DA" w14:paraId="579F3026" w14:textId="77777777" w:rsidTr="00FD70E5">
        <w:tc>
          <w:tcPr>
            <w:tcW w:w="1696" w:type="dxa"/>
            <w:tcBorders>
              <w:bottom w:val="nil"/>
            </w:tcBorders>
          </w:tcPr>
          <w:p w14:paraId="37C6ADA1" w14:textId="77777777" w:rsidR="00F040C1" w:rsidRPr="00D720DA" w:rsidRDefault="00F040C1" w:rsidP="00AD59DB">
            <w:pPr>
              <w:rPr>
                <w:rFonts w:ascii="Arial" w:hAnsi="Arial" w:cs="Arial"/>
                <w:b/>
                <w:sz w:val="20"/>
                <w:szCs w:val="20"/>
              </w:rPr>
            </w:pPr>
          </w:p>
        </w:tc>
        <w:tc>
          <w:tcPr>
            <w:tcW w:w="2410" w:type="dxa"/>
            <w:tcBorders>
              <w:bottom w:val="nil"/>
            </w:tcBorders>
          </w:tcPr>
          <w:p w14:paraId="5BFFCED5" w14:textId="77777777" w:rsidR="00F040C1" w:rsidRPr="00D720DA" w:rsidRDefault="00F040C1" w:rsidP="00AD59DB">
            <w:pPr>
              <w:rPr>
                <w:rFonts w:ascii="Arial" w:hAnsi="Arial" w:cs="Arial"/>
                <w:sz w:val="20"/>
                <w:szCs w:val="20"/>
              </w:rPr>
            </w:pPr>
            <w:r w:rsidRPr="00D720DA">
              <w:rPr>
                <w:rFonts w:ascii="Arial" w:hAnsi="Arial" w:cs="Arial"/>
                <w:sz w:val="20"/>
                <w:szCs w:val="20"/>
              </w:rPr>
              <w:t>Provision available.</w:t>
            </w:r>
          </w:p>
        </w:tc>
        <w:tc>
          <w:tcPr>
            <w:tcW w:w="2552" w:type="dxa"/>
            <w:tcBorders>
              <w:bottom w:val="nil"/>
            </w:tcBorders>
          </w:tcPr>
          <w:p w14:paraId="369768AB" w14:textId="77777777" w:rsidR="00F040C1" w:rsidRPr="00D720DA" w:rsidRDefault="00211362" w:rsidP="00AD59DB">
            <w:pPr>
              <w:rPr>
                <w:rFonts w:ascii="Arial" w:hAnsi="Arial" w:cs="Arial"/>
                <w:sz w:val="20"/>
                <w:szCs w:val="20"/>
              </w:rPr>
            </w:pPr>
            <w:r w:rsidRPr="00D720DA">
              <w:rPr>
                <w:rFonts w:ascii="Arial" w:hAnsi="Arial" w:cs="Arial"/>
                <w:sz w:val="20"/>
                <w:szCs w:val="20"/>
              </w:rPr>
              <w:t xml:space="preserve">Section 31(11) of the </w:t>
            </w:r>
            <w:r w:rsidRPr="00D720DA">
              <w:rPr>
                <w:rFonts w:ascii="Arial" w:hAnsi="Arial" w:cs="Arial"/>
                <w:i/>
                <w:sz w:val="20"/>
                <w:szCs w:val="20"/>
              </w:rPr>
              <w:t xml:space="preserve">State Service Act 2000 </w:t>
            </w:r>
            <w:r w:rsidRPr="00D720DA">
              <w:rPr>
                <w:rFonts w:ascii="Arial" w:hAnsi="Arial" w:cs="Arial"/>
                <w:sz w:val="20"/>
                <w:szCs w:val="20"/>
              </w:rPr>
              <w:t xml:space="preserve">entitles officers to elect to be re-appointed, if previously held </w:t>
            </w:r>
            <w:r w:rsidR="009123B1" w:rsidRPr="00D720DA">
              <w:rPr>
                <w:rFonts w:ascii="Arial" w:hAnsi="Arial" w:cs="Arial"/>
                <w:sz w:val="20"/>
                <w:szCs w:val="20"/>
              </w:rPr>
              <w:t xml:space="preserve">PS </w:t>
            </w:r>
            <w:r w:rsidRPr="00D720DA">
              <w:rPr>
                <w:rFonts w:ascii="Arial" w:hAnsi="Arial" w:cs="Arial"/>
                <w:sz w:val="20"/>
                <w:szCs w:val="20"/>
              </w:rPr>
              <w:t>position as permanent employee.</w:t>
            </w:r>
          </w:p>
          <w:p w14:paraId="7FAE96F2" w14:textId="5080A9AD" w:rsidR="003B6596" w:rsidRPr="00D720DA" w:rsidRDefault="003B6596" w:rsidP="00AD59DB">
            <w:pPr>
              <w:rPr>
                <w:rFonts w:ascii="Arial" w:hAnsi="Arial" w:cs="Arial"/>
                <w:sz w:val="20"/>
                <w:szCs w:val="20"/>
              </w:rPr>
            </w:pPr>
            <w:r w:rsidRPr="00D720DA">
              <w:rPr>
                <w:rFonts w:ascii="Arial" w:hAnsi="Arial" w:cs="Arial"/>
                <w:i/>
                <w:iCs/>
                <w:sz w:val="20"/>
                <w:szCs w:val="20"/>
              </w:rPr>
              <w:t>Employment Direction 17</w:t>
            </w:r>
            <w:r w:rsidRPr="00D720DA">
              <w:rPr>
                <w:rFonts w:ascii="Arial" w:hAnsi="Arial" w:cs="Arial"/>
                <w:sz w:val="20"/>
                <w:szCs w:val="20"/>
              </w:rPr>
              <w:t xml:space="preserve"> of 2015</w:t>
            </w:r>
          </w:p>
        </w:tc>
        <w:tc>
          <w:tcPr>
            <w:tcW w:w="2976" w:type="dxa"/>
            <w:tcBorders>
              <w:bottom w:val="nil"/>
            </w:tcBorders>
          </w:tcPr>
          <w:p w14:paraId="6AFFAED3" w14:textId="77777777" w:rsidR="00F040C1" w:rsidRPr="00D720DA" w:rsidRDefault="00211362" w:rsidP="00AD59DB">
            <w:pPr>
              <w:rPr>
                <w:rFonts w:ascii="Arial" w:hAnsi="Arial" w:cs="Arial"/>
                <w:sz w:val="20"/>
                <w:szCs w:val="20"/>
              </w:rPr>
            </w:pPr>
            <w:r w:rsidRPr="00D720DA">
              <w:rPr>
                <w:rFonts w:ascii="Arial" w:hAnsi="Arial" w:cs="Arial"/>
                <w:sz w:val="20"/>
                <w:szCs w:val="20"/>
              </w:rPr>
              <w:t>Provision available.</w:t>
            </w:r>
          </w:p>
          <w:p w14:paraId="67E1AC63" w14:textId="2F03C6A5" w:rsidR="003B6596" w:rsidRPr="00D720DA" w:rsidRDefault="003B6596" w:rsidP="00AD59DB">
            <w:pPr>
              <w:rPr>
                <w:rFonts w:ascii="Arial" w:hAnsi="Arial" w:cs="Arial"/>
                <w:sz w:val="20"/>
                <w:szCs w:val="20"/>
              </w:rPr>
            </w:pPr>
            <w:r w:rsidRPr="00D720DA">
              <w:rPr>
                <w:rFonts w:ascii="Arial" w:hAnsi="Arial" w:cs="Arial"/>
                <w:sz w:val="20"/>
                <w:szCs w:val="20"/>
              </w:rPr>
              <w:t xml:space="preserve">Officers with a right to re-appointment as a permanent employee under S31 (11) of the </w:t>
            </w:r>
            <w:r w:rsidRPr="00D720DA">
              <w:rPr>
                <w:rFonts w:ascii="Arial" w:hAnsi="Arial" w:cs="Arial"/>
                <w:i/>
                <w:iCs/>
                <w:sz w:val="20"/>
                <w:szCs w:val="20"/>
              </w:rPr>
              <w:t>State Service Act 2000</w:t>
            </w:r>
            <w:r w:rsidRPr="00D720DA">
              <w:rPr>
                <w:rFonts w:ascii="Arial" w:hAnsi="Arial" w:cs="Arial"/>
                <w:sz w:val="20"/>
                <w:szCs w:val="20"/>
              </w:rPr>
              <w:t xml:space="preserve"> will not be considered for a payment in lieu of notice unless they undertake not to exercise their right to reappointment in writing.</w:t>
            </w:r>
          </w:p>
        </w:tc>
      </w:tr>
      <w:tr w:rsidR="00F040C1" w:rsidRPr="00D720DA" w14:paraId="5B11F34A" w14:textId="77777777" w:rsidTr="00FD70E5">
        <w:tc>
          <w:tcPr>
            <w:tcW w:w="1696" w:type="dxa"/>
            <w:shd w:val="solid" w:color="auto" w:fill="auto"/>
          </w:tcPr>
          <w:p w14:paraId="11070803" w14:textId="77777777" w:rsidR="00F040C1" w:rsidRPr="00D720DA" w:rsidRDefault="00F040C1" w:rsidP="00AD59DB">
            <w:pPr>
              <w:rPr>
                <w:rFonts w:ascii="Arial" w:hAnsi="Arial" w:cs="Arial"/>
                <w:sz w:val="20"/>
                <w:szCs w:val="20"/>
              </w:rPr>
            </w:pPr>
          </w:p>
        </w:tc>
        <w:tc>
          <w:tcPr>
            <w:tcW w:w="2410" w:type="dxa"/>
            <w:shd w:val="solid" w:color="auto" w:fill="auto"/>
          </w:tcPr>
          <w:p w14:paraId="55CB0546" w14:textId="77777777" w:rsidR="00F040C1" w:rsidRPr="00D720DA" w:rsidRDefault="00F040C1" w:rsidP="00AD59DB">
            <w:pPr>
              <w:rPr>
                <w:rFonts w:ascii="Arial" w:hAnsi="Arial" w:cs="Arial"/>
                <w:sz w:val="20"/>
                <w:szCs w:val="20"/>
              </w:rPr>
            </w:pPr>
          </w:p>
        </w:tc>
        <w:tc>
          <w:tcPr>
            <w:tcW w:w="2552" w:type="dxa"/>
            <w:shd w:val="solid" w:color="auto" w:fill="auto"/>
          </w:tcPr>
          <w:p w14:paraId="68963262" w14:textId="77777777" w:rsidR="00F040C1" w:rsidRPr="00D720DA" w:rsidRDefault="00F040C1" w:rsidP="00AD59DB">
            <w:pPr>
              <w:rPr>
                <w:rFonts w:ascii="Arial" w:hAnsi="Arial" w:cs="Arial"/>
                <w:sz w:val="20"/>
                <w:szCs w:val="20"/>
              </w:rPr>
            </w:pPr>
          </w:p>
        </w:tc>
        <w:tc>
          <w:tcPr>
            <w:tcW w:w="2976" w:type="dxa"/>
            <w:shd w:val="solid" w:color="auto" w:fill="auto"/>
          </w:tcPr>
          <w:p w14:paraId="6517BF47" w14:textId="77777777" w:rsidR="00F040C1" w:rsidRPr="00D720DA" w:rsidRDefault="00F040C1" w:rsidP="00AD59DB">
            <w:pPr>
              <w:rPr>
                <w:rFonts w:ascii="Arial" w:hAnsi="Arial" w:cs="Arial"/>
                <w:sz w:val="20"/>
                <w:szCs w:val="20"/>
              </w:rPr>
            </w:pPr>
          </w:p>
        </w:tc>
      </w:tr>
    </w:tbl>
    <w:p w14:paraId="5AAF3852" w14:textId="77777777" w:rsidR="00227C50" w:rsidRPr="00D720DA" w:rsidRDefault="00227C50" w:rsidP="00886F22">
      <w:pPr>
        <w:rPr>
          <w:rFonts w:ascii="Arial" w:hAnsi="Arial" w:cs="Arial"/>
          <w:b/>
          <w:sz w:val="28"/>
          <w:szCs w:val="28"/>
          <w:u w:val="single"/>
        </w:rPr>
      </w:pPr>
    </w:p>
    <w:p w14:paraId="0F1084D9" w14:textId="77777777" w:rsidR="00AF4028" w:rsidRPr="00D720DA" w:rsidRDefault="00AF4028">
      <w:pPr>
        <w:rPr>
          <w:rFonts w:ascii="Arial" w:hAnsi="Arial" w:cs="Arial"/>
          <w:b/>
          <w:szCs w:val="24"/>
        </w:rPr>
      </w:pPr>
      <w:r w:rsidRPr="00D720DA">
        <w:rPr>
          <w:rFonts w:ascii="Arial" w:hAnsi="Arial" w:cs="Arial"/>
          <w:b/>
          <w:szCs w:val="24"/>
        </w:rPr>
        <w:br w:type="page"/>
      </w:r>
    </w:p>
    <w:p w14:paraId="44697EBC" w14:textId="7293C8E1" w:rsidR="00F30D18" w:rsidRPr="00D720DA" w:rsidRDefault="007E2501" w:rsidP="00493C89">
      <w:pPr>
        <w:pStyle w:val="Heading1"/>
        <w:spacing w:after="240"/>
        <w:ind w:left="431" w:hanging="431"/>
        <w:rPr>
          <w:rFonts w:ascii="Arial" w:hAnsi="Arial" w:cs="Arial"/>
        </w:rPr>
      </w:pPr>
      <w:bookmarkStart w:id="18" w:name="_Toc77356800"/>
      <w:r w:rsidRPr="00D720DA">
        <w:rPr>
          <w:rFonts w:ascii="Arial" w:hAnsi="Arial" w:cs="Arial"/>
        </w:rPr>
        <w:lastRenderedPageBreak/>
        <w:t>Workforce data</w:t>
      </w:r>
      <w:bookmarkEnd w:id="18"/>
      <w:r w:rsidRPr="00D720DA">
        <w:rPr>
          <w:rFonts w:ascii="Arial" w:hAnsi="Arial" w:cs="Arial"/>
        </w:rPr>
        <w:t xml:space="preserve"> </w:t>
      </w:r>
    </w:p>
    <w:p w14:paraId="52B5C024" w14:textId="7B89C093" w:rsidR="0082148D" w:rsidRPr="00D720DA" w:rsidRDefault="001D3082" w:rsidP="006B4FB7">
      <w:pPr>
        <w:rPr>
          <w:rFonts w:ascii="Arial" w:hAnsi="Arial" w:cs="Arial"/>
        </w:rPr>
      </w:pPr>
      <w:r w:rsidRPr="00D720DA">
        <w:rPr>
          <w:rFonts w:ascii="Arial" w:hAnsi="Arial" w:cs="Arial"/>
        </w:rPr>
        <w:t xml:space="preserve">The State Service Management Office (SSMO) has published </w:t>
      </w:r>
      <w:r w:rsidR="00F11A77" w:rsidRPr="00D720DA">
        <w:rPr>
          <w:rFonts w:ascii="Arial" w:hAnsi="Arial" w:cs="Arial"/>
        </w:rPr>
        <w:t xml:space="preserve">Tasmanian State Service workforce statistics twice yearly </w:t>
      </w:r>
      <w:r w:rsidRPr="00D720DA">
        <w:rPr>
          <w:rFonts w:ascii="Arial" w:hAnsi="Arial" w:cs="Arial"/>
        </w:rPr>
        <w:t>since 2016</w:t>
      </w:r>
      <w:r w:rsidR="005D476D" w:rsidRPr="00D720DA">
        <w:rPr>
          <w:rFonts w:ascii="Arial" w:hAnsi="Arial" w:cs="Arial"/>
        </w:rPr>
        <w:t>, with some now published quarterly</w:t>
      </w:r>
      <w:r w:rsidR="00F11A77" w:rsidRPr="00D720DA">
        <w:rPr>
          <w:rFonts w:ascii="Arial" w:hAnsi="Arial" w:cs="Arial"/>
        </w:rPr>
        <w:t xml:space="preserve">. </w:t>
      </w:r>
      <w:r w:rsidR="00587116" w:rsidRPr="00D720DA">
        <w:rPr>
          <w:rFonts w:ascii="Arial" w:hAnsi="Arial" w:cs="Arial"/>
        </w:rPr>
        <w:t xml:space="preserve">The SSMO also includes workforce data in its Annual Reports. </w:t>
      </w:r>
      <w:r w:rsidR="00DA6C2A" w:rsidRPr="00D720DA">
        <w:rPr>
          <w:rFonts w:ascii="Arial" w:hAnsi="Arial" w:cs="Arial"/>
        </w:rPr>
        <w:t xml:space="preserve">Previously, workforce statistics were reported by the Commissioner for Public Employment and the State Service Commissioner. </w:t>
      </w:r>
      <w:r w:rsidR="0082148D" w:rsidRPr="00D720DA">
        <w:rPr>
          <w:rFonts w:ascii="Arial" w:hAnsi="Arial" w:cs="Arial"/>
        </w:rPr>
        <w:t>During 1999–2000, the Commissioner for Public Employment had introduced a common reporting methodology to improve the quality of workforce data (CPE, 2000, p.20).</w:t>
      </w:r>
    </w:p>
    <w:p w14:paraId="39CA69E0" w14:textId="4A6F7FB9" w:rsidR="00140529" w:rsidRPr="00D720DA" w:rsidRDefault="00140529" w:rsidP="00140529">
      <w:pPr>
        <w:pStyle w:val="Heading2"/>
        <w:spacing w:before="120" w:after="120"/>
        <w:ind w:left="578" w:hanging="578"/>
        <w:rPr>
          <w:rFonts w:ascii="Arial" w:hAnsi="Arial" w:cs="Arial"/>
          <w:u w:val="none"/>
        </w:rPr>
      </w:pPr>
      <w:bookmarkStart w:id="19" w:name="_Toc77356801"/>
      <w:r w:rsidRPr="00D720DA">
        <w:rPr>
          <w:rFonts w:ascii="Arial" w:hAnsi="Arial" w:cs="Arial"/>
          <w:u w:val="none"/>
        </w:rPr>
        <w:t>State Service Workforce</w:t>
      </w:r>
      <w:bookmarkEnd w:id="19"/>
    </w:p>
    <w:p w14:paraId="5A94EAFB" w14:textId="0CECA068" w:rsidR="004E24BF" w:rsidRPr="00D720DA" w:rsidRDefault="004E24BF" w:rsidP="006B4FB7">
      <w:pPr>
        <w:rPr>
          <w:rFonts w:ascii="Arial" w:hAnsi="Arial" w:cs="Arial"/>
        </w:rPr>
      </w:pPr>
      <w:r w:rsidRPr="00D720DA">
        <w:rPr>
          <w:rFonts w:ascii="Arial" w:hAnsi="Arial" w:cs="Arial"/>
        </w:rPr>
        <w:t>At the turn of the 21</w:t>
      </w:r>
      <w:r w:rsidRPr="00D720DA">
        <w:rPr>
          <w:rFonts w:ascii="Arial" w:hAnsi="Arial" w:cs="Arial"/>
          <w:vertAlign w:val="superscript"/>
        </w:rPr>
        <w:t>st</w:t>
      </w:r>
      <w:r w:rsidRPr="00D720DA">
        <w:rPr>
          <w:rFonts w:ascii="Arial" w:hAnsi="Arial" w:cs="Arial"/>
        </w:rPr>
        <w:t xml:space="preserve"> century, the Tasmanian State Service had 19,092 FTE employees</w:t>
      </w:r>
      <w:r w:rsidR="0082148D" w:rsidRPr="00D720DA">
        <w:rPr>
          <w:rFonts w:ascii="Arial" w:hAnsi="Arial" w:cs="Arial"/>
        </w:rPr>
        <w:t xml:space="preserve">, of whom 14,052 (or 72%) were permanent </w:t>
      </w:r>
      <w:r w:rsidRPr="00D720DA">
        <w:rPr>
          <w:rFonts w:ascii="Arial" w:hAnsi="Arial" w:cs="Arial"/>
        </w:rPr>
        <w:t>(CPE</w:t>
      </w:r>
      <w:r w:rsidR="0082148D" w:rsidRPr="00D720DA">
        <w:rPr>
          <w:rFonts w:ascii="Arial" w:hAnsi="Arial" w:cs="Arial"/>
        </w:rPr>
        <w:t>,</w:t>
      </w:r>
      <w:r w:rsidRPr="00D720DA">
        <w:rPr>
          <w:rFonts w:ascii="Arial" w:hAnsi="Arial" w:cs="Arial"/>
        </w:rPr>
        <w:t xml:space="preserve"> 2000</w:t>
      </w:r>
      <w:r w:rsidR="0082148D" w:rsidRPr="00D720DA">
        <w:rPr>
          <w:rFonts w:ascii="Arial" w:hAnsi="Arial" w:cs="Arial"/>
        </w:rPr>
        <w:t>, p.22</w:t>
      </w:r>
      <w:r w:rsidRPr="00D720DA">
        <w:rPr>
          <w:rFonts w:ascii="Arial" w:hAnsi="Arial" w:cs="Arial"/>
        </w:rPr>
        <w:t xml:space="preserve">). </w:t>
      </w:r>
      <w:r w:rsidR="0082148D" w:rsidRPr="00D720DA">
        <w:rPr>
          <w:rFonts w:ascii="Arial" w:hAnsi="Arial" w:cs="Arial"/>
        </w:rPr>
        <w:t>Of the full-time permanent workforce, 9995 (or 71%) were women</w:t>
      </w:r>
      <w:r w:rsidR="009C69B6" w:rsidRPr="00D720DA">
        <w:rPr>
          <w:rFonts w:ascii="Arial" w:hAnsi="Arial" w:cs="Arial"/>
        </w:rPr>
        <w:t xml:space="preserve"> (by headcount)</w:t>
      </w:r>
      <w:r w:rsidR="0082148D" w:rsidRPr="00D720DA">
        <w:rPr>
          <w:rFonts w:ascii="Arial" w:hAnsi="Arial" w:cs="Arial"/>
        </w:rPr>
        <w:t>, who were underrepresented in the higher salary brackets – with less than 5% earning more than $55</w:t>
      </w:r>
      <w:r w:rsidR="004849B2" w:rsidRPr="00D720DA">
        <w:rPr>
          <w:rFonts w:ascii="Arial" w:hAnsi="Arial" w:cs="Arial"/>
        </w:rPr>
        <w:t>,000 and only 69 women (compared to 338 men) earning more than $70,000</w:t>
      </w:r>
      <w:r w:rsidR="0082148D" w:rsidRPr="00D720DA">
        <w:rPr>
          <w:rFonts w:ascii="Arial" w:hAnsi="Arial" w:cs="Arial"/>
        </w:rPr>
        <w:t xml:space="preserve"> (CPE, 2000, pp 24, 32</w:t>
      </w:r>
      <w:r w:rsidR="004849B2" w:rsidRPr="00D720DA">
        <w:rPr>
          <w:rFonts w:ascii="Arial" w:hAnsi="Arial" w:cs="Arial"/>
        </w:rPr>
        <w:t>, 34</w:t>
      </w:r>
      <w:r w:rsidR="0082148D" w:rsidRPr="00D720DA">
        <w:rPr>
          <w:rFonts w:ascii="Arial" w:hAnsi="Arial" w:cs="Arial"/>
        </w:rPr>
        <w:t>).</w:t>
      </w:r>
      <w:r w:rsidR="00255734" w:rsidRPr="00D720DA">
        <w:rPr>
          <w:rFonts w:ascii="Arial" w:hAnsi="Arial" w:cs="Arial"/>
        </w:rPr>
        <w:t xml:space="preserve"> </w:t>
      </w:r>
    </w:p>
    <w:p w14:paraId="201131A3" w14:textId="1993BCC3" w:rsidR="001C1CC2" w:rsidRPr="00D720DA" w:rsidRDefault="00493C89" w:rsidP="00C8424F">
      <w:pPr>
        <w:pStyle w:val="indentpara"/>
        <w:ind w:firstLine="0"/>
        <w:rPr>
          <w:rFonts w:ascii="Arial" w:hAnsi="Arial" w:cs="Arial"/>
        </w:rPr>
      </w:pPr>
      <w:r w:rsidRPr="00D720DA">
        <w:rPr>
          <w:rFonts w:ascii="Arial" w:hAnsi="Arial" w:cs="Arial"/>
        </w:rPr>
        <w:t xml:space="preserve">By </w:t>
      </w:r>
      <w:r w:rsidR="00261657" w:rsidRPr="00D720DA">
        <w:rPr>
          <w:rFonts w:ascii="Arial" w:hAnsi="Arial" w:cs="Arial"/>
        </w:rPr>
        <w:t>30 June 2009, there were 20,</w:t>
      </w:r>
      <w:r w:rsidR="00023241" w:rsidRPr="00D720DA">
        <w:rPr>
          <w:rFonts w:ascii="Arial" w:hAnsi="Arial" w:cs="Arial"/>
        </w:rPr>
        <w:t>438 FTE permanent employees in the Tasmanian State Service, which included 10 government departments and six other agencies (OSSC</w:t>
      </w:r>
      <w:r w:rsidR="0007185C" w:rsidRPr="00D720DA">
        <w:rPr>
          <w:rFonts w:ascii="Arial" w:hAnsi="Arial" w:cs="Arial"/>
        </w:rPr>
        <w:t>,</w:t>
      </w:r>
      <w:r w:rsidR="00023241" w:rsidRPr="00D720DA">
        <w:rPr>
          <w:rFonts w:ascii="Arial" w:hAnsi="Arial" w:cs="Arial"/>
        </w:rPr>
        <w:t xml:space="preserve"> 2009, p.63).</w:t>
      </w:r>
      <w:r w:rsidR="001C1CC2" w:rsidRPr="00D720DA">
        <w:rPr>
          <w:rFonts w:ascii="Arial" w:hAnsi="Arial" w:cs="Arial"/>
        </w:rPr>
        <w:t xml:space="preserve"> Only 8% of female employees (compared to 20% of males) earned over $80,000 (</w:t>
      </w:r>
      <w:r w:rsidR="0007185C" w:rsidRPr="00D720DA">
        <w:rPr>
          <w:rFonts w:ascii="Arial" w:hAnsi="Arial" w:cs="Arial"/>
        </w:rPr>
        <w:t xml:space="preserve">OSSC, 2009, </w:t>
      </w:r>
      <w:r w:rsidR="001C1CC2" w:rsidRPr="00D720DA">
        <w:rPr>
          <w:rFonts w:ascii="Arial" w:hAnsi="Arial" w:cs="Arial"/>
        </w:rPr>
        <w:t>p.76).</w:t>
      </w:r>
      <w:r w:rsidR="0007185C" w:rsidRPr="00D720DA">
        <w:rPr>
          <w:rFonts w:ascii="Arial" w:hAnsi="Arial" w:cs="Arial"/>
        </w:rPr>
        <w:t xml:space="preserve"> More than half (55%) the women in the State Service worked part-time, compared to 21% of men (OSSC, 2009, p. 67). </w:t>
      </w:r>
      <w:r w:rsidR="006E2127" w:rsidRPr="00D720DA">
        <w:rPr>
          <w:rFonts w:ascii="Arial" w:hAnsi="Arial" w:cs="Arial"/>
        </w:rPr>
        <w:t>2009 data includes gender breakdown by headcount only.</w:t>
      </w:r>
    </w:p>
    <w:p w14:paraId="04C97407" w14:textId="743568A5" w:rsidR="00330900" w:rsidRPr="00D720DA" w:rsidRDefault="00330900" w:rsidP="00C8424F">
      <w:pPr>
        <w:pStyle w:val="indentpara"/>
        <w:ind w:firstLine="0"/>
        <w:rPr>
          <w:rFonts w:ascii="Arial" w:hAnsi="Arial" w:cs="Arial"/>
        </w:rPr>
      </w:pPr>
      <w:r w:rsidRPr="00D720DA">
        <w:rPr>
          <w:rFonts w:ascii="Arial" w:hAnsi="Arial" w:cs="Arial"/>
        </w:rPr>
        <w:t>The number of government employees grew by 25% from 2000 to 2011. By 2014, Tasmania’s public sector accounted for a larger share of its economy than any other Australian state (Donaldson, 2014, Aug 29).</w:t>
      </w:r>
    </w:p>
    <w:p w14:paraId="048189B5" w14:textId="132EC85E" w:rsidR="00DA6A0A" w:rsidRPr="00D720DA" w:rsidRDefault="00D54666" w:rsidP="00C8424F">
      <w:pPr>
        <w:pStyle w:val="indentpara"/>
        <w:ind w:firstLine="0"/>
        <w:rPr>
          <w:rFonts w:ascii="Arial" w:hAnsi="Arial" w:cs="Arial"/>
        </w:rPr>
      </w:pPr>
      <w:r w:rsidRPr="00D720DA">
        <w:rPr>
          <w:rFonts w:ascii="Arial" w:hAnsi="Arial" w:cs="Arial"/>
        </w:rPr>
        <w:t xml:space="preserve">While the full-time permanent workforce grew by around 6000 workers between 1999 and 2009, it increased by only 1000 between 2009 and 2019. </w:t>
      </w:r>
      <w:r w:rsidR="00DA6A0A" w:rsidRPr="00D720DA">
        <w:rPr>
          <w:rFonts w:ascii="Arial" w:hAnsi="Arial" w:cs="Arial"/>
        </w:rPr>
        <w:t>The proportion of women (70–71%) remained stable over the two decades.</w:t>
      </w:r>
    </w:p>
    <w:p w14:paraId="4A7CF45B" w14:textId="597A4456" w:rsidR="00616C8E" w:rsidRPr="00D720DA" w:rsidRDefault="00330492" w:rsidP="00C8424F">
      <w:pPr>
        <w:pStyle w:val="indentpara"/>
        <w:ind w:firstLine="0"/>
        <w:rPr>
          <w:rFonts w:ascii="Arial" w:hAnsi="Arial" w:cs="Arial"/>
        </w:rPr>
      </w:pPr>
      <w:r w:rsidRPr="00D720DA">
        <w:rPr>
          <w:rFonts w:ascii="Arial" w:hAnsi="Arial" w:cs="Arial"/>
        </w:rPr>
        <w:t>At 30 June 2019, the T</w:t>
      </w:r>
      <w:r w:rsidR="00261657" w:rsidRPr="00D720DA">
        <w:rPr>
          <w:rFonts w:ascii="Arial" w:hAnsi="Arial" w:cs="Arial"/>
        </w:rPr>
        <w:t xml:space="preserve">asmanian State Service </w:t>
      </w:r>
      <w:r w:rsidRPr="00D720DA">
        <w:rPr>
          <w:rFonts w:ascii="Arial" w:hAnsi="Arial" w:cs="Arial"/>
        </w:rPr>
        <w:t xml:space="preserve">had a total paid FTE </w:t>
      </w:r>
      <w:r w:rsidR="00C9017B" w:rsidRPr="00D720DA">
        <w:rPr>
          <w:rFonts w:ascii="Arial" w:hAnsi="Arial" w:cs="Arial"/>
        </w:rPr>
        <w:t xml:space="preserve">workforce </w:t>
      </w:r>
      <w:r w:rsidRPr="00D720DA">
        <w:rPr>
          <w:rFonts w:ascii="Arial" w:hAnsi="Arial" w:cs="Arial"/>
        </w:rPr>
        <w:t>of 24,707 employees</w:t>
      </w:r>
      <w:r w:rsidR="00E617A1" w:rsidRPr="00D720DA">
        <w:rPr>
          <w:rFonts w:ascii="Arial" w:hAnsi="Arial" w:cs="Arial"/>
        </w:rPr>
        <w:t>, of whom 21,470 were permanent</w:t>
      </w:r>
      <w:r w:rsidR="00D54666" w:rsidRPr="00D720DA">
        <w:rPr>
          <w:rFonts w:ascii="Arial" w:hAnsi="Arial" w:cs="Arial"/>
        </w:rPr>
        <w:t xml:space="preserve">. </w:t>
      </w:r>
      <w:r w:rsidR="00E617A1" w:rsidRPr="00D720DA">
        <w:rPr>
          <w:rFonts w:ascii="Arial" w:hAnsi="Arial" w:cs="Arial"/>
        </w:rPr>
        <w:t>More than half</w:t>
      </w:r>
      <w:r w:rsidR="000054DC" w:rsidRPr="00D720DA">
        <w:rPr>
          <w:rFonts w:ascii="Arial" w:hAnsi="Arial" w:cs="Arial"/>
        </w:rPr>
        <w:t xml:space="preserve"> (52%) work</w:t>
      </w:r>
      <w:r w:rsidR="00E617A1" w:rsidRPr="00D720DA">
        <w:rPr>
          <w:rFonts w:ascii="Arial" w:hAnsi="Arial" w:cs="Arial"/>
        </w:rPr>
        <w:t xml:space="preserve">ed part-time, with female part-time workers the largest employee group, making up 44% of the workforce (SSMO, 2019b). </w:t>
      </w:r>
    </w:p>
    <w:p w14:paraId="3E64B58B" w14:textId="1476475F" w:rsidR="000D1D7C" w:rsidRPr="00D720DA" w:rsidRDefault="000D1D7C" w:rsidP="00C8424F">
      <w:pPr>
        <w:pStyle w:val="indentpara"/>
        <w:ind w:firstLine="0"/>
        <w:rPr>
          <w:rFonts w:ascii="Arial" w:hAnsi="Arial" w:cs="Arial"/>
        </w:rPr>
      </w:pPr>
      <w:r w:rsidRPr="00D720DA">
        <w:rPr>
          <w:rFonts w:ascii="Arial" w:hAnsi="Arial" w:cs="Arial"/>
        </w:rPr>
        <w:t>In the 2018 TSS Employee Survey, only 65% of respondents agreed they were able to effectively manage their workload (</w:t>
      </w:r>
      <w:r w:rsidR="00884C06" w:rsidRPr="00D720DA">
        <w:rPr>
          <w:rFonts w:ascii="Arial" w:hAnsi="Arial" w:cs="Arial"/>
        </w:rPr>
        <w:t>SSMO</w:t>
      </w:r>
      <w:r w:rsidRPr="00D720DA">
        <w:rPr>
          <w:rFonts w:ascii="Arial" w:hAnsi="Arial" w:cs="Arial"/>
        </w:rPr>
        <w:t xml:space="preserve">, 2019a, p.35). </w:t>
      </w:r>
    </w:p>
    <w:p w14:paraId="189CC81A" w14:textId="198F0FAD" w:rsidR="00D904ED" w:rsidRPr="00D720DA" w:rsidRDefault="00D904ED" w:rsidP="00C8424F">
      <w:pPr>
        <w:pStyle w:val="indentpara"/>
        <w:ind w:firstLine="0"/>
        <w:rPr>
          <w:rFonts w:ascii="Arial" w:hAnsi="Arial" w:cs="Arial"/>
        </w:rPr>
      </w:pPr>
      <w:r w:rsidRPr="00D720DA">
        <w:rPr>
          <w:rFonts w:ascii="Arial" w:hAnsi="Arial" w:cs="Arial"/>
        </w:rPr>
        <w:t>The State Service headcount in 2019</w:t>
      </w:r>
      <w:r w:rsidR="00CE6B66" w:rsidRPr="00D720DA">
        <w:rPr>
          <w:rFonts w:ascii="Arial" w:hAnsi="Arial" w:cs="Arial"/>
        </w:rPr>
        <w:t>, at around 25,000, was the same</w:t>
      </w:r>
      <w:r w:rsidRPr="00D720DA">
        <w:rPr>
          <w:rFonts w:ascii="Arial" w:hAnsi="Arial" w:cs="Arial"/>
        </w:rPr>
        <w:t xml:space="preserve"> as a decade before in 2009 (see table below).</w:t>
      </w:r>
    </w:p>
    <w:p w14:paraId="4F5ED873" w14:textId="77777777" w:rsidR="007766EB" w:rsidRPr="00D720DA" w:rsidRDefault="007766EB" w:rsidP="007766EB">
      <w:pPr>
        <w:pStyle w:val="Heading2"/>
        <w:spacing w:before="120" w:after="120"/>
        <w:ind w:left="578" w:hanging="578"/>
        <w:rPr>
          <w:rFonts w:ascii="Arial" w:hAnsi="Arial" w:cs="Arial"/>
          <w:u w:val="none"/>
        </w:rPr>
      </w:pPr>
      <w:bookmarkStart w:id="20" w:name="_Toc77356802"/>
      <w:r w:rsidRPr="00D720DA">
        <w:rPr>
          <w:rFonts w:ascii="Arial" w:hAnsi="Arial" w:cs="Arial"/>
          <w:u w:val="none"/>
        </w:rPr>
        <w:t>Senior Executive Service</w:t>
      </w:r>
      <w:bookmarkEnd w:id="20"/>
    </w:p>
    <w:p w14:paraId="04A287B3" w14:textId="50BBA56C" w:rsidR="007766EB" w:rsidRPr="00D720DA" w:rsidRDefault="007766EB" w:rsidP="007766EB">
      <w:pPr>
        <w:pStyle w:val="indentpara"/>
        <w:ind w:firstLine="0"/>
        <w:rPr>
          <w:rFonts w:ascii="Arial" w:hAnsi="Arial" w:cs="Arial"/>
        </w:rPr>
      </w:pPr>
      <w:r w:rsidRPr="00D720DA">
        <w:rPr>
          <w:rFonts w:ascii="Arial" w:hAnsi="Arial" w:cs="Arial"/>
        </w:rPr>
        <w:t xml:space="preserve">Even though the Tasmanian SES was established in 1989, “senior executive” is only mentioned once in the Commissioner for Public Employment’s Annual Report 1999–2000, where they are included in the count of “temporary employees”. Under the </w:t>
      </w:r>
      <w:r w:rsidRPr="00D720DA">
        <w:rPr>
          <w:rFonts w:ascii="Arial" w:hAnsi="Arial" w:cs="Arial"/>
          <w:i/>
          <w:iCs w:val="0"/>
        </w:rPr>
        <w:t>Tasmanian State Service Act 1984</w:t>
      </w:r>
      <w:r w:rsidRPr="00D720DA">
        <w:rPr>
          <w:rFonts w:ascii="Arial" w:hAnsi="Arial" w:cs="Arial"/>
        </w:rPr>
        <w:t>, senior executives and “equivalent specialists” were appointed under s.38(1)(b) – a special contract of service</w:t>
      </w:r>
      <w:r w:rsidR="006C50CB" w:rsidRPr="00D720DA">
        <w:rPr>
          <w:rFonts w:ascii="Arial" w:hAnsi="Arial" w:cs="Arial"/>
        </w:rPr>
        <w:t xml:space="preserve"> -- whereas </w:t>
      </w:r>
      <w:r w:rsidRPr="00D720DA">
        <w:rPr>
          <w:rFonts w:ascii="Arial" w:hAnsi="Arial" w:cs="Arial"/>
        </w:rPr>
        <w:t xml:space="preserve">other temporary employees </w:t>
      </w:r>
      <w:r w:rsidR="006C50CB" w:rsidRPr="00D720DA">
        <w:rPr>
          <w:rFonts w:ascii="Arial" w:hAnsi="Arial" w:cs="Arial"/>
        </w:rPr>
        <w:t xml:space="preserve">were </w:t>
      </w:r>
      <w:r w:rsidRPr="00D720DA">
        <w:rPr>
          <w:rFonts w:ascii="Arial" w:hAnsi="Arial" w:cs="Arial"/>
        </w:rPr>
        <w:t>appointed under a “general contract of service” under s.38(1)(a) (CPE, 2000 p. 21).</w:t>
      </w:r>
    </w:p>
    <w:p w14:paraId="6A3CA249" w14:textId="6832DEC7" w:rsidR="007766EB" w:rsidRPr="00D720DA" w:rsidRDefault="007766EB" w:rsidP="00C8424F">
      <w:pPr>
        <w:pStyle w:val="indentpara"/>
        <w:ind w:firstLine="0"/>
        <w:rPr>
          <w:rFonts w:ascii="Arial" w:hAnsi="Arial" w:cs="Arial"/>
        </w:rPr>
      </w:pPr>
      <w:r w:rsidRPr="00D720DA">
        <w:rPr>
          <w:rFonts w:ascii="Arial" w:hAnsi="Arial" w:cs="Arial"/>
        </w:rPr>
        <w:t xml:space="preserve">Prior to the </w:t>
      </w:r>
      <w:r w:rsidRPr="00D720DA">
        <w:rPr>
          <w:rFonts w:ascii="Arial" w:hAnsi="Arial" w:cs="Arial"/>
          <w:i/>
          <w:iCs w:val="0"/>
        </w:rPr>
        <w:t>State Service Act 2000</w:t>
      </w:r>
      <w:r w:rsidRPr="00D720DA">
        <w:rPr>
          <w:rFonts w:ascii="Arial" w:hAnsi="Arial" w:cs="Arial"/>
        </w:rPr>
        <w:t xml:space="preserve">, Departmental Secretaries and the Auditor-General (Prescribed Office Holders) were appointed under s. 29 of the </w:t>
      </w:r>
      <w:r w:rsidRPr="00D720DA">
        <w:rPr>
          <w:rFonts w:ascii="Arial" w:hAnsi="Arial" w:cs="Arial"/>
          <w:i/>
          <w:iCs w:val="0"/>
        </w:rPr>
        <w:t xml:space="preserve">Tasmania State </w:t>
      </w:r>
      <w:r w:rsidRPr="00D720DA">
        <w:rPr>
          <w:rFonts w:ascii="Arial" w:hAnsi="Arial" w:cs="Arial"/>
        </w:rPr>
        <w:t>Service</w:t>
      </w:r>
      <w:r w:rsidRPr="00D720DA">
        <w:rPr>
          <w:rFonts w:ascii="Arial" w:hAnsi="Arial" w:cs="Arial"/>
          <w:i/>
          <w:iCs w:val="0"/>
        </w:rPr>
        <w:t xml:space="preserve"> Act 1984</w:t>
      </w:r>
      <w:r w:rsidRPr="00D720DA">
        <w:rPr>
          <w:rFonts w:ascii="Arial" w:hAnsi="Arial" w:cs="Arial"/>
        </w:rPr>
        <w:t>. At the time, there were nine government departments. At 30 June 2000 there were 22 FTE Prescribed Office Holders, accounting for only 0.1% of the State Service workforce (CPE, 2000, p.</w:t>
      </w:r>
      <w:r w:rsidR="008A45B8" w:rsidRPr="00D720DA">
        <w:rPr>
          <w:rFonts w:ascii="Arial" w:hAnsi="Arial" w:cs="Arial"/>
        </w:rPr>
        <w:t xml:space="preserve"> </w:t>
      </w:r>
      <w:r w:rsidRPr="00D720DA">
        <w:rPr>
          <w:rFonts w:ascii="Arial" w:hAnsi="Arial" w:cs="Arial"/>
        </w:rPr>
        <w:t>40). Only two (9%) were women.</w:t>
      </w:r>
    </w:p>
    <w:p w14:paraId="332AB691" w14:textId="1E4B99AA" w:rsidR="007766EB" w:rsidRPr="00D720DA" w:rsidRDefault="007766EB" w:rsidP="00C8424F">
      <w:pPr>
        <w:pStyle w:val="indentpara"/>
        <w:ind w:firstLine="0"/>
        <w:rPr>
          <w:rFonts w:ascii="Arial" w:hAnsi="Arial" w:cs="Arial"/>
        </w:rPr>
      </w:pPr>
      <w:r w:rsidRPr="00D720DA">
        <w:rPr>
          <w:rFonts w:ascii="Arial" w:hAnsi="Arial" w:cs="Arial"/>
        </w:rPr>
        <w:lastRenderedPageBreak/>
        <w:t xml:space="preserve">Two decades after the introduction of the Tasmanian SES, there were 231 Senior Executives in the Tasmanian State Service </w:t>
      </w:r>
      <w:r w:rsidR="00884C06" w:rsidRPr="00D720DA">
        <w:rPr>
          <w:rFonts w:ascii="Arial" w:hAnsi="Arial" w:cs="Arial"/>
        </w:rPr>
        <w:t xml:space="preserve">by </w:t>
      </w:r>
      <w:r w:rsidRPr="00D720DA">
        <w:rPr>
          <w:rFonts w:ascii="Arial" w:hAnsi="Arial" w:cs="Arial"/>
        </w:rPr>
        <w:t xml:space="preserve">June 2009, including 218 in 10 government departments (OSSC, 2009, p.17). </w:t>
      </w:r>
    </w:p>
    <w:p w14:paraId="08AAAFAC" w14:textId="02596DF0" w:rsidR="007766EB" w:rsidRPr="00D720DA" w:rsidRDefault="007766EB" w:rsidP="00C8424F">
      <w:pPr>
        <w:pStyle w:val="indentpara"/>
        <w:ind w:firstLine="0"/>
        <w:rPr>
          <w:rFonts w:ascii="Arial" w:hAnsi="Arial" w:cs="Arial"/>
        </w:rPr>
      </w:pPr>
      <w:r w:rsidRPr="00D720DA">
        <w:rPr>
          <w:rFonts w:ascii="Arial" w:hAnsi="Arial" w:cs="Arial"/>
        </w:rPr>
        <w:t xml:space="preserve">The SSMO (2019a) </w:t>
      </w:r>
      <w:r w:rsidR="008C79AF" w:rsidRPr="00D720DA">
        <w:rPr>
          <w:rFonts w:ascii="Arial" w:hAnsi="Arial" w:cs="Arial"/>
        </w:rPr>
        <w:t xml:space="preserve">includes the SES in the “Officers” category, </w:t>
      </w:r>
      <w:r w:rsidR="00D96C66" w:rsidRPr="00D720DA">
        <w:rPr>
          <w:rFonts w:ascii="Arial" w:hAnsi="Arial" w:cs="Arial"/>
        </w:rPr>
        <w:t>i.e.</w:t>
      </w:r>
      <w:r w:rsidR="008C79AF" w:rsidRPr="00D720DA">
        <w:rPr>
          <w:rFonts w:ascii="Arial" w:hAnsi="Arial" w:cs="Arial"/>
        </w:rPr>
        <w:t xml:space="preserve"> anyone appointed under Part 6 of the </w:t>
      </w:r>
      <w:r w:rsidR="008C79AF" w:rsidRPr="00D720DA">
        <w:rPr>
          <w:rFonts w:ascii="Arial" w:hAnsi="Arial" w:cs="Arial"/>
          <w:i/>
          <w:iCs w:val="0"/>
        </w:rPr>
        <w:t>State Service Act 2000</w:t>
      </w:r>
      <w:r w:rsidR="00D96C66" w:rsidRPr="00D720DA">
        <w:rPr>
          <w:rFonts w:ascii="Arial" w:hAnsi="Arial" w:cs="Arial"/>
        </w:rPr>
        <w:t xml:space="preserve"> –</w:t>
      </w:r>
      <w:r w:rsidRPr="00D720DA">
        <w:rPr>
          <w:rFonts w:ascii="Arial" w:hAnsi="Arial" w:cs="Arial"/>
        </w:rPr>
        <w:t xml:space="preserve"> Head</w:t>
      </w:r>
      <w:r w:rsidR="008C79AF" w:rsidRPr="00D720DA">
        <w:rPr>
          <w:rFonts w:ascii="Arial" w:hAnsi="Arial" w:cs="Arial"/>
        </w:rPr>
        <w:t>s</w:t>
      </w:r>
      <w:r w:rsidRPr="00D720DA">
        <w:rPr>
          <w:rFonts w:ascii="Arial" w:hAnsi="Arial" w:cs="Arial"/>
        </w:rPr>
        <w:t xml:space="preserve"> of Agenc</w:t>
      </w:r>
      <w:r w:rsidR="008C79AF" w:rsidRPr="00D720DA">
        <w:rPr>
          <w:rFonts w:ascii="Arial" w:hAnsi="Arial" w:cs="Arial"/>
        </w:rPr>
        <w:t>ies,</w:t>
      </w:r>
      <w:r w:rsidRPr="00D720DA">
        <w:rPr>
          <w:rFonts w:ascii="Arial" w:hAnsi="Arial" w:cs="Arial"/>
        </w:rPr>
        <w:t xml:space="preserve"> Prescribed Office Holder</w:t>
      </w:r>
      <w:r w:rsidR="00EE40BC" w:rsidRPr="00D720DA">
        <w:rPr>
          <w:rFonts w:ascii="Arial" w:hAnsi="Arial" w:cs="Arial"/>
        </w:rPr>
        <w:t>s</w:t>
      </w:r>
      <w:r w:rsidRPr="00D720DA">
        <w:rPr>
          <w:rFonts w:ascii="Arial" w:hAnsi="Arial" w:cs="Arial"/>
        </w:rPr>
        <w:t xml:space="preserve">, </w:t>
      </w:r>
      <w:r w:rsidR="00EE40BC" w:rsidRPr="00D720DA">
        <w:rPr>
          <w:rFonts w:ascii="Arial" w:hAnsi="Arial" w:cs="Arial"/>
        </w:rPr>
        <w:t xml:space="preserve">the Senior Executive Service (SES) and </w:t>
      </w:r>
      <w:r w:rsidRPr="00D720DA">
        <w:rPr>
          <w:rFonts w:ascii="Arial" w:hAnsi="Arial" w:cs="Arial"/>
        </w:rPr>
        <w:t>Equivalent Specialist</w:t>
      </w:r>
      <w:r w:rsidR="00EE40BC" w:rsidRPr="00D720DA">
        <w:rPr>
          <w:rFonts w:ascii="Arial" w:hAnsi="Arial" w:cs="Arial"/>
        </w:rPr>
        <w:t>s</w:t>
      </w:r>
      <w:r w:rsidRPr="00D720DA">
        <w:rPr>
          <w:rFonts w:ascii="Arial" w:hAnsi="Arial" w:cs="Arial"/>
        </w:rPr>
        <w:t xml:space="preserve"> (p.40)</w:t>
      </w:r>
      <w:r w:rsidR="00EE40BC" w:rsidRPr="00D720DA">
        <w:rPr>
          <w:rFonts w:ascii="Arial" w:hAnsi="Arial" w:cs="Arial"/>
        </w:rPr>
        <w:t xml:space="preserve">. </w:t>
      </w:r>
      <w:r w:rsidRPr="00D720DA">
        <w:rPr>
          <w:rFonts w:ascii="Arial" w:hAnsi="Arial" w:cs="Arial"/>
        </w:rPr>
        <w:t xml:space="preserve">The SES makes up </w:t>
      </w:r>
      <w:proofErr w:type="gramStart"/>
      <w:r w:rsidRPr="00D720DA">
        <w:rPr>
          <w:rFonts w:ascii="Arial" w:hAnsi="Arial" w:cs="Arial"/>
        </w:rPr>
        <w:t>the majority of</w:t>
      </w:r>
      <w:proofErr w:type="gramEnd"/>
      <w:r w:rsidRPr="00D720DA">
        <w:rPr>
          <w:rFonts w:ascii="Arial" w:hAnsi="Arial" w:cs="Arial"/>
        </w:rPr>
        <w:t xml:space="preserve"> the Officer class, with 85 men and 65 women </w:t>
      </w:r>
      <w:r w:rsidR="00BB449F" w:rsidRPr="00D720DA">
        <w:rPr>
          <w:rFonts w:ascii="Arial" w:hAnsi="Arial" w:cs="Arial"/>
        </w:rPr>
        <w:t>for</w:t>
      </w:r>
      <w:r w:rsidRPr="00D720DA">
        <w:rPr>
          <w:rFonts w:ascii="Arial" w:hAnsi="Arial" w:cs="Arial"/>
        </w:rPr>
        <w:t xml:space="preserve"> a total of 150 SES – a substantial reduction </w:t>
      </w:r>
      <w:r w:rsidR="00697E31" w:rsidRPr="00D720DA">
        <w:rPr>
          <w:rFonts w:ascii="Arial" w:hAnsi="Arial" w:cs="Arial"/>
        </w:rPr>
        <w:t>between 2009 and 2019.</w:t>
      </w:r>
      <w:r w:rsidRPr="00D720DA">
        <w:rPr>
          <w:rFonts w:ascii="Arial" w:hAnsi="Arial" w:cs="Arial"/>
        </w:rPr>
        <w:t xml:space="preserve"> </w:t>
      </w:r>
    </w:p>
    <w:p w14:paraId="1722088B" w14:textId="699CA0DB" w:rsidR="007766EB" w:rsidRPr="00D720DA" w:rsidRDefault="009060F3" w:rsidP="00C8424F">
      <w:pPr>
        <w:pStyle w:val="indentpara"/>
        <w:ind w:firstLine="0"/>
        <w:rPr>
          <w:rFonts w:ascii="Arial" w:hAnsi="Arial" w:cs="Arial"/>
        </w:rPr>
      </w:pPr>
      <w:r w:rsidRPr="00D720DA">
        <w:rPr>
          <w:rFonts w:ascii="Arial" w:hAnsi="Arial" w:cs="Arial"/>
        </w:rPr>
        <w:t xml:space="preserve">In 2016, </w:t>
      </w:r>
      <w:r w:rsidR="005B28D0" w:rsidRPr="00D720DA">
        <w:rPr>
          <w:rFonts w:ascii="Arial" w:hAnsi="Arial" w:cs="Arial"/>
        </w:rPr>
        <w:t xml:space="preserve">the SSMO set </w:t>
      </w:r>
      <w:r w:rsidRPr="00D720DA">
        <w:rPr>
          <w:rFonts w:ascii="Arial" w:hAnsi="Arial" w:cs="Arial"/>
        </w:rPr>
        <w:t>a gender equity in leadership target</w:t>
      </w:r>
      <w:r w:rsidR="00697E31" w:rsidRPr="00D720DA">
        <w:rPr>
          <w:rFonts w:ascii="Arial" w:hAnsi="Arial" w:cs="Arial"/>
        </w:rPr>
        <w:t>, aiming</w:t>
      </w:r>
      <w:r w:rsidRPr="00D720DA">
        <w:rPr>
          <w:rFonts w:ascii="Arial" w:hAnsi="Arial" w:cs="Arial"/>
        </w:rPr>
        <w:t xml:space="preserve"> to have at least 40% of the SES women by 2020 (SSMO, 2019). The gender composition of the SES increased from 31% in 2009 to 43% in 2019</w:t>
      </w:r>
      <w:r w:rsidR="005C2EA5" w:rsidRPr="00D720DA">
        <w:rPr>
          <w:rFonts w:ascii="Arial" w:hAnsi="Arial" w:cs="Arial"/>
        </w:rPr>
        <w:t xml:space="preserve">, but </w:t>
      </w:r>
      <w:r w:rsidR="007766EB" w:rsidRPr="00D720DA">
        <w:rPr>
          <w:rFonts w:ascii="Arial" w:hAnsi="Arial" w:cs="Arial"/>
        </w:rPr>
        <w:t xml:space="preserve">the proportion </w:t>
      </w:r>
      <w:r w:rsidR="005C2EA5" w:rsidRPr="00D720DA">
        <w:rPr>
          <w:rFonts w:ascii="Arial" w:hAnsi="Arial" w:cs="Arial"/>
        </w:rPr>
        <w:t xml:space="preserve">was </w:t>
      </w:r>
      <w:r w:rsidR="007766EB" w:rsidRPr="00D720DA">
        <w:rPr>
          <w:rFonts w:ascii="Arial" w:hAnsi="Arial" w:cs="Arial"/>
        </w:rPr>
        <w:t>lower for Heads of Agencies – five women to 11 men (31.25%) (SSMO, 2019b, p.40). This was an improvement from two years before, when only one of the 14 Heads of Agencies was female (SSMO, 2017).</w:t>
      </w:r>
    </w:p>
    <w:p w14:paraId="45AB5CFF" w14:textId="69E309A1" w:rsidR="00C9419B" w:rsidRPr="00D720DA" w:rsidRDefault="00C9419B" w:rsidP="00C8424F">
      <w:pPr>
        <w:pStyle w:val="indentpara"/>
        <w:ind w:firstLine="0"/>
        <w:rPr>
          <w:rFonts w:ascii="Arial" w:hAnsi="Arial" w:cs="Arial"/>
        </w:rPr>
      </w:pPr>
      <w:r w:rsidRPr="00D720DA">
        <w:rPr>
          <w:rFonts w:ascii="Arial" w:hAnsi="Arial" w:cs="Arial"/>
        </w:rPr>
        <w:t xml:space="preserve">The following table includes </w:t>
      </w:r>
      <w:r w:rsidR="007766EB" w:rsidRPr="00D720DA">
        <w:rPr>
          <w:rFonts w:ascii="Arial" w:hAnsi="Arial" w:cs="Arial"/>
        </w:rPr>
        <w:t>State Service</w:t>
      </w:r>
      <w:r w:rsidRPr="00D720DA">
        <w:rPr>
          <w:rFonts w:ascii="Arial" w:hAnsi="Arial" w:cs="Arial"/>
        </w:rPr>
        <w:t xml:space="preserve"> workforce figures extracted from official reports.</w:t>
      </w:r>
      <w:r w:rsidR="003924DF" w:rsidRPr="00D720DA">
        <w:rPr>
          <w:rFonts w:ascii="Arial" w:hAnsi="Arial" w:cs="Arial"/>
        </w:rPr>
        <w:t xml:space="preserve"> The data is incomplete due to changes in data collection and reporting over the past two decades.</w:t>
      </w:r>
    </w:p>
    <w:p w14:paraId="1E7E2E02" w14:textId="09FD847B" w:rsidR="00C9017B" w:rsidRPr="00D720DA" w:rsidRDefault="00C9017B" w:rsidP="00C9017B">
      <w:pPr>
        <w:pStyle w:val="Heading2"/>
        <w:spacing w:before="120" w:after="120"/>
        <w:ind w:left="578" w:hanging="578"/>
        <w:rPr>
          <w:rFonts w:ascii="Arial" w:hAnsi="Arial" w:cs="Arial"/>
          <w:u w:val="none"/>
        </w:rPr>
      </w:pPr>
      <w:bookmarkStart w:id="21" w:name="_Toc77356803"/>
      <w:r w:rsidRPr="00D720DA">
        <w:rPr>
          <w:rFonts w:ascii="Arial" w:hAnsi="Arial" w:cs="Arial"/>
          <w:u w:val="none"/>
        </w:rPr>
        <w:t>Table</w:t>
      </w:r>
      <w:r w:rsidR="00E70AAD">
        <w:rPr>
          <w:rFonts w:ascii="Arial" w:hAnsi="Arial" w:cs="Arial"/>
          <w:u w:val="none"/>
        </w:rPr>
        <w:t xml:space="preserve"> 4. </w:t>
      </w:r>
      <w:r w:rsidRPr="00D720DA">
        <w:rPr>
          <w:rFonts w:ascii="Arial" w:hAnsi="Arial" w:cs="Arial"/>
          <w:u w:val="none"/>
        </w:rPr>
        <w:t xml:space="preserve"> Tasmania State Service </w:t>
      </w:r>
      <w:r w:rsidR="00FF1185" w:rsidRPr="00D720DA">
        <w:rPr>
          <w:rFonts w:ascii="Arial" w:hAnsi="Arial" w:cs="Arial"/>
          <w:u w:val="none"/>
        </w:rPr>
        <w:t xml:space="preserve">permanent </w:t>
      </w:r>
      <w:r w:rsidRPr="00D720DA">
        <w:rPr>
          <w:rFonts w:ascii="Arial" w:hAnsi="Arial" w:cs="Arial"/>
          <w:u w:val="none"/>
        </w:rPr>
        <w:t xml:space="preserve">employees </w:t>
      </w:r>
      <w:r w:rsidR="00321114" w:rsidRPr="00D720DA">
        <w:rPr>
          <w:rFonts w:ascii="Arial" w:hAnsi="Arial" w:cs="Arial"/>
          <w:u w:val="none"/>
        </w:rPr>
        <w:t>1999</w:t>
      </w:r>
      <w:r w:rsidRPr="00D720DA">
        <w:rPr>
          <w:rFonts w:ascii="Arial" w:hAnsi="Arial" w:cs="Arial"/>
          <w:u w:val="none"/>
        </w:rPr>
        <w:t>, 2009 and 2019</w:t>
      </w:r>
      <w:bookmarkEnd w:id="21"/>
    </w:p>
    <w:tbl>
      <w:tblPr>
        <w:tblStyle w:val="TableGrid"/>
        <w:tblW w:w="0" w:type="auto"/>
        <w:tblLook w:val="04A0" w:firstRow="1" w:lastRow="0" w:firstColumn="1" w:lastColumn="0" w:noHBand="0" w:noVBand="1"/>
      </w:tblPr>
      <w:tblGrid>
        <w:gridCol w:w="706"/>
        <w:gridCol w:w="1284"/>
        <w:gridCol w:w="1284"/>
        <w:gridCol w:w="1284"/>
        <w:gridCol w:w="809"/>
        <w:gridCol w:w="775"/>
        <w:gridCol w:w="1229"/>
        <w:gridCol w:w="2823"/>
      </w:tblGrid>
      <w:tr w:rsidR="007766EB" w:rsidRPr="00D720DA" w14:paraId="03E1C587" w14:textId="6E4D5350" w:rsidTr="00FB5233">
        <w:tc>
          <w:tcPr>
            <w:tcW w:w="699" w:type="dxa"/>
          </w:tcPr>
          <w:p w14:paraId="5DC92338" w14:textId="41E28AA3" w:rsidR="00C9017B" w:rsidRPr="00D720DA" w:rsidRDefault="00C9017B" w:rsidP="0007153A">
            <w:pPr>
              <w:pStyle w:val="indentpara"/>
              <w:ind w:firstLine="0"/>
              <w:rPr>
                <w:rFonts w:ascii="Arial" w:hAnsi="Arial" w:cs="Arial"/>
                <w:b/>
                <w:bCs/>
                <w:sz w:val="22"/>
                <w:szCs w:val="22"/>
              </w:rPr>
            </w:pPr>
            <w:r w:rsidRPr="00D720DA">
              <w:rPr>
                <w:rFonts w:ascii="Arial" w:hAnsi="Arial" w:cs="Arial"/>
                <w:b/>
                <w:bCs/>
                <w:sz w:val="22"/>
                <w:szCs w:val="22"/>
              </w:rPr>
              <w:t>Year</w:t>
            </w:r>
          </w:p>
        </w:tc>
        <w:tc>
          <w:tcPr>
            <w:tcW w:w="1172" w:type="dxa"/>
          </w:tcPr>
          <w:p w14:paraId="085906F2" w14:textId="14A9B76F" w:rsidR="00C9017B" w:rsidRPr="00D720DA" w:rsidRDefault="00C9017B" w:rsidP="0007153A">
            <w:pPr>
              <w:pStyle w:val="indentpara"/>
              <w:ind w:firstLine="0"/>
              <w:rPr>
                <w:rFonts w:ascii="Arial" w:hAnsi="Arial" w:cs="Arial"/>
                <w:b/>
                <w:bCs/>
                <w:sz w:val="22"/>
                <w:szCs w:val="22"/>
              </w:rPr>
            </w:pPr>
            <w:r w:rsidRPr="00D720DA">
              <w:rPr>
                <w:rFonts w:ascii="Arial" w:hAnsi="Arial" w:cs="Arial"/>
                <w:b/>
                <w:bCs/>
                <w:sz w:val="22"/>
                <w:szCs w:val="22"/>
              </w:rPr>
              <w:t>TSS (F)</w:t>
            </w:r>
          </w:p>
        </w:tc>
        <w:tc>
          <w:tcPr>
            <w:tcW w:w="1172" w:type="dxa"/>
          </w:tcPr>
          <w:p w14:paraId="5A6C1F18" w14:textId="45CC4525" w:rsidR="00C9017B" w:rsidRPr="00D720DA" w:rsidRDefault="00C9017B" w:rsidP="0007153A">
            <w:pPr>
              <w:pStyle w:val="indentpara"/>
              <w:ind w:firstLine="0"/>
              <w:rPr>
                <w:rFonts w:ascii="Arial" w:hAnsi="Arial" w:cs="Arial"/>
                <w:b/>
                <w:bCs/>
                <w:sz w:val="22"/>
                <w:szCs w:val="22"/>
              </w:rPr>
            </w:pPr>
            <w:r w:rsidRPr="00D720DA">
              <w:rPr>
                <w:rFonts w:ascii="Arial" w:hAnsi="Arial" w:cs="Arial"/>
                <w:b/>
                <w:bCs/>
                <w:sz w:val="22"/>
                <w:szCs w:val="22"/>
              </w:rPr>
              <w:t>TSS (M)</w:t>
            </w:r>
          </w:p>
        </w:tc>
        <w:tc>
          <w:tcPr>
            <w:tcW w:w="1172" w:type="dxa"/>
          </w:tcPr>
          <w:p w14:paraId="00F1C9DE" w14:textId="5D1F9A87" w:rsidR="00C9017B" w:rsidRPr="00D720DA" w:rsidRDefault="00C9017B" w:rsidP="0007153A">
            <w:pPr>
              <w:pStyle w:val="indentpara"/>
              <w:ind w:firstLine="0"/>
              <w:rPr>
                <w:rFonts w:ascii="Arial" w:hAnsi="Arial" w:cs="Arial"/>
                <w:b/>
                <w:bCs/>
                <w:sz w:val="22"/>
                <w:szCs w:val="22"/>
              </w:rPr>
            </w:pPr>
            <w:r w:rsidRPr="00D720DA">
              <w:rPr>
                <w:rFonts w:ascii="Arial" w:hAnsi="Arial" w:cs="Arial"/>
                <w:b/>
                <w:bCs/>
                <w:sz w:val="22"/>
                <w:szCs w:val="22"/>
              </w:rPr>
              <w:t>TSS (T)</w:t>
            </w:r>
          </w:p>
        </w:tc>
        <w:tc>
          <w:tcPr>
            <w:tcW w:w="825" w:type="dxa"/>
          </w:tcPr>
          <w:p w14:paraId="56D9FD93" w14:textId="72721270" w:rsidR="00C9017B" w:rsidRPr="00D720DA" w:rsidRDefault="00C9017B" w:rsidP="0007153A">
            <w:pPr>
              <w:pStyle w:val="indentpara"/>
              <w:ind w:firstLine="0"/>
              <w:rPr>
                <w:rFonts w:ascii="Arial" w:hAnsi="Arial" w:cs="Arial"/>
                <w:b/>
                <w:bCs/>
                <w:sz w:val="22"/>
                <w:szCs w:val="22"/>
              </w:rPr>
            </w:pPr>
            <w:r w:rsidRPr="00D720DA">
              <w:rPr>
                <w:rFonts w:ascii="Arial" w:hAnsi="Arial" w:cs="Arial"/>
                <w:b/>
                <w:bCs/>
                <w:sz w:val="22"/>
                <w:szCs w:val="22"/>
              </w:rPr>
              <w:t>SES (F)</w:t>
            </w:r>
          </w:p>
        </w:tc>
        <w:tc>
          <w:tcPr>
            <w:tcW w:w="805" w:type="dxa"/>
          </w:tcPr>
          <w:p w14:paraId="6FDDE556" w14:textId="7FB1C3FB" w:rsidR="00C9017B" w:rsidRPr="00D720DA" w:rsidRDefault="00C9017B" w:rsidP="0007153A">
            <w:pPr>
              <w:pStyle w:val="indentpara"/>
              <w:ind w:firstLine="0"/>
              <w:rPr>
                <w:rFonts w:ascii="Arial" w:hAnsi="Arial" w:cs="Arial"/>
                <w:b/>
                <w:bCs/>
                <w:sz w:val="22"/>
                <w:szCs w:val="22"/>
              </w:rPr>
            </w:pPr>
            <w:r w:rsidRPr="00D720DA">
              <w:rPr>
                <w:rFonts w:ascii="Arial" w:hAnsi="Arial" w:cs="Arial"/>
                <w:b/>
                <w:bCs/>
                <w:sz w:val="22"/>
                <w:szCs w:val="22"/>
              </w:rPr>
              <w:t>SES (M)</w:t>
            </w:r>
          </w:p>
        </w:tc>
        <w:tc>
          <w:tcPr>
            <w:tcW w:w="1138" w:type="dxa"/>
          </w:tcPr>
          <w:p w14:paraId="2A9AF242" w14:textId="1FF71B3C" w:rsidR="00C9017B" w:rsidRPr="00D720DA" w:rsidRDefault="00C9017B" w:rsidP="0007153A">
            <w:pPr>
              <w:pStyle w:val="indentpara"/>
              <w:ind w:firstLine="0"/>
              <w:rPr>
                <w:rFonts w:ascii="Arial" w:hAnsi="Arial" w:cs="Arial"/>
                <w:b/>
                <w:bCs/>
                <w:sz w:val="22"/>
                <w:szCs w:val="22"/>
              </w:rPr>
            </w:pPr>
            <w:r w:rsidRPr="00D720DA">
              <w:rPr>
                <w:rFonts w:ascii="Arial" w:hAnsi="Arial" w:cs="Arial"/>
                <w:b/>
                <w:bCs/>
                <w:sz w:val="22"/>
                <w:szCs w:val="22"/>
              </w:rPr>
              <w:t>SES (T)</w:t>
            </w:r>
          </w:p>
        </w:tc>
        <w:tc>
          <w:tcPr>
            <w:tcW w:w="3211" w:type="dxa"/>
          </w:tcPr>
          <w:p w14:paraId="27821B93" w14:textId="621D63B0" w:rsidR="00C9017B" w:rsidRPr="00D720DA" w:rsidRDefault="00C9017B" w:rsidP="0007153A">
            <w:pPr>
              <w:pStyle w:val="indentpara"/>
              <w:ind w:firstLine="0"/>
              <w:rPr>
                <w:rFonts w:ascii="Arial" w:hAnsi="Arial" w:cs="Arial"/>
                <w:b/>
                <w:bCs/>
                <w:sz w:val="22"/>
                <w:szCs w:val="22"/>
              </w:rPr>
            </w:pPr>
            <w:r w:rsidRPr="00D720DA">
              <w:rPr>
                <w:rFonts w:ascii="Arial" w:hAnsi="Arial" w:cs="Arial"/>
                <w:b/>
                <w:bCs/>
                <w:sz w:val="22"/>
                <w:szCs w:val="22"/>
              </w:rPr>
              <w:t>Notes</w:t>
            </w:r>
          </w:p>
        </w:tc>
      </w:tr>
      <w:tr w:rsidR="007766EB" w:rsidRPr="00D720DA" w14:paraId="766AE6C1" w14:textId="4568A574" w:rsidTr="00FB5233">
        <w:tc>
          <w:tcPr>
            <w:tcW w:w="699" w:type="dxa"/>
            <w:vMerge w:val="restart"/>
          </w:tcPr>
          <w:p w14:paraId="076371D0" w14:textId="19975A60" w:rsidR="009C69B6" w:rsidRPr="00D720DA" w:rsidRDefault="00321114" w:rsidP="0007153A">
            <w:pPr>
              <w:pStyle w:val="indentpara"/>
              <w:ind w:firstLine="0"/>
              <w:rPr>
                <w:rFonts w:ascii="Arial" w:hAnsi="Arial" w:cs="Arial"/>
                <w:b/>
                <w:bCs/>
                <w:sz w:val="22"/>
                <w:szCs w:val="22"/>
              </w:rPr>
            </w:pPr>
            <w:r w:rsidRPr="00D720DA">
              <w:rPr>
                <w:rFonts w:ascii="Arial" w:hAnsi="Arial" w:cs="Arial"/>
                <w:b/>
                <w:bCs/>
                <w:sz w:val="22"/>
                <w:szCs w:val="22"/>
              </w:rPr>
              <w:t>1999</w:t>
            </w:r>
          </w:p>
        </w:tc>
        <w:tc>
          <w:tcPr>
            <w:tcW w:w="1172" w:type="dxa"/>
          </w:tcPr>
          <w:p w14:paraId="0D11DAA9" w14:textId="0F40D21A" w:rsidR="009C69B6" w:rsidRPr="00D720DA" w:rsidRDefault="009C69B6" w:rsidP="00C9017B">
            <w:pPr>
              <w:pStyle w:val="indentpara"/>
              <w:ind w:firstLine="0"/>
              <w:jc w:val="right"/>
              <w:rPr>
                <w:rFonts w:ascii="Arial" w:hAnsi="Arial" w:cs="Arial"/>
                <w:sz w:val="20"/>
                <w:szCs w:val="20"/>
              </w:rPr>
            </w:pPr>
          </w:p>
        </w:tc>
        <w:tc>
          <w:tcPr>
            <w:tcW w:w="1172" w:type="dxa"/>
          </w:tcPr>
          <w:p w14:paraId="00FE2B50" w14:textId="683448CF" w:rsidR="009C69B6" w:rsidRPr="00D720DA" w:rsidRDefault="009C69B6" w:rsidP="00C9017B">
            <w:pPr>
              <w:pStyle w:val="indentpara"/>
              <w:ind w:firstLine="0"/>
              <w:jc w:val="right"/>
              <w:rPr>
                <w:rFonts w:ascii="Arial" w:hAnsi="Arial" w:cs="Arial"/>
                <w:sz w:val="20"/>
                <w:szCs w:val="20"/>
              </w:rPr>
            </w:pPr>
          </w:p>
        </w:tc>
        <w:tc>
          <w:tcPr>
            <w:tcW w:w="1172" w:type="dxa"/>
          </w:tcPr>
          <w:p w14:paraId="31D04C18" w14:textId="0975DF8A" w:rsidR="009C69B6" w:rsidRPr="00D720DA" w:rsidRDefault="009C69B6" w:rsidP="009C69B6">
            <w:pPr>
              <w:pStyle w:val="indentpara"/>
              <w:ind w:firstLine="0"/>
              <w:jc w:val="right"/>
              <w:rPr>
                <w:rFonts w:ascii="Arial" w:hAnsi="Arial" w:cs="Arial"/>
                <w:sz w:val="20"/>
                <w:szCs w:val="20"/>
              </w:rPr>
            </w:pPr>
            <w:r w:rsidRPr="00D720DA">
              <w:rPr>
                <w:rFonts w:ascii="Arial" w:hAnsi="Arial" w:cs="Arial"/>
                <w:b/>
                <w:bCs/>
                <w:sz w:val="20"/>
                <w:szCs w:val="20"/>
              </w:rPr>
              <w:t>14,194</w:t>
            </w:r>
            <w:r w:rsidRPr="00D720DA">
              <w:rPr>
                <w:rFonts w:ascii="Arial" w:hAnsi="Arial" w:cs="Arial"/>
                <w:b/>
                <w:bCs/>
                <w:sz w:val="20"/>
                <w:szCs w:val="20"/>
              </w:rPr>
              <w:br/>
            </w:r>
            <w:r w:rsidRPr="00D720DA">
              <w:rPr>
                <w:rFonts w:ascii="Arial" w:hAnsi="Arial" w:cs="Arial"/>
                <w:sz w:val="20"/>
                <w:szCs w:val="20"/>
              </w:rPr>
              <w:t>(FTE permanent)</w:t>
            </w:r>
          </w:p>
        </w:tc>
        <w:tc>
          <w:tcPr>
            <w:tcW w:w="825" w:type="dxa"/>
          </w:tcPr>
          <w:p w14:paraId="1F03F8C2" w14:textId="161284BF" w:rsidR="009C69B6" w:rsidRPr="00D720DA" w:rsidRDefault="009C69B6" w:rsidP="00C9017B">
            <w:pPr>
              <w:pStyle w:val="indentpara"/>
              <w:ind w:firstLine="0"/>
              <w:jc w:val="right"/>
              <w:rPr>
                <w:rFonts w:ascii="Arial" w:hAnsi="Arial" w:cs="Arial"/>
                <w:sz w:val="20"/>
                <w:szCs w:val="20"/>
              </w:rPr>
            </w:pPr>
          </w:p>
        </w:tc>
        <w:tc>
          <w:tcPr>
            <w:tcW w:w="805" w:type="dxa"/>
          </w:tcPr>
          <w:p w14:paraId="4C47D955" w14:textId="77777777" w:rsidR="009C69B6" w:rsidRPr="00D720DA" w:rsidRDefault="009C69B6" w:rsidP="00C9017B">
            <w:pPr>
              <w:pStyle w:val="indentpara"/>
              <w:ind w:firstLine="0"/>
              <w:jc w:val="right"/>
              <w:rPr>
                <w:rFonts w:ascii="Arial" w:hAnsi="Arial" w:cs="Arial"/>
                <w:sz w:val="20"/>
                <w:szCs w:val="20"/>
              </w:rPr>
            </w:pPr>
          </w:p>
        </w:tc>
        <w:tc>
          <w:tcPr>
            <w:tcW w:w="1138" w:type="dxa"/>
          </w:tcPr>
          <w:p w14:paraId="34E67B9B" w14:textId="4121042C" w:rsidR="009C69B6" w:rsidRPr="00D720DA" w:rsidRDefault="00E70BC6" w:rsidP="00C9017B">
            <w:pPr>
              <w:pStyle w:val="indentpara"/>
              <w:ind w:firstLine="0"/>
              <w:jc w:val="right"/>
              <w:rPr>
                <w:rFonts w:ascii="Arial" w:hAnsi="Arial" w:cs="Arial"/>
                <w:sz w:val="20"/>
                <w:szCs w:val="20"/>
              </w:rPr>
            </w:pPr>
            <w:r w:rsidRPr="00D720DA">
              <w:rPr>
                <w:rFonts w:ascii="Arial" w:hAnsi="Arial" w:cs="Arial"/>
                <w:sz w:val="20"/>
                <w:szCs w:val="20"/>
              </w:rPr>
              <w:t>*</w:t>
            </w:r>
          </w:p>
        </w:tc>
        <w:tc>
          <w:tcPr>
            <w:tcW w:w="3211" w:type="dxa"/>
          </w:tcPr>
          <w:p w14:paraId="42594324" w14:textId="5CAB2197" w:rsidR="007766EB" w:rsidRPr="00D720DA" w:rsidRDefault="007766EB" w:rsidP="0007153A">
            <w:pPr>
              <w:pStyle w:val="indentpara"/>
              <w:ind w:firstLine="0"/>
              <w:rPr>
                <w:rFonts w:ascii="Arial" w:hAnsi="Arial" w:cs="Arial"/>
                <w:sz w:val="20"/>
                <w:szCs w:val="20"/>
              </w:rPr>
            </w:pPr>
            <w:r w:rsidRPr="00D720DA">
              <w:rPr>
                <w:rFonts w:ascii="Arial" w:hAnsi="Arial" w:cs="Arial"/>
                <w:sz w:val="20"/>
                <w:szCs w:val="20"/>
              </w:rPr>
              <w:t xml:space="preserve">Gender is not reported by FTE. </w:t>
            </w:r>
          </w:p>
          <w:p w14:paraId="5AA01ED1" w14:textId="16B53FB2" w:rsidR="00FF1185" w:rsidRPr="00D720DA" w:rsidRDefault="00E70BC6" w:rsidP="0007153A">
            <w:pPr>
              <w:pStyle w:val="indentpara"/>
              <w:ind w:firstLine="0"/>
              <w:rPr>
                <w:rFonts w:ascii="Arial" w:hAnsi="Arial" w:cs="Arial"/>
                <w:sz w:val="20"/>
                <w:szCs w:val="20"/>
              </w:rPr>
            </w:pPr>
            <w:r w:rsidRPr="00D720DA">
              <w:rPr>
                <w:rFonts w:ascii="Arial" w:hAnsi="Arial" w:cs="Arial"/>
                <w:sz w:val="20"/>
                <w:szCs w:val="20"/>
              </w:rPr>
              <w:t>*</w:t>
            </w:r>
            <w:r w:rsidR="00FF1185" w:rsidRPr="00D720DA">
              <w:rPr>
                <w:rFonts w:ascii="Arial" w:hAnsi="Arial" w:cs="Arial"/>
                <w:sz w:val="20"/>
                <w:szCs w:val="20"/>
              </w:rPr>
              <w:t xml:space="preserve">Senior executives are counted </w:t>
            </w:r>
            <w:r w:rsidRPr="00D720DA">
              <w:rPr>
                <w:rFonts w:ascii="Arial" w:hAnsi="Arial" w:cs="Arial"/>
                <w:sz w:val="20"/>
                <w:szCs w:val="20"/>
              </w:rPr>
              <w:t>in a combined category with other</w:t>
            </w:r>
            <w:r w:rsidR="00FF1185" w:rsidRPr="00D720DA">
              <w:rPr>
                <w:rFonts w:ascii="Arial" w:hAnsi="Arial" w:cs="Arial"/>
                <w:sz w:val="20"/>
                <w:szCs w:val="20"/>
              </w:rPr>
              <w:t xml:space="preserve"> temporary employees.</w:t>
            </w:r>
          </w:p>
        </w:tc>
      </w:tr>
      <w:tr w:rsidR="007766EB" w:rsidRPr="00D720DA" w14:paraId="488C6F01" w14:textId="77777777" w:rsidTr="00FB5233">
        <w:tc>
          <w:tcPr>
            <w:tcW w:w="699" w:type="dxa"/>
            <w:vMerge/>
          </w:tcPr>
          <w:p w14:paraId="7D360F0D" w14:textId="1392F34E" w:rsidR="009C69B6" w:rsidRPr="00D720DA" w:rsidRDefault="009C69B6" w:rsidP="0007153A">
            <w:pPr>
              <w:pStyle w:val="indentpara"/>
              <w:ind w:firstLine="0"/>
              <w:rPr>
                <w:rFonts w:ascii="Arial" w:hAnsi="Arial" w:cs="Arial"/>
                <w:b/>
                <w:bCs/>
                <w:sz w:val="22"/>
                <w:szCs w:val="22"/>
              </w:rPr>
            </w:pPr>
          </w:p>
        </w:tc>
        <w:tc>
          <w:tcPr>
            <w:tcW w:w="1172" w:type="dxa"/>
          </w:tcPr>
          <w:p w14:paraId="2FA32644" w14:textId="5FC94386" w:rsidR="007766EB" w:rsidRPr="00D720DA" w:rsidRDefault="009C69B6" w:rsidP="009C69B6">
            <w:pPr>
              <w:pStyle w:val="indentpara"/>
              <w:ind w:firstLine="0"/>
              <w:jc w:val="right"/>
              <w:rPr>
                <w:rFonts w:ascii="Arial" w:hAnsi="Arial" w:cs="Arial"/>
                <w:sz w:val="20"/>
                <w:szCs w:val="20"/>
              </w:rPr>
            </w:pPr>
            <w:r w:rsidRPr="00D720DA">
              <w:rPr>
                <w:rFonts w:ascii="Arial" w:hAnsi="Arial" w:cs="Arial"/>
                <w:sz w:val="20"/>
                <w:szCs w:val="20"/>
              </w:rPr>
              <w:t>9995</w:t>
            </w:r>
            <w:r w:rsidRPr="00D720DA">
              <w:rPr>
                <w:rFonts w:ascii="Arial" w:hAnsi="Arial" w:cs="Arial"/>
                <w:sz w:val="20"/>
                <w:szCs w:val="20"/>
              </w:rPr>
              <w:br/>
              <w:t xml:space="preserve">(headcount) </w:t>
            </w:r>
          </w:p>
          <w:p w14:paraId="1DEC6AF3" w14:textId="4E1FA8FF" w:rsidR="009C69B6" w:rsidRPr="00D720DA" w:rsidRDefault="009C69B6" w:rsidP="009C69B6">
            <w:pPr>
              <w:pStyle w:val="indentpara"/>
              <w:ind w:firstLine="0"/>
              <w:jc w:val="right"/>
              <w:rPr>
                <w:rFonts w:ascii="Arial" w:hAnsi="Arial" w:cs="Arial"/>
                <w:sz w:val="20"/>
                <w:szCs w:val="20"/>
              </w:rPr>
            </w:pPr>
            <w:r w:rsidRPr="00D720DA">
              <w:rPr>
                <w:rFonts w:ascii="Arial" w:hAnsi="Arial" w:cs="Arial"/>
                <w:sz w:val="20"/>
                <w:szCs w:val="20"/>
              </w:rPr>
              <w:t>(71%)</w:t>
            </w:r>
          </w:p>
        </w:tc>
        <w:tc>
          <w:tcPr>
            <w:tcW w:w="1172" w:type="dxa"/>
          </w:tcPr>
          <w:p w14:paraId="11CF9E42" w14:textId="473051A8" w:rsidR="009C69B6" w:rsidRPr="00D720DA" w:rsidRDefault="009C69B6" w:rsidP="009C69B6">
            <w:pPr>
              <w:pStyle w:val="indentpara"/>
              <w:ind w:firstLine="0"/>
              <w:jc w:val="right"/>
              <w:rPr>
                <w:rFonts w:ascii="Arial" w:hAnsi="Arial" w:cs="Arial"/>
                <w:sz w:val="20"/>
                <w:szCs w:val="20"/>
              </w:rPr>
            </w:pPr>
            <w:r w:rsidRPr="00D720DA">
              <w:rPr>
                <w:rFonts w:ascii="Arial" w:hAnsi="Arial" w:cs="Arial"/>
                <w:sz w:val="20"/>
                <w:szCs w:val="20"/>
              </w:rPr>
              <w:t>5467</w:t>
            </w:r>
            <w:r w:rsidRPr="00D720DA">
              <w:rPr>
                <w:rFonts w:ascii="Arial" w:hAnsi="Arial" w:cs="Arial"/>
                <w:sz w:val="20"/>
                <w:szCs w:val="20"/>
              </w:rPr>
              <w:br/>
              <w:t>(headcount)</w:t>
            </w:r>
          </w:p>
        </w:tc>
        <w:tc>
          <w:tcPr>
            <w:tcW w:w="1172" w:type="dxa"/>
          </w:tcPr>
          <w:p w14:paraId="771E35EB" w14:textId="671F83AA" w:rsidR="009C69B6" w:rsidRPr="00D720DA" w:rsidRDefault="009C69B6" w:rsidP="009C69B6">
            <w:pPr>
              <w:pStyle w:val="indentpara"/>
              <w:ind w:firstLine="0"/>
              <w:jc w:val="right"/>
              <w:rPr>
                <w:rFonts w:ascii="Arial" w:hAnsi="Arial" w:cs="Arial"/>
                <w:sz w:val="20"/>
                <w:szCs w:val="20"/>
              </w:rPr>
            </w:pPr>
            <w:r w:rsidRPr="00D720DA">
              <w:rPr>
                <w:rFonts w:ascii="Arial" w:hAnsi="Arial" w:cs="Arial"/>
                <w:b/>
                <w:bCs/>
                <w:sz w:val="20"/>
                <w:szCs w:val="20"/>
              </w:rPr>
              <w:t>15,462</w:t>
            </w:r>
            <w:r w:rsidRPr="00D720DA">
              <w:rPr>
                <w:rFonts w:ascii="Arial" w:hAnsi="Arial" w:cs="Arial"/>
                <w:sz w:val="20"/>
                <w:szCs w:val="20"/>
              </w:rPr>
              <w:br/>
              <w:t>(head</w:t>
            </w:r>
            <w:r w:rsidR="006D703D" w:rsidRPr="00D720DA">
              <w:rPr>
                <w:rFonts w:ascii="Arial" w:hAnsi="Arial" w:cs="Arial"/>
                <w:sz w:val="20"/>
                <w:szCs w:val="20"/>
              </w:rPr>
              <w:t xml:space="preserve"> </w:t>
            </w:r>
            <w:r w:rsidRPr="00D720DA">
              <w:rPr>
                <w:rFonts w:ascii="Arial" w:hAnsi="Arial" w:cs="Arial"/>
                <w:sz w:val="20"/>
                <w:szCs w:val="20"/>
              </w:rPr>
              <w:t>count)</w:t>
            </w:r>
          </w:p>
          <w:p w14:paraId="64F7035F" w14:textId="77777777" w:rsidR="009C69B6" w:rsidRPr="00D720DA" w:rsidRDefault="009C69B6" w:rsidP="00C9017B">
            <w:pPr>
              <w:pStyle w:val="indentpara"/>
              <w:ind w:firstLine="0"/>
              <w:jc w:val="right"/>
              <w:rPr>
                <w:rFonts w:ascii="Arial" w:hAnsi="Arial" w:cs="Arial"/>
                <w:b/>
                <w:bCs/>
                <w:sz w:val="20"/>
                <w:szCs w:val="20"/>
              </w:rPr>
            </w:pPr>
          </w:p>
        </w:tc>
        <w:tc>
          <w:tcPr>
            <w:tcW w:w="825" w:type="dxa"/>
          </w:tcPr>
          <w:p w14:paraId="73493298" w14:textId="77777777" w:rsidR="009C69B6" w:rsidRPr="00D720DA" w:rsidRDefault="009C69B6" w:rsidP="00C9017B">
            <w:pPr>
              <w:pStyle w:val="indentpara"/>
              <w:ind w:firstLine="0"/>
              <w:jc w:val="right"/>
              <w:rPr>
                <w:rFonts w:ascii="Arial" w:hAnsi="Arial" w:cs="Arial"/>
                <w:sz w:val="20"/>
                <w:szCs w:val="20"/>
              </w:rPr>
            </w:pPr>
          </w:p>
        </w:tc>
        <w:tc>
          <w:tcPr>
            <w:tcW w:w="805" w:type="dxa"/>
          </w:tcPr>
          <w:p w14:paraId="5A26DE50" w14:textId="77777777" w:rsidR="009C69B6" w:rsidRPr="00D720DA" w:rsidRDefault="009C69B6" w:rsidP="00C9017B">
            <w:pPr>
              <w:pStyle w:val="indentpara"/>
              <w:ind w:firstLine="0"/>
              <w:jc w:val="right"/>
              <w:rPr>
                <w:rFonts w:ascii="Arial" w:hAnsi="Arial" w:cs="Arial"/>
                <w:sz w:val="20"/>
                <w:szCs w:val="20"/>
              </w:rPr>
            </w:pPr>
          </w:p>
        </w:tc>
        <w:tc>
          <w:tcPr>
            <w:tcW w:w="1138" w:type="dxa"/>
          </w:tcPr>
          <w:p w14:paraId="202B8EE3" w14:textId="77777777" w:rsidR="009C69B6" w:rsidRPr="00D720DA" w:rsidRDefault="009C69B6" w:rsidP="00C9017B">
            <w:pPr>
              <w:pStyle w:val="indentpara"/>
              <w:ind w:firstLine="0"/>
              <w:jc w:val="right"/>
              <w:rPr>
                <w:rFonts w:ascii="Arial" w:hAnsi="Arial" w:cs="Arial"/>
                <w:sz w:val="20"/>
                <w:szCs w:val="20"/>
              </w:rPr>
            </w:pPr>
          </w:p>
        </w:tc>
        <w:tc>
          <w:tcPr>
            <w:tcW w:w="3211" w:type="dxa"/>
          </w:tcPr>
          <w:p w14:paraId="650BAB60" w14:textId="77777777" w:rsidR="007766EB" w:rsidRPr="00D720DA" w:rsidRDefault="00FF1185" w:rsidP="007766EB">
            <w:pPr>
              <w:pStyle w:val="indentpara"/>
              <w:ind w:firstLine="0"/>
              <w:rPr>
                <w:rFonts w:ascii="Arial" w:hAnsi="Arial" w:cs="Arial"/>
                <w:sz w:val="20"/>
                <w:szCs w:val="20"/>
              </w:rPr>
            </w:pPr>
            <w:r w:rsidRPr="00D720DA">
              <w:rPr>
                <w:rFonts w:ascii="Arial" w:hAnsi="Arial" w:cs="Arial"/>
                <w:sz w:val="20"/>
                <w:szCs w:val="20"/>
              </w:rPr>
              <w:t>Headcount figures are for permanent employees.</w:t>
            </w:r>
            <w:r w:rsidR="007766EB" w:rsidRPr="00D720DA">
              <w:rPr>
                <w:rFonts w:ascii="Arial" w:hAnsi="Arial" w:cs="Arial"/>
                <w:sz w:val="20"/>
                <w:szCs w:val="20"/>
              </w:rPr>
              <w:t xml:space="preserve"> </w:t>
            </w:r>
          </w:p>
          <w:p w14:paraId="42155C8D" w14:textId="45F55EB9" w:rsidR="009C69B6" w:rsidRPr="00D720DA" w:rsidRDefault="007766EB" w:rsidP="0007153A">
            <w:pPr>
              <w:pStyle w:val="indentpara"/>
              <w:ind w:firstLine="0"/>
              <w:rPr>
                <w:rFonts w:ascii="Arial" w:hAnsi="Arial" w:cs="Arial"/>
                <w:sz w:val="20"/>
                <w:szCs w:val="20"/>
              </w:rPr>
            </w:pPr>
            <w:r w:rsidRPr="00D720DA">
              <w:rPr>
                <w:rFonts w:ascii="Arial" w:hAnsi="Arial" w:cs="Arial"/>
                <w:sz w:val="20"/>
                <w:szCs w:val="20"/>
              </w:rPr>
              <w:t>Total headcount is 24,855, including Prescribed and Temporary employees (Table 4).</w:t>
            </w:r>
          </w:p>
        </w:tc>
      </w:tr>
      <w:tr w:rsidR="00243DEE" w:rsidRPr="00D720DA" w14:paraId="54FFE31C" w14:textId="4BCB234C" w:rsidTr="00FB5233">
        <w:tc>
          <w:tcPr>
            <w:tcW w:w="699" w:type="dxa"/>
            <w:vMerge w:val="restart"/>
          </w:tcPr>
          <w:p w14:paraId="7E236C1D" w14:textId="26DA64CD" w:rsidR="00243DEE" w:rsidRPr="00D720DA" w:rsidRDefault="00243DEE" w:rsidP="0007153A">
            <w:pPr>
              <w:pStyle w:val="indentpara"/>
              <w:ind w:firstLine="0"/>
              <w:rPr>
                <w:rFonts w:ascii="Arial" w:hAnsi="Arial" w:cs="Arial"/>
                <w:b/>
                <w:bCs/>
                <w:sz w:val="22"/>
                <w:szCs w:val="22"/>
              </w:rPr>
            </w:pPr>
            <w:r w:rsidRPr="00D720DA">
              <w:rPr>
                <w:rFonts w:ascii="Arial" w:hAnsi="Arial" w:cs="Arial"/>
                <w:b/>
                <w:bCs/>
                <w:sz w:val="22"/>
                <w:szCs w:val="22"/>
              </w:rPr>
              <w:t>2009</w:t>
            </w:r>
          </w:p>
        </w:tc>
        <w:tc>
          <w:tcPr>
            <w:tcW w:w="1172" w:type="dxa"/>
          </w:tcPr>
          <w:p w14:paraId="2FF78FA5" w14:textId="77777777" w:rsidR="00243DEE" w:rsidRPr="00D720DA" w:rsidRDefault="00243DEE" w:rsidP="00C9017B">
            <w:pPr>
              <w:pStyle w:val="indentpara"/>
              <w:ind w:firstLine="0"/>
              <w:jc w:val="right"/>
              <w:rPr>
                <w:rFonts w:ascii="Arial" w:hAnsi="Arial" w:cs="Arial"/>
                <w:sz w:val="20"/>
                <w:szCs w:val="20"/>
              </w:rPr>
            </w:pPr>
          </w:p>
        </w:tc>
        <w:tc>
          <w:tcPr>
            <w:tcW w:w="1172" w:type="dxa"/>
          </w:tcPr>
          <w:p w14:paraId="474E7133" w14:textId="77777777" w:rsidR="00243DEE" w:rsidRPr="00D720DA" w:rsidRDefault="00243DEE" w:rsidP="00C9017B">
            <w:pPr>
              <w:pStyle w:val="indentpara"/>
              <w:ind w:firstLine="0"/>
              <w:jc w:val="right"/>
              <w:rPr>
                <w:rFonts w:ascii="Arial" w:hAnsi="Arial" w:cs="Arial"/>
                <w:sz w:val="20"/>
                <w:szCs w:val="20"/>
              </w:rPr>
            </w:pPr>
          </w:p>
        </w:tc>
        <w:tc>
          <w:tcPr>
            <w:tcW w:w="1172" w:type="dxa"/>
          </w:tcPr>
          <w:p w14:paraId="27599D93" w14:textId="02B1C7E3" w:rsidR="00243DEE" w:rsidRPr="00D720DA" w:rsidRDefault="00243DEE" w:rsidP="009C69B6">
            <w:pPr>
              <w:pStyle w:val="indentpara"/>
              <w:ind w:firstLine="0"/>
              <w:jc w:val="right"/>
              <w:rPr>
                <w:rFonts w:ascii="Arial" w:hAnsi="Arial" w:cs="Arial"/>
                <w:b/>
                <w:bCs/>
                <w:sz w:val="20"/>
                <w:szCs w:val="20"/>
              </w:rPr>
            </w:pPr>
            <w:r w:rsidRPr="00D720DA">
              <w:rPr>
                <w:rFonts w:ascii="Arial" w:hAnsi="Arial" w:cs="Arial"/>
                <w:b/>
                <w:bCs/>
                <w:sz w:val="20"/>
                <w:szCs w:val="20"/>
              </w:rPr>
              <w:t>20,438</w:t>
            </w:r>
            <w:r w:rsidRPr="00D720DA">
              <w:rPr>
                <w:rFonts w:ascii="Arial" w:hAnsi="Arial" w:cs="Arial"/>
                <w:b/>
                <w:bCs/>
                <w:sz w:val="20"/>
                <w:szCs w:val="20"/>
              </w:rPr>
              <w:br/>
            </w:r>
            <w:r w:rsidRPr="00D720DA">
              <w:rPr>
                <w:rFonts w:ascii="Arial" w:hAnsi="Arial" w:cs="Arial"/>
                <w:sz w:val="20"/>
                <w:szCs w:val="20"/>
              </w:rPr>
              <w:t>(FTE permanent)</w:t>
            </w:r>
          </w:p>
        </w:tc>
        <w:tc>
          <w:tcPr>
            <w:tcW w:w="825" w:type="dxa"/>
          </w:tcPr>
          <w:p w14:paraId="0F9F3B55" w14:textId="77777777" w:rsidR="00243DEE" w:rsidRPr="00D720DA" w:rsidRDefault="00243DEE" w:rsidP="00C9017B">
            <w:pPr>
              <w:pStyle w:val="indentpara"/>
              <w:ind w:firstLine="0"/>
              <w:jc w:val="right"/>
              <w:rPr>
                <w:rFonts w:ascii="Arial" w:hAnsi="Arial" w:cs="Arial"/>
                <w:sz w:val="20"/>
                <w:szCs w:val="20"/>
              </w:rPr>
            </w:pPr>
            <w:r w:rsidRPr="00D720DA">
              <w:rPr>
                <w:rFonts w:ascii="Arial" w:hAnsi="Arial" w:cs="Arial"/>
                <w:sz w:val="20"/>
                <w:szCs w:val="20"/>
              </w:rPr>
              <w:t>71</w:t>
            </w:r>
          </w:p>
          <w:p w14:paraId="33FEE765" w14:textId="3C42AEF0" w:rsidR="00243DEE" w:rsidRPr="00D720DA" w:rsidRDefault="00243DEE" w:rsidP="00C9017B">
            <w:pPr>
              <w:pStyle w:val="indentpara"/>
              <w:ind w:firstLine="0"/>
              <w:jc w:val="right"/>
              <w:rPr>
                <w:rFonts w:ascii="Arial" w:hAnsi="Arial" w:cs="Arial"/>
                <w:sz w:val="20"/>
                <w:szCs w:val="20"/>
              </w:rPr>
            </w:pPr>
            <w:r w:rsidRPr="00D720DA">
              <w:rPr>
                <w:rFonts w:ascii="Arial" w:hAnsi="Arial" w:cs="Arial"/>
                <w:sz w:val="20"/>
                <w:szCs w:val="20"/>
              </w:rPr>
              <w:t>(31%)</w:t>
            </w:r>
          </w:p>
        </w:tc>
        <w:tc>
          <w:tcPr>
            <w:tcW w:w="805" w:type="dxa"/>
          </w:tcPr>
          <w:p w14:paraId="16AF5F82" w14:textId="5BB8C65C" w:rsidR="00243DEE" w:rsidRPr="00D720DA" w:rsidRDefault="00243DEE" w:rsidP="00C9017B">
            <w:pPr>
              <w:pStyle w:val="indentpara"/>
              <w:ind w:firstLine="0"/>
              <w:jc w:val="right"/>
              <w:rPr>
                <w:rFonts w:ascii="Arial" w:hAnsi="Arial" w:cs="Arial"/>
                <w:sz w:val="20"/>
                <w:szCs w:val="20"/>
              </w:rPr>
            </w:pPr>
            <w:r w:rsidRPr="00D720DA">
              <w:rPr>
                <w:rFonts w:ascii="Arial" w:hAnsi="Arial" w:cs="Arial"/>
                <w:sz w:val="20"/>
                <w:szCs w:val="20"/>
              </w:rPr>
              <w:t>160</w:t>
            </w:r>
          </w:p>
        </w:tc>
        <w:tc>
          <w:tcPr>
            <w:tcW w:w="1138" w:type="dxa"/>
          </w:tcPr>
          <w:p w14:paraId="1EF20235" w14:textId="77777777" w:rsidR="00243DEE" w:rsidRPr="00D720DA" w:rsidRDefault="00243DEE" w:rsidP="00C9017B">
            <w:pPr>
              <w:pStyle w:val="indentpara"/>
              <w:ind w:firstLine="0"/>
              <w:jc w:val="right"/>
              <w:rPr>
                <w:rFonts w:ascii="Arial" w:hAnsi="Arial" w:cs="Arial"/>
                <w:b/>
                <w:bCs/>
                <w:sz w:val="20"/>
                <w:szCs w:val="20"/>
              </w:rPr>
            </w:pPr>
            <w:r w:rsidRPr="00D720DA">
              <w:rPr>
                <w:rFonts w:ascii="Arial" w:hAnsi="Arial" w:cs="Arial"/>
                <w:b/>
                <w:bCs/>
                <w:sz w:val="20"/>
                <w:szCs w:val="20"/>
              </w:rPr>
              <w:t>231</w:t>
            </w:r>
          </w:p>
          <w:p w14:paraId="454DC41F" w14:textId="65340236" w:rsidR="00F721B8" w:rsidRPr="00D720DA" w:rsidRDefault="00F721B8" w:rsidP="00C9017B">
            <w:pPr>
              <w:pStyle w:val="indentpara"/>
              <w:ind w:firstLine="0"/>
              <w:jc w:val="right"/>
              <w:rPr>
                <w:rFonts w:ascii="Arial" w:hAnsi="Arial" w:cs="Arial"/>
                <w:b/>
                <w:bCs/>
                <w:sz w:val="20"/>
                <w:szCs w:val="20"/>
              </w:rPr>
            </w:pPr>
          </w:p>
        </w:tc>
        <w:tc>
          <w:tcPr>
            <w:tcW w:w="3211" w:type="dxa"/>
          </w:tcPr>
          <w:p w14:paraId="533FCD5A" w14:textId="302A2A72" w:rsidR="00243DEE" w:rsidRPr="00D720DA" w:rsidRDefault="00243DEE" w:rsidP="0007153A">
            <w:pPr>
              <w:pStyle w:val="indentpara"/>
              <w:ind w:firstLine="0"/>
              <w:rPr>
                <w:rFonts w:ascii="Arial" w:hAnsi="Arial" w:cs="Arial"/>
                <w:sz w:val="20"/>
                <w:szCs w:val="20"/>
              </w:rPr>
            </w:pPr>
            <w:r w:rsidRPr="00D720DA">
              <w:rPr>
                <w:rFonts w:ascii="Arial" w:hAnsi="Arial" w:cs="Arial"/>
                <w:sz w:val="20"/>
                <w:szCs w:val="20"/>
              </w:rPr>
              <w:t xml:space="preserve">Gender is </w:t>
            </w:r>
            <w:r w:rsidR="00F721B8" w:rsidRPr="00D720DA">
              <w:rPr>
                <w:rFonts w:ascii="Arial" w:hAnsi="Arial" w:cs="Arial"/>
                <w:sz w:val="20"/>
                <w:szCs w:val="20"/>
              </w:rPr>
              <w:t>not reported by FTE.</w:t>
            </w:r>
          </w:p>
          <w:p w14:paraId="4B15FF9D" w14:textId="751C218B" w:rsidR="00243DEE" w:rsidRPr="00D720DA" w:rsidRDefault="00243DEE" w:rsidP="0007153A">
            <w:pPr>
              <w:pStyle w:val="indentpara"/>
              <w:ind w:firstLine="0"/>
              <w:rPr>
                <w:rFonts w:ascii="Arial" w:hAnsi="Arial" w:cs="Arial"/>
                <w:sz w:val="20"/>
                <w:szCs w:val="20"/>
              </w:rPr>
            </w:pPr>
            <w:r w:rsidRPr="00D720DA">
              <w:rPr>
                <w:rFonts w:ascii="Arial" w:hAnsi="Arial" w:cs="Arial"/>
                <w:sz w:val="20"/>
                <w:szCs w:val="20"/>
              </w:rPr>
              <w:t>SES figure is for total TSS, including 218 Senior Executives in 10 government departments (Table 46).</w:t>
            </w:r>
          </w:p>
        </w:tc>
      </w:tr>
      <w:tr w:rsidR="00243DEE" w:rsidRPr="00D720DA" w14:paraId="7F5D0525" w14:textId="77777777" w:rsidTr="00FB5233">
        <w:tc>
          <w:tcPr>
            <w:tcW w:w="699" w:type="dxa"/>
            <w:vMerge/>
          </w:tcPr>
          <w:p w14:paraId="2886C50D" w14:textId="77777777" w:rsidR="00243DEE" w:rsidRPr="00D720DA" w:rsidRDefault="00243DEE" w:rsidP="0007153A">
            <w:pPr>
              <w:pStyle w:val="indentpara"/>
              <w:ind w:firstLine="0"/>
              <w:rPr>
                <w:rFonts w:ascii="Arial" w:hAnsi="Arial" w:cs="Arial"/>
                <w:b/>
                <w:bCs/>
                <w:sz w:val="22"/>
                <w:szCs w:val="22"/>
              </w:rPr>
            </w:pPr>
          </w:p>
        </w:tc>
        <w:tc>
          <w:tcPr>
            <w:tcW w:w="1172" w:type="dxa"/>
          </w:tcPr>
          <w:p w14:paraId="6C7A5C6C" w14:textId="66FE8ACC" w:rsidR="00243DEE" w:rsidRPr="00D720DA" w:rsidRDefault="00243DEE" w:rsidP="00E70BC6">
            <w:pPr>
              <w:pStyle w:val="indentpara"/>
              <w:ind w:firstLine="0"/>
              <w:jc w:val="right"/>
              <w:rPr>
                <w:rFonts w:ascii="Arial" w:hAnsi="Arial" w:cs="Arial"/>
                <w:sz w:val="20"/>
                <w:szCs w:val="20"/>
              </w:rPr>
            </w:pPr>
            <w:r w:rsidRPr="00D720DA">
              <w:rPr>
                <w:rFonts w:ascii="Arial" w:hAnsi="Arial" w:cs="Arial"/>
                <w:sz w:val="20"/>
                <w:szCs w:val="20"/>
              </w:rPr>
              <w:t>17,613</w:t>
            </w:r>
            <w:r w:rsidRPr="00D720DA">
              <w:rPr>
                <w:rFonts w:ascii="Arial" w:hAnsi="Arial" w:cs="Arial"/>
                <w:sz w:val="20"/>
                <w:szCs w:val="20"/>
              </w:rPr>
              <w:br/>
              <w:t>(headcount)</w:t>
            </w:r>
          </w:p>
          <w:p w14:paraId="55425804" w14:textId="398FB6DE" w:rsidR="00243DEE" w:rsidRPr="00D720DA" w:rsidRDefault="00243DEE" w:rsidP="00E70BC6">
            <w:pPr>
              <w:pStyle w:val="indentpara"/>
              <w:ind w:firstLine="0"/>
              <w:jc w:val="right"/>
              <w:rPr>
                <w:rFonts w:ascii="Arial" w:hAnsi="Arial" w:cs="Arial"/>
                <w:sz w:val="20"/>
                <w:szCs w:val="20"/>
              </w:rPr>
            </w:pPr>
            <w:r w:rsidRPr="00D720DA">
              <w:rPr>
                <w:rFonts w:ascii="Arial" w:hAnsi="Arial" w:cs="Arial"/>
                <w:sz w:val="20"/>
                <w:szCs w:val="20"/>
              </w:rPr>
              <w:t>(70%)</w:t>
            </w:r>
          </w:p>
        </w:tc>
        <w:tc>
          <w:tcPr>
            <w:tcW w:w="1172" w:type="dxa"/>
          </w:tcPr>
          <w:p w14:paraId="6D37788D" w14:textId="0416B7D6" w:rsidR="00243DEE" w:rsidRPr="00D720DA" w:rsidRDefault="00243DEE" w:rsidP="00243DEE">
            <w:pPr>
              <w:pStyle w:val="indentpara"/>
              <w:ind w:firstLine="0"/>
              <w:jc w:val="right"/>
              <w:rPr>
                <w:rFonts w:ascii="Arial" w:hAnsi="Arial" w:cs="Arial"/>
                <w:sz w:val="20"/>
                <w:szCs w:val="20"/>
              </w:rPr>
            </w:pPr>
            <w:r w:rsidRPr="00D720DA">
              <w:rPr>
                <w:rFonts w:ascii="Arial" w:hAnsi="Arial" w:cs="Arial"/>
                <w:sz w:val="20"/>
                <w:szCs w:val="20"/>
              </w:rPr>
              <w:t>7648</w:t>
            </w:r>
            <w:r w:rsidRPr="00D720DA">
              <w:rPr>
                <w:rFonts w:ascii="Arial" w:hAnsi="Arial" w:cs="Arial"/>
                <w:sz w:val="20"/>
                <w:szCs w:val="20"/>
              </w:rPr>
              <w:br/>
              <w:t>(headcount)</w:t>
            </w:r>
          </w:p>
        </w:tc>
        <w:tc>
          <w:tcPr>
            <w:tcW w:w="1172" w:type="dxa"/>
          </w:tcPr>
          <w:p w14:paraId="0418B708" w14:textId="5D8B4711" w:rsidR="00243DEE" w:rsidRPr="00D720DA" w:rsidRDefault="00243DEE" w:rsidP="00243DEE">
            <w:pPr>
              <w:pStyle w:val="indentpara"/>
              <w:ind w:firstLine="0"/>
              <w:jc w:val="right"/>
              <w:rPr>
                <w:rFonts w:ascii="Arial" w:hAnsi="Arial" w:cs="Arial"/>
                <w:sz w:val="20"/>
                <w:szCs w:val="20"/>
              </w:rPr>
            </w:pPr>
            <w:r w:rsidRPr="00D720DA">
              <w:rPr>
                <w:rFonts w:ascii="Arial" w:hAnsi="Arial" w:cs="Arial"/>
                <w:b/>
                <w:bCs/>
                <w:sz w:val="20"/>
                <w:szCs w:val="20"/>
              </w:rPr>
              <w:t>25,261</w:t>
            </w:r>
            <w:r w:rsidRPr="00D720DA">
              <w:rPr>
                <w:rFonts w:ascii="Arial" w:hAnsi="Arial" w:cs="Arial"/>
                <w:b/>
                <w:bCs/>
                <w:sz w:val="20"/>
                <w:szCs w:val="20"/>
              </w:rPr>
              <w:br/>
            </w:r>
            <w:r w:rsidRPr="00D720DA">
              <w:rPr>
                <w:rFonts w:ascii="Arial" w:hAnsi="Arial" w:cs="Arial"/>
                <w:sz w:val="20"/>
                <w:szCs w:val="20"/>
              </w:rPr>
              <w:t xml:space="preserve">(headcount) </w:t>
            </w:r>
          </w:p>
        </w:tc>
        <w:tc>
          <w:tcPr>
            <w:tcW w:w="825" w:type="dxa"/>
          </w:tcPr>
          <w:p w14:paraId="4332607C" w14:textId="77777777" w:rsidR="00243DEE" w:rsidRPr="00D720DA" w:rsidRDefault="00243DEE" w:rsidP="00C9017B">
            <w:pPr>
              <w:pStyle w:val="indentpara"/>
              <w:ind w:firstLine="0"/>
              <w:jc w:val="right"/>
              <w:rPr>
                <w:rFonts w:ascii="Arial" w:hAnsi="Arial" w:cs="Arial"/>
                <w:sz w:val="20"/>
                <w:szCs w:val="20"/>
              </w:rPr>
            </w:pPr>
          </w:p>
        </w:tc>
        <w:tc>
          <w:tcPr>
            <w:tcW w:w="805" w:type="dxa"/>
          </w:tcPr>
          <w:p w14:paraId="7EAC3FD2" w14:textId="77777777" w:rsidR="00243DEE" w:rsidRPr="00D720DA" w:rsidRDefault="00243DEE" w:rsidP="00C9017B">
            <w:pPr>
              <w:pStyle w:val="indentpara"/>
              <w:ind w:firstLine="0"/>
              <w:jc w:val="right"/>
              <w:rPr>
                <w:rFonts w:ascii="Arial" w:hAnsi="Arial" w:cs="Arial"/>
                <w:sz w:val="20"/>
                <w:szCs w:val="20"/>
              </w:rPr>
            </w:pPr>
          </w:p>
        </w:tc>
        <w:tc>
          <w:tcPr>
            <w:tcW w:w="1138" w:type="dxa"/>
          </w:tcPr>
          <w:p w14:paraId="31196622" w14:textId="645798FD" w:rsidR="00243DEE" w:rsidRPr="00D720DA" w:rsidRDefault="00F721B8" w:rsidP="00C9017B">
            <w:pPr>
              <w:pStyle w:val="indentpara"/>
              <w:ind w:firstLine="0"/>
              <w:jc w:val="right"/>
              <w:rPr>
                <w:rFonts w:ascii="Arial" w:hAnsi="Arial" w:cs="Arial"/>
                <w:sz w:val="20"/>
                <w:szCs w:val="20"/>
              </w:rPr>
            </w:pPr>
            <w:r w:rsidRPr="00D720DA">
              <w:rPr>
                <w:rFonts w:ascii="Arial" w:hAnsi="Arial" w:cs="Arial"/>
                <w:sz w:val="20"/>
                <w:szCs w:val="20"/>
              </w:rPr>
              <w:t>0.7% of full State Service headcount*</w:t>
            </w:r>
          </w:p>
        </w:tc>
        <w:tc>
          <w:tcPr>
            <w:tcW w:w="3211" w:type="dxa"/>
          </w:tcPr>
          <w:p w14:paraId="366FF028" w14:textId="08756034" w:rsidR="00243DEE" w:rsidRPr="00D720DA" w:rsidRDefault="00243DEE" w:rsidP="0007153A">
            <w:pPr>
              <w:pStyle w:val="indentpara"/>
              <w:ind w:firstLine="0"/>
              <w:rPr>
                <w:rFonts w:ascii="Arial" w:hAnsi="Arial" w:cs="Arial"/>
                <w:sz w:val="20"/>
                <w:szCs w:val="20"/>
              </w:rPr>
            </w:pPr>
            <w:r w:rsidRPr="00D720DA">
              <w:rPr>
                <w:rFonts w:ascii="Arial" w:hAnsi="Arial" w:cs="Arial"/>
                <w:sz w:val="20"/>
                <w:szCs w:val="20"/>
              </w:rPr>
              <w:t xml:space="preserve">Headcount is for permanent employees. </w:t>
            </w:r>
            <w:r w:rsidR="00F721B8" w:rsidRPr="00D720DA">
              <w:rPr>
                <w:rFonts w:ascii="Arial" w:hAnsi="Arial" w:cs="Arial"/>
                <w:sz w:val="20"/>
                <w:szCs w:val="20"/>
              </w:rPr>
              <w:t>*</w:t>
            </w:r>
            <w:r w:rsidRPr="00D720DA">
              <w:rPr>
                <w:rFonts w:ascii="Arial" w:hAnsi="Arial" w:cs="Arial"/>
                <w:sz w:val="20"/>
                <w:szCs w:val="20"/>
              </w:rPr>
              <w:t>The full State Service headcount, including those employed on fixed-term contracts was 30,008 (Table 38).</w:t>
            </w:r>
          </w:p>
        </w:tc>
      </w:tr>
      <w:tr w:rsidR="00131752" w:rsidRPr="00D720DA" w14:paraId="25ADE5B6" w14:textId="25FBFE2E" w:rsidTr="00FB5233">
        <w:tc>
          <w:tcPr>
            <w:tcW w:w="699" w:type="dxa"/>
            <w:vMerge w:val="restart"/>
          </w:tcPr>
          <w:p w14:paraId="77B885B5" w14:textId="1E722123" w:rsidR="00131752" w:rsidRPr="00D720DA" w:rsidRDefault="00131752" w:rsidP="0007153A">
            <w:pPr>
              <w:pStyle w:val="indentpara"/>
              <w:ind w:firstLine="0"/>
              <w:rPr>
                <w:rFonts w:ascii="Arial" w:hAnsi="Arial" w:cs="Arial"/>
                <w:b/>
                <w:bCs/>
                <w:sz w:val="22"/>
                <w:szCs w:val="22"/>
              </w:rPr>
            </w:pPr>
            <w:r w:rsidRPr="00D720DA">
              <w:rPr>
                <w:rFonts w:ascii="Arial" w:hAnsi="Arial" w:cs="Arial"/>
                <w:b/>
                <w:bCs/>
                <w:sz w:val="22"/>
                <w:szCs w:val="22"/>
              </w:rPr>
              <w:t>2019</w:t>
            </w:r>
          </w:p>
        </w:tc>
        <w:tc>
          <w:tcPr>
            <w:tcW w:w="1172" w:type="dxa"/>
          </w:tcPr>
          <w:p w14:paraId="52C380C8" w14:textId="77777777" w:rsidR="00131752" w:rsidRPr="00D720DA" w:rsidRDefault="004A39BC" w:rsidP="00C9017B">
            <w:pPr>
              <w:pStyle w:val="indentpara"/>
              <w:ind w:firstLine="0"/>
              <w:jc w:val="right"/>
              <w:rPr>
                <w:rFonts w:ascii="Arial" w:hAnsi="Arial" w:cs="Arial"/>
                <w:sz w:val="20"/>
                <w:szCs w:val="20"/>
              </w:rPr>
            </w:pPr>
            <w:r w:rsidRPr="00D720DA">
              <w:rPr>
                <w:rFonts w:ascii="Arial" w:hAnsi="Arial" w:cs="Arial"/>
                <w:sz w:val="20"/>
                <w:szCs w:val="20"/>
              </w:rPr>
              <w:t>22,387</w:t>
            </w:r>
          </w:p>
          <w:p w14:paraId="7CEE571A" w14:textId="08D61363" w:rsidR="004A39BC" w:rsidRPr="00D720DA" w:rsidRDefault="004A39BC" w:rsidP="00C9017B">
            <w:pPr>
              <w:pStyle w:val="indentpara"/>
              <w:ind w:firstLine="0"/>
              <w:jc w:val="right"/>
              <w:rPr>
                <w:rFonts w:ascii="Arial" w:hAnsi="Arial" w:cs="Arial"/>
                <w:sz w:val="20"/>
                <w:szCs w:val="20"/>
              </w:rPr>
            </w:pPr>
            <w:r w:rsidRPr="00D720DA">
              <w:rPr>
                <w:rFonts w:ascii="Arial" w:hAnsi="Arial" w:cs="Arial"/>
                <w:sz w:val="20"/>
                <w:szCs w:val="20"/>
              </w:rPr>
              <w:t>(71%)</w:t>
            </w:r>
          </w:p>
        </w:tc>
        <w:tc>
          <w:tcPr>
            <w:tcW w:w="1172" w:type="dxa"/>
          </w:tcPr>
          <w:p w14:paraId="5E908571" w14:textId="085A249E" w:rsidR="00131752" w:rsidRPr="00D720DA" w:rsidRDefault="004A39BC" w:rsidP="00C9017B">
            <w:pPr>
              <w:pStyle w:val="indentpara"/>
              <w:ind w:firstLine="0"/>
              <w:jc w:val="right"/>
              <w:rPr>
                <w:rFonts w:ascii="Arial" w:hAnsi="Arial" w:cs="Arial"/>
                <w:sz w:val="20"/>
                <w:szCs w:val="20"/>
              </w:rPr>
            </w:pPr>
            <w:r w:rsidRPr="00D720DA">
              <w:rPr>
                <w:rFonts w:ascii="Arial" w:hAnsi="Arial" w:cs="Arial"/>
                <w:sz w:val="20"/>
                <w:szCs w:val="20"/>
              </w:rPr>
              <w:t>9050</w:t>
            </w:r>
          </w:p>
        </w:tc>
        <w:tc>
          <w:tcPr>
            <w:tcW w:w="1172" w:type="dxa"/>
          </w:tcPr>
          <w:p w14:paraId="2727F859" w14:textId="77777777" w:rsidR="00131752" w:rsidRPr="00D720DA" w:rsidRDefault="00131752" w:rsidP="00C9017B">
            <w:pPr>
              <w:pStyle w:val="indentpara"/>
              <w:ind w:firstLine="0"/>
              <w:jc w:val="right"/>
              <w:rPr>
                <w:rFonts w:ascii="Arial" w:hAnsi="Arial" w:cs="Arial"/>
                <w:b/>
                <w:bCs/>
                <w:sz w:val="20"/>
                <w:szCs w:val="20"/>
              </w:rPr>
            </w:pPr>
            <w:r w:rsidRPr="00D720DA">
              <w:rPr>
                <w:rFonts w:ascii="Arial" w:hAnsi="Arial" w:cs="Arial"/>
                <w:b/>
                <w:bCs/>
                <w:sz w:val="20"/>
                <w:szCs w:val="20"/>
              </w:rPr>
              <w:t>24,707</w:t>
            </w:r>
          </w:p>
          <w:p w14:paraId="695C29C6" w14:textId="4749B14E" w:rsidR="00131752" w:rsidRPr="00D720DA" w:rsidRDefault="00131752" w:rsidP="00C9017B">
            <w:pPr>
              <w:pStyle w:val="indentpara"/>
              <w:ind w:firstLine="0"/>
              <w:jc w:val="right"/>
              <w:rPr>
                <w:rFonts w:ascii="Arial" w:hAnsi="Arial" w:cs="Arial"/>
                <w:b/>
                <w:bCs/>
                <w:sz w:val="20"/>
                <w:szCs w:val="20"/>
              </w:rPr>
            </w:pPr>
            <w:r w:rsidRPr="00D720DA">
              <w:rPr>
                <w:rFonts w:ascii="Arial" w:hAnsi="Arial" w:cs="Arial"/>
                <w:b/>
                <w:bCs/>
                <w:sz w:val="20"/>
                <w:szCs w:val="20"/>
              </w:rPr>
              <w:t>(FTE)</w:t>
            </w:r>
          </w:p>
        </w:tc>
        <w:tc>
          <w:tcPr>
            <w:tcW w:w="825" w:type="dxa"/>
          </w:tcPr>
          <w:p w14:paraId="0FBB7616" w14:textId="2962D8E0" w:rsidR="00131752" w:rsidRPr="00D720DA" w:rsidRDefault="00131752" w:rsidP="00C9017B">
            <w:pPr>
              <w:pStyle w:val="indentpara"/>
              <w:ind w:firstLine="0"/>
              <w:jc w:val="right"/>
              <w:rPr>
                <w:rFonts w:ascii="Arial" w:hAnsi="Arial" w:cs="Arial"/>
                <w:sz w:val="20"/>
                <w:szCs w:val="20"/>
              </w:rPr>
            </w:pPr>
            <w:r w:rsidRPr="00D720DA">
              <w:rPr>
                <w:rFonts w:ascii="Arial" w:hAnsi="Arial" w:cs="Arial"/>
                <w:sz w:val="20"/>
                <w:szCs w:val="20"/>
              </w:rPr>
              <w:t>65</w:t>
            </w:r>
            <w:r w:rsidRPr="00D720DA">
              <w:rPr>
                <w:rFonts w:ascii="Arial" w:hAnsi="Arial" w:cs="Arial"/>
                <w:sz w:val="20"/>
                <w:szCs w:val="20"/>
              </w:rPr>
              <w:br/>
              <w:t>(43%)</w:t>
            </w:r>
          </w:p>
        </w:tc>
        <w:tc>
          <w:tcPr>
            <w:tcW w:w="805" w:type="dxa"/>
          </w:tcPr>
          <w:p w14:paraId="6A4CAC59" w14:textId="2123B2AF" w:rsidR="00131752" w:rsidRPr="00D720DA" w:rsidRDefault="00131752" w:rsidP="00C9017B">
            <w:pPr>
              <w:pStyle w:val="indentpara"/>
              <w:ind w:firstLine="0"/>
              <w:jc w:val="right"/>
              <w:rPr>
                <w:rFonts w:ascii="Arial" w:hAnsi="Arial" w:cs="Arial"/>
                <w:sz w:val="20"/>
                <w:szCs w:val="20"/>
              </w:rPr>
            </w:pPr>
            <w:r w:rsidRPr="00D720DA">
              <w:rPr>
                <w:rFonts w:ascii="Arial" w:hAnsi="Arial" w:cs="Arial"/>
                <w:sz w:val="20"/>
                <w:szCs w:val="20"/>
              </w:rPr>
              <w:t>85</w:t>
            </w:r>
          </w:p>
        </w:tc>
        <w:tc>
          <w:tcPr>
            <w:tcW w:w="1138" w:type="dxa"/>
          </w:tcPr>
          <w:p w14:paraId="169BDA0E" w14:textId="792F5F2A" w:rsidR="00131752" w:rsidRPr="00D720DA" w:rsidRDefault="00131752" w:rsidP="00C9017B">
            <w:pPr>
              <w:pStyle w:val="indentpara"/>
              <w:ind w:firstLine="0"/>
              <w:jc w:val="right"/>
              <w:rPr>
                <w:rFonts w:ascii="Arial" w:hAnsi="Arial" w:cs="Arial"/>
                <w:b/>
                <w:bCs/>
                <w:sz w:val="20"/>
                <w:szCs w:val="20"/>
              </w:rPr>
            </w:pPr>
            <w:r w:rsidRPr="00D720DA">
              <w:rPr>
                <w:rFonts w:ascii="Arial" w:hAnsi="Arial" w:cs="Arial"/>
                <w:b/>
                <w:bCs/>
                <w:sz w:val="20"/>
                <w:szCs w:val="20"/>
              </w:rPr>
              <w:t>150</w:t>
            </w:r>
          </w:p>
        </w:tc>
        <w:tc>
          <w:tcPr>
            <w:tcW w:w="3211" w:type="dxa"/>
          </w:tcPr>
          <w:p w14:paraId="4F5303E0" w14:textId="41A3A7F4" w:rsidR="00131752" w:rsidRPr="00D720DA" w:rsidRDefault="004A39BC" w:rsidP="0007153A">
            <w:pPr>
              <w:pStyle w:val="indentpara"/>
              <w:ind w:firstLine="0"/>
              <w:rPr>
                <w:rFonts w:ascii="Arial" w:hAnsi="Arial" w:cs="Arial"/>
                <w:sz w:val="20"/>
                <w:szCs w:val="20"/>
              </w:rPr>
            </w:pPr>
            <w:r w:rsidRPr="00D720DA">
              <w:rPr>
                <w:rFonts w:ascii="Arial" w:hAnsi="Arial" w:cs="Arial"/>
                <w:sz w:val="20"/>
                <w:szCs w:val="20"/>
              </w:rPr>
              <w:t>SSMO, 2019a, pp 36, 38, 40.</w:t>
            </w:r>
          </w:p>
        </w:tc>
      </w:tr>
      <w:tr w:rsidR="00BC391B" w:rsidRPr="00D720DA" w14:paraId="3E6B9491" w14:textId="77777777" w:rsidTr="00FB5233">
        <w:tc>
          <w:tcPr>
            <w:tcW w:w="699" w:type="dxa"/>
            <w:vMerge/>
          </w:tcPr>
          <w:p w14:paraId="08B10066" w14:textId="77777777" w:rsidR="00BC391B" w:rsidRPr="00D720DA" w:rsidRDefault="00BC391B" w:rsidP="0007153A">
            <w:pPr>
              <w:pStyle w:val="indentpara"/>
              <w:ind w:firstLine="0"/>
              <w:rPr>
                <w:rFonts w:ascii="Arial" w:hAnsi="Arial" w:cs="Arial"/>
                <w:b/>
                <w:bCs/>
                <w:sz w:val="22"/>
                <w:szCs w:val="22"/>
              </w:rPr>
            </w:pPr>
          </w:p>
        </w:tc>
        <w:tc>
          <w:tcPr>
            <w:tcW w:w="1172" w:type="dxa"/>
          </w:tcPr>
          <w:p w14:paraId="09690B25" w14:textId="77777777" w:rsidR="00BC391B" w:rsidRPr="00D720DA" w:rsidRDefault="00BC391B" w:rsidP="00C9017B">
            <w:pPr>
              <w:pStyle w:val="indentpara"/>
              <w:ind w:firstLine="0"/>
              <w:jc w:val="right"/>
              <w:rPr>
                <w:rFonts w:ascii="Arial" w:hAnsi="Arial" w:cs="Arial"/>
                <w:sz w:val="20"/>
                <w:szCs w:val="20"/>
              </w:rPr>
            </w:pPr>
          </w:p>
        </w:tc>
        <w:tc>
          <w:tcPr>
            <w:tcW w:w="1172" w:type="dxa"/>
          </w:tcPr>
          <w:p w14:paraId="1DDD45DD" w14:textId="77777777" w:rsidR="00BC391B" w:rsidRPr="00D720DA" w:rsidRDefault="00BC391B" w:rsidP="00C9017B">
            <w:pPr>
              <w:pStyle w:val="indentpara"/>
              <w:ind w:firstLine="0"/>
              <w:jc w:val="right"/>
              <w:rPr>
                <w:rFonts w:ascii="Arial" w:hAnsi="Arial" w:cs="Arial"/>
                <w:sz w:val="20"/>
                <w:szCs w:val="20"/>
              </w:rPr>
            </w:pPr>
          </w:p>
        </w:tc>
        <w:tc>
          <w:tcPr>
            <w:tcW w:w="1172" w:type="dxa"/>
          </w:tcPr>
          <w:p w14:paraId="4CCDE455" w14:textId="0D4E2EC6" w:rsidR="00BC391B" w:rsidRPr="00D720DA" w:rsidRDefault="00BC391B" w:rsidP="00C9017B">
            <w:pPr>
              <w:pStyle w:val="indentpara"/>
              <w:ind w:firstLine="0"/>
              <w:jc w:val="right"/>
              <w:rPr>
                <w:rFonts w:ascii="Arial" w:hAnsi="Arial" w:cs="Arial"/>
                <w:b/>
                <w:bCs/>
                <w:sz w:val="20"/>
                <w:szCs w:val="20"/>
              </w:rPr>
            </w:pPr>
            <w:r w:rsidRPr="00D720DA">
              <w:rPr>
                <w:rFonts w:ascii="Arial" w:hAnsi="Arial" w:cs="Arial"/>
                <w:b/>
                <w:bCs/>
                <w:sz w:val="20"/>
                <w:szCs w:val="20"/>
              </w:rPr>
              <w:t>20,470</w:t>
            </w:r>
            <w:r w:rsidR="00DA6A0A" w:rsidRPr="00D720DA">
              <w:rPr>
                <w:rFonts w:ascii="Arial" w:hAnsi="Arial" w:cs="Arial"/>
                <w:b/>
                <w:bCs/>
                <w:sz w:val="20"/>
                <w:szCs w:val="20"/>
              </w:rPr>
              <w:br/>
            </w:r>
            <w:r w:rsidRPr="00D720DA">
              <w:rPr>
                <w:rFonts w:ascii="Arial" w:hAnsi="Arial" w:cs="Arial"/>
                <w:sz w:val="20"/>
                <w:szCs w:val="20"/>
              </w:rPr>
              <w:t>(FTE permanent</w:t>
            </w:r>
            <w:r w:rsidR="00DA6A0A" w:rsidRPr="00D720DA">
              <w:rPr>
                <w:rFonts w:ascii="Arial" w:hAnsi="Arial" w:cs="Arial"/>
                <w:sz w:val="20"/>
                <w:szCs w:val="20"/>
              </w:rPr>
              <w:t>)</w:t>
            </w:r>
          </w:p>
        </w:tc>
        <w:tc>
          <w:tcPr>
            <w:tcW w:w="825" w:type="dxa"/>
          </w:tcPr>
          <w:p w14:paraId="11BD81CD" w14:textId="77777777" w:rsidR="00BC391B" w:rsidRPr="00D720DA" w:rsidRDefault="00BC391B" w:rsidP="00C9017B">
            <w:pPr>
              <w:pStyle w:val="indentpara"/>
              <w:ind w:firstLine="0"/>
              <w:jc w:val="right"/>
              <w:rPr>
                <w:rFonts w:ascii="Arial" w:hAnsi="Arial" w:cs="Arial"/>
                <w:sz w:val="20"/>
                <w:szCs w:val="20"/>
              </w:rPr>
            </w:pPr>
          </w:p>
        </w:tc>
        <w:tc>
          <w:tcPr>
            <w:tcW w:w="805" w:type="dxa"/>
          </w:tcPr>
          <w:p w14:paraId="2E293EAF" w14:textId="77777777" w:rsidR="00BC391B" w:rsidRPr="00D720DA" w:rsidRDefault="00BC391B" w:rsidP="00C9017B">
            <w:pPr>
              <w:pStyle w:val="indentpara"/>
              <w:ind w:firstLine="0"/>
              <w:jc w:val="right"/>
              <w:rPr>
                <w:rFonts w:ascii="Arial" w:hAnsi="Arial" w:cs="Arial"/>
                <w:sz w:val="20"/>
                <w:szCs w:val="20"/>
              </w:rPr>
            </w:pPr>
          </w:p>
        </w:tc>
        <w:tc>
          <w:tcPr>
            <w:tcW w:w="1138" w:type="dxa"/>
          </w:tcPr>
          <w:p w14:paraId="7F5695AA" w14:textId="77777777" w:rsidR="00BC391B" w:rsidRPr="00D720DA" w:rsidRDefault="00BC391B" w:rsidP="00C9017B">
            <w:pPr>
              <w:pStyle w:val="indentpara"/>
              <w:ind w:firstLine="0"/>
              <w:jc w:val="right"/>
              <w:rPr>
                <w:rFonts w:ascii="Arial" w:hAnsi="Arial" w:cs="Arial"/>
                <w:b/>
                <w:bCs/>
                <w:sz w:val="20"/>
                <w:szCs w:val="20"/>
              </w:rPr>
            </w:pPr>
          </w:p>
        </w:tc>
        <w:tc>
          <w:tcPr>
            <w:tcW w:w="3211" w:type="dxa"/>
          </w:tcPr>
          <w:p w14:paraId="37B88FA6" w14:textId="5A593C95" w:rsidR="00BC391B" w:rsidRPr="00D720DA" w:rsidRDefault="00BB55A0" w:rsidP="0007153A">
            <w:pPr>
              <w:pStyle w:val="indentpara"/>
              <w:ind w:firstLine="0"/>
              <w:rPr>
                <w:rFonts w:ascii="Arial" w:hAnsi="Arial" w:cs="Arial"/>
                <w:sz w:val="20"/>
                <w:szCs w:val="20"/>
              </w:rPr>
            </w:pPr>
            <w:r w:rsidRPr="00D720DA">
              <w:rPr>
                <w:rFonts w:ascii="Arial" w:hAnsi="Arial" w:cs="Arial"/>
                <w:sz w:val="20"/>
                <w:szCs w:val="20"/>
              </w:rPr>
              <w:t>SSMO, 2019b</w:t>
            </w:r>
          </w:p>
        </w:tc>
      </w:tr>
      <w:tr w:rsidR="00131752" w:rsidRPr="00D720DA" w14:paraId="253BB67F" w14:textId="77777777" w:rsidTr="00FB5233">
        <w:tc>
          <w:tcPr>
            <w:tcW w:w="699" w:type="dxa"/>
            <w:vMerge/>
          </w:tcPr>
          <w:p w14:paraId="47FCA47F" w14:textId="77777777" w:rsidR="00131752" w:rsidRPr="00D720DA" w:rsidRDefault="00131752" w:rsidP="0007153A">
            <w:pPr>
              <w:pStyle w:val="indentpara"/>
              <w:ind w:firstLine="0"/>
              <w:rPr>
                <w:rFonts w:ascii="Arial" w:hAnsi="Arial" w:cs="Arial"/>
                <w:b/>
                <w:bCs/>
                <w:sz w:val="22"/>
                <w:szCs w:val="22"/>
              </w:rPr>
            </w:pPr>
          </w:p>
        </w:tc>
        <w:tc>
          <w:tcPr>
            <w:tcW w:w="1172" w:type="dxa"/>
          </w:tcPr>
          <w:p w14:paraId="423F894F" w14:textId="7ACEFFCA" w:rsidR="00131752" w:rsidRPr="00D720DA" w:rsidRDefault="00131752" w:rsidP="00C9017B">
            <w:pPr>
              <w:pStyle w:val="indentpara"/>
              <w:ind w:firstLine="0"/>
              <w:jc w:val="right"/>
              <w:rPr>
                <w:rFonts w:ascii="Arial" w:hAnsi="Arial" w:cs="Arial"/>
                <w:sz w:val="20"/>
                <w:szCs w:val="20"/>
              </w:rPr>
            </w:pPr>
            <w:r w:rsidRPr="00D720DA">
              <w:rPr>
                <w:rFonts w:ascii="Arial" w:hAnsi="Arial" w:cs="Arial"/>
                <w:sz w:val="20"/>
                <w:szCs w:val="20"/>
              </w:rPr>
              <w:t>18,102</w:t>
            </w:r>
            <w:r w:rsidRPr="00D720DA">
              <w:rPr>
                <w:rFonts w:ascii="Arial" w:hAnsi="Arial" w:cs="Arial"/>
                <w:sz w:val="20"/>
                <w:szCs w:val="20"/>
              </w:rPr>
              <w:br/>
              <w:t>(headcount)</w:t>
            </w:r>
            <w:r w:rsidRPr="00D720DA">
              <w:rPr>
                <w:rFonts w:ascii="Arial" w:hAnsi="Arial" w:cs="Arial"/>
                <w:sz w:val="20"/>
                <w:szCs w:val="20"/>
              </w:rPr>
              <w:br/>
            </w:r>
            <w:r w:rsidR="003A6E0B" w:rsidRPr="00D720DA">
              <w:rPr>
                <w:rFonts w:ascii="Arial" w:hAnsi="Arial" w:cs="Arial"/>
                <w:sz w:val="20"/>
                <w:szCs w:val="20"/>
              </w:rPr>
              <w:t>(</w:t>
            </w:r>
            <w:r w:rsidR="00DA6A0A" w:rsidRPr="00D720DA">
              <w:rPr>
                <w:rFonts w:ascii="Arial" w:hAnsi="Arial" w:cs="Arial"/>
                <w:sz w:val="20"/>
                <w:szCs w:val="20"/>
              </w:rPr>
              <w:t>71</w:t>
            </w:r>
            <w:r w:rsidR="00317A06" w:rsidRPr="00D720DA">
              <w:rPr>
                <w:rFonts w:ascii="Arial" w:hAnsi="Arial" w:cs="Arial"/>
                <w:sz w:val="20"/>
                <w:szCs w:val="20"/>
              </w:rPr>
              <w:t>%</w:t>
            </w:r>
            <w:r w:rsidR="003A6E0B" w:rsidRPr="00D720DA">
              <w:rPr>
                <w:rFonts w:ascii="Arial" w:hAnsi="Arial" w:cs="Arial"/>
                <w:sz w:val="20"/>
                <w:szCs w:val="20"/>
              </w:rPr>
              <w:t>)</w:t>
            </w:r>
            <w:r w:rsidR="00793BB6" w:rsidRPr="00D720DA">
              <w:rPr>
                <w:rFonts w:ascii="Arial" w:hAnsi="Arial" w:cs="Arial"/>
                <w:sz w:val="20"/>
                <w:szCs w:val="20"/>
              </w:rPr>
              <w:t xml:space="preserve"> </w:t>
            </w:r>
          </w:p>
        </w:tc>
        <w:tc>
          <w:tcPr>
            <w:tcW w:w="1172" w:type="dxa"/>
          </w:tcPr>
          <w:p w14:paraId="1A837F22" w14:textId="7237CFB5" w:rsidR="00131752" w:rsidRPr="00D720DA" w:rsidRDefault="00793BB6" w:rsidP="00C9017B">
            <w:pPr>
              <w:pStyle w:val="indentpara"/>
              <w:ind w:firstLine="0"/>
              <w:jc w:val="right"/>
              <w:rPr>
                <w:rFonts w:ascii="Arial" w:hAnsi="Arial" w:cs="Arial"/>
                <w:sz w:val="20"/>
                <w:szCs w:val="20"/>
              </w:rPr>
            </w:pPr>
            <w:r w:rsidRPr="00D720DA">
              <w:rPr>
                <w:rFonts w:ascii="Arial" w:hAnsi="Arial" w:cs="Arial"/>
                <w:sz w:val="20"/>
                <w:szCs w:val="20"/>
              </w:rPr>
              <w:t>7208</w:t>
            </w:r>
            <w:r w:rsidR="00131752" w:rsidRPr="00D720DA">
              <w:rPr>
                <w:rFonts w:ascii="Arial" w:hAnsi="Arial" w:cs="Arial"/>
                <w:sz w:val="20"/>
                <w:szCs w:val="20"/>
              </w:rPr>
              <w:br/>
            </w:r>
          </w:p>
        </w:tc>
        <w:tc>
          <w:tcPr>
            <w:tcW w:w="1172" w:type="dxa"/>
          </w:tcPr>
          <w:p w14:paraId="41B0F040" w14:textId="1979668E" w:rsidR="00131752" w:rsidRPr="00D720DA" w:rsidRDefault="00131752" w:rsidP="00C9017B">
            <w:pPr>
              <w:pStyle w:val="indentpara"/>
              <w:ind w:firstLine="0"/>
              <w:jc w:val="right"/>
              <w:rPr>
                <w:rFonts w:ascii="Arial" w:hAnsi="Arial" w:cs="Arial"/>
                <w:b/>
                <w:bCs/>
                <w:sz w:val="20"/>
                <w:szCs w:val="20"/>
              </w:rPr>
            </w:pPr>
            <w:r w:rsidRPr="00D720DA">
              <w:rPr>
                <w:rFonts w:ascii="Arial" w:hAnsi="Arial" w:cs="Arial"/>
                <w:b/>
                <w:bCs/>
                <w:sz w:val="20"/>
                <w:szCs w:val="20"/>
              </w:rPr>
              <w:t>25,319</w:t>
            </w:r>
            <w:r w:rsidRPr="00D720DA">
              <w:rPr>
                <w:rFonts w:ascii="Arial" w:hAnsi="Arial" w:cs="Arial"/>
                <w:b/>
                <w:bCs/>
                <w:sz w:val="20"/>
                <w:szCs w:val="20"/>
              </w:rPr>
              <w:br/>
            </w:r>
            <w:r w:rsidRPr="00D720DA">
              <w:rPr>
                <w:rFonts w:ascii="Arial" w:hAnsi="Arial" w:cs="Arial"/>
                <w:sz w:val="20"/>
                <w:szCs w:val="20"/>
              </w:rPr>
              <w:t>(headcount)</w:t>
            </w:r>
          </w:p>
        </w:tc>
        <w:tc>
          <w:tcPr>
            <w:tcW w:w="825" w:type="dxa"/>
          </w:tcPr>
          <w:p w14:paraId="3BFDAA3B" w14:textId="77777777" w:rsidR="00131752" w:rsidRPr="00D720DA" w:rsidRDefault="00131752" w:rsidP="00C9017B">
            <w:pPr>
              <w:pStyle w:val="indentpara"/>
              <w:ind w:firstLine="0"/>
              <w:jc w:val="right"/>
              <w:rPr>
                <w:rFonts w:ascii="Arial" w:hAnsi="Arial" w:cs="Arial"/>
                <w:sz w:val="20"/>
                <w:szCs w:val="20"/>
              </w:rPr>
            </w:pPr>
          </w:p>
        </w:tc>
        <w:tc>
          <w:tcPr>
            <w:tcW w:w="805" w:type="dxa"/>
          </w:tcPr>
          <w:p w14:paraId="0D787141" w14:textId="44DEDE3E" w:rsidR="00131752" w:rsidRPr="00D720DA" w:rsidRDefault="00131752" w:rsidP="00C9017B">
            <w:pPr>
              <w:pStyle w:val="indentpara"/>
              <w:ind w:firstLine="0"/>
              <w:jc w:val="right"/>
              <w:rPr>
                <w:rFonts w:ascii="Arial" w:hAnsi="Arial" w:cs="Arial"/>
                <w:sz w:val="20"/>
                <w:szCs w:val="20"/>
              </w:rPr>
            </w:pPr>
            <w:r w:rsidRPr="00D720DA">
              <w:rPr>
                <w:rFonts w:ascii="Arial" w:hAnsi="Arial" w:cs="Arial"/>
                <w:sz w:val="20"/>
                <w:szCs w:val="20"/>
              </w:rPr>
              <w:br/>
            </w:r>
          </w:p>
        </w:tc>
        <w:tc>
          <w:tcPr>
            <w:tcW w:w="1138" w:type="dxa"/>
          </w:tcPr>
          <w:p w14:paraId="609D7997" w14:textId="77777777" w:rsidR="00131752" w:rsidRPr="00D720DA" w:rsidRDefault="00131752" w:rsidP="00C9017B">
            <w:pPr>
              <w:pStyle w:val="indentpara"/>
              <w:ind w:firstLine="0"/>
              <w:jc w:val="right"/>
              <w:rPr>
                <w:rFonts w:ascii="Arial" w:hAnsi="Arial" w:cs="Arial"/>
                <w:b/>
                <w:bCs/>
                <w:sz w:val="20"/>
                <w:szCs w:val="20"/>
              </w:rPr>
            </w:pPr>
          </w:p>
        </w:tc>
        <w:tc>
          <w:tcPr>
            <w:tcW w:w="3211" w:type="dxa"/>
          </w:tcPr>
          <w:p w14:paraId="144E91CA" w14:textId="54A9E20D" w:rsidR="00131752" w:rsidRPr="00D720DA" w:rsidRDefault="00131752" w:rsidP="0007153A">
            <w:pPr>
              <w:pStyle w:val="indentpara"/>
              <w:ind w:firstLine="0"/>
              <w:rPr>
                <w:rFonts w:ascii="Arial" w:hAnsi="Arial" w:cs="Arial"/>
                <w:sz w:val="20"/>
                <w:szCs w:val="20"/>
              </w:rPr>
            </w:pPr>
            <w:r w:rsidRPr="00D720DA">
              <w:rPr>
                <w:rFonts w:ascii="Arial" w:hAnsi="Arial" w:cs="Arial"/>
                <w:sz w:val="20"/>
                <w:szCs w:val="20"/>
              </w:rPr>
              <w:t xml:space="preserve">Headcount </w:t>
            </w:r>
            <w:r w:rsidR="003A6E0B" w:rsidRPr="00D720DA">
              <w:rPr>
                <w:rFonts w:ascii="Arial" w:hAnsi="Arial" w:cs="Arial"/>
                <w:sz w:val="20"/>
                <w:szCs w:val="20"/>
              </w:rPr>
              <w:t xml:space="preserve">in table </w:t>
            </w:r>
            <w:r w:rsidRPr="00D720DA">
              <w:rPr>
                <w:rFonts w:ascii="Arial" w:hAnsi="Arial" w:cs="Arial"/>
                <w:sz w:val="20"/>
                <w:szCs w:val="20"/>
              </w:rPr>
              <w:t>is for permanent employees. The total headcount, including fixed-term employees and officers was 31,439 (</w:t>
            </w:r>
            <w:r w:rsidR="003A6E0B" w:rsidRPr="00D720DA">
              <w:rPr>
                <w:rFonts w:ascii="Arial" w:hAnsi="Arial" w:cs="Arial"/>
                <w:sz w:val="20"/>
                <w:szCs w:val="20"/>
              </w:rPr>
              <w:t xml:space="preserve">SSMO, 2019a, </w:t>
            </w:r>
            <w:r w:rsidRPr="00D720DA">
              <w:rPr>
                <w:rFonts w:ascii="Arial" w:hAnsi="Arial" w:cs="Arial"/>
                <w:sz w:val="20"/>
                <w:szCs w:val="20"/>
              </w:rPr>
              <w:t>p.37).</w:t>
            </w:r>
          </w:p>
        </w:tc>
      </w:tr>
    </w:tbl>
    <w:p w14:paraId="47F58AC6" w14:textId="65C78EA6" w:rsidR="00C9017B" w:rsidRPr="00D720DA" w:rsidRDefault="00C9017B" w:rsidP="00C9419B">
      <w:pPr>
        <w:pStyle w:val="indentpara"/>
        <w:ind w:firstLine="0"/>
        <w:rPr>
          <w:rFonts w:ascii="Arial" w:hAnsi="Arial" w:cs="Arial"/>
          <w:sz w:val="22"/>
          <w:szCs w:val="22"/>
        </w:rPr>
      </w:pPr>
      <w:r w:rsidRPr="00D720DA">
        <w:rPr>
          <w:rFonts w:ascii="Arial" w:hAnsi="Arial" w:cs="Arial"/>
          <w:sz w:val="22"/>
          <w:szCs w:val="22"/>
        </w:rPr>
        <w:t>Sources: CPE, 2000; OSSC, 2009; SSMO, 2019</w:t>
      </w:r>
      <w:r w:rsidR="003A6E0B" w:rsidRPr="00D720DA">
        <w:rPr>
          <w:rFonts w:ascii="Arial" w:hAnsi="Arial" w:cs="Arial"/>
          <w:sz w:val="22"/>
          <w:szCs w:val="22"/>
        </w:rPr>
        <w:t>a, 2019b.</w:t>
      </w:r>
    </w:p>
    <w:p w14:paraId="548CDAA0" w14:textId="1632C0B5" w:rsidR="002A23EC" w:rsidRPr="00D720DA" w:rsidRDefault="002A23EC" w:rsidP="00C8424F">
      <w:pPr>
        <w:pStyle w:val="indentpara"/>
        <w:ind w:firstLine="0"/>
        <w:rPr>
          <w:rFonts w:ascii="Arial" w:hAnsi="Arial" w:cs="Arial"/>
        </w:rPr>
      </w:pPr>
      <w:r w:rsidRPr="00D720DA">
        <w:rPr>
          <w:rFonts w:ascii="Arial" w:hAnsi="Arial" w:cs="Arial"/>
        </w:rPr>
        <w:t>As at June 2020, there were 18 Agency Heads and 166 Senior Executives in the TSS (Watt, 2020</w:t>
      </w:r>
      <w:r w:rsidR="00BB449F" w:rsidRPr="00D720DA">
        <w:rPr>
          <w:rFonts w:ascii="Arial" w:hAnsi="Arial" w:cs="Arial"/>
        </w:rPr>
        <w:t>, p.</w:t>
      </w:r>
      <w:r w:rsidRPr="00D720DA">
        <w:rPr>
          <w:rFonts w:ascii="Arial" w:hAnsi="Arial" w:cs="Arial"/>
        </w:rPr>
        <w:t xml:space="preserve"> 38). In 2020, 43% of Senior Executives were women, even though 70% of all TSS staff are female (the target was 40% by 2020 according to Watt, 2020</w:t>
      </w:r>
      <w:r w:rsidR="008A45B8" w:rsidRPr="00D720DA">
        <w:rPr>
          <w:rFonts w:ascii="Arial" w:hAnsi="Arial" w:cs="Arial"/>
        </w:rPr>
        <w:t>, p.</w:t>
      </w:r>
      <w:r w:rsidRPr="00D720DA">
        <w:rPr>
          <w:rFonts w:ascii="Arial" w:hAnsi="Arial" w:cs="Arial"/>
        </w:rPr>
        <w:t xml:space="preserve"> 18), while less than one-third (31%) of Heads of Agencies were women (SSMO, 2020).</w:t>
      </w:r>
    </w:p>
    <w:p w14:paraId="42500212" w14:textId="77777777" w:rsidR="003237AD" w:rsidRPr="00D720DA" w:rsidRDefault="003237AD">
      <w:pPr>
        <w:rPr>
          <w:rFonts w:ascii="Arial" w:hAnsi="Arial" w:cs="Arial"/>
        </w:rPr>
      </w:pPr>
      <w:r w:rsidRPr="00D720DA">
        <w:rPr>
          <w:rFonts w:ascii="Arial" w:hAnsi="Arial" w:cs="Arial"/>
        </w:rPr>
        <w:br w:type="page"/>
      </w:r>
    </w:p>
    <w:p w14:paraId="20DA520E" w14:textId="77777777" w:rsidR="00B513A4" w:rsidRPr="00D720DA" w:rsidRDefault="006B4FB7" w:rsidP="00694A97">
      <w:pPr>
        <w:pStyle w:val="Heading1"/>
        <w:spacing w:after="240"/>
        <w:ind w:left="431" w:hanging="431"/>
        <w:rPr>
          <w:rFonts w:ascii="Arial" w:hAnsi="Arial" w:cs="Arial"/>
        </w:rPr>
      </w:pPr>
      <w:bookmarkStart w:id="22" w:name="_Toc77356804"/>
      <w:r w:rsidRPr="00D720DA">
        <w:rPr>
          <w:rFonts w:ascii="Arial" w:hAnsi="Arial" w:cs="Arial"/>
        </w:rPr>
        <w:lastRenderedPageBreak/>
        <w:t>References</w:t>
      </w:r>
      <w:bookmarkEnd w:id="22"/>
    </w:p>
    <w:p w14:paraId="2956C092" w14:textId="3417AC08" w:rsidR="002B1632" w:rsidRPr="00D720DA" w:rsidRDefault="002B1632" w:rsidP="00694A97">
      <w:pPr>
        <w:ind w:left="720" w:hanging="720"/>
        <w:rPr>
          <w:rFonts w:ascii="Arial" w:hAnsi="Arial" w:cs="Arial"/>
          <w:color w:val="091B35"/>
          <w:szCs w:val="24"/>
          <w:shd w:val="clear" w:color="auto" w:fill="FFFFFF"/>
        </w:rPr>
      </w:pPr>
      <w:r w:rsidRPr="00D720DA">
        <w:rPr>
          <w:rFonts w:ascii="Arial" w:hAnsi="Arial" w:cs="Arial"/>
          <w:color w:val="091B35"/>
          <w:szCs w:val="24"/>
          <w:shd w:val="clear" w:color="auto" w:fill="FFFFFF"/>
        </w:rPr>
        <w:t>Arndt, D</w:t>
      </w:r>
      <w:r w:rsidR="008A45B8" w:rsidRPr="00D720DA">
        <w:rPr>
          <w:rFonts w:ascii="Arial" w:hAnsi="Arial" w:cs="Arial"/>
          <w:color w:val="091B35"/>
          <w:szCs w:val="24"/>
          <w:shd w:val="clear" w:color="auto" w:fill="FFFFFF"/>
        </w:rPr>
        <w:t>.</w:t>
      </w:r>
      <w:r w:rsidRPr="00D720DA">
        <w:rPr>
          <w:rFonts w:ascii="Arial" w:hAnsi="Arial" w:cs="Arial"/>
          <w:color w:val="091B35"/>
          <w:szCs w:val="24"/>
          <w:shd w:val="clear" w:color="auto" w:fill="FFFFFF"/>
        </w:rPr>
        <w:t xml:space="preserve"> (2012, May 22). Liberals to create ‘super’ department, axe 650 jobs. </w:t>
      </w:r>
      <w:r w:rsidRPr="00D720DA">
        <w:rPr>
          <w:rFonts w:ascii="Arial" w:hAnsi="Arial" w:cs="Arial"/>
          <w:i/>
          <w:iCs/>
          <w:color w:val="091B35"/>
          <w:szCs w:val="24"/>
          <w:shd w:val="clear" w:color="auto" w:fill="FFFFFF"/>
        </w:rPr>
        <w:t>The Examiner</w:t>
      </w:r>
      <w:r w:rsidRPr="00D720DA">
        <w:rPr>
          <w:rFonts w:ascii="Arial" w:hAnsi="Arial" w:cs="Arial"/>
          <w:color w:val="091B35"/>
          <w:szCs w:val="24"/>
          <w:shd w:val="clear" w:color="auto" w:fill="FFFFFF"/>
        </w:rPr>
        <w:t xml:space="preserve">. Retrieved from </w:t>
      </w:r>
      <w:hyperlink r:id="rId17" w:history="1">
        <w:r w:rsidRPr="00D720DA">
          <w:rPr>
            <w:rStyle w:val="Hyperlink"/>
            <w:rFonts w:ascii="Arial" w:hAnsi="Arial" w:cs="Arial"/>
            <w:szCs w:val="24"/>
          </w:rPr>
          <w:t>https://www.examiner.com.au/story/87252/liberals-to-create-super-department-axe-650-jobs/</w:t>
        </w:r>
      </w:hyperlink>
      <w:r w:rsidRPr="00D720DA">
        <w:rPr>
          <w:rFonts w:ascii="Arial" w:hAnsi="Arial" w:cs="Arial"/>
          <w:szCs w:val="24"/>
        </w:rPr>
        <w:t xml:space="preserve"> on 6 Apr 2020.</w:t>
      </w:r>
    </w:p>
    <w:p w14:paraId="595EEB47" w14:textId="77777777" w:rsidR="00F36A37" w:rsidRPr="00D720DA" w:rsidRDefault="00F36A37" w:rsidP="00F36A37">
      <w:pPr>
        <w:ind w:left="720" w:hanging="720"/>
        <w:rPr>
          <w:rFonts w:ascii="Arial" w:hAnsi="Arial" w:cs="Arial"/>
          <w:szCs w:val="24"/>
        </w:rPr>
      </w:pPr>
      <w:r w:rsidRPr="00D720DA">
        <w:rPr>
          <w:rFonts w:ascii="Arial" w:hAnsi="Arial" w:cs="Arial"/>
          <w:szCs w:val="24"/>
        </w:rPr>
        <w:t xml:space="preserve">Bailey, S. (2020, Jun 24). Public sector union secretary Tom Lynch says freeze will discourage local spending. </w:t>
      </w:r>
      <w:r w:rsidRPr="00D720DA">
        <w:rPr>
          <w:rFonts w:ascii="Arial" w:hAnsi="Arial" w:cs="Arial"/>
          <w:i/>
          <w:iCs/>
          <w:szCs w:val="24"/>
        </w:rPr>
        <w:t>The Advocate</w:t>
      </w:r>
      <w:r w:rsidRPr="00D720DA">
        <w:rPr>
          <w:rFonts w:ascii="Arial" w:hAnsi="Arial" w:cs="Arial"/>
          <w:szCs w:val="24"/>
        </w:rPr>
        <w:t xml:space="preserve">. Retrieved from </w:t>
      </w:r>
      <w:hyperlink r:id="rId18" w:history="1">
        <w:r w:rsidRPr="00D720DA">
          <w:rPr>
            <w:rStyle w:val="Hyperlink"/>
            <w:rFonts w:ascii="Arial" w:hAnsi="Arial" w:cs="Arial"/>
            <w:szCs w:val="24"/>
          </w:rPr>
          <w:t>https://www.theadvocate.com.au/story/6804947/senior-tasmanian-public-servants-pay-freeze-lashed/</w:t>
        </w:r>
      </w:hyperlink>
      <w:r w:rsidRPr="00D720DA">
        <w:rPr>
          <w:rFonts w:ascii="Arial" w:hAnsi="Arial" w:cs="Arial"/>
          <w:szCs w:val="24"/>
        </w:rPr>
        <w:t xml:space="preserve"> on 12 Aug 2020.</w:t>
      </w:r>
    </w:p>
    <w:p w14:paraId="2E691DF2" w14:textId="24F295A0" w:rsidR="00B4142C" w:rsidRPr="00D720DA" w:rsidRDefault="00B4142C" w:rsidP="00694A97">
      <w:pPr>
        <w:ind w:left="720" w:hanging="720"/>
        <w:rPr>
          <w:rFonts w:ascii="Arial" w:hAnsi="Arial" w:cs="Arial"/>
          <w:color w:val="091B35"/>
          <w:szCs w:val="24"/>
          <w:shd w:val="clear" w:color="auto" w:fill="FFFFFF"/>
        </w:rPr>
      </w:pPr>
      <w:r w:rsidRPr="00D720DA">
        <w:rPr>
          <w:rFonts w:ascii="Arial" w:hAnsi="Arial" w:cs="Arial"/>
          <w:color w:val="091B35"/>
          <w:szCs w:val="24"/>
          <w:shd w:val="clear" w:color="auto" w:fill="FFFFFF"/>
        </w:rPr>
        <w:t xml:space="preserve">Baines, R. and R. Whitson (2017, Nov 27). Premier's spin doctors cop it over handling of Tasmanian public service head's resignation. </w:t>
      </w:r>
      <w:r w:rsidRPr="00D720DA">
        <w:rPr>
          <w:rFonts w:ascii="Arial" w:hAnsi="Arial" w:cs="Arial"/>
          <w:i/>
          <w:iCs/>
          <w:color w:val="091B35"/>
          <w:szCs w:val="24"/>
          <w:shd w:val="clear" w:color="auto" w:fill="FFFFFF"/>
        </w:rPr>
        <w:t>ABC News.</w:t>
      </w:r>
      <w:r w:rsidRPr="00D720DA">
        <w:rPr>
          <w:rFonts w:ascii="Arial" w:hAnsi="Arial" w:cs="Arial"/>
          <w:color w:val="091B35"/>
          <w:szCs w:val="24"/>
          <w:shd w:val="clear" w:color="auto" w:fill="FFFFFF"/>
        </w:rPr>
        <w:t xml:space="preserve"> Retrieved from  </w:t>
      </w:r>
      <w:hyperlink r:id="rId19" w:history="1">
        <w:r w:rsidRPr="00D720DA">
          <w:rPr>
            <w:rStyle w:val="Hyperlink"/>
            <w:rFonts w:ascii="Arial" w:hAnsi="Arial" w:cs="Arial"/>
            <w:szCs w:val="24"/>
          </w:rPr>
          <w:t>https://www.abc.net.au/news/2017-11-27/confusion-over-resignation-of-tas-public-service-boss/9198170</w:t>
        </w:r>
      </w:hyperlink>
      <w:r w:rsidRPr="00D720DA">
        <w:rPr>
          <w:rFonts w:ascii="Arial" w:hAnsi="Arial" w:cs="Arial"/>
          <w:szCs w:val="24"/>
        </w:rPr>
        <w:t xml:space="preserve"> on 2 Apr 2020.</w:t>
      </w:r>
    </w:p>
    <w:p w14:paraId="16274E63" w14:textId="411DAFE5" w:rsidR="004601F5" w:rsidRPr="00D720DA" w:rsidRDefault="004601F5" w:rsidP="00694A97">
      <w:pPr>
        <w:ind w:left="720" w:hanging="720"/>
        <w:rPr>
          <w:rFonts w:ascii="Arial" w:hAnsi="Arial" w:cs="Arial"/>
          <w:color w:val="091B35"/>
          <w:szCs w:val="24"/>
          <w:shd w:val="clear" w:color="auto" w:fill="FFFFFF"/>
        </w:rPr>
      </w:pPr>
      <w:proofErr w:type="spellStart"/>
      <w:r w:rsidRPr="00D720DA">
        <w:rPr>
          <w:rFonts w:ascii="Arial" w:hAnsi="Arial" w:cs="Arial"/>
          <w:color w:val="091B35"/>
          <w:szCs w:val="24"/>
          <w:shd w:val="clear" w:color="auto" w:fill="FFFFFF"/>
        </w:rPr>
        <w:t>Bolwell</w:t>
      </w:r>
      <w:proofErr w:type="spellEnd"/>
      <w:r w:rsidRPr="00D720DA">
        <w:rPr>
          <w:rFonts w:ascii="Arial" w:hAnsi="Arial" w:cs="Arial"/>
          <w:color w:val="091B35"/>
          <w:szCs w:val="24"/>
          <w:shd w:val="clear" w:color="auto" w:fill="FFFFFF"/>
        </w:rPr>
        <w:t xml:space="preserve">, D., &amp; R. Eccleston (2017). Political Chronicles: Tasmania – July to December 2016. </w:t>
      </w:r>
      <w:r w:rsidRPr="00D720DA">
        <w:rPr>
          <w:rFonts w:ascii="Arial" w:hAnsi="Arial" w:cs="Arial"/>
          <w:i/>
          <w:iCs/>
          <w:color w:val="091B35"/>
          <w:szCs w:val="24"/>
          <w:shd w:val="clear" w:color="auto" w:fill="FFFFFF"/>
        </w:rPr>
        <w:t>Australian Journal of Politics and History 63</w:t>
      </w:r>
      <w:r w:rsidRPr="00D720DA">
        <w:rPr>
          <w:rFonts w:ascii="Arial" w:hAnsi="Arial" w:cs="Arial"/>
          <w:color w:val="091B35"/>
          <w:szCs w:val="24"/>
          <w:shd w:val="clear" w:color="auto" w:fill="FFFFFF"/>
        </w:rPr>
        <w:t xml:space="preserve"> (2): pp 320–327.</w:t>
      </w:r>
    </w:p>
    <w:p w14:paraId="0D5B4E57" w14:textId="2AF1B75D" w:rsidR="00ED66C2" w:rsidRPr="00D720DA" w:rsidRDefault="00ED66C2" w:rsidP="00694A97">
      <w:pPr>
        <w:ind w:left="720" w:hanging="720"/>
        <w:rPr>
          <w:rFonts w:ascii="Arial" w:hAnsi="Arial" w:cs="Arial"/>
          <w:color w:val="091B35"/>
          <w:szCs w:val="24"/>
          <w:shd w:val="clear" w:color="auto" w:fill="FFFFFF"/>
        </w:rPr>
      </w:pPr>
      <w:proofErr w:type="spellStart"/>
      <w:r w:rsidRPr="00D720DA">
        <w:rPr>
          <w:rFonts w:ascii="Arial" w:hAnsi="Arial" w:cs="Arial"/>
          <w:color w:val="091B35"/>
          <w:szCs w:val="24"/>
          <w:shd w:val="clear" w:color="auto" w:fill="FFFFFF"/>
        </w:rPr>
        <w:t>Bolwell</w:t>
      </w:r>
      <w:proofErr w:type="spellEnd"/>
      <w:r w:rsidRPr="00D720DA">
        <w:rPr>
          <w:rFonts w:ascii="Arial" w:hAnsi="Arial" w:cs="Arial"/>
          <w:color w:val="091B35"/>
          <w:szCs w:val="24"/>
          <w:shd w:val="clear" w:color="auto" w:fill="FFFFFF"/>
        </w:rPr>
        <w:t xml:space="preserve">, D., McLean, W. &amp; </w:t>
      </w:r>
      <w:r w:rsidR="008A45B8" w:rsidRPr="00D720DA">
        <w:rPr>
          <w:rFonts w:ascii="Arial" w:hAnsi="Arial" w:cs="Arial"/>
          <w:color w:val="091B35"/>
          <w:szCs w:val="24"/>
          <w:shd w:val="clear" w:color="auto" w:fill="FFFFFF"/>
        </w:rPr>
        <w:t xml:space="preserve">R. </w:t>
      </w:r>
      <w:r w:rsidRPr="00D720DA">
        <w:rPr>
          <w:rFonts w:ascii="Arial" w:hAnsi="Arial" w:cs="Arial"/>
          <w:color w:val="091B35"/>
          <w:szCs w:val="24"/>
          <w:shd w:val="clear" w:color="auto" w:fill="FFFFFF"/>
        </w:rPr>
        <w:t xml:space="preserve">Eccleston (2015). Political </w:t>
      </w:r>
      <w:r w:rsidR="004601F5" w:rsidRPr="00D720DA">
        <w:rPr>
          <w:rFonts w:ascii="Arial" w:hAnsi="Arial" w:cs="Arial"/>
          <w:color w:val="091B35"/>
          <w:szCs w:val="24"/>
          <w:shd w:val="clear" w:color="auto" w:fill="FFFFFF"/>
        </w:rPr>
        <w:t>C</w:t>
      </w:r>
      <w:r w:rsidRPr="00D720DA">
        <w:rPr>
          <w:rFonts w:ascii="Arial" w:hAnsi="Arial" w:cs="Arial"/>
          <w:color w:val="091B35"/>
          <w:szCs w:val="24"/>
          <w:shd w:val="clear" w:color="auto" w:fill="FFFFFF"/>
        </w:rPr>
        <w:t xml:space="preserve">hronicles: Tasmania – January to June 2015. </w:t>
      </w:r>
      <w:r w:rsidRPr="00D720DA">
        <w:rPr>
          <w:rFonts w:ascii="Arial" w:hAnsi="Arial" w:cs="Arial"/>
          <w:i/>
          <w:iCs/>
          <w:color w:val="091B35"/>
          <w:szCs w:val="24"/>
          <w:shd w:val="clear" w:color="auto" w:fill="FFFFFF"/>
        </w:rPr>
        <w:t>Australian Journal of Politics and History</w:t>
      </w:r>
      <w:r w:rsidRPr="00D720DA">
        <w:rPr>
          <w:rFonts w:ascii="Arial" w:hAnsi="Arial" w:cs="Arial"/>
          <w:color w:val="091B35"/>
          <w:szCs w:val="24"/>
          <w:shd w:val="clear" w:color="auto" w:fill="FFFFFF"/>
        </w:rPr>
        <w:t xml:space="preserve"> </w:t>
      </w:r>
      <w:r w:rsidRPr="00D720DA">
        <w:rPr>
          <w:rFonts w:ascii="Arial" w:hAnsi="Arial" w:cs="Arial"/>
          <w:i/>
          <w:iCs/>
          <w:color w:val="091B35"/>
          <w:szCs w:val="24"/>
          <w:shd w:val="clear" w:color="auto" w:fill="FFFFFF"/>
        </w:rPr>
        <w:t>61</w:t>
      </w:r>
      <w:r w:rsidRPr="00D720DA">
        <w:rPr>
          <w:rFonts w:ascii="Arial" w:hAnsi="Arial" w:cs="Arial"/>
          <w:color w:val="091B35"/>
          <w:szCs w:val="24"/>
          <w:shd w:val="clear" w:color="auto" w:fill="FFFFFF"/>
        </w:rPr>
        <w:t>(4): pp 658–664.</w:t>
      </w:r>
    </w:p>
    <w:p w14:paraId="6D641070" w14:textId="1AC186C1" w:rsidR="007B0BBE" w:rsidRPr="00D720DA" w:rsidRDefault="007B0BBE" w:rsidP="00694A97">
      <w:pPr>
        <w:ind w:left="720" w:hanging="720"/>
        <w:rPr>
          <w:rFonts w:ascii="Arial" w:hAnsi="Arial" w:cs="Arial"/>
          <w:color w:val="091B35"/>
          <w:szCs w:val="24"/>
          <w:shd w:val="clear" w:color="auto" w:fill="FFFFFF"/>
        </w:rPr>
      </w:pPr>
      <w:r w:rsidRPr="00D720DA">
        <w:rPr>
          <w:rFonts w:ascii="Arial" w:hAnsi="Arial" w:cs="Arial"/>
          <w:color w:val="091B35"/>
          <w:szCs w:val="24"/>
          <w:shd w:val="clear" w:color="auto" w:fill="FFFFFF"/>
        </w:rPr>
        <w:t>Blackwood, F. (</w:t>
      </w:r>
      <w:r w:rsidR="00C2118E" w:rsidRPr="00D720DA">
        <w:rPr>
          <w:rFonts w:ascii="Arial" w:hAnsi="Arial" w:cs="Arial"/>
          <w:color w:val="091B35"/>
          <w:szCs w:val="24"/>
          <w:shd w:val="clear" w:color="auto" w:fill="FFFFFF"/>
        </w:rPr>
        <w:t xml:space="preserve">2020, </w:t>
      </w:r>
      <w:r w:rsidRPr="00D720DA">
        <w:rPr>
          <w:rFonts w:ascii="Arial" w:hAnsi="Arial" w:cs="Arial"/>
          <w:color w:val="091B35"/>
          <w:szCs w:val="24"/>
          <w:shd w:val="clear" w:color="auto" w:fill="FFFFFF"/>
        </w:rPr>
        <w:t xml:space="preserve">Jan 24). Tasmanian Premier Peter </w:t>
      </w:r>
      <w:proofErr w:type="spellStart"/>
      <w:r w:rsidRPr="00D720DA">
        <w:rPr>
          <w:rFonts w:ascii="Arial" w:hAnsi="Arial" w:cs="Arial"/>
          <w:color w:val="091B35"/>
          <w:szCs w:val="24"/>
          <w:shd w:val="clear" w:color="auto" w:fill="FFFFFF"/>
        </w:rPr>
        <w:t>Gutwein</w:t>
      </w:r>
      <w:proofErr w:type="spellEnd"/>
      <w:r w:rsidRPr="00D720DA">
        <w:rPr>
          <w:rFonts w:ascii="Arial" w:hAnsi="Arial" w:cs="Arial"/>
          <w:color w:val="091B35"/>
          <w:szCs w:val="24"/>
          <w:shd w:val="clear" w:color="auto" w:fill="FFFFFF"/>
        </w:rPr>
        <w:t xml:space="preserve"> gives himself climate change portfolio as he unveils new ministry. </w:t>
      </w:r>
      <w:r w:rsidR="004636C5" w:rsidRPr="00D720DA">
        <w:rPr>
          <w:rStyle w:val="Hyperlink"/>
          <w:rFonts w:ascii="Arial" w:hAnsi="Arial" w:cs="Arial"/>
          <w:i/>
          <w:iCs/>
          <w:color w:val="auto"/>
          <w:szCs w:val="24"/>
          <w:u w:val="none"/>
          <w:shd w:val="clear" w:color="auto" w:fill="FFFFFF"/>
        </w:rPr>
        <w:t>ABC News.</w:t>
      </w:r>
      <w:r w:rsidR="004636C5" w:rsidRPr="00D720DA">
        <w:rPr>
          <w:rStyle w:val="Hyperlink"/>
          <w:rFonts w:ascii="Arial" w:hAnsi="Arial" w:cs="Arial"/>
          <w:b/>
          <w:bCs/>
          <w:color w:val="auto"/>
          <w:szCs w:val="24"/>
          <w:u w:val="none"/>
          <w:shd w:val="clear" w:color="auto" w:fill="FFFFFF"/>
        </w:rPr>
        <w:t xml:space="preserve"> </w:t>
      </w:r>
      <w:r w:rsidRPr="00D720DA">
        <w:rPr>
          <w:rFonts w:ascii="Arial" w:hAnsi="Arial" w:cs="Arial"/>
          <w:color w:val="091B35"/>
          <w:szCs w:val="24"/>
          <w:shd w:val="clear" w:color="auto" w:fill="FFFFFF"/>
        </w:rPr>
        <w:t xml:space="preserve">Retrieved from </w:t>
      </w:r>
      <w:hyperlink r:id="rId20" w:history="1">
        <w:r w:rsidRPr="00D720DA">
          <w:rPr>
            <w:rStyle w:val="Hyperlink"/>
            <w:rFonts w:ascii="Arial" w:hAnsi="Arial" w:cs="Arial"/>
            <w:szCs w:val="24"/>
          </w:rPr>
          <w:t>https://www.abc.net.au/news/2020-01-24/tasmania-premier-peter-gutwein-cabinet-announcement/11897442</w:t>
        </w:r>
      </w:hyperlink>
      <w:r w:rsidRPr="00D720DA">
        <w:rPr>
          <w:rFonts w:ascii="Arial" w:hAnsi="Arial" w:cs="Arial"/>
          <w:szCs w:val="24"/>
        </w:rPr>
        <w:t xml:space="preserve"> on 2 April 2020.</w:t>
      </w:r>
    </w:p>
    <w:p w14:paraId="0BB70E5A" w14:textId="5F2BEF0F" w:rsidR="00C65F69" w:rsidRPr="00D720DA" w:rsidRDefault="00C65F69" w:rsidP="00C4573C">
      <w:pPr>
        <w:ind w:left="720" w:hanging="720"/>
        <w:rPr>
          <w:rFonts w:ascii="Arial" w:hAnsi="Arial" w:cs="Arial"/>
          <w:szCs w:val="24"/>
        </w:rPr>
      </w:pPr>
      <w:r w:rsidRPr="00D720DA">
        <w:rPr>
          <w:rFonts w:ascii="Arial" w:hAnsi="Arial" w:cs="Arial"/>
          <w:szCs w:val="24"/>
        </w:rPr>
        <w:t>Carpenter, G.</w:t>
      </w:r>
      <w:r w:rsidR="005056C5" w:rsidRPr="00D720DA">
        <w:rPr>
          <w:rFonts w:ascii="Arial" w:hAnsi="Arial" w:cs="Arial"/>
          <w:szCs w:val="24"/>
        </w:rPr>
        <w:t xml:space="preserve"> &amp; O.</w:t>
      </w:r>
      <w:r w:rsidRPr="00D720DA">
        <w:rPr>
          <w:rFonts w:ascii="Arial" w:hAnsi="Arial" w:cs="Arial"/>
          <w:szCs w:val="24"/>
        </w:rPr>
        <w:t xml:space="preserve"> Wyman (2008). </w:t>
      </w:r>
      <w:r w:rsidRPr="00D720DA">
        <w:rPr>
          <w:rFonts w:ascii="Arial" w:hAnsi="Arial" w:cs="Arial"/>
          <w:i/>
          <w:iCs/>
          <w:szCs w:val="24"/>
        </w:rPr>
        <w:t>Review of Proposed Classification and Remuneration Framework</w:t>
      </w:r>
      <w:r w:rsidRPr="00D720DA">
        <w:rPr>
          <w:rFonts w:ascii="Arial" w:hAnsi="Arial" w:cs="Arial"/>
          <w:szCs w:val="24"/>
        </w:rPr>
        <w:t>. Mercer.</w:t>
      </w:r>
    </w:p>
    <w:p w14:paraId="2FEC0AE4" w14:textId="2B347A51" w:rsidR="003F2483" w:rsidRPr="00D720DA" w:rsidRDefault="003F2483" w:rsidP="00694A97">
      <w:pPr>
        <w:ind w:left="720" w:hanging="720"/>
        <w:rPr>
          <w:rFonts w:ascii="Arial" w:hAnsi="Arial" w:cs="Arial"/>
          <w:szCs w:val="24"/>
        </w:rPr>
      </w:pPr>
      <w:r w:rsidRPr="00D720DA">
        <w:rPr>
          <w:rFonts w:ascii="Arial" w:hAnsi="Arial" w:cs="Arial"/>
          <w:szCs w:val="24"/>
        </w:rPr>
        <w:t xml:space="preserve">Cartland, G. (1981). </w:t>
      </w:r>
      <w:r w:rsidRPr="00D720DA">
        <w:rPr>
          <w:rFonts w:ascii="Arial" w:hAnsi="Arial" w:cs="Arial"/>
          <w:i/>
          <w:iCs/>
          <w:szCs w:val="24"/>
        </w:rPr>
        <w:t>Report of Phase II of the Review of Tasmanian Government Administration: First Instalment</w:t>
      </w:r>
      <w:r w:rsidRPr="00D720DA">
        <w:rPr>
          <w:rFonts w:ascii="Arial" w:hAnsi="Arial" w:cs="Arial"/>
          <w:szCs w:val="24"/>
        </w:rPr>
        <w:t>.</w:t>
      </w:r>
    </w:p>
    <w:p w14:paraId="6852F630" w14:textId="77C08645" w:rsidR="00B437EB" w:rsidRPr="00D720DA" w:rsidRDefault="00B437EB" w:rsidP="00694A97">
      <w:pPr>
        <w:ind w:left="720" w:hanging="720"/>
        <w:rPr>
          <w:rFonts w:ascii="Arial" w:hAnsi="Arial" w:cs="Arial"/>
          <w:szCs w:val="24"/>
        </w:rPr>
      </w:pPr>
      <w:r w:rsidRPr="00D720DA">
        <w:rPr>
          <w:rFonts w:ascii="Arial" w:hAnsi="Arial" w:cs="Arial"/>
          <w:szCs w:val="24"/>
        </w:rPr>
        <w:t xml:space="preserve">CEDA (2014). Public sector cuts required to repair budget: Tasmanian Premier. Committee for Economic Development of Australia. Retrieved from </w:t>
      </w:r>
      <w:hyperlink r:id="rId21" w:history="1">
        <w:r w:rsidRPr="00D720DA">
          <w:rPr>
            <w:rStyle w:val="Hyperlink"/>
            <w:rFonts w:ascii="Arial" w:hAnsi="Arial" w:cs="Arial"/>
            <w:szCs w:val="24"/>
          </w:rPr>
          <w:t>https://www.ceda.com.au/News-and-analysis/CEDA-Events/Public-sector-cuts-required-to-repair-budget-Tasmanian-Premier</w:t>
        </w:r>
      </w:hyperlink>
      <w:r w:rsidRPr="00D720DA">
        <w:rPr>
          <w:rStyle w:val="Hyperlink"/>
          <w:rFonts w:ascii="Arial" w:hAnsi="Arial" w:cs="Arial"/>
          <w:szCs w:val="24"/>
        </w:rPr>
        <w:t xml:space="preserve"> </w:t>
      </w:r>
      <w:r w:rsidRPr="00D720DA">
        <w:rPr>
          <w:rStyle w:val="Hyperlink"/>
          <w:rFonts w:ascii="Arial" w:hAnsi="Arial" w:cs="Arial"/>
          <w:color w:val="auto"/>
          <w:szCs w:val="24"/>
          <w:u w:val="none"/>
        </w:rPr>
        <w:t>on 3 Apr 2020.</w:t>
      </w:r>
    </w:p>
    <w:p w14:paraId="6DBAFDE2" w14:textId="7CEBF04D" w:rsidR="006274A3" w:rsidRPr="00D720DA" w:rsidRDefault="006274A3" w:rsidP="006274A3">
      <w:pPr>
        <w:pStyle w:val="reference"/>
        <w:rPr>
          <w:rStyle w:val="Hyperlink"/>
          <w:rFonts w:ascii="Arial" w:hAnsi="Arial" w:cs="Arial"/>
          <w:sz w:val="24"/>
          <w:szCs w:val="24"/>
        </w:rPr>
      </w:pPr>
      <w:r w:rsidRPr="00D720DA">
        <w:rPr>
          <w:rFonts w:ascii="Arial" w:hAnsi="Arial" w:cs="Arial"/>
          <w:sz w:val="24"/>
          <w:szCs w:val="24"/>
        </w:rPr>
        <w:t>Colley</w:t>
      </w:r>
      <w:r w:rsidR="005056C5" w:rsidRPr="00D720DA">
        <w:rPr>
          <w:rFonts w:ascii="Arial" w:hAnsi="Arial" w:cs="Arial"/>
          <w:sz w:val="24"/>
          <w:szCs w:val="24"/>
        </w:rPr>
        <w:t>,</w:t>
      </w:r>
      <w:r w:rsidRPr="00D720DA">
        <w:rPr>
          <w:rFonts w:ascii="Arial" w:hAnsi="Arial" w:cs="Arial"/>
          <w:sz w:val="24"/>
          <w:szCs w:val="24"/>
        </w:rPr>
        <w:t xml:space="preserve"> L</w:t>
      </w:r>
      <w:r w:rsidR="005056C5" w:rsidRPr="00D720DA">
        <w:rPr>
          <w:rFonts w:ascii="Arial" w:hAnsi="Arial" w:cs="Arial"/>
          <w:sz w:val="24"/>
          <w:szCs w:val="24"/>
        </w:rPr>
        <w:t>.</w:t>
      </w:r>
      <w:r w:rsidRPr="00D720DA">
        <w:rPr>
          <w:rFonts w:ascii="Arial" w:hAnsi="Arial" w:cs="Arial"/>
          <w:sz w:val="24"/>
          <w:szCs w:val="24"/>
        </w:rPr>
        <w:t xml:space="preserve"> (2012)</w:t>
      </w:r>
      <w:r w:rsidR="005056C5" w:rsidRPr="00D720DA">
        <w:rPr>
          <w:rFonts w:ascii="Arial" w:hAnsi="Arial" w:cs="Arial"/>
          <w:sz w:val="24"/>
          <w:szCs w:val="24"/>
        </w:rPr>
        <w:t>.</w:t>
      </w:r>
      <w:r w:rsidRPr="00D720DA">
        <w:rPr>
          <w:rFonts w:ascii="Arial" w:hAnsi="Arial" w:cs="Arial"/>
          <w:sz w:val="24"/>
          <w:szCs w:val="24"/>
        </w:rPr>
        <w:t xml:space="preserve"> How did public services fare? A review of Australian state public service labour markets during the Global Financial Crisis. </w:t>
      </w:r>
      <w:r w:rsidRPr="00D720DA">
        <w:rPr>
          <w:rFonts w:ascii="Arial" w:hAnsi="Arial" w:cs="Arial"/>
          <w:i/>
          <w:iCs/>
          <w:sz w:val="24"/>
          <w:szCs w:val="24"/>
        </w:rPr>
        <w:t xml:space="preserve">Journal of Industrial Relations </w:t>
      </w:r>
      <w:r w:rsidRPr="00D720DA">
        <w:rPr>
          <w:rFonts w:ascii="Arial" w:hAnsi="Arial" w:cs="Arial"/>
          <w:sz w:val="24"/>
          <w:szCs w:val="24"/>
        </w:rPr>
        <w:t xml:space="preserve">54(5): 612–636. </w:t>
      </w:r>
      <w:hyperlink r:id="rId22" w:history="1">
        <w:r w:rsidRPr="00D720DA">
          <w:rPr>
            <w:rStyle w:val="Hyperlink"/>
            <w:rFonts w:ascii="Arial" w:hAnsi="Arial" w:cs="Arial"/>
            <w:sz w:val="24"/>
            <w:szCs w:val="24"/>
          </w:rPr>
          <w:t>https://doi.org/10.1177/0022185612454962</w:t>
        </w:r>
      </w:hyperlink>
    </w:p>
    <w:p w14:paraId="061D0F22" w14:textId="7AB8D128" w:rsidR="005646E1" w:rsidRPr="00D720DA" w:rsidRDefault="005646E1" w:rsidP="00694A97">
      <w:pPr>
        <w:ind w:left="720" w:hanging="720"/>
        <w:rPr>
          <w:rFonts w:ascii="Arial" w:hAnsi="Arial" w:cs="Arial"/>
          <w:szCs w:val="24"/>
          <w:shd w:val="clear" w:color="auto" w:fill="FFFFFF"/>
        </w:rPr>
      </w:pPr>
      <w:r w:rsidRPr="00D720DA">
        <w:rPr>
          <w:rFonts w:ascii="Arial" w:hAnsi="Arial" w:cs="Arial"/>
          <w:szCs w:val="24"/>
          <w:shd w:val="clear" w:color="auto" w:fill="FFFFFF"/>
        </w:rPr>
        <w:t xml:space="preserve">Commissioner for Public Employment (2000). </w:t>
      </w:r>
      <w:r w:rsidR="004E24BF" w:rsidRPr="00D720DA">
        <w:rPr>
          <w:rFonts w:ascii="Arial" w:hAnsi="Arial" w:cs="Arial"/>
          <w:i/>
          <w:iCs/>
          <w:szCs w:val="24"/>
          <w:shd w:val="clear" w:color="auto" w:fill="FFFFFF"/>
        </w:rPr>
        <w:t>15</w:t>
      </w:r>
      <w:r w:rsidR="004E24BF" w:rsidRPr="00D720DA">
        <w:rPr>
          <w:rFonts w:ascii="Arial" w:hAnsi="Arial" w:cs="Arial"/>
          <w:i/>
          <w:iCs/>
          <w:szCs w:val="24"/>
          <w:shd w:val="clear" w:color="auto" w:fill="FFFFFF"/>
          <w:vertAlign w:val="superscript"/>
        </w:rPr>
        <w:t>th</w:t>
      </w:r>
      <w:r w:rsidR="004E24BF" w:rsidRPr="00D720DA">
        <w:rPr>
          <w:rFonts w:ascii="Arial" w:hAnsi="Arial" w:cs="Arial"/>
          <w:szCs w:val="24"/>
          <w:shd w:val="clear" w:color="auto" w:fill="FFFFFF"/>
        </w:rPr>
        <w:t xml:space="preserve"> </w:t>
      </w:r>
      <w:r w:rsidRPr="00D720DA">
        <w:rPr>
          <w:rFonts w:ascii="Arial" w:hAnsi="Arial" w:cs="Arial"/>
          <w:i/>
          <w:iCs/>
          <w:szCs w:val="24"/>
          <w:shd w:val="clear" w:color="auto" w:fill="FFFFFF"/>
        </w:rPr>
        <w:t>Annual Report</w:t>
      </w:r>
      <w:r w:rsidR="004E24BF" w:rsidRPr="00D720DA">
        <w:rPr>
          <w:rFonts w:ascii="Arial" w:hAnsi="Arial" w:cs="Arial"/>
          <w:i/>
          <w:iCs/>
          <w:szCs w:val="24"/>
          <w:shd w:val="clear" w:color="auto" w:fill="FFFFFF"/>
        </w:rPr>
        <w:t>: 1 July 1999 – 30 June 2000</w:t>
      </w:r>
      <w:r w:rsidRPr="00D720DA">
        <w:rPr>
          <w:rFonts w:ascii="Arial" w:hAnsi="Arial" w:cs="Arial"/>
          <w:szCs w:val="24"/>
          <w:shd w:val="clear" w:color="auto" w:fill="FFFFFF"/>
        </w:rPr>
        <w:t>. Hobart: Tasmanian Department of Premier and Cabinet.</w:t>
      </w:r>
    </w:p>
    <w:p w14:paraId="05D16B9E" w14:textId="77777777" w:rsidR="00D868A7" w:rsidRPr="00D720DA" w:rsidRDefault="00D868A7" w:rsidP="00D868A7">
      <w:pPr>
        <w:ind w:left="720" w:hanging="720"/>
        <w:rPr>
          <w:rFonts w:ascii="Arial" w:hAnsi="Arial" w:cs="Arial"/>
          <w:szCs w:val="24"/>
        </w:rPr>
      </w:pPr>
      <w:r w:rsidRPr="00D720DA">
        <w:rPr>
          <w:rFonts w:ascii="Arial" w:hAnsi="Arial" w:cs="Arial"/>
          <w:szCs w:val="24"/>
        </w:rPr>
        <w:t xml:space="preserve">Crowley, K. (2014, Jan 21). Pulp mill politics set to dominate Tasmanian election. </w:t>
      </w:r>
      <w:r w:rsidRPr="00D720DA">
        <w:rPr>
          <w:rFonts w:ascii="Arial" w:hAnsi="Arial" w:cs="Arial"/>
          <w:i/>
          <w:iCs/>
          <w:szCs w:val="24"/>
        </w:rPr>
        <w:t>The Conversation</w:t>
      </w:r>
      <w:r w:rsidRPr="00D720DA">
        <w:rPr>
          <w:rFonts w:ascii="Arial" w:hAnsi="Arial" w:cs="Arial"/>
          <w:szCs w:val="24"/>
        </w:rPr>
        <w:t xml:space="preserve">. Retrieved from </w:t>
      </w:r>
      <w:hyperlink r:id="rId23" w:history="1">
        <w:r w:rsidRPr="00D720DA">
          <w:rPr>
            <w:rStyle w:val="Hyperlink"/>
            <w:rFonts w:ascii="Arial" w:hAnsi="Arial" w:cs="Arial"/>
            <w:szCs w:val="24"/>
          </w:rPr>
          <w:t>https://theconversation.com/pulp-mill-politics-set-to-dominate-tasmanian-election-22112</w:t>
        </w:r>
      </w:hyperlink>
      <w:r w:rsidRPr="00D720DA">
        <w:rPr>
          <w:rFonts w:ascii="Arial" w:hAnsi="Arial" w:cs="Arial"/>
          <w:szCs w:val="24"/>
        </w:rPr>
        <w:t xml:space="preserve"> on 25 Aug 2020.</w:t>
      </w:r>
    </w:p>
    <w:p w14:paraId="17521DC0" w14:textId="77777777" w:rsidR="005056C5" w:rsidRPr="00D720DA" w:rsidRDefault="005056C5" w:rsidP="005056C5">
      <w:pPr>
        <w:pStyle w:val="NormalWeb"/>
        <w:shd w:val="clear" w:color="auto" w:fill="FFFFFF"/>
        <w:spacing w:before="0" w:beforeAutospacing="0" w:after="120" w:afterAutospacing="0"/>
        <w:ind w:left="720" w:hanging="720"/>
        <w:rPr>
          <w:rFonts w:ascii="Arial" w:hAnsi="Arial" w:cs="Arial"/>
        </w:rPr>
      </w:pPr>
      <w:r w:rsidRPr="00D720DA">
        <w:rPr>
          <w:rFonts w:ascii="Arial" w:hAnsi="Arial" w:cs="Arial"/>
        </w:rPr>
        <w:t xml:space="preserve">Donaldson, D. (2014, Oct 28). Tasmania’s public sector cull: Treasurer outlines numbers. </w:t>
      </w:r>
      <w:r w:rsidRPr="00D720DA">
        <w:rPr>
          <w:rFonts w:ascii="Arial" w:hAnsi="Arial" w:cs="Arial"/>
          <w:i/>
          <w:iCs/>
        </w:rPr>
        <w:t>The Mandarin</w:t>
      </w:r>
      <w:r w:rsidRPr="00D720DA">
        <w:rPr>
          <w:rFonts w:ascii="Arial" w:hAnsi="Arial" w:cs="Arial"/>
        </w:rPr>
        <w:t xml:space="preserve">. Retrieved from </w:t>
      </w:r>
      <w:hyperlink r:id="rId24" w:history="1">
        <w:r w:rsidRPr="00D720DA">
          <w:rPr>
            <w:rStyle w:val="Hyperlink"/>
            <w:rFonts w:ascii="Arial" w:hAnsi="Arial" w:cs="Arial"/>
          </w:rPr>
          <w:t>https://www.themandarin.com.au/8283-tasmania-cut-health-education-staff/</w:t>
        </w:r>
      </w:hyperlink>
      <w:r w:rsidRPr="00D720DA">
        <w:rPr>
          <w:rFonts w:ascii="Arial" w:hAnsi="Arial" w:cs="Arial"/>
        </w:rPr>
        <w:t xml:space="preserve"> on 3 Apr 2020. </w:t>
      </w:r>
    </w:p>
    <w:p w14:paraId="0218F20F" w14:textId="27E30BCB" w:rsidR="00330900" w:rsidRPr="00D720DA" w:rsidRDefault="00330900" w:rsidP="00694A97">
      <w:pPr>
        <w:pStyle w:val="NormalWeb"/>
        <w:shd w:val="clear" w:color="auto" w:fill="FFFFFF"/>
        <w:spacing w:before="0" w:beforeAutospacing="0" w:after="120" w:afterAutospacing="0"/>
        <w:ind w:left="720" w:hanging="720"/>
        <w:rPr>
          <w:rFonts w:ascii="Arial" w:hAnsi="Arial" w:cs="Arial"/>
        </w:rPr>
      </w:pPr>
      <w:r w:rsidRPr="00D720DA">
        <w:rPr>
          <w:rFonts w:ascii="Arial" w:hAnsi="Arial" w:cs="Arial"/>
        </w:rPr>
        <w:t xml:space="preserve">Donaldson, D. (2014, Aug 29). How will the Tasmanian government cut 700 from its ranks? </w:t>
      </w:r>
      <w:r w:rsidRPr="00D720DA">
        <w:rPr>
          <w:rFonts w:ascii="Arial" w:hAnsi="Arial" w:cs="Arial"/>
          <w:i/>
          <w:iCs/>
        </w:rPr>
        <w:t>The Mandarin</w:t>
      </w:r>
      <w:r w:rsidRPr="00D720DA">
        <w:rPr>
          <w:rFonts w:ascii="Arial" w:hAnsi="Arial" w:cs="Arial"/>
        </w:rPr>
        <w:t xml:space="preserve">. Retrieved from </w:t>
      </w:r>
      <w:hyperlink r:id="rId25" w:history="1">
        <w:r w:rsidRPr="00D720DA">
          <w:rPr>
            <w:rStyle w:val="Hyperlink"/>
            <w:rFonts w:ascii="Arial" w:hAnsi="Arial" w:cs="Arial"/>
          </w:rPr>
          <w:t>https://www.themandarin.com.au/2358-700-public-servants-go-tas-budget/</w:t>
        </w:r>
      </w:hyperlink>
      <w:r w:rsidRPr="00D720DA">
        <w:rPr>
          <w:rFonts w:ascii="Arial" w:hAnsi="Arial" w:cs="Arial"/>
        </w:rPr>
        <w:t xml:space="preserve"> on 26 Aug 2020.</w:t>
      </w:r>
    </w:p>
    <w:p w14:paraId="33E2E897" w14:textId="68786BF8" w:rsidR="009A0066" w:rsidRPr="00D720DA" w:rsidRDefault="009A0066" w:rsidP="00694A97">
      <w:pPr>
        <w:ind w:left="720" w:hanging="720"/>
        <w:rPr>
          <w:rFonts w:ascii="Arial" w:hAnsi="Arial" w:cs="Arial"/>
          <w:szCs w:val="24"/>
        </w:rPr>
      </w:pPr>
      <w:r w:rsidRPr="00D720DA">
        <w:rPr>
          <w:rFonts w:ascii="Arial" w:hAnsi="Arial" w:cs="Arial"/>
          <w:szCs w:val="24"/>
        </w:rPr>
        <w:lastRenderedPageBreak/>
        <w:t xml:space="preserve">Donaldson, D. (2017, Nov 22). Conflicts of interest undermined senior recruitment. </w:t>
      </w:r>
      <w:r w:rsidRPr="00D720DA">
        <w:rPr>
          <w:rFonts w:ascii="Arial" w:hAnsi="Arial" w:cs="Arial"/>
          <w:i/>
          <w:iCs/>
          <w:szCs w:val="24"/>
        </w:rPr>
        <w:t>The Mandarin</w:t>
      </w:r>
      <w:r w:rsidRPr="00D720DA">
        <w:rPr>
          <w:rFonts w:ascii="Arial" w:hAnsi="Arial" w:cs="Arial"/>
          <w:szCs w:val="24"/>
        </w:rPr>
        <w:t xml:space="preserve">. Retrieved from </w:t>
      </w:r>
      <w:hyperlink r:id="rId26" w:history="1">
        <w:r w:rsidRPr="00D720DA">
          <w:rPr>
            <w:rStyle w:val="Hyperlink"/>
            <w:rFonts w:ascii="Arial" w:hAnsi="Arial" w:cs="Arial"/>
            <w:szCs w:val="24"/>
          </w:rPr>
          <w:t>https://www.themandarin.com.au/86305-conflicts-interest-undermined-senior-recruitment/</w:t>
        </w:r>
      </w:hyperlink>
      <w:r w:rsidRPr="00D720DA">
        <w:rPr>
          <w:rFonts w:ascii="Arial" w:hAnsi="Arial" w:cs="Arial"/>
          <w:szCs w:val="24"/>
        </w:rPr>
        <w:t xml:space="preserve"> on 6 Apr 2020.</w:t>
      </w:r>
    </w:p>
    <w:p w14:paraId="0CD985BB" w14:textId="1ED4294A" w:rsidR="008A45B8" w:rsidRPr="00D720DA" w:rsidRDefault="008A45B8" w:rsidP="008A45B8">
      <w:pPr>
        <w:ind w:left="720" w:hanging="720"/>
        <w:rPr>
          <w:rFonts w:ascii="Arial" w:hAnsi="Arial" w:cs="Arial"/>
          <w:szCs w:val="24"/>
        </w:rPr>
      </w:pPr>
      <w:bookmarkStart w:id="23" w:name="_Hlk77148312"/>
      <w:r w:rsidRPr="00D720DA">
        <w:rPr>
          <w:rFonts w:ascii="Arial" w:hAnsi="Arial" w:cs="Arial"/>
          <w:szCs w:val="24"/>
        </w:rPr>
        <w:t>DPAC (2020</w:t>
      </w:r>
      <w:r w:rsidR="00E25C50" w:rsidRPr="00D720DA">
        <w:rPr>
          <w:rFonts w:ascii="Arial" w:hAnsi="Arial" w:cs="Arial"/>
          <w:szCs w:val="24"/>
        </w:rPr>
        <w:t>a</w:t>
      </w:r>
      <w:r w:rsidRPr="00D720DA">
        <w:rPr>
          <w:rFonts w:ascii="Arial" w:hAnsi="Arial" w:cs="Arial"/>
          <w:szCs w:val="24"/>
        </w:rPr>
        <w:t xml:space="preserve">). Employment policy. Retrieved from </w:t>
      </w:r>
      <w:hyperlink r:id="rId27" w:history="1">
        <w:r w:rsidRPr="00D720DA">
          <w:rPr>
            <w:rStyle w:val="Hyperlink"/>
            <w:rFonts w:ascii="Arial" w:hAnsi="Arial" w:cs="Arial"/>
            <w:szCs w:val="24"/>
          </w:rPr>
          <w:t>http://www.dpac.tas.gov.au/divisions/ssmo/employment_policy</w:t>
        </w:r>
      </w:hyperlink>
      <w:r w:rsidRPr="00D720DA">
        <w:rPr>
          <w:rFonts w:ascii="Arial" w:hAnsi="Arial" w:cs="Arial"/>
          <w:szCs w:val="24"/>
        </w:rPr>
        <w:t xml:space="preserve"> on 3 Apr 2020.</w:t>
      </w:r>
    </w:p>
    <w:p w14:paraId="0FEC11FB" w14:textId="68C7EBC4" w:rsidR="008A45B8" w:rsidRPr="00D720DA" w:rsidRDefault="008A45B8" w:rsidP="008A45B8">
      <w:pPr>
        <w:ind w:left="720" w:hanging="720"/>
        <w:rPr>
          <w:rStyle w:val="Hyperlink"/>
          <w:rFonts w:ascii="Arial" w:hAnsi="Arial" w:cs="Arial"/>
          <w:szCs w:val="24"/>
        </w:rPr>
      </w:pPr>
      <w:r w:rsidRPr="00D720DA">
        <w:rPr>
          <w:rFonts w:ascii="Arial" w:hAnsi="Arial" w:cs="Arial"/>
        </w:rPr>
        <w:t>DPAC (2020</w:t>
      </w:r>
      <w:r w:rsidR="00E25C50" w:rsidRPr="00D720DA">
        <w:rPr>
          <w:rFonts w:ascii="Arial" w:hAnsi="Arial" w:cs="Arial"/>
        </w:rPr>
        <w:t>b</w:t>
      </w:r>
      <w:r w:rsidRPr="00D720DA">
        <w:rPr>
          <w:rFonts w:ascii="Arial" w:hAnsi="Arial" w:cs="Arial"/>
        </w:rPr>
        <w:t xml:space="preserve">). New employment direction: ED17 - </w:t>
      </w:r>
      <w:r w:rsidRPr="00D720DA">
        <w:rPr>
          <w:rFonts w:ascii="Arial" w:hAnsi="Arial" w:cs="Arial"/>
          <w:i/>
          <w:iCs/>
        </w:rPr>
        <w:t>Senior Executive Service and</w:t>
      </w:r>
      <w:r w:rsidRPr="00D720DA">
        <w:rPr>
          <w:rFonts w:ascii="Arial" w:hAnsi="Arial" w:cs="Arial"/>
          <w:i/>
          <w:iCs/>
        </w:rPr>
        <w:br/>
        <w:t xml:space="preserve">Equivalent Specialist Officers Administrative Arrangements and Conditions of Service. </w:t>
      </w:r>
      <w:r w:rsidRPr="00D720DA">
        <w:rPr>
          <w:rFonts w:ascii="Arial" w:hAnsi="Arial" w:cs="Arial"/>
        </w:rPr>
        <w:t xml:space="preserve">Retrieved from </w:t>
      </w:r>
      <w:hyperlink r:id="rId28" w:history="1">
        <w:r w:rsidRPr="00D720DA">
          <w:rPr>
            <w:rStyle w:val="Hyperlink"/>
            <w:rFonts w:ascii="Arial" w:hAnsi="Arial" w:cs="Arial"/>
            <w:szCs w:val="24"/>
          </w:rPr>
          <w:t>http://www.dpac.tas.gov.au/__data/assets/pdf_file/0008/541979/Employment_Direction_No_17A_of_2020.pdf</w:t>
        </w:r>
      </w:hyperlink>
      <w:r w:rsidRPr="00D720DA">
        <w:rPr>
          <w:rStyle w:val="Hyperlink"/>
          <w:rFonts w:ascii="Arial" w:hAnsi="Arial" w:cs="Arial"/>
          <w:szCs w:val="24"/>
        </w:rPr>
        <w:t xml:space="preserve"> on 21 Apr 2021.</w:t>
      </w:r>
    </w:p>
    <w:p w14:paraId="63F108E1" w14:textId="70A22C0B" w:rsidR="008A45B8" w:rsidRPr="00D720DA" w:rsidRDefault="008A45B8" w:rsidP="008A45B8">
      <w:pPr>
        <w:ind w:left="720" w:hanging="720"/>
        <w:rPr>
          <w:rFonts w:ascii="Arial" w:hAnsi="Arial" w:cs="Arial"/>
          <w:szCs w:val="24"/>
        </w:rPr>
      </w:pPr>
      <w:r w:rsidRPr="00D720DA">
        <w:rPr>
          <w:rFonts w:ascii="Arial" w:hAnsi="Arial" w:cs="Arial"/>
          <w:color w:val="091B35"/>
          <w:szCs w:val="24"/>
          <w:shd w:val="clear" w:color="auto" w:fill="FFFFFF"/>
        </w:rPr>
        <w:t>DPAC (2020</w:t>
      </w:r>
      <w:r w:rsidR="00E25C50" w:rsidRPr="00D720DA">
        <w:rPr>
          <w:rFonts w:ascii="Arial" w:hAnsi="Arial" w:cs="Arial"/>
          <w:color w:val="091B35"/>
          <w:szCs w:val="24"/>
          <w:shd w:val="clear" w:color="auto" w:fill="FFFFFF"/>
        </w:rPr>
        <w:t>c</w:t>
      </w:r>
      <w:r w:rsidRPr="00D720DA">
        <w:rPr>
          <w:rFonts w:ascii="Arial" w:hAnsi="Arial" w:cs="Arial"/>
          <w:color w:val="091B35"/>
          <w:szCs w:val="24"/>
          <w:shd w:val="clear" w:color="auto" w:fill="FFFFFF"/>
        </w:rPr>
        <w:t xml:space="preserve">). Review of the Tasmanian State Service. Department of the Premier and Cabinet. Retrieved from </w:t>
      </w:r>
      <w:hyperlink r:id="rId29" w:history="1">
        <w:r w:rsidRPr="00D720DA">
          <w:rPr>
            <w:rStyle w:val="Hyperlink"/>
            <w:rFonts w:ascii="Arial" w:hAnsi="Arial" w:cs="Arial"/>
            <w:szCs w:val="24"/>
          </w:rPr>
          <w:t>http://www.dpac.tas.gov.au/divisions/policy/review_of_the_tasmanian_state_service</w:t>
        </w:r>
      </w:hyperlink>
      <w:r w:rsidRPr="00D720DA">
        <w:rPr>
          <w:rFonts w:ascii="Arial" w:hAnsi="Arial" w:cs="Arial"/>
          <w:szCs w:val="24"/>
        </w:rPr>
        <w:t xml:space="preserve"> on 2 Apr 2020.</w:t>
      </w:r>
    </w:p>
    <w:p w14:paraId="30EE8125" w14:textId="19BE9192" w:rsidR="008A45B8" w:rsidRPr="00D720DA" w:rsidRDefault="008A45B8" w:rsidP="008A45B8">
      <w:pPr>
        <w:ind w:left="720" w:hanging="720"/>
        <w:rPr>
          <w:rFonts w:ascii="Arial" w:hAnsi="Arial" w:cs="Arial"/>
          <w:szCs w:val="24"/>
        </w:rPr>
      </w:pPr>
      <w:r w:rsidRPr="00D720DA">
        <w:rPr>
          <w:rFonts w:ascii="Arial" w:hAnsi="Arial" w:cs="Arial"/>
          <w:color w:val="091B35"/>
          <w:szCs w:val="24"/>
          <w:shd w:val="clear" w:color="auto" w:fill="FFFFFF"/>
        </w:rPr>
        <w:t>DPAC (2020</w:t>
      </w:r>
      <w:r w:rsidR="00E25C50" w:rsidRPr="00D720DA">
        <w:rPr>
          <w:rFonts w:ascii="Arial" w:hAnsi="Arial" w:cs="Arial"/>
          <w:color w:val="091B35"/>
          <w:szCs w:val="24"/>
          <w:shd w:val="clear" w:color="auto" w:fill="FFFFFF"/>
        </w:rPr>
        <w:t>d</w:t>
      </w:r>
      <w:r w:rsidRPr="00D720DA">
        <w:rPr>
          <w:rFonts w:ascii="Arial" w:hAnsi="Arial" w:cs="Arial"/>
          <w:color w:val="091B35"/>
          <w:szCs w:val="24"/>
          <w:shd w:val="clear" w:color="auto" w:fill="FFFFFF"/>
        </w:rPr>
        <w:t>)</w:t>
      </w:r>
      <w:r w:rsidRPr="00D720DA">
        <w:rPr>
          <w:rStyle w:val="Hyperlink"/>
          <w:rFonts w:ascii="Arial" w:hAnsi="Arial" w:cs="Arial"/>
          <w:b/>
          <w:bCs/>
          <w:i/>
          <w:iCs/>
          <w:color w:val="auto"/>
          <w:szCs w:val="24"/>
          <w:u w:val="none"/>
        </w:rPr>
        <w:t>.</w:t>
      </w:r>
      <w:r w:rsidRPr="00D720DA">
        <w:rPr>
          <w:rStyle w:val="Hyperlink"/>
          <w:rFonts w:ascii="Arial" w:hAnsi="Arial" w:cs="Arial"/>
          <w:b/>
          <w:bCs/>
          <w:i/>
          <w:iCs/>
          <w:color w:val="auto"/>
          <w:szCs w:val="24"/>
          <w:u w:val="none"/>
          <w:shd w:val="clear" w:color="auto" w:fill="FFFFFF"/>
        </w:rPr>
        <w:t xml:space="preserve"> </w:t>
      </w:r>
      <w:r w:rsidRPr="00D720DA">
        <w:rPr>
          <w:rStyle w:val="Hyperlink"/>
          <w:rFonts w:ascii="Arial" w:hAnsi="Arial" w:cs="Arial"/>
          <w:i/>
          <w:iCs/>
          <w:color w:val="auto"/>
          <w:szCs w:val="24"/>
          <w:u w:val="none"/>
          <w:shd w:val="clear" w:color="auto" w:fill="FFFFFF"/>
        </w:rPr>
        <w:t>Review of the Tasmanian State Service: Final Terms of Reference February 2020.</w:t>
      </w:r>
      <w:r w:rsidRPr="00D720DA">
        <w:rPr>
          <w:rStyle w:val="Hyperlink"/>
          <w:rFonts w:ascii="Arial" w:hAnsi="Arial" w:cs="Arial"/>
          <w:color w:val="auto"/>
          <w:szCs w:val="24"/>
          <w:u w:val="none"/>
          <w:shd w:val="clear" w:color="auto" w:fill="FFFFFF"/>
        </w:rPr>
        <w:t xml:space="preserve"> Retrieved from </w:t>
      </w:r>
      <w:hyperlink r:id="rId30" w:history="1">
        <w:r w:rsidRPr="00D720DA">
          <w:rPr>
            <w:rStyle w:val="Hyperlink"/>
            <w:rFonts w:ascii="Arial" w:hAnsi="Arial" w:cs="Arial"/>
            <w:szCs w:val="24"/>
          </w:rPr>
          <w:t>http://www.dpac.tas.gov.au/__data/assets/pdf_file/0014/515201/Final_Terms_of_Reference_-_Review_of_the_Tasmanian_State_Service.pdf</w:t>
        </w:r>
      </w:hyperlink>
      <w:r w:rsidRPr="00D720DA">
        <w:rPr>
          <w:rStyle w:val="Hyperlink"/>
          <w:rFonts w:ascii="Arial" w:hAnsi="Arial" w:cs="Arial"/>
          <w:color w:val="auto"/>
          <w:szCs w:val="24"/>
          <w:u w:val="none"/>
        </w:rPr>
        <w:t xml:space="preserve"> on 3 Apr 2020</w:t>
      </w:r>
      <w:r w:rsidRPr="00D720DA">
        <w:rPr>
          <w:rFonts w:ascii="Arial" w:hAnsi="Arial" w:cs="Arial"/>
          <w:szCs w:val="24"/>
        </w:rPr>
        <w:t>.</w:t>
      </w:r>
    </w:p>
    <w:p w14:paraId="222A67CA" w14:textId="77777777" w:rsidR="008A45B8" w:rsidRPr="00D720DA" w:rsidRDefault="008A45B8" w:rsidP="008A45B8">
      <w:pPr>
        <w:ind w:left="720" w:hanging="720"/>
        <w:rPr>
          <w:rFonts w:ascii="Arial" w:hAnsi="Arial" w:cs="Arial"/>
          <w:szCs w:val="24"/>
        </w:rPr>
      </w:pPr>
      <w:r w:rsidRPr="00D720DA">
        <w:rPr>
          <w:rFonts w:ascii="Arial" w:hAnsi="Arial" w:cs="Arial"/>
          <w:szCs w:val="24"/>
        </w:rPr>
        <w:t xml:space="preserve">DPAC (2019). </w:t>
      </w:r>
      <w:r w:rsidRPr="00D720DA">
        <w:rPr>
          <w:rFonts w:ascii="Arial" w:hAnsi="Arial" w:cs="Arial"/>
          <w:i/>
          <w:iCs/>
          <w:szCs w:val="24"/>
        </w:rPr>
        <w:t>Employment Direction No. 17 of 2015</w:t>
      </w:r>
      <w:r w:rsidRPr="00D720DA">
        <w:rPr>
          <w:rFonts w:ascii="Arial" w:hAnsi="Arial" w:cs="Arial"/>
          <w:szCs w:val="24"/>
        </w:rPr>
        <w:t xml:space="preserve"> – updated with 2019 salaries. Retrieved from </w:t>
      </w:r>
      <w:hyperlink r:id="rId31" w:history="1">
        <w:r w:rsidRPr="00D720DA">
          <w:rPr>
            <w:rStyle w:val="Hyperlink"/>
            <w:rFonts w:ascii="Arial" w:hAnsi="Arial" w:cs="Arial"/>
            <w:szCs w:val="24"/>
          </w:rPr>
          <w:t>http://www.dpac.tas.gov.au/__data/assets/pdf_file/0007/479293/Employment_Direction_No._17_of_2015_-_final_updated_with_2019_salaries.pdf</w:t>
        </w:r>
      </w:hyperlink>
      <w:r w:rsidRPr="00D720DA">
        <w:rPr>
          <w:rFonts w:ascii="Arial" w:hAnsi="Arial" w:cs="Arial"/>
          <w:szCs w:val="24"/>
        </w:rPr>
        <w:t xml:space="preserve"> on 6 Apr 2020.</w:t>
      </w:r>
    </w:p>
    <w:p w14:paraId="17137577" w14:textId="7D36A19C" w:rsidR="00172721" w:rsidRPr="00D720DA" w:rsidRDefault="00172721" w:rsidP="00694A97">
      <w:pPr>
        <w:ind w:left="720" w:hanging="720"/>
        <w:rPr>
          <w:rFonts w:ascii="Arial" w:hAnsi="Arial" w:cs="Arial"/>
          <w:szCs w:val="24"/>
        </w:rPr>
      </w:pPr>
      <w:r w:rsidRPr="00D720DA">
        <w:rPr>
          <w:rFonts w:ascii="Arial" w:hAnsi="Arial" w:cs="Arial"/>
          <w:szCs w:val="24"/>
        </w:rPr>
        <w:t xml:space="preserve">DPAC (n.d.).  Workforce Renewal Incentive Program (WRIP). Retrieved from </w:t>
      </w:r>
      <w:hyperlink r:id="rId32" w:history="1">
        <w:r w:rsidRPr="00D720DA">
          <w:rPr>
            <w:rStyle w:val="Hyperlink"/>
            <w:rFonts w:ascii="Arial" w:hAnsi="Arial" w:cs="Arial"/>
            <w:szCs w:val="24"/>
          </w:rPr>
          <w:t>http://www.dpac.tas.gov.au/divisions/ssmo/Managing_Positions_in_the_State_Service/wrip</w:t>
        </w:r>
      </w:hyperlink>
      <w:r w:rsidRPr="00D720DA">
        <w:rPr>
          <w:rFonts w:ascii="Arial" w:hAnsi="Arial" w:cs="Arial"/>
          <w:szCs w:val="24"/>
        </w:rPr>
        <w:t xml:space="preserve"> on 3 Apr 2020.</w:t>
      </w:r>
    </w:p>
    <w:p w14:paraId="5F49E9AE" w14:textId="77777777" w:rsidR="00E25C50" w:rsidRPr="00D720DA" w:rsidRDefault="00E25C50" w:rsidP="00E25C50">
      <w:pPr>
        <w:ind w:left="720" w:hanging="720"/>
        <w:rPr>
          <w:rStyle w:val="Hyperlink"/>
          <w:rFonts w:ascii="Arial" w:hAnsi="Arial" w:cs="Arial"/>
          <w:color w:val="auto"/>
          <w:szCs w:val="24"/>
          <w:u w:val="none"/>
        </w:rPr>
      </w:pPr>
      <w:bookmarkStart w:id="24" w:name="_Toc37236808"/>
      <w:bookmarkEnd w:id="23"/>
      <w:r w:rsidRPr="00D720DA">
        <w:rPr>
          <w:rStyle w:val="Hyperlink"/>
          <w:rFonts w:ascii="Arial" w:hAnsi="Arial" w:cs="Arial"/>
          <w:color w:val="auto"/>
          <w:szCs w:val="24"/>
          <w:u w:val="none"/>
          <w:shd w:val="clear" w:color="auto" w:fill="FFFFFF"/>
        </w:rPr>
        <w:t xml:space="preserve">Easton, S. (2019, Mar 1). Tasmania’s premier’s new pay offer comes with a major public service review attached. </w:t>
      </w:r>
      <w:r w:rsidRPr="00D720DA">
        <w:rPr>
          <w:rStyle w:val="Hyperlink"/>
          <w:rFonts w:ascii="Arial" w:hAnsi="Arial" w:cs="Arial"/>
          <w:i/>
          <w:iCs/>
          <w:color w:val="auto"/>
          <w:szCs w:val="24"/>
          <w:u w:val="none"/>
          <w:shd w:val="clear" w:color="auto" w:fill="FFFFFF"/>
        </w:rPr>
        <w:t>The Mandarin</w:t>
      </w:r>
      <w:r w:rsidRPr="00D720DA">
        <w:rPr>
          <w:rStyle w:val="Hyperlink"/>
          <w:rFonts w:ascii="Arial" w:hAnsi="Arial" w:cs="Arial"/>
          <w:color w:val="auto"/>
          <w:szCs w:val="24"/>
          <w:u w:val="none"/>
          <w:shd w:val="clear" w:color="auto" w:fill="FFFFFF"/>
        </w:rPr>
        <w:t xml:space="preserve">. Retrieved from </w:t>
      </w:r>
      <w:hyperlink r:id="rId33" w:history="1">
        <w:r w:rsidRPr="00D720DA">
          <w:rPr>
            <w:rStyle w:val="Hyperlink"/>
            <w:rFonts w:ascii="Arial" w:hAnsi="Arial" w:cs="Arial"/>
            <w:szCs w:val="24"/>
          </w:rPr>
          <w:t>https://www.themandarin.com.au/104789-tasmanian-premiers-new-pay-offer-come-with-a-major-public-service-review-attached/</w:t>
        </w:r>
      </w:hyperlink>
      <w:r w:rsidRPr="00D720DA">
        <w:rPr>
          <w:rStyle w:val="Hyperlink"/>
          <w:rFonts w:ascii="Arial" w:hAnsi="Arial" w:cs="Arial"/>
          <w:szCs w:val="24"/>
        </w:rPr>
        <w:t xml:space="preserve"> </w:t>
      </w:r>
      <w:r w:rsidRPr="00D720DA">
        <w:rPr>
          <w:rStyle w:val="Hyperlink"/>
          <w:rFonts w:ascii="Arial" w:hAnsi="Arial" w:cs="Arial"/>
          <w:color w:val="auto"/>
          <w:szCs w:val="24"/>
          <w:u w:val="none"/>
        </w:rPr>
        <w:t>on 3 Apr 2020.</w:t>
      </w:r>
      <w:bookmarkStart w:id="25" w:name="_Toc37236810"/>
    </w:p>
    <w:bookmarkEnd w:id="25"/>
    <w:p w14:paraId="178DDEC0" w14:textId="77777777" w:rsidR="007B48B1" w:rsidRPr="00D720DA" w:rsidRDefault="00203145" w:rsidP="007B48B1">
      <w:pPr>
        <w:ind w:left="720" w:hanging="720"/>
        <w:rPr>
          <w:rStyle w:val="Hyperlink"/>
          <w:rFonts w:ascii="Arial" w:hAnsi="Arial" w:cs="Arial"/>
          <w:color w:val="auto"/>
          <w:szCs w:val="24"/>
          <w:u w:val="none"/>
        </w:rPr>
      </w:pPr>
      <w:r w:rsidRPr="00D720DA">
        <w:rPr>
          <w:rStyle w:val="Hyperlink"/>
          <w:rFonts w:ascii="Arial" w:hAnsi="Arial" w:cs="Arial"/>
          <w:color w:val="auto"/>
          <w:szCs w:val="24"/>
          <w:u w:val="none"/>
          <w:shd w:val="clear" w:color="auto" w:fill="FFFFFF"/>
        </w:rPr>
        <w:t xml:space="preserve">Easton, S. (2015, Aug 18). Tasmanian bureaucrats rush for redundancy offers. </w:t>
      </w:r>
      <w:r w:rsidRPr="00D720DA">
        <w:rPr>
          <w:rStyle w:val="Hyperlink"/>
          <w:rFonts w:ascii="Arial" w:hAnsi="Arial" w:cs="Arial"/>
          <w:i/>
          <w:iCs/>
          <w:color w:val="auto"/>
          <w:szCs w:val="24"/>
          <w:u w:val="none"/>
          <w:shd w:val="clear" w:color="auto" w:fill="FFFFFF"/>
        </w:rPr>
        <w:t>The Mandarin</w:t>
      </w:r>
      <w:r w:rsidRPr="00D720DA">
        <w:rPr>
          <w:rStyle w:val="Hyperlink"/>
          <w:rFonts w:ascii="Arial" w:hAnsi="Arial" w:cs="Arial"/>
          <w:color w:val="auto"/>
          <w:szCs w:val="24"/>
          <w:u w:val="none"/>
          <w:shd w:val="clear" w:color="auto" w:fill="FFFFFF"/>
        </w:rPr>
        <w:t xml:space="preserve">. Retrieved from </w:t>
      </w:r>
      <w:hyperlink r:id="rId34" w:history="1">
        <w:r w:rsidRPr="00D720DA">
          <w:rPr>
            <w:rStyle w:val="Hyperlink"/>
            <w:rFonts w:ascii="Arial" w:hAnsi="Arial" w:cs="Arial"/>
            <w:szCs w:val="24"/>
          </w:rPr>
          <w:t>https://www.themandarin.com.au/48611-tasmanian-bureaucrats-rush-exits-auditor-general-probes-payouts/</w:t>
        </w:r>
      </w:hyperlink>
      <w:r w:rsidRPr="00D720DA">
        <w:rPr>
          <w:rStyle w:val="Hyperlink"/>
          <w:rFonts w:ascii="Arial" w:hAnsi="Arial" w:cs="Arial"/>
          <w:color w:val="auto"/>
          <w:szCs w:val="24"/>
          <w:u w:val="none"/>
        </w:rPr>
        <w:t xml:space="preserve"> on 3 Apr 2020.</w:t>
      </w:r>
      <w:bookmarkStart w:id="26" w:name="_Toc37236809"/>
      <w:bookmarkEnd w:id="24"/>
    </w:p>
    <w:p w14:paraId="2B2AD3A8" w14:textId="3210CAC5" w:rsidR="006274A3" w:rsidRPr="00D720DA" w:rsidRDefault="006274A3" w:rsidP="006274A3">
      <w:pPr>
        <w:pStyle w:val="reference"/>
        <w:rPr>
          <w:rFonts w:ascii="Arial" w:hAnsi="Arial" w:cs="Arial"/>
          <w:sz w:val="24"/>
          <w:szCs w:val="24"/>
        </w:rPr>
      </w:pPr>
      <w:bookmarkStart w:id="27" w:name="_Toc37236812"/>
      <w:bookmarkStart w:id="28" w:name="_Toc37915261"/>
      <w:bookmarkEnd w:id="26"/>
      <w:r w:rsidRPr="00D720DA">
        <w:rPr>
          <w:rFonts w:ascii="Arial" w:hAnsi="Arial" w:cs="Arial"/>
          <w:sz w:val="24"/>
          <w:szCs w:val="24"/>
        </w:rPr>
        <w:t>Elmas</w:t>
      </w:r>
      <w:r w:rsidR="00E25C50" w:rsidRPr="00D720DA">
        <w:rPr>
          <w:rFonts w:ascii="Arial" w:hAnsi="Arial" w:cs="Arial"/>
          <w:sz w:val="24"/>
          <w:szCs w:val="24"/>
        </w:rPr>
        <w:t>,</w:t>
      </w:r>
      <w:r w:rsidRPr="00D720DA">
        <w:rPr>
          <w:rFonts w:ascii="Arial" w:hAnsi="Arial" w:cs="Arial"/>
          <w:sz w:val="24"/>
          <w:szCs w:val="24"/>
        </w:rPr>
        <w:t xml:space="preserve"> M</w:t>
      </w:r>
      <w:r w:rsidR="00E25C50" w:rsidRPr="00D720DA">
        <w:rPr>
          <w:rFonts w:ascii="Arial" w:hAnsi="Arial" w:cs="Arial"/>
          <w:sz w:val="24"/>
          <w:szCs w:val="24"/>
        </w:rPr>
        <w:t>.</w:t>
      </w:r>
      <w:r w:rsidRPr="00D720DA">
        <w:rPr>
          <w:rFonts w:ascii="Arial" w:hAnsi="Arial" w:cs="Arial"/>
          <w:sz w:val="24"/>
          <w:szCs w:val="24"/>
        </w:rPr>
        <w:t xml:space="preserve"> (2020)</w:t>
      </w:r>
      <w:r w:rsidR="00E25C50" w:rsidRPr="00D720DA">
        <w:rPr>
          <w:rFonts w:ascii="Arial" w:hAnsi="Arial" w:cs="Arial"/>
          <w:sz w:val="24"/>
          <w:szCs w:val="24"/>
        </w:rPr>
        <w:t>.</w:t>
      </w:r>
      <w:r w:rsidRPr="00D720DA">
        <w:rPr>
          <w:rFonts w:ascii="Arial" w:hAnsi="Arial" w:cs="Arial"/>
          <w:sz w:val="24"/>
          <w:szCs w:val="24"/>
        </w:rPr>
        <w:t xml:space="preserve"> No wage freeze for Tasmanian public servants, state government confirms. </w:t>
      </w:r>
      <w:r w:rsidRPr="00D720DA">
        <w:rPr>
          <w:rFonts w:ascii="Arial" w:hAnsi="Arial" w:cs="Arial"/>
          <w:i/>
          <w:iCs/>
          <w:sz w:val="24"/>
          <w:szCs w:val="24"/>
        </w:rPr>
        <w:t>The Mandarin</w:t>
      </w:r>
      <w:r w:rsidRPr="00D720DA">
        <w:rPr>
          <w:rFonts w:ascii="Arial" w:hAnsi="Arial" w:cs="Arial"/>
          <w:sz w:val="24"/>
          <w:szCs w:val="24"/>
        </w:rPr>
        <w:t xml:space="preserve">, 12 October. </w:t>
      </w:r>
      <w:r w:rsidR="00E25C50" w:rsidRPr="00D720DA">
        <w:rPr>
          <w:rFonts w:ascii="Arial" w:hAnsi="Arial" w:cs="Arial"/>
          <w:sz w:val="24"/>
          <w:szCs w:val="24"/>
        </w:rPr>
        <w:t>Retreived from</w:t>
      </w:r>
      <w:r w:rsidRPr="00D720DA">
        <w:rPr>
          <w:rFonts w:ascii="Arial" w:hAnsi="Arial" w:cs="Arial"/>
          <w:sz w:val="24"/>
          <w:szCs w:val="24"/>
        </w:rPr>
        <w:t xml:space="preserve"> </w:t>
      </w:r>
      <w:hyperlink r:id="rId35" w:history="1">
        <w:r w:rsidRPr="00D720DA">
          <w:rPr>
            <w:rStyle w:val="Hyperlink"/>
            <w:rFonts w:ascii="Arial" w:hAnsi="Arial" w:cs="Arial"/>
            <w:sz w:val="24"/>
            <w:szCs w:val="24"/>
          </w:rPr>
          <w:t>https://www.themandarin.com.au/142109-wage-freeze-tasmania/</w:t>
        </w:r>
      </w:hyperlink>
      <w:r w:rsidRPr="00D720DA">
        <w:rPr>
          <w:rStyle w:val="Hyperlink"/>
          <w:rFonts w:ascii="Arial" w:hAnsi="Arial" w:cs="Arial"/>
          <w:sz w:val="24"/>
          <w:szCs w:val="24"/>
        </w:rPr>
        <w:t xml:space="preserve"> </w:t>
      </w:r>
      <w:r w:rsidR="00E25C50" w:rsidRPr="00D720DA">
        <w:rPr>
          <w:rFonts w:ascii="Arial" w:hAnsi="Arial" w:cs="Arial"/>
          <w:sz w:val="24"/>
          <w:szCs w:val="24"/>
        </w:rPr>
        <w:t xml:space="preserve">on </w:t>
      </w:r>
      <w:r w:rsidRPr="00D720DA">
        <w:rPr>
          <w:rFonts w:ascii="Arial" w:hAnsi="Arial" w:cs="Arial"/>
          <w:sz w:val="24"/>
          <w:szCs w:val="24"/>
        </w:rPr>
        <w:t>13 Nov 2020).</w:t>
      </w:r>
    </w:p>
    <w:p w14:paraId="2DDC6D33" w14:textId="1A19EEC9" w:rsidR="00027A38" w:rsidRPr="00D720DA" w:rsidRDefault="00027A38" w:rsidP="00355549">
      <w:pPr>
        <w:ind w:left="720" w:hanging="720"/>
        <w:rPr>
          <w:rStyle w:val="Hyperlink"/>
          <w:rFonts w:ascii="Arial" w:hAnsi="Arial" w:cs="Arial"/>
          <w:color w:val="auto"/>
          <w:szCs w:val="24"/>
          <w:u w:val="none"/>
          <w:shd w:val="clear" w:color="auto" w:fill="FFFFFF"/>
        </w:rPr>
      </w:pPr>
      <w:r w:rsidRPr="00D720DA">
        <w:rPr>
          <w:rFonts w:ascii="Arial" w:hAnsi="Arial" w:cs="Arial"/>
        </w:rPr>
        <w:t>Fitzgerald, L. (2002). Re</w:t>
      </w:r>
      <w:r w:rsidRPr="00D720DA">
        <w:rPr>
          <w:rFonts w:ascii="Cambria Math" w:hAnsi="Cambria Math" w:cs="Cambria Math"/>
        </w:rPr>
        <w:t>‐</w:t>
      </w:r>
      <w:r w:rsidRPr="00D720DA">
        <w:rPr>
          <w:rFonts w:ascii="Arial" w:hAnsi="Arial" w:cs="Arial"/>
        </w:rPr>
        <w:t xml:space="preserve">evaluation of the </w:t>
      </w:r>
      <w:r w:rsidR="006B7DAF" w:rsidRPr="00D720DA">
        <w:rPr>
          <w:rFonts w:ascii="Arial" w:hAnsi="Arial" w:cs="Arial"/>
        </w:rPr>
        <w:t>i</w:t>
      </w:r>
      <w:r w:rsidRPr="00D720DA">
        <w:rPr>
          <w:rFonts w:ascii="Arial" w:hAnsi="Arial" w:cs="Arial"/>
        </w:rPr>
        <w:t xml:space="preserve">mportance of the </w:t>
      </w:r>
      <w:r w:rsidR="006B7DAF" w:rsidRPr="00D720DA">
        <w:rPr>
          <w:rFonts w:ascii="Arial" w:hAnsi="Arial" w:cs="Arial"/>
        </w:rPr>
        <w:t>p</w:t>
      </w:r>
      <w:r w:rsidRPr="00D720DA">
        <w:rPr>
          <w:rFonts w:ascii="Arial" w:hAnsi="Arial" w:cs="Arial"/>
        </w:rPr>
        <w:t xml:space="preserve">ublic </w:t>
      </w:r>
      <w:r w:rsidR="006B7DAF" w:rsidRPr="00D720DA">
        <w:rPr>
          <w:rFonts w:ascii="Arial" w:hAnsi="Arial" w:cs="Arial"/>
        </w:rPr>
        <w:t>s</w:t>
      </w:r>
      <w:r w:rsidRPr="00D720DA">
        <w:rPr>
          <w:rFonts w:ascii="Arial" w:hAnsi="Arial" w:cs="Arial"/>
        </w:rPr>
        <w:t xml:space="preserve">ervice: Tasmania’s </w:t>
      </w:r>
      <w:r w:rsidR="006B7DAF" w:rsidRPr="00D720DA">
        <w:rPr>
          <w:rFonts w:ascii="Arial" w:hAnsi="Arial" w:cs="Arial"/>
        </w:rPr>
        <w:t>c</w:t>
      </w:r>
      <w:r w:rsidRPr="00D720DA">
        <w:rPr>
          <w:rFonts w:ascii="Arial" w:hAnsi="Arial" w:cs="Arial"/>
        </w:rPr>
        <w:t xml:space="preserve">ollaborative </w:t>
      </w:r>
      <w:r w:rsidR="006B7DAF" w:rsidRPr="00D720DA">
        <w:rPr>
          <w:rFonts w:ascii="Arial" w:hAnsi="Arial" w:cs="Arial"/>
        </w:rPr>
        <w:t>p</w:t>
      </w:r>
      <w:r w:rsidRPr="00D720DA">
        <w:rPr>
          <w:rFonts w:ascii="Arial" w:hAnsi="Arial" w:cs="Arial"/>
        </w:rPr>
        <w:t xml:space="preserve">rogram. </w:t>
      </w:r>
      <w:r w:rsidRPr="00D720DA">
        <w:rPr>
          <w:rFonts w:ascii="Arial" w:hAnsi="Arial" w:cs="Arial"/>
          <w:i/>
          <w:iCs/>
        </w:rPr>
        <w:t>Australian Journal of Public Administration 58</w:t>
      </w:r>
      <w:r w:rsidRPr="00D720DA">
        <w:rPr>
          <w:rFonts w:ascii="Arial" w:hAnsi="Arial" w:cs="Arial"/>
        </w:rPr>
        <w:t>(3)</w:t>
      </w:r>
      <w:r w:rsidR="00E25C50" w:rsidRPr="00D720DA">
        <w:rPr>
          <w:rFonts w:ascii="Arial" w:hAnsi="Arial" w:cs="Arial"/>
        </w:rPr>
        <w:t>, pp</w:t>
      </w:r>
      <w:r w:rsidRPr="00D720DA">
        <w:rPr>
          <w:rFonts w:ascii="Arial" w:hAnsi="Arial" w:cs="Arial"/>
        </w:rPr>
        <w:t xml:space="preserve"> 76-79.</w:t>
      </w:r>
    </w:p>
    <w:p w14:paraId="67491F2D" w14:textId="79F3A1B2" w:rsidR="00594630" w:rsidRPr="00D720DA" w:rsidRDefault="00594630" w:rsidP="00355549">
      <w:pPr>
        <w:ind w:left="720" w:hanging="720"/>
        <w:rPr>
          <w:rFonts w:ascii="Arial" w:hAnsi="Arial" w:cs="Arial"/>
        </w:rPr>
      </w:pPr>
      <w:bookmarkStart w:id="29" w:name="_Toc37236813"/>
      <w:bookmarkStart w:id="30" w:name="_Toc37915262"/>
      <w:bookmarkEnd w:id="27"/>
      <w:bookmarkEnd w:id="28"/>
      <w:r w:rsidRPr="00D720DA">
        <w:rPr>
          <w:rStyle w:val="Hyperlink"/>
          <w:rFonts w:ascii="Arial" w:hAnsi="Arial" w:cs="Arial"/>
          <w:color w:val="auto"/>
          <w:szCs w:val="24"/>
          <w:u w:val="none"/>
          <w:shd w:val="clear" w:color="auto" w:fill="FFFFFF"/>
        </w:rPr>
        <w:t xml:space="preserve">Gale, J. (2019, Nov 5). Jenny Gale on building a State Service of Tasmania that's set for the future. </w:t>
      </w:r>
      <w:r w:rsidRPr="00D720DA">
        <w:rPr>
          <w:rStyle w:val="Hyperlink"/>
          <w:rFonts w:ascii="Arial" w:hAnsi="Arial" w:cs="Arial"/>
          <w:i/>
          <w:iCs/>
          <w:color w:val="auto"/>
          <w:szCs w:val="24"/>
          <w:u w:val="none"/>
          <w:shd w:val="clear" w:color="auto" w:fill="FFFFFF"/>
        </w:rPr>
        <w:t>The Examiner</w:t>
      </w:r>
      <w:r w:rsidRPr="00D720DA">
        <w:rPr>
          <w:rStyle w:val="Hyperlink"/>
          <w:rFonts w:ascii="Arial" w:hAnsi="Arial" w:cs="Arial"/>
          <w:color w:val="auto"/>
          <w:szCs w:val="24"/>
          <w:u w:val="none"/>
          <w:shd w:val="clear" w:color="auto" w:fill="FFFFFF"/>
        </w:rPr>
        <w:t xml:space="preserve">. Retrieved from </w:t>
      </w:r>
      <w:hyperlink r:id="rId36" w:history="1">
        <w:r w:rsidRPr="00D720DA">
          <w:rPr>
            <w:rStyle w:val="Hyperlink"/>
            <w:rFonts w:ascii="Arial" w:hAnsi="Arial" w:cs="Arial"/>
            <w:szCs w:val="24"/>
          </w:rPr>
          <w:t>https://www.examiner.com.au/story/6471916/building-a-state-service-set-for-the-future/</w:t>
        </w:r>
      </w:hyperlink>
      <w:r w:rsidRPr="00D720DA">
        <w:rPr>
          <w:rFonts w:ascii="Arial" w:hAnsi="Arial" w:cs="Arial"/>
        </w:rPr>
        <w:t xml:space="preserve"> on 3 Apr 2020.</w:t>
      </w:r>
      <w:bookmarkEnd w:id="29"/>
      <w:bookmarkEnd w:id="30"/>
    </w:p>
    <w:p w14:paraId="2DAFE01A" w14:textId="77777777" w:rsidR="006F400E" w:rsidRPr="00D720DA" w:rsidRDefault="006F400E" w:rsidP="00694A97">
      <w:pPr>
        <w:pStyle w:val="indentpara"/>
        <w:ind w:left="720" w:hanging="720"/>
        <w:rPr>
          <w:rFonts w:ascii="Arial" w:hAnsi="Arial" w:cs="Arial"/>
        </w:rPr>
      </w:pPr>
      <w:bookmarkStart w:id="31" w:name="_Hlk37233263"/>
      <w:r w:rsidRPr="00D720DA">
        <w:rPr>
          <w:rFonts w:ascii="Arial" w:hAnsi="Arial" w:cs="Arial"/>
        </w:rPr>
        <w:t xml:space="preserve">Gollan, K. (2018, May 23). Marriage in Australia: A timeline of how love and law have changed in 130 years. </w:t>
      </w:r>
      <w:r w:rsidRPr="00D720DA">
        <w:rPr>
          <w:rFonts w:ascii="Arial" w:hAnsi="Arial" w:cs="Arial"/>
          <w:i/>
          <w:iCs w:val="0"/>
        </w:rPr>
        <w:t>ABC Radio National</w:t>
      </w:r>
      <w:r w:rsidRPr="00D720DA">
        <w:rPr>
          <w:rFonts w:ascii="Arial" w:hAnsi="Arial" w:cs="Arial"/>
        </w:rPr>
        <w:t xml:space="preserve">. Retrieved from </w:t>
      </w:r>
      <w:hyperlink r:id="rId37" w:history="1">
        <w:r w:rsidRPr="00D720DA">
          <w:rPr>
            <w:rStyle w:val="Hyperlink"/>
            <w:rFonts w:ascii="Arial" w:hAnsi="Arial" w:cs="Arial"/>
          </w:rPr>
          <w:t>https://www.abc.net.au/news/2017-04-17/marriage-in-australia-how-love-and-law-have-changed-in-130-years/8430254</w:t>
        </w:r>
      </w:hyperlink>
      <w:r w:rsidRPr="00D720DA">
        <w:rPr>
          <w:rFonts w:ascii="Arial" w:hAnsi="Arial" w:cs="Arial"/>
        </w:rPr>
        <w:t xml:space="preserve"> on 8 Apr 2020.</w:t>
      </w:r>
    </w:p>
    <w:p w14:paraId="4DC1F110" w14:textId="26BA65DE" w:rsidR="00C637E9" w:rsidRPr="00D720DA" w:rsidRDefault="00C637E9" w:rsidP="00D509EC">
      <w:pPr>
        <w:ind w:left="720" w:hanging="720"/>
        <w:rPr>
          <w:rStyle w:val="Hyperlink"/>
          <w:rFonts w:ascii="Arial" w:hAnsi="Arial" w:cs="Arial"/>
          <w:color w:val="auto"/>
          <w:szCs w:val="24"/>
          <w:u w:val="none"/>
          <w:shd w:val="clear" w:color="auto" w:fill="FFFFFF"/>
        </w:rPr>
      </w:pPr>
      <w:bookmarkStart w:id="32" w:name="_Toc37236814"/>
      <w:bookmarkStart w:id="33" w:name="_Toc37915263"/>
      <w:bookmarkEnd w:id="31"/>
      <w:r w:rsidRPr="00D720DA">
        <w:rPr>
          <w:rStyle w:val="Hyperlink"/>
          <w:rFonts w:ascii="Arial" w:hAnsi="Arial" w:cs="Arial"/>
          <w:color w:val="auto"/>
          <w:szCs w:val="24"/>
          <w:u w:val="none"/>
          <w:shd w:val="clear" w:color="auto" w:fill="FFFFFF"/>
        </w:rPr>
        <w:lastRenderedPageBreak/>
        <w:t xml:space="preserve">Green, A. (2006). Tasmania election 2006. </w:t>
      </w:r>
      <w:r w:rsidRPr="00D720DA">
        <w:rPr>
          <w:rStyle w:val="Hyperlink"/>
          <w:rFonts w:ascii="Arial" w:hAnsi="Arial" w:cs="Arial"/>
          <w:i/>
          <w:iCs/>
          <w:color w:val="auto"/>
          <w:szCs w:val="24"/>
          <w:u w:val="none"/>
          <w:shd w:val="clear" w:color="auto" w:fill="FFFFFF"/>
        </w:rPr>
        <w:t>ABC News</w:t>
      </w:r>
      <w:r w:rsidRPr="00D720DA">
        <w:rPr>
          <w:rStyle w:val="Hyperlink"/>
          <w:rFonts w:ascii="Arial" w:hAnsi="Arial" w:cs="Arial"/>
          <w:color w:val="auto"/>
          <w:szCs w:val="24"/>
          <w:u w:val="none"/>
          <w:shd w:val="clear" w:color="auto" w:fill="FFFFFF"/>
        </w:rPr>
        <w:t xml:space="preserve">. Retrieved from </w:t>
      </w:r>
      <w:hyperlink r:id="rId38" w:history="1">
        <w:r w:rsidRPr="00D720DA">
          <w:rPr>
            <w:rStyle w:val="Hyperlink"/>
            <w:rFonts w:ascii="Arial" w:hAnsi="Arial" w:cs="Arial"/>
            <w:szCs w:val="24"/>
          </w:rPr>
          <w:t>https://www.abc.net.au/elections/tas/2006/guide/summary.htm</w:t>
        </w:r>
      </w:hyperlink>
      <w:r w:rsidRPr="00D720DA">
        <w:rPr>
          <w:rFonts w:ascii="Arial" w:hAnsi="Arial" w:cs="Arial"/>
        </w:rPr>
        <w:t xml:space="preserve"> on 8 Apr 2020.</w:t>
      </w:r>
      <w:bookmarkEnd w:id="32"/>
      <w:bookmarkEnd w:id="33"/>
    </w:p>
    <w:p w14:paraId="05ED3E62" w14:textId="77777777" w:rsidR="00AA3536" w:rsidRPr="00D720DA" w:rsidRDefault="00AA3536" w:rsidP="00AA3536">
      <w:pPr>
        <w:ind w:left="720" w:hanging="720"/>
        <w:rPr>
          <w:rStyle w:val="xfontstyle2"/>
          <w:rFonts w:ascii="Arial" w:hAnsi="Arial" w:cs="Arial"/>
          <w:szCs w:val="24"/>
        </w:rPr>
      </w:pPr>
      <w:bookmarkStart w:id="34" w:name="_Toc37236815"/>
      <w:bookmarkStart w:id="35" w:name="_Toc37915264"/>
      <w:r w:rsidRPr="00D720DA">
        <w:rPr>
          <w:rStyle w:val="xfontstyle2"/>
          <w:rFonts w:ascii="Arial" w:hAnsi="Arial" w:cs="Arial"/>
          <w:color w:val="000000"/>
          <w:szCs w:val="24"/>
          <w:bdr w:val="none" w:sz="0" w:space="0" w:color="auto" w:frame="1"/>
          <w:shd w:val="clear" w:color="auto" w:fill="FFFFFF"/>
        </w:rPr>
        <w:t xml:space="preserve">Griffith, G. (2009). Oversight of public appointments. E-Brief No. 4/09. NSW Parliamentary Library Research Service. Retrieved from </w:t>
      </w:r>
      <w:hyperlink r:id="rId39" w:history="1">
        <w:r w:rsidRPr="00D720DA">
          <w:rPr>
            <w:rStyle w:val="Hyperlink"/>
            <w:rFonts w:ascii="Arial" w:hAnsi="Arial" w:cs="Arial"/>
            <w:szCs w:val="24"/>
            <w:bdr w:val="none" w:sz="0" w:space="0" w:color="auto" w:frame="1"/>
            <w:shd w:val="clear" w:color="auto" w:fill="FFFFFF"/>
          </w:rPr>
          <w:t>https://www.parliament.nsw.gov.au/researchpapers/Documents/oversight-of-public-appointments/E%20Brief%20Oversight%20of%20public%20appointments.pdf</w:t>
        </w:r>
      </w:hyperlink>
      <w:r w:rsidRPr="00D720DA">
        <w:rPr>
          <w:rStyle w:val="xfontstyle2"/>
          <w:rFonts w:ascii="Arial" w:hAnsi="Arial" w:cs="Arial"/>
          <w:color w:val="000000"/>
          <w:szCs w:val="24"/>
          <w:bdr w:val="none" w:sz="0" w:space="0" w:color="auto" w:frame="1"/>
          <w:shd w:val="clear" w:color="auto" w:fill="FFFFFF"/>
        </w:rPr>
        <w:t xml:space="preserve"> on 26 May 2021.</w:t>
      </w:r>
    </w:p>
    <w:p w14:paraId="1B81785F" w14:textId="77777777" w:rsidR="00E25C50" w:rsidRPr="00D720DA" w:rsidRDefault="00E25C50" w:rsidP="00E25C50">
      <w:pPr>
        <w:ind w:left="720" w:hanging="720"/>
        <w:rPr>
          <w:rFonts w:ascii="Arial" w:hAnsi="Arial" w:cs="Arial"/>
          <w:szCs w:val="24"/>
        </w:rPr>
      </w:pPr>
      <w:proofErr w:type="spellStart"/>
      <w:r w:rsidRPr="00D720DA">
        <w:rPr>
          <w:rFonts w:ascii="Arial" w:hAnsi="Arial" w:cs="Arial"/>
          <w:szCs w:val="24"/>
        </w:rPr>
        <w:t>Gutwein</w:t>
      </w:r>
      <w:proofErr w:type="spellEnd"/>
      <w:r w:rsidRPr="00D720DA">
        <w:rPr>
          <w:rFonts w:ascii="Arial" w:hAnsi="Arial" w:cs="Arial"/>
          <w:szCs w:val="24"/>
        </w:rPr>
        <w:t xml:space="preserve">, P. (2020, Jul 20). Premier’s Economic and Social Recovery Advisory Council Interim Report. Media release. Retrieved from </w:t>
      </w:r>
      <w:hyperlink r:id="rId40" w:history="1">
        <w:r w:rsidRPr="00D720DA">
          <w:rPr>
            <w:rStyle w:val="Hyperlink"/>
            <w:rFonts w:ascii="Arial" w:hAnsi="Arial" w:cs="Arial"/>
            <w:szCs w:val="24"/>
          </w:rPr>
          <w:t>http://www.premier.tas.gov.au/releases/premiers_economic_and_social_recovery_advisory_council_interim_report</w:t>
        </w:r>
      </w:hyperlink>
      <w:r w:rsidRPr="00D720DA">
        <w:rPr>
          <w:rFonts w:ascii="Arial" w:hAnsi="Arial" w:cs="Arial"/>
          <w:szCs w:val="24"/>
        </w:rPr>
        <w:t xml:space="preserve"> on 12 Aug 2020.</w:t>
      </w:r>
    </w:p>
    <w:p w14:paraId="15F5620E" w14:textId="77777777" w:rsidR="00E25C50" w:rsidRPr="00D720DA" w:rsidRDefault="00E25C50" w:rsidP="00E25C50">
      <w:pPr>
        <w:ind w:left="720" w:hanging="720"/>
        <w:rPr>
          <w:rFonts w:ascii="Arial" w:hAnsi="Arial" w:cs="Arial"/>
          <w:szCs w:val="24"/>
        </w:rPr>
      </w:pPr>
      <w:proofErr w:type="spellStart"/>
      <w:r w:rsidRPr="00D720DA">
        <w:rPr>
          <w:rFonts w:ascii="Arial" w:hAnsi="Arial" w:cs="Arial"/>
          <w:szCs w:val="24"/>
        </w:rPr>
        <w:t>Gutwein</w:t>
      </w:r>
      <w:proofErr w:type="spellEnd"/>
      <w:r w:rsidRPr="00D720DA">
        <w:rPr>
          <w:rFonts w:ascii="Arial" w:hAnsi="Arial" w:cs="Arial"/>
          <w:szCs w:val="24"/>
        </w:rPr>
        <w:t xml:space="preserve">, P. (2020, Jun 24). SES wage freeze. Media release. Retrieved from </w:t>
      </w:r>
      <w:hyperlink r:id="rId41" w:history="1">
        <w:r w:rsidRPr="00D720DA">
          <w:rPr>
            <w:rStyle w:val="Hyperlink"/>
            <w:rFonts w:ascii="Arial" w:hAnsi="Arial" w:cs="Arial"/>
            <w:szCs w:val="24"/>
          </w:rPr>
          <w:t>http://www.premier.tas.gov.au/releases/ses_wage_freeze</w:t>
        </w:r>
      </w:hyperlink>
      <w:r w:rsidRPr="00D720DA">
        <w:rPr>
          <w:rFonts w:ascii="Arial" w:hAnsi="Arial" w:cs="Arial"/>
          <w:szCs w:val="24"/>
        </w:rPr>
        <w:t xml:space="preserve"> on 12 Aug 2020.</w:t>
      </w:r>
    </w:p>
    <w:p w14:paraId="337ECFEF" w14:textId="77777777" w:rsidR="00E25C50" w:rsidRPr="00D720DA" w:rsidRDefault="00E25C50" w:rsidP="00E25C50">
      <w:pPr>
        <w:ind w:left="720" w:hanging="720"/>
        <w:rPr>
          <w:rFonts w:ascii="Arial" w:hAnsi="Arial" w:cs="Arial"/>
          <w:szCs w:val="24"/>
        </w:rPr>
      </w:pPr>
      <w:proofErr w:type="spellStart"/>
      <w:r w:rsidRPr="00D720DA">
        <w:rPr>
          <w:rFonts w:ascii="Arial" w:hAnsi="Arial" w:cs="Arial"/>
          <w:szCs w:val="24"/>
        </w:rPr>
        <w:t>Gutwein</w:t>
      </w:r>
      <w:proofErr w:type="spellEnd"/>
      <w:r w:rsidRPr="00D720DA">
        <w:rPr>
          <w:rFonts w:ascii="Arial" w:hAnsi="Arial" w:cs="Arial"/>
          <w:szCs w:val="24"/>
        </w:rPr>
        <w:t>, P</w:t>
      </w:r>
      <w:r w:rsidRPr="00D720DA">
        <w:rPr>
          <w:rFonts w:ascii="Arial" w:hAnsi="Arial" w:cs="Arial"/>
          <w:color w:val="C00000"/>
          <w:szCs w:val="24"/>
        </w:rPr>
        <w:t xml:space="preserve">. </w:t>
      </w:r>
      <w:r w:rsidRPr="00D720DA">
        <w:rPr>
          <w:rFonts w:ascii="Arial" w:hAnsi="Arial" w:cs="Arial"/>
          <w:szCs w:val="24"/>
        </w:rPr>
        <w:t xml:space="preserve">(2019, Nov 19). Tasmania’s exceptional economic growth. Media Release. Retrieved from </w:t>
      </w:r>
      <w:hyperlink r:id="rId42" w:history="1">
        <w:r w:rsidRPr="00D720DA">
          <w:rPr>
            <w:rStyle w:val="Hyperlink"/>
            <w:rFonts w:ascii="Arial" w:hAnsi="Arial" w:cs="Arial"/>
            <w:szCs w:val="24"/>
          </w:rPr>
          <w:t>http://www.premier.tas.gov.au/releases/tasmanias_exceptional_economic_growth</w:t>
        </w:r>
      </w:hyperlink>
      <w:r w:rsidRPr="00D720DA">
        <w:rPr>
          <w:rFonts w:ascii="Arial" w:hAnsi="Arial" w:cs="Arial"/>
          <w:szCs w:val="24"/>
        </w:rPr>
        <w:t xml:space="preserve"> on 26 Nov 2019. </w:t>
      </w:r>
    </w:p>
    <w:p w14:paraId="681B7BA3" w14:textId="755D9645" w:rsidR="00C52238" w:rsidRPr="00D720DA" w:rsidRDefault="00C52238" w:rsidP="00D509EC">
      <w:pPr>
        <w:ind w:left="720" w:hanging="720"/>
        <w:rPr>
          <w:rStyle w:val="Hyperlink"/>
          <w:rFonts w:ascii="Arial" w:hAnsi="Arial" w:cs="Arial"/>
          <w:color w:val="auto"/>
          <w:szCs w:val="24"/>
          <w:u w:val="none"/>
          <w:shd w:val="clear" w:color="auto" w:fill="FFFFFF"/>
        </w:rPr>
      </w:pPr>
      <w:proofErr w:type="spellStart"/>
      <w:r w:rsidRPr="00D720DA">
        <w:rPr>
          <w:rStyle w:val="Hyperlink"/>
          <w:rFonts w:ascii="Arial" w:hAnsi="Arial" w:cs="Arial"/>
          <w:color w:val="auto"/>
          <w:szCs w:val="24"/>
          <w:u w:val="none"/>
          <w:shd w:val="clear" w:color="auto" w:fill="FFFFFF"/>
        </w:rPr>
        <w:t>Gutwein</w:t>
      </w:r>
      <w:proofErr w:type="spellEnd"/>
      <w:r w:rsidRPr="00D720DA">
        <w:rPr>
          <w:rStyle w:val="Hyperlink"/>
          <w:rFonts w:ascii="Arial" w:hAnsi="Arial" w:cs="Arial"/>
          <w:color w:val="auto"/>
          <w:szCs w:val="24"/>
          <w:u w:val="none"/>
          <w:shd w:val="clear" w:color="auto" w:fill="FFFFFF"/>
        </w:rPr>
        <w:t xml:space="preserve">, P. (2014, Oct 28). Ministerial Statement [Savings measures]. Retrieved from </w:t>
      </w:r>
      <w:hyperlink r:id="rId43" w:history="1">
        <w:r w:rsidRPr="00D720DA">
          <w:rPr>
            <w:rStyle w:val="Hyperlink"/>
            <w:rFonts w:ascii="Arial" w:hAnsi="Arial" w:cs="Arial"/>
            <w:szCs w:val="24"/>
          </w:rPr>
          <w:t>http://www.premier.tas.gov.au/releases/ministerial_statement_savings_measures</w:t>
        </w:r>
      </w:hyperlink>
      <w:r w:rsidRPr="00D720DA">
        <w:rPr>
          <w:rFonts w:ascii="Arial" w:hAnsi="Arial" w:cs="Arial"/>
        </w:rPr>
        <w:t xml:space="preserve"> on 3 Apr 2020.</w:t>
      </w:r>
      <w:bookmarkEnd w:id="34"/>
      <w:bookmarkEnd w:id="35"/>
    </w:p>
    <w:p w14:paraId="75FEAB7B" w14:textId="02BC3A2C" w:rsidR="00027A38" w:rsidRPr="00D720DA" w:rsidRDefault="00027A38" w:rsidP="00355549">
      <w:pPr>
        <w:ind w:left="720" w:hanging="720"/>
        <w:rPr>
          <w:rStyle w:val="Hyperlink"/>
          <w:rFonts w:ascii="Arial" w:hAnsi="Arial" w:cs="Arial"/>
          <w:b/>
          <w:bCs/>
          <w:color w:val="auto"/>
          <w:szCs w:val="24"/>
          <w:u w:val="none"/>
          <w:shd w:val="clear" w:color="auto" w:fill="FFFFFF"/>
        </w:rPr>
      </w:pPr>
      <w:bookmarkStart w:id="36" w:name="_Toc37236816"/>
      <w:bookmarkStart w:id="37" w:name="_Toc37915265"/>
      <w:r w:rsidRPr="00D720DA">
        <w:rPr>
          <w:rFonts w:ascii="Arial" w:hAnsi="Arial" w:cs="Arial"/>
        </w:rPr>
        <w:t xml:space="preserve">Hawkes, D. (1987). The Tasmanian State Service: Extending the limits of organisational change. </w:t>
      </w:r>
      <w:r w:rsidRPr="00D720DA">
        <w:rPr>
          <w:rFonts w:ascii="Arial" w:hAnsi="Arial" w:cs="Arial"/>
          <w:i/>
          <w:iCs/>
        </w:rPr>
        <w:t>Australian Journal of Public Administration 46</w:t>
      </w:r>
      <w:r w:rsidRPr="00D720DA">
        <w:rPr>
          <w:rFonts w:ascii="Arial" w:hAnsi="Arial" w:cs="Arial"/>
        </w:rPr>
        <w:t>(2): pp 160–165.</w:t>
      </w:r>
    </w:p>
    <w:p w14:paraId="229CDE8B" w14:textId="77777777" w:rsidR="00E25C50" w:rsidRPr="00D720DA" w:rsidRDefault="00E25C50" w:rsidP="00E25C50">
      <w:pPr>
        <w:ind w:left="720" w:hanging="720"/>
        <w:rPr>
          <w:rStyle w:val="Hyperlink"/>
          <w:rFonts w:ascii="Arial" w:hAnsi="Arial" w:cs="Arial"/>
          <w:color w:val="auto"/>
          <w:szCs w:val="24"/>
          <w:u w:val="none"/>
          <w:shd w:val="clear" w:color="auto" w:fill="FFFFFF"/>
        </w:rPr>
      </w:pPr>
      <w:r w:rsidRPr="00D720DA">
        <w:rPr>
          <w:rStyle w:val="Hyperlink"/>
          <w:rFonts w:ascii="Arial" w:hAnsi="Arial" w:cs="Arial"/>
          <w:color w:val="auto"/>
          <w:szCs w:val="24"/>
          <w:u w:val="none"/>
          <w:shd w:val="clear" w:color="auto" w:fill="FFFFFF"/>
        </w:rPr>
        <w:t xml:space="preserve">Hodgman, W. (2019, Aug 21). Changes to senior public service management. Media Release. Retrieved from </w:t>
      </w:r>
      <w:hyperlink r:id="rId44" w:history="1">
        <w:r w:rsidRPr="00D720DA">
          <w:rPr>
            <w:rStyle w:val="Hyperlink"/>
            <w:rFonts w:ascii="Arial" w:hAnsi="Arial" w:cs="Arial"/>
            <w:szCs w:val="24"/>
          </w:rPr>
          <w:t>http://www.premier.tas.gov.au/releases/changes_to_senior_public_service_management</w:t>
        </w:r>
      </w:hyperlink>
      <w:r w:rsidRPr="00D720DA">
        <w:rPr>
          <w:rFonts w:ascii="Arial" w:hAnsi="Arial" w:cs="Arial"/>
        </w:rPr>
        <w:t xml:space="preserve"> on 26 Aug 2020.</w:t>
      </w:r>
    </w:p>
    <w:p w14:paraId="46C57D7B" w14:textId="41DA7D1D" w:rsidR="00CF7F05" w:rsidRPr="00D720DA" w:rsidRDefault="00CF7F05" w:rsidP="00355549">
      <w:pPr>
        <w:ind w:left="720" w:hanging="720"/>
        <w:rPr>
          <w:rStyle w:val="Hyperlink"/>
          <w:rFonts w:ascii="Arial" w:hAnsi="Arial" w:cs="Arial"/>
          <w:color w:val="auto"/>
          <w:szCs w:val="24"/>
          <w:u w:val="none"/>
        </w:rPr>
      </w:pPr>
      <w:r w:rsidRPr="00D720DA">
        <w:rPr>
          <w:rStyle w:val="Hyperlink"/>
          <w:rFonts w:ascii="Arial" w:hAnsi="Arial" w:cs="Arial"/>
          <w:color w:val="auto"/>
          <w:szCs w:val="24"/>
          <w:u w:val="none"/>
          <w:shd w:val="clear" w:color="auto" w:fill="FFFFFF"/>
        </w:rPr>
        <w:t>Hodgman, W. (2015). Second reading speech: State Service</w:t>
      </w:r>
      <w:r w:rsidR="00D40763" w:rsidRPr="00D720DA">
        <w:rPr>
          <w:rStyle w:val="Hyperlink"/>
          <w:rFonts w:ascii="Arial" w:hAnsi="Arial" w:cs="Arial"/>
          <w:color w:val="auto"/>
          <w:szCs w:val="24"/>
          <w:u w:val="none"/>
          <w:shd w:val="clear" w:color="auto" w:fill="FFFFFF"/>
        </w:rPr>
        <w:t xml:space="preserve"> Legislation (Miscellaneous Amendments) Bill 2015. Retrieved from </w:t>
      </w:r>
      <w:hyperlink r:id="rId45" w:history="1">
        <w:r w:rsidR="00D40763" w:rsidRPr="00D720DA">
          <w:rPr>
            <w:rStyle w:val="Hyperlink"/>
            <w:rFonts w:ascii="Arial" w:hAnsi="Arial" w:cs="Arial"/>
            <w:szCs w:val="24"/>
          </w:rPr>
          <w:t>http://www.parliament.tas.gov.au/bills/Bills2015/pdf/notes/57_of_2015-SRS.pdf</w:t>
        </w:r>
      </w:hyperlink>
      <w:r w:rsidR="00D40763" w:rsidRPr="00D720DA">
        <w:rPr>
          <w:rStyle w:val="Hyperlink"/>
          <w:rFonts w:ascii="Arial" w:hAnsi="Arial" w:cs="Arial"/>
          <w:szCs w:val="24"/>
        </w:rPr>
        <w:t xml:space="preserve"> </w:t>
      </w:r>
      <w:r w:rsidR="00D40763" w:rsidRPr="00D720DA">
        <w:rPr>
          <w:rStyle w:val="Hyperlink"/>
          <w:rFonts w:ascii="Arial" w:hAnsi="Arial" w:cs="Arial"/>
          <w:color w:val="auto"/>
          <w:szCs w:val="24"/>
          <w:u w:val="none"/>
        </w:rPr>
        <w:t>on 3 Apr 2020.</w:t>
      </w:r>
      <w:bookmarkEnd w:id="36"/>
      <w:bookmarkEnd w:id="37"/>
    </w:p>
    <w:p w14:paraId="044C235F" w14:textId="77777777" w:rsidR="00A03DAD" w:rsidRPr="00D720DA" w:rsidRDefault="00A03DAD" w:rsidP="00694A97">
      <w:pPr>
        <w:pStyle w:val="indentpara"/>
        <w:ind w:left="720" w:hanging="720"/>
        <w:rPr>
          <w:rFonts w:ascii="Arial" w:hAnsi="Arial" w:cs="Arial"/>
        </w:rPr>
      </w:pPr>
      <w:r w:rsidRPr="00D720DA">
        <w:rPr>
          <w:rFonts w:ascii="Arial" w:hAnsi="Arial" w:cs="Arial"/>
        </w:rPr>
        <w:t xml:space="preserve">Inglis, R. (2018, Feb 11). Accord and discord: An oral history of the Field government. </w:t>
      </w:r>
      <w:r w:rsidRPr="00D720DA">
        <w:rPr>
          <w:rFonts w:ascii="Arial" w:hAnsi="Arial" w:cs="Arial"/>
          <w:i/>
          <w:iCs w:val="0"/>
        </w:rPr>
        <w:t>The Examiner</w:t>
      </w:r>
      <w:r w:rsidRPr="00D720DA">
        <w:rPr>
          <w:rFonts w:ascii="Arial" w:hAnsi="Arial" w:cs="Arial"/>
        </w:rPr>
        <w:t xml:space="preserve">. Retrieved from </w:t>
      </w:r>
      <w:hyperlink r:id="rId46" w:history="1">
        <w:r w:rsidRPr="00D720DA">
          <w:rPr>
            <w:rStyle w:val="Hyperlink"/>
            <w:rFonts w:ascii="Arial" w:hAnsi="Arial" w:cs="Arial"/>
          </w:rPr>
          <w:t>https://www.examiner.com.au/story/5220959/accord-and-discord-an-oral-history-of-the-field-government/</w:t>
        </w:r>
      </w:hyperlink>
      <w:r w:rsidRPr="00D720DA">
        <w:rPr>
          <w:rFonts w:ascii="Arial" w:hAnsi="Arial" w:cs="Arial"/>
        </w:rPr>
        <w:t xml:space="preserve"> on 7 Apr 2020. </w:t>
      </w:r>
    </w:p>
    <w:p w14:paraId="37633584" w14:textId="51ABF779" w:rsidR="00920C40" w:rsidRPr="00D720DA" w:rsidRDefault="00920C40" w:rsidP="00694A97">
      <w:pPr>
        <w:ind w:left="720" w:hanging="720"/>
        <w:rPr>
          <w:rFonts w:ascii="Arial" w:hAnsi="Arial" w:cs="Arial"/>
          <w:szCs w:val="24"/>
        </w:rPr>
      </w:pPr>
      <w:proofErr w:type="spellStart"/>
      <w:r w:rsidRPr="00D720DA">
        <w:rPr>
          <w:rStyle w:val="Hyperlink"/>
          <w:rFonts w:ascii="Arial" w:hAnsi="Arial" w:cs="Arial"/>
          <w:color w:val="auto"/>
          <w:szCs w:val="24"/>
          <w:u w:val="none"/>
          <w:shd w:val="clear" w:color="auto" w:fill="FFFFFF"/>
        </w:rPr>
        <w:t>Jarvie</w:t>
      </w:r>
      <w:proofErr w:type="spellEnd"/>
      <w:r w:rsidRPr="00D720DA">
        <w:rPr>
          <w:rStyle w:val="Hyperlink"/>
          <w:rFonts w:ascii="Arial" w:hAnsi="Arial" w:cs="Arial"/>
          <w:color w:val="auto"/>
          <w:szCs w:val="24"/>
          <w:u w:val="none"/>
          <w:shd w:val="clear" w:color="auto" w:fill="FFFFFF"/>
        </w:rPr>
        <w:t xml:space="preserve">, E. (2020, Feb 24). Premier Peter </w:t>
      </w:r>
      <w:proofErr w:type="spellStart"/>
      <w:r w:rsidRPr="00D720DA">
        <w:rPr>
          <w:rStyle w:val="Hyperlink"/>
          <w:rFonts w:ascii="Arial" w:hAnsi="Arial" w:cs="Arial"/>
          <w:color w:val="auto"/>
          <w:szCs w:val="24"/>
          <w:u w:val="none"/>
          <w:shd w:val="clear" w:color="auto" w:fill="FFFFFF"/>
        </w:rPr>
        <w:t>Gutwein</w:t>
      </w:r>
      <w:proofErr w:type="spellEnd"/>
      <w:r w:rsidRPr="00D720DA">
        <w:rPr>
          <w:rStyle w:val="Hyperlink"/>
          <w:rFonts w:ascii="Arial" w:hAnsi="Arial" w:cs="Arial"/>
          <w:color w:val="auto"/>
          <w:szCs w:val="24"/>
          <w:u w:val="none"/>
          <w:shd w:val="clear" w:color="auto" w:fill="FFFFFF"/>
        </w:rPr>
        <w:t xml:space="preserve"> announces finalised terms of reference for state service review. </w:t>
      </w:r>
      <w:r w:rsidRPr="00D720DA">
        <w:rPr>
          <w:rStyle w:val="Hyperlink"/>
          <w:rFonts w:ascii="Arial" w:hAnsi="Arial" w:cs="Arial"/>
          <w:i/>
          <w:iCs/>
          <w:color w:val="auto"/>
          <w:szCs w:val="24"/>
          <w:u w:val="none"/>
          <w:shd w:val="clear" w:color="auto" w:fill="FFFFFF"/>
        </w:rPr>
        <w:t>The Advocate</w:t>
      </w:r>
      <w:r w:rsidRPr="00D720DA">
        <w:rPr>
          <w:rStyle w:val="Hyperlink"/>
          <w:rFonts w:ascii="Arial" w:hAnsi="Arial" w:cs="Arial"/>
          <w:color w:val="auto"/>
          <w:szCs w:val="24"/>
          <w:u w:val="none"/>
          <w:shd w:val="clear" w:color="auto" w:fill="FFFFFF"/>
        </w:rPr>
        <w:t xml:space="preserve">. Retrieved from </w:t>
      </w:r>
      <w:hyperlink r:id="rId47" w:history="1">
        <w:r w:rsidRPr="00D720DA">
          <w:rPr>
            <w:rStyle w:val="Hyperlink"/>
            <w:rFonts w:ascii="Arial" w:hAnsi="Arial" w:cs="Arial"/>
            <w:szCs w:val="24"/>
          </w:rPr>
          <w:t>https://www.theadvocate.com.au/story/6646652/terms-of-reference-for-state-service-review-finalised/</w:t>
        </w:r>
      </w:hyperlink>
      <w:r w:rsidRPr="00D720DA">
        <w:rPr>
          <w:rFonts w:ascii="Arial" w:hAnsi="Arial" w:cs="Arial"/>
          <w:szCs w:val="24"/>
        </w:rPr>
        <w:t xml:space="preserve"> on 3 Apr 2020.</w:t>
      </w:r>
    </w:p>
    <w:p w14:paraId="4D41BC44" w14:textId="73902FFA" w:rsidR="001F340F" w:rsidRPr="00D720DA" w:rsidRDefault="001F340F" w:rsidP="00694A97">
      <w:pPr>
        <w:ind w:left="720" w:hanging="720"/>
        <w:rPr>
          <w:rStyle w:val="Hyperlink"/>
          <w:rFonts w:ascii="Arial" w:hAnsi="Arial" w:cs="Arial"/>
          <w:color w:val="auto"/>
          <w:szCs w:val="24"/>
          <w:u w:val="none"/>
          <w:shd w:val="clear" w:color="auto" w:fill="FFFFFF"/>
        </w:rPr>
      </w:pPr>
      <w:r w:rsidRPr="00D720DA">
        <w:rPr>
          <w:rFonts w:ascii="Arial" w:hAnsi="Arial" w:cs="Arial"/>
          <w:szCs w:val="24"/>
        </w:rPr>
        <w:t>Jenkins</w:t>
      </w:r>
      <w:r w:rsidR="00C85375" w:rsidRPr="00D720DA">
        <w:rPr>
          <w:rFonts w:ascii="Arial" w:hAnsi="Arial" w:cs="Arial"/>
          <w:szCs w:val="24"/>
        </w:rPr>
        <w:t>, S. (2020, Mar 17).</w:t>
      </w:r>
      <w:r w:rsidR="00113A9C" w:rsidRPr="00D720DA">
        <w:rPr>
          <w:rFonts w:ascii="Arial" w:hAnsi="Arial" w:cs="Arial"/>
          <w:szCs w:val="24"/>
        </w:rPr>
        <w:t xml:space="preserve"> </w:t>
      </w:r>
      <w:r w:rsidR="00C85375" w:rsidRPr="00D720DA">
        <w:rPr>
          <w:rFonts w:ascii="Arial" w:hAnsi="Arial" w:cs="Arial"/>
          <w:szCs w:val="24"/>
        </w:rPr>
        <w:t>Planned cuts to Tasmanian government agencies removed under coronavirus stimulus package. The Mandarin</w:t>
      </w:r>
      <w:r w:rsidR="00113A9C" w:rsidRPr="00D720DA">
        <w:rPr>
          <w:rFonts w:ascii="Arial" w:hAnsi="Arial" w:cs="Arial"/>
          <w:szCs w:val="24"/>
        </w:rPr>
        <w:t xml:space="preserve">. Retrieved from </w:t>
      </w:r>
      <w:hyperlink r:id="rId48" w:history="1">
        <w:r w:rsidR="00113A9C" w:rsidRPr="00D720DA">
          <w:rPr>
            <w:rStyle w:val="Hyperlink"/>
            <w:rFonts w:ascii="Arial" w:hAnsi="Arial" w:cs="Arial"/>
            <w:szCs w:val="24"/>
          </w:rPr>
          <w:t>https://www.themandarin.com.au/127695-planned-cuts-to-tasmanian-government-agencies-removed-under-coronavirus-stimulus-package/</w:t>
        </w:r>
      </w:hyperlink>
      <w:r w:rsidR="00113A9C" w:rsidRPr="00D720DA">
        <w:rPr>
          <w:rFonts w:ascii="Arial" w:hAnsi="Arial" w:cs="Arial"/>
          <w:szCs w:val="24"/>
        </w:rPr>
        <w:t xml:space="preserve"> on 19 Mar 2020.</w:t>
      </w:r>
    </w:p>
    <w:p w14:paraId="7807462A" w14:textId="5751A5E3" w:rsidR="005829E5" w:rsidRPr="00D720DA" w:rsidRDefault="005829E5" w:rsidP="00694A97">
      <w:pPr>
        <w:pStyle w:val="indentpara"/>
        <w:ind w:left="720" w:hanging="720"/>
        <w:rPr>
          <w:rFonts w:ascii="Arial" w:hAnsi="Arial" w:cs="Arial"/>
        </w:rPr>
      </w:pPr>
      <w:r w:rsidRPr="00D720DA">
        <w:rPr>
          <w:rFonts w:ascii="Arial" w:hAnsi="Arial" w:cs="Arial"/>
        </w:rPr>
        <w:t xml:space="preserve">Killick, D. (2014, Mar 14). Tasmania’s </w:t>
      </w:r>
      <w:proofErr w:type="spellStart"/>
      <w:r w:rsidRPr="00D720DA">
        <w:rPr>
          <w:rFonts w:ascii="Arial" w:hAnsi="Arial" w:cs="Arial"/>
        </w:rPr>
        <w:t>Labor</w:t>
      </w:r>
      <w:proofErr w:type="spellEnd"/>
      <w:r w:rsidRPr="00D720DA">
        <w:rPr>
          <w:rFonts w:ascii="Arial" w:hAnsi="Arial" w:cs="Arial"/>
        </w:rPr>
        <w:t xml:space="preserve"> generation comes to an end. </w:t>
      </w:r>
      <w:r w:rsidRPr="00D720DA">
        <w:rPr>
          <w:rFonts w:ascii="Arial" w:hAnsi="Arial" w:cs="Arial"/>
          <w:i/>
          <w:iCs w:val="0"/>
        </w:rPr>
        <w:t>The Mercury</w:t>
      </w:r>
      <w:r w:rsidRPr="00D720DA">
        <w:rPr>
          <w:rFonts w:ascii="Arial" w:hAnsi="Arial" w:cs="Arial"/>
        </w:rPr>
        <w:t xml:space="preserve">. Retrieved from </w:t>
      </w:r>
      <w:hyperlink r:id="rId49" w:history="1">
        <w:r w:rsidRPr="00D720DA">
          <w:rPr>
            <w:rStyle w:val="Hyperlink"/>
            <w:rFonts w:ascii="Arial" w:hAnsi="Arial" w:cs="Arial"/>
          </w:rPr>
          <w:t>https://www.themercury.com.au/news/tasmania-state-election-2014/tasmanias-labor-generation-comes-to-an-end/news-story/70d151bd92deba65ea09cd1f55587095</w:t>
        </w:r>
      </w:hyperlink>
      <w:r w:rsidRPr="00D720DA">
        <w:rPr>
          <w:rFonts w:ascii="Arial" w:hAnsi="Arial" w:cs="Arial"/>
        </w:rPr>
        <w:t xml:space="preserve"> on 7 Apr 2020. </w:t>
      </w:r>
    </w:p>
    <w:p w14:paraId="155CB681" w14:textId="367AECA6" w:rsidR="005047FE" w:rsidRPr="00D720DA" w:rsidRDefault="005047FE" w:rsidP="005047FE">
      <w:pPr>
        <w:shd w:val="clear" w:color="auto" w:fill="FFFFFF"/>
        <w:ind w:left="720" w:hanging="720"/>
        <w:rPr>
          <w:rFonts w:ascii="Arial" w:hAnsi="Arial" w:cs="Arial"/>
          <w:color w:val="000000"/>
          <w:szCs w:val="24"/>
        </w:rPr>
      </w:pPr>
      <w:r w:rsidRPr="00D720DA">
        <w:rPr>
          <w:rFonts w:ascii="Arial" w:hAnsi="Arial" w:cs="Arial"/>
          <w:color w:val="000000"/>
          <w:szCs w:val="24"/>
        </w:rPr>
        <w:lastRenderedPageBreak/>
        <w:t xml:space="preserve">Legislative Council (2011). Select Committee: Final Report on Public Sector Executive Appointments. Hobart: Parliament of Tasmania. Retrieved from </w:t>
      </w:r>
      <w:hyperlink r:id="rId50" w:history="1">
        <w:r w:rsidRPr="00D720DA">
          <w:rPr>
            <w:rStyle w:val="Hyperlink"/>
            <w:rFonts w:ascii="Arial" w:hAnsi="Arial" w:cs="Arial"/>
            <w:szCs w:val="24"/>
          </w:rPr>
          <w:t>https://www.parliament.tas.gov.au/ctee/Council/Reports/pse.rep.110916.Report%20Final%20pdf.jm.001.a.doc.pdf</w:t>
        </w:r>
      </w:hyperlink>
      <w:r w:rsidRPr="00D720DA">
        <w:rPr>
          <w:rStyle w:val="Hyperlink"/>
          <w:rFonts w:ascii="Arial" w:hAnsi="Arial" w:cs="Arial"/>
          <w:szCs w:val="24"/>
        </w:rPr>
        <w:t xml:space="preserve"> </w:t>
      </w:r>
      <w:r w:rsidRPr="00D720DA">
        <w:rPr>
          <w:rStyle w:val="Hyperlink"/>
          <w:rFonts w:ascii="Arial" w:hAnsi="Arial" w:cs="Arial"/>
          <w:color w:val="auto"/>
          <w:szCs w:val="24"/>
          <w:u w:val="none"/>
        </w:rPr>
        <w:t>on 21 Apr 2021</w:t>
      </w:r>
      <w:r w:rsidRPr="00D720DA">
        <w:rPr>
          <w:rStyle w:val="Hyperlink"/>
          <w:rFonts w:ascii="Arial" w:hAnsi="Arial" w:cs="Arial"/>
          <w:szCs w:val="24"/>
        </w:rPr>
        <w:t>.</w:t>
      </w:r>
    </w:p>
    <w:p w14:paraId="655FA9A3" w14:textId="30419261" w:rsidR="0042692E" w:rsidRPr="00D720DA" w:rsidRDefault="0042692E" w:rsidP="00694A97">
      <w:pPr>
        <w:ind w:left="720" w:hanging="720"/>
        <w:rPr>
          <w:rStyle w:val="Hyperlink"/>
          <w:rFonts w:ascii="Arial" w:hAnsi="Arial" w:cs="Arial"/>
          <w:color w:val="auto"/>
          <w:szCs w:val="24"/>
          <w:u w:val="none"/>
          <w:shd w:val="clear" w:color="auto" w:fill="FFFFFF"/>
        </w:rPr>
      </w:pPr>
      <w:r w:rsidRPr="00D720DA">
        <w:rPr>
          <w:rStyle w:val="Hyperlink"/>
          <w:rFonts w:ascii="Arial" w:hAnsi="Arial" w:cs="Arial"/>
          <w:color w:val="auto"/>
          <w:szCs w:val="24"/>
          <w:u w:val="none"/>
          <w:shd w:val="clear" w:color="auto" w:fill="FFFFFF"/>
        </w:rPr>
        <w:t xml:space="preserve">Lester, M. &amp; D. </w:t>
      </w:r>
      <w:proofErr w:type="spellStart"/>
      <w:r w:rsidRPr="00D720DA">
        <w:rPr>
          <w:rStyle w:val="Hyperlink"/>
          <w:rFonts w:ascii="Arial" w:hAnsi="Arial" w:cs="Arial"/>
          <w:color w:val="auto"/>
          <w:szCs w:val="24"/>
          <w:u w:val="none"/>
          <w:shd w:val="clear" w:color="auto" w:fill="FFFFFF"/>
        </w:rPr>
        <w:t>Bolwell</w:t>
      </w:r>
      <w:proofErr w:type="spellEnd"/>
      <w:r w:rsidRPr="00D720DA">
        <w:rPr>
          <w:rStyle w:val="Hyperlink"/>
          <w:rFonts w:ascii="Arial" w:hAnsi="Arial" w:cs="Arial"/>
          <w:color w:val="auto"/>
          <w:szCs w:val="24"/>
          <w:u w:val="none"/>
          <w:shd w:val="clear" w:color="auto" w:fill="FFFFFF"/>
        </w:rPr>
        <w:t xml:space="preserve"> (2018). Political Chronicles: Tasmania – January to June 2018. </w:t>
      </w:r>
      <w:r w:rsidRPr="00D720DA">
        <w:rPr>
          <w:rStyle w:val="Hyperlink"/>
          <w:rFonts w:ascii="Arial" w:hAnsi="Arial" w:cs="Arial"/>
          <w:i/>
          <w:iCs/>
          <w:color w:val="auto"/>
          <w:szCs w:val="24"/>
          <w:u w:val="none"/>
          <w:shd w:val="clear" w:color="auto" w:fill="FFFFFF"/>
        </w:rPr>
        <w:t>Australian Journal of Politics and History 64</w:t>
      </w:r>
      <w:r w:rsidRPr="00D720DA">
        <w:rPr>
          <w:rStyle w:val="Hyperlink"/>
          <w:rFonts w:ascii="Arial" w:hAnsi="Arial" w:cs="Arial"/>
          <w:color w:val="auto"/>
          <w:szCs w:val="24"/>
          <w:u w:val="none"/>
          <w:shd w:val="clear" w:color="auto" w:fill="FFFFFF"/>
        </w:rPr>
        <w:t>(4): pp 693–700.</w:t>
      </w:r>
    </w:p>
    <w:p w14:paraId="18E62FDF" w14:textId="4F82BB7E" w:rsidR="00693D80" w:rsidRPr="00D720DA" w:rsidRDefault="00693D80" w:rsidP="00694A97">
      <w:pPr>
        <w:ind w:left="720" w:hanging="720"/>
        <w:rPr>
          <w:rStyle w:val="Hyperlink"/>
          <w:rFonts w:ascii="Arial" w:hAnsi="Arial" w:cs="Arial"/>
          <w:color w:val="auto"/>
          <w:szCs w:val="24"/>
          <w:u w:val="none"/>
          <w:shd w:val="clear" w:color="auto" w:fill="FFFFFF"/>
        </w:rPr>
      </w:pPr>
      <w:r w:rsidRPr="00D720DA">
        <w:rPr>
          <w:rStyle w:val="Hyperlink"/>
          <w:rFonts w:ascii="Arial" w:hAnsi="Arial" w:cs="Arial"/>
          <w:color w:val="auto"/>
          <w:szCs w:val="24"/>
          <w:u w:val="none"/>
          <w:shd w:val="clear" w:color="auto" w:fill="FFFFFF"/>
        </w:rPr>
        <w:t xml:space="preserve">Lester, M., </w:t>
      </w:r>
      <w:proofErr w:type="spellStart"/>
      <w:r w:rsidRPr="00D720DA">
        <w:rPr>
          <w:rStyle w:val="Hyperlink"/>
          <w:rFonts w:ascii="Arial" w:hAnsi="Arial" w:cs="Arial"/>
          <w:color w:val="auto"/>
          <w:szCs w:val="24"/>
          <w:u w:val="none"/>
          <w:shd w:val="clear" w:color="auto" w:fill="FFFFFF"/>
        </w:rPr>
        <w:t>Bolwell</w:t>
      </w:r>
      <w:proofErr w:type="spellEnd"/>
      <w:r w:rsidRPr="00D720DA">
        <w:rPr>
          <w:rStyle w:val="Hyperlink"/>
          <w:rFonts w:ascii="Arial" w:hAnsi="Arial" w:cs="Arial"/>
          <w:color w:val="auto"/>
          <w:szCs w:val="24"/>
          <w:u w:val="none"/>
          <w:shd w:val="clear" w:color="auto" w:fill="FFFFFF"/>
        </w:rPr>
        <w:t xml:space="preserve">, D. &amp; R. Eccleston (2018). Political Chronicles: Tasmania – July to December 2017. </w:t>
      </w:r>
      <w:r w:rsidRPr="00D720DA">
        <w:rPr>
          <w:rStyle w:val="Hyperlink"/>
          <w:rFonts w:ascii="Arial" w:hAnsi="Arial" w:cs="Arial"/>
          <w:i/>
          <w:iCs/>
          <w:color w:val="auto"/>
          <w:szCs w:val="24"/>
          <w:u w:val="none"/>
          <w:shd w:val="clear" w:color="auto" w:fill="FFFFFF"/>
        </w:rPr>
        <w:t>Australian Journal of Politics and History 64</w:t>
      </w:r>
      <w:r w:rsidRPr="00D720DA">
        <w:rPr>
          <w:rStyle w:val="Hyperlink"/>
          <w:rFonts w:ascii="Arial" w:hAnsi="Arial" w:cs="Arial"/>
          <w:color w:val="auto"/>
          <w:szCs w:val="24"/>
          <w:u w:val="none"/>
          <w:shd w:val="clear" w:color="auto" w:fill="FFFFFF"/>
        </w:rPr>
        <w:t>(2): pp 349–355.</w:t>
      </w:r>
    </w:p>
    <w:p w14:paraId="16C84B53" w14:textId="2C336B20" w:rsidR="001F186D" w:rsidRPr="00D720DA" w:rsidRDefault="001F186D" w:rsidP="001F186D">
      <w:pPr>
        <w:ind w:left="720" w:hanging="720"/>
        <w:rPr>
          <w:rFonts w:ascii="Arial" w:hAnsi="Arial" w:cs="Arial"/>
          <w:szCs w:val="24"/>
        </w:rPr>
      </w:pPr>
      <w:r w:rsidRPr="00D720DA">
        <w:rPr>
          <w:rFonts w:ascii="Arial" w:hAnsi="Arial" w:cs="Arial"/>
          <w:szCs w:val="24"/>
        </w:rPr>
        <w:t xml:space="preserve">McCall, T. (1999). Political Chronicles: Tasmania – June-December 1998. </w:t>
      </w:r>
      <w:r w:rsidRPr="00D720DA">
        <w:rPr>
          <w:rFonts w:ascii="Arial" w:hAnsi="Arial" w:cs="Arial"/>
          <w:i/>
          <w:iCs/>
          <w:szCs w:val="24"/>
        </w:rPr>
        <w:t>Australian Journal of Politics and History 45</w:t>
      </w:r>
      <w:r w:rsidRPr="00D720DA">
        <w:rPr>
          <w:rFonts w:ascii="Arial" w:hAnsi="Arial" w:cs="Arial"/>
          <w:szCs w:val="24"/>
        </w:rPr>
        <w:t xml:space="preserve">(2): pp 292–300. </w:t>
      </w:r>
    </w:p>
    <w:p w14:paraId="1D7E73DB" w14:textId="089E9C02" w:rsidR="006A3895" w:rsidRPr="00D720DA" w:rsidRDefault="006A3895" w:rsidP="00694A97">
      <w:pPr>
        <w:ind w:left="720" w:hanging="720"/>
        <w:rPr>
          <w:rStyle w:val="Hyperlink"/>
          <w:rFonts w:ascii="Arial" w:hAnsi="Arial" w:cs="Arial"/>
          <w:color w:val="auto"/>
          <w:szCs w:val="24"/>
          <w:u w:val="none"/>
          <w:shd w:val="clear" w:color="auto" w:fill="FFFFFF"/>
        </w:rPr>
      </w:pPr>
      <w:r w:rsidRPr="00D720DA">
        <w:rPr>
          <w:rStyle w:val="Hyperlink"/>
          <w:rFonts w:ascii="Arial" w:hAnsi="Arial" w:cs="Arial"/>
          <w:color w:val="auto"/>
          <w:szCs w:val="24"/>
          <w:u w:val="none"/>
          <w:shd w:val="clear" w:color="auto" w:fill="FFFFFF"/>
        </w:rPr>
        <w:t xml:space="preserve">Montgomery, B. (2011, Jan 24). Bartlett: The savvy premier who mistimed his run. </w:t>
      </w:r>
      <w:r w:rsidRPr="00D720DA">
        <w:rPr>
          <w:rStyle w:val="Hyperlink"/>
          <w:rFonts w:ascii="Arial" w:hAnsi="Arial" w:cs="Arial"/>
          <w:i/>
          <w:iCs/>
          <w:color w:val="auto"/>
          <w:szCs w:val="24"/>
          <w:u w:val="none"/>
          <w:shd w:val="clear" w:color="auto" w:fill="FFFFFF"/>
        </w:rPr>
        <w:t>Crikey</w:t>
      </w:r>
      <w:r w:rsidRPr="00D720DA">
        <w:rPr>
          <w:rStyle w:val="Hyperlink"/>
          <w:rFonts w:ascii="Arial" w:hAnsi="Arial" w:cs="Arial"/>
          <w:color w:val="auto"/>
          <w:szCs w:val="24"/>
          <w:u w:val="none"/>
          <w:shd w:val="clear" w:color="auto" w:fill="FFFFFF"/>
        </w:rPr>
        <w:t xml:space="preserve">. Retrieved from </w:t>
      </w:r>
      <w:hyperlink r:id="rId51" w:history="1">
        <w:r w:rsidRPr="00D720DA">
          <w:rPr>
            <w:rStyle w:val="Hyperlink"/>
            <w:rFonts w:ascii="Arial" w:hAnsi="Arial" w:cs="Arial"/>
          </w:rPr>
          <w:t>https://www.crikey.com.au/2011/01/24/they-were-ready-to-slice-him-the-savvy-tassie-premier-who-mistimed-his-run/</w:t>
        </w:r>
      </w:hyperlink>
      <w:r w:rsidRPr="00D720DA">
        <w:rPr>
          <w:rFonts w:ascii="Arial" w:hAnsi="Arial" w:cs="Arial"/>
        </w:rPr>
        <w:t xml:space="preserve"> on 25 Aug 2020.</w:t>
      </w:r>
    </w:p>
    <w:p w14:paraId="5594C7F8" w14:textId="5E4F2655" w:rsidR="00616C8E" w:rsidRPr="00D720DA" w:rsidRDefault="00616C8E" w:rsidP="00694A97">
      <w:pPr>
        <w:ind w:left="720" w:hanging="720"/>
        <w:rPr>
          <w:rStyle w:val="Hyperlink"/>
          <w:rFonts w:ascii="Arial" w:hAnsi="Arial" w:cs="Arial"/>
          <w:color w:val="auto"/>
          <w:szCs w:val="24"/>
          <w:u w:val="none"/>
          <w:shd w:val="clear" w:color="auto" w:fill="FFFFFF"/>
        </w:rPr>
      </w:pPr>
      <w:r w:rsidRPr="00D720DA">
        <w:rPr>
          <w:rStyle w:val="Hyperlink"/>
          <w:rFonts w:ascii="Arial" w:hAnsi="Arial" w:cs="Arial"/>
          <w:color w:val="auto"/>
          <w:szCs w:val="24"/>
          <w:u w:val="none"/>
          <w:shd w:val="clear" w:color="auto" w:fill="FFFFFF"/>
        </w:rPr>
        <w:t xml:space="preserve">OSSC (2009). </w:t>
      </w:r>
      <w:r w:rsidR="00261657" w:rsidRPr="00D720DA">
        <w:rPr>
          <w:rStyle w:val="Hyperlink"/>
          <w:rFonts w:ascii="Arial" w:hAnsi="Arial" w:cs="Arial"/>
          <w:i/>
          <w:iCs/>
          <w:color w:val="auto"/>
          <w:szCs w:val="24"/>
          <w:u w:val="none"/>
          <w:shd w:val="clear" w:color="auto" w:fill="FFFFFF"/>
        </w:rPr>
        <w:t>State Service Commissioner</w:t>
      </w:r>
      <w:r w:rsidR="00261657" w:rsidRPr="00D720DA">
        <w:rPr>
          <w:rStyle w:val="Hyperlink"/>
          <w:rFonts w:ascii="Arial" w:hAnsi="Arial" w:cs="Arial"/>
          <w:color w:val="auto"/>
          <w:szCs w:val="24"/>
          <w:u w:val="none"/>
          <w:shd w:val="clear" w:color="auto" w:fill="FFFFFF"/>
        </w:rPr>
        <w:t xml:space="preserve"> </w:t>
      </w:r>
      <w:r w:rsidRPr="00D720DA">
        <w:rPr>
          <w:rStyle w:val="Hyperlink"/>
          <w:rFonts w:ascii="Arial" w:hAnsi="Arial" w:cs="Arial"/>
          <w:i/>
          <w:iCs/>
          <w:color w:val="auto"/>
          <w:szCs w:val="24"/>
          <w:u w:val="none"/>
          <w:shd w:val="clear" w:color="auto" w:fill="FFFFFF"/>
        </w:rPr>
        <w:t>Annual Report 2008–2009</w:t>
      </w:r>
      <w:r w:rsidRPr="00D720DA">
        <w:rPr>
          <w:rStyle w:val="Hyperlink"/>
          <w:rFonts w:ascii="Arial" w:hAnsi="Arial" w:cs="Arial"/>
          <w:color w:val="auto"/>
          <w:szCs w:val="24"/>
          <w:u w:val="none"/>
          <w:shd w:val="clear" w:color="auto" w:fill="FFFFFF"/>
        </w:rPr>
        <w:t xml:space="preserve">. Hobart: Office of the State Service Commissioner. </w:t>
      </w:r>
    </w:p>
    <w:p w14:paraId="760F99D4" w14:textId="236E3284" w:rsidR="006A3911" w:rsidRPr="00D720DA" w:rsidRDefault="006A3911" w:rsidP="00694A97">
      <w:pPr>
        <w:ind w:left="720" w:hanging="720"/>
        <w:rPr>
          <w:rStyle w:val="Hyperlink"/>
          <w:rFonts w:ascii="Arial" w:hAnsi="Arial" w:cs="Arial"/>
          <w:color w:val="auto"/>
          <w:szCs w:val="24"/>
          <w:u w:val="none"/>
          <w:shd w:val="clear" w:color="auto" w:fill="FFFFFF"/>
        </w:rPr>
      </w:pPr>
      <w:r w:rsidRPr="00D720DA">
        <w:rPr>
          <w:rStyle w:val="Hyperlink"/>
          <w:rFonts w:ascii="Arial" w:hAnsi="Arial" w:cs="Arial"/>
          <w:color w:val="auto"/>
          <w:szCs w:val="24"/>
          <w:u w:val="none"/>
          <w:shd w:val="clear" w:color="auto" w:fill="FFFFFF"/>
        </w:rPr>
        <w:t xml:space="preserve">Parliament of Tasmania (n.d.). The Parliament of Tasmania from 1856. Retrieved from </w:t>
      </w:r>
      <w:hyperlink r:id="rId52" w:history="1">
        <w:r w:rsidRPr="00D720DA">
          <w:rPr>
            <w:rStyle w:val="Hyperlink"/>
            <w:rFonts w:ascii="Arial" w:hAnsi="Arial" w:cs="Arial"/>
            <w:szCs w:val="24"/>
          </w:rPr>
          <w:t>http://www.parliament.tas.gov.au/history/tasparl/lowed583.htm</w:t>
        </w:r>
      </w:hyperlink>
      <w:r w:rsidRPr="00D720DA">
        <w:rPr>
          <w:rFonts w:ascii="Arial" w:hAnsi="Arial" w:cs="Arial"/>
          <w:szCs w:val="24"/>
        </w:rPr>
        <w:t xml:space="preserve"> on 7 Apr 2020.</w:t>
      </w:r>
    </w:p>
    <w:p w14:paraId="608E5DA6" w14:textId="77777777" w:rsidR="002776A8" w:rsidRPr="00D720DA" w:rsidRDefault="002776A8" w:rsidP="002776A8">
      <w:pPr>
        <w:ind w:left="720" w:hanging="720"/>
        <w:rPr>
          <w:rFonts w:ascii="Arial" w:hAnsi="Arial" w:cs="Arial"/>
          <w:szCs w:val="24"/>
        </w:rPr>
      </w:pPr>
      <w:r w:rsidRPr="00D720DA">
        <w:rPr>
          <w:rFonts w:ascii="Arial" w:hAnsi="Arial" w:cs="Arial"/>
          <w:szCs w:val="24"/>
        </w:rPr>
        <w:t xml:space="preserve">Parliament of Tasmania (2012). Budget Paper No. 1. Retrieved from </w:t>
      </w:r>
      <w:hyperlink r:id="rId53" w:history="1">
        <w:r w:rsidRPr="00D720DA">
          <w:rPr>
            <w:rStyle w:val="Hyperlink"/>
            <w:rFonts w:ascii="Arial" w:hAnsi="Arial" w:cs="Arial"/>
            <w:szCs w:val="24"/>
          </w:rPr>
          <w:t>https://www.treasury.tas.gov.au/Documents/2011-12_BP1.pdf</w:t>
        </w:r>
      </w:hyperlink>
    </w:p>
    <w:p w14:paraId="7D18389E" w14:textId="0A4685A1" w:rsidR="00D56088" w:rsidRPr="00D720DA" w:rsidRDefault="00290A27" w:rsidP="00B96192">
      <w:pPr>
        <w:ind w:left="720" w:hanging="720"/>
        <w:rPr>
          <w:rFonts w:ascii="Arial" w:hAnsi="Arial" w:cs="Arial"/>
          <w:szCs w:val="24"/>
        </w:rPr>
      </w:pPr>
      <w:r w:rsidRPr="00D720DA">
        <w:rPr>
          <w:rFonts w:ascii="Arial" w:hAnsi="Arial" w:cs="Arial"/>
          <w:szCs w:val="24"/>
        </w:rPr>
        <w:t xml:space="preserve">PESRAC (2021). </w:t>
      </w:r>
      <w:r w:rsidRPr="00D720DA">
        <w:rPr>
          <w:rFonts w:ascii="Arial" w:hAnsi="Arial" w:cs="Arial"/>
          <w:i/>
          <w:iCs/>
          <w:szCs w:val="24"/>
        </w:rPr>
        <w:t>Premier’s Economic &amp; Social Recovery Advisory Council: Final Report</w:t>
      </w:r>
      <w:r w:rsidRPr="00D720DA">
        <w:rPr>
          <w:rFonts w:ascii="Arial" w:hAnsi="Arial" w:cs="Arial"/>
          <w:szCs w:val="24"/>
        </w:rPr>
        <w:t xml:space="preserve">. Hobart: Department of Treasury and Finance (March). Retrieved from </w:t>
      </w:r>
      <w:hyperlink r:id="rId54" w:history="1">
        <w:r w:rsidRPr="00D720DA">
          <w:rPr>
            <w:rStyle w:val="Hyperlink"/>
            <w:rFonts w:ascii="Arial" w:hAnsi="Arial" w:cs="Arial"/>
            <w:szCs w:val="24"/>
          </w:rPr>
          <w:t>https://www.pesrac.tas.gov.au/__data/assets/pdf_file/0010/283195/Final_Report_-_Short_Form.pdf</w:t>
        </w:r>
      </w:hyperlink>
      <w:r w:rsidRPr="00D720DA">
        <w:rPr>
          <w:rFonts w:ascii="Arial" w:hAnsi="Arial" w:cs="Arial"/>
          <w:szCs w:val="24"/>
        </w:rPr>
        <w:t xml:space="preserve"> in July 2021.</w:t>
      </w:r>
    </w:p>
    <w:p w14:paraId="78FE584F" w14:textId="5819EE82" w:rsidR="00B96192" w:rsidRPr="00D720DA" w:rsidRDefault="00B96192" w:rsidP="00B96192">
      <w:pPr>
        <w:ind w:left="720" w:hanging="720"/>
        <w:rPr>
          <w:rFonts w:ascii="Arial" w:hAnsi="Arial" w:cs="Arial"/>
          <w:szCs w:val="24"/>
        </w:rPr>
      </w:pPr>
      <w:r w:rsidRPr="00D720DA">
        <w:rPr>
          <w:rFonts w:ascii="Arial" w:hAnsi="Arial" w:cs="Arial"/>
          <w:szCs w:val="24"/>
        </w:rPr>
        <w:t xml:space="preserve">PESRAC (2020). </w:t>
      </w:r>
      <w:r w:rsidRPr="00D720DA">
        <w:rPr>
          <w:rFonts w:ascii="Arial" w:hAnsi="Arial" w:cs="Arial"/>
          <w:i/>
          <w:iCs/>
          <w:szCs w:val="24"/>
        </w:rPr>
        <w:t>Premier’s Economic &amp; Social Recovery Advisory Council</w:t>
      </w:r>
      <w:r w:rsidR="00290A27" w:rsidRPr="00D720DA">
        <w:rPr>
          <w:rFonts w:ascii="Arial" w:hAnsi="Arial" w:cs="Arial"/>
          <w:i/>
          <w:iCs/>
          <w:szCs w:val="24"/>
        </w:rPr>
        <w:t>:</w:t>
      </w:r>
      <w:r w:rsidRPr="00D720DA">
        <w:rPr>
          <w:rFonts w:ascii="Arial" w:hAnsi="Arial" w:cs="Arial"/>
          <w:i/>
          <w:iCs/>
          <w:szCs w:val="24"/>
        </w:rPr>
        <w:t xml:space="preserve"> Interim Report</w:t>
      </w:r>
      <w:r w:rsidRPr="00D720DA">
        <w:rPr>
          <w:rFonts w:ascii="Arial" w:hAnsi="Arial" w:cs="Arial"/>
          <w:szCs w:val="24"/>
        </w:rPr>
        <w:t xml:space="preserve">. Hobart: Department of Treasury and Finance (July). Retrieved from </w:t>
      </w:r>
      <w:hyperlink r:id="rId55" w:history="1">
        <w:r w:rsidRPr="00D720DA">
          <w:rPr>
            <w:rStyle w:val="Hyperlink"/>
            <w:rFonts w:ascii="Arial" w:hAnsi="Arial" w:cs="Arial"/>
            <w:szCs w:val="24"/>
          </w:rPr>
          <w:t>https://www.pesrac.tas.gov.au/__data/assets/pdf_file/0016/250441/Interim_Report.pdf</w:t>
        </w:r>
      </w:hyperlink>
      <w:r w:rsidRPr="00D720DA">
        <w:rPr>
          <w:rFonts w:ascii="Arial" w:hAnsi="Arial" w:cs="Arial"/>
          <w:szCs w:val="24"/>
        </w:rPr>
        <w:t xml:space="preserve"> on 12 Aug 2020.</w:t>
      </w:r>
    </w:p>
    <w:p w14:paraId="54B5FCA6" w14:textId="6D042876" w:rsidR="00513D7A" w:rsidRPr="00D720DA" w:rsidRDefault="00513D7A" w:rsidP="00513D7A">
      <w:pPr>
        <w:ind w:left="720" w:hanging="720"/>
        <w:rPr>
          <w:rFonts w:ascii="Arial" w:hAnsi="Arial" w:cs="Arial"/>
          <w:szCs w:val="24"/>
        </w:rPr>
      </w:pPr>
      <w:proofErr w:type="spellStart"/>
      <w:r w:rsidRPr="00D720DA">
        <w:rPr>
          <w:rFonts w:ascii="Arial" w:hAnsi="Arial" w:cs="Arial"/>
          <w:szCs w:val="24"/>
        </w:rPr>
        <w:t>Rimon</w:t>
      </w:r>
      <w:proofErr w:type="spellEnd"/>
      <w:r w:rsidRPr="00D720DA">
        <w:rPr>
          <w:rFonts w:ascii="Arial" w:hAnsi="Arial" w:cs="Arial"/>
          <w:szCs w:val="24"/>
        </w:rPr>
        <w:t xml:space="preserve">, W. (2005). Bacon, James Alexander (Jim) (1950–2004). Biographical entry. </w:t>
      </w:r>
      <w:r w:rsidRPr="00D720DA">
        <w:rPr>
          <w:rFonts w:ascii="Arial" w:hAnsi="Arial" w:cs="Arial"/>
          <w:i/>
          <w:iCs/>
          <w:szCs w:val="24"/>
        </w:rPr>
        <w:t>Companion to Tasmanian History</w:t>
      </w:r>
      <w:r w:rsidRPr="00D720DA">
        <w:rPr>
          <w:rFonts w:ascii="Arial" w:hAnsi="Arial" w:cs="Arial"/>
          <w:szCs w:val="24"/>
        </w:rPr>
        <w:t xml:space="preserve">. Retrieved from </w:t>
      </w:r>
      <w:hyperlink r:id="rId56" w:history="1">
        <w:r w:rsidRPr="00D720DA">
          <w:rPr>
            <w:rStyle w:val="Hyperlink"/>
            <w:rFonts w:ascii="Arial" w:hAnsi="Arial" w:cs="Arial"/>
          </w:rPr>
          <w:t>https://www.utas.edu.au/tasmanian-companion/biogs/E000144b.htm</w:t>
        </w:r>
      </w:hyperlink>
      <w:r w:rsidRPr="00D720DA">
        <w:rPr>
          <w:rFonts w:ascii="Arial" w:hAnsi="Arial" w:cs="Arial"/>
        </w:rPr>
        <w:t xml:space="preserve"> on 25 Aug 2020.</w:t>
      </w:r>
    </w:p>
    <w:p w14:paraId="1CC3F382" w14:textId="77777777" w:rsidR="00BB449F" w:rsidRPr="00D720DA" w:rsidRDefault="00BB449F" w:rsidP="00BB449F">
      <w:pPr>
        <w:shd w:val="clear" w:color="auto" w:fill="FFFFFF"/>
        <w:ind w:left="720" w:hanging="720"/>
        <w:rPr>
          <w:rFonts w:ascii="Arial" w:hAnsi="Arial" w:cs="Arial"/>
          <w:szCs w:val="24"/>
        </w:rPr>
      </w:pPr>
      <w:r w:rsidRPr="00D720DA">
        <w:rPr>
          <w:rFonts w:ascii="Arial" w:hAnsi="Arial" w:cs="Arial"/>
          <w:color w:val="000000"/>
          <w:szCs w:val="24"/>
        </w:rPr>
        <w:t xml:space="preserve">SSMO (2020). </w:t>
      </w:r>
      <w:r w:rsidRPr="00D720DA">
        <w:rPr>
          <w:rFonts w:ascii="Arial" w:hAnsi="Arial" w:cs="Arial"/>
          <w:i/>
          <w:iCs/>
          <w:color w:val="000000"/>
          <w:szCs w:val="24"/>
        </w:rPr>
        <w:t xml:space="preserve">Tasmanian State Service Annual Report 2019-20. </w:t>
      </w:r>
      <w:r w:rsidRPr="00D720DA">
        <w:rPr>
          <w:rFonts w:ascii="Arial" w:hAnsi="Arial" w:cs="Arial"/>
          <w:color w:val="000000"/>
          <w:szCs w:val="24"/>
        </w:rPr>
        <w:t xml:space="preserve">Hobart: Department of Premier and Cabinet. Retrieved from </w:t>
      </w:r>
      <w:hyperlink r:id="rId57" w:history="1">
        <w:r w:rsidRPr="00D720DA">
          <w:rPr>
            <w:rStyle w:val="Hyperlink"/>
            <w:rFonts w:ascii="Arial" w:hAnsi="Arial" w:cs="Arial"/>
            <w:szCs w:val="24"/>
          </w:rPr>
          <w:t>http://www.dpac.tas.gov.au/__data/assets/pdf_file/0008/558890/Tasmanian_State_Service_Annual_Report_2019-20_-_September_2020.PDF</w:t>
        </w:r>
      </w:hyperlink>
      <w:r w:rsidRPr="00D720DA">
        <w:rPr>
          <w:rStyle w:val="Hyperlink"/>
          <w:rFonts w:ascii="Arial" w:hAnsi="Arial" w:cs="Arial"/>
          <w:szCs w:val="24"/>
        </w:rPr>
        <w:t xml:space="preserve"> </w:t>
      </w:r>
      <w:r w:rsidRPr="00D720DA">
        <w:rPr>
          <w:rStyle w:val="Hyperlink"/>
          <w:rFonts w:ascii="Arial" w:hAnsi="Arial" w:cs="Arial"/>
          <w:color w:val="auto"/>
          <w:szCs w:val="24"/>
          <w:u w:val="none"/>
        </w:rPr>
        <w:t>on 21 Apr 2021.</w:t>
      </w:r>
    </w:p>
    <w:p w14:paraId="71D275E4" w14:textId="77777777" w:rsidR="00BB449F" w:rsidRPr="00D720DA" w:rsidRDefault="00BB449F" w:rsidP="00BB449F">
      <w:pPr>
        <w:ind w:left="720" w:hanging="720"/>
        <w:rPr>
          <w:rStyle w:val="Hyperlink"/>
          <w:rFonts w:ascii="Arial" w:hAnsi="Arial" w:cs="Arial"/>
          <w:color w:val="auto"/>
          <w:szCs w:val="24"/>
          <w:u w:val="none"/>
        </w:rPr>
      </w:pPr>
      <w:r w:rsidRPr="00D720DA">
        <w:rPr>
          <w:rStyle w:val="Hyperlink"/>
          <w:rFonts w:ascii="Arial" w:hAnsi="Arial" w:cs="Arial"/>
          <w:color w:val="auto"/>
          <w:szCs w:val="24"/>
          <w:u w:val="none"/>
        </w:rPr>
        <w:t xml:space="preserve">SSMO (2019a). </w:t>
      </w:r>
      <w:r w:rsidRPr="00D720DA">
        <w:rPr>
          <w:rStyle w:val="Hyperlink"/>
          <w:rFonts w:ascii="Arial" w:hAnsi="Arial" w:cs="Arial"/>
          <w:i/>
          <w:iCs/>
          <w:color w:val="auto"/>
          <w:szCs w:val="24"/>
          <w:u w:val="none"/>
        </w:rPr>
        <w:t>Our State, Our Future – Tasmania State Service Annual Report 2018-19</w:t>
      </w:r>
      <w:r w:rsidRPr="00D720DA">
        <w:rPr>
          <w:rStyle w:val="Hyperlink"/>
          <w:rFonts w:ascii="Arial" w:hAnsi="Arial" w:cs="Arial"/>
          <w:color w:val="auto"/>
          <w:szCs w:val="24"/>
          <w:u w:val="none"/>
        </w:rPr>
        <w:t>. State Service Management Office.</w:t>
      </w:r>
    </w:p>
    <w:p w14:paraId="32018D16" w14:textId="77777777" w:rsidR="00BB449F" w:rsidRPr="00D720DA" w:rsidRDefault="00BB449F" w:rsidP="00BB449F">
      <w:pPr>
        <w:ind w:left="720" w:hanging="720"/>
        <w:rPr>
          <w:rFonts w:ascii="Arial" w:hAnsi="Arial" w:cs="Arial"/>
          <w:szCs w:val="24"/>
        </w:rPr>
      </w:pPr>
      <w:r w:rsidRPr="00D720DA">
        <w:rPr>
          <w:rStyle w:val="Hyperlink"/>
          <w:rFonts w:ascii="Arial" w:hAnsi="Arial" w:cs="Arial"/>
          <w:color w:val="auto"/>
          <w:szCs w:val="24"/>
          <w:u w:val="none"/>
        </w:rPr>
        <w:t xml:space="preserve">SSMO (2019b). </w:t>
      </w:r>
      <w:r w:rsidRPr="00D720DA">
        <w:rPr>
          <w:rStyle w:val="Hyperlink"/>
          <w:rFonts w:ascii="Arial" w:hAnsi="Arial" w:cs="Arial"/>
          <w:i/>
          <w:iCs/>
          <w:color w:val="auto"/>
          <w:szCs w:val="24"/>
          <w:u w:val="none"/>
        </w:rPr>
        <w:t>State Service Workforce Report No. 2 of 2019</w:t>
      </w:r>
      <w:r w:rsidRPr="00D720DA">
        <w:rPr>
          <w:rStyle w:val="Hyperlink"/>
          <w:rFonts w:ascii="Arial" w:hAnsi="Arial" w:cs="Arial"/>
          <w:color w:val="auto"/>
          <w:szCs w:val="24"/>
          <w:u w:val="none"/>
        </w:rPr>
        <w:t xml:space="preserve">. Retrieved from </w:t>
      </w:r>
      <w:hyperlink r:id="rId58" w:history="1">
        <w:r w:rsidRPr="00D720DA">
          <w:rPr>
            <w:rStyle w:val="Hyperlink"/>
            <w:rFonts w:ascii="Arial" w:hAnsi="Arial" w:cs="Arial"/>
            <w:szCs w:val="24"/>
          </w:rPr>
          <w:t>http://www.dpac.tas.gov.au/divisions/ssmo/about_ssmo/state_service_workforce_reporting/state_service_workforce_report_no_2_of_2019</w:t>
        </w:r>
      </w:hyperlink>
      <w:r w:rsidRPr="00D720DA">
        <w:rPr>
          <w:rStyle w:val="Hyperlink"/>
          <w:rFonts w:ascii="Arial" w:hAnsi="Arial" w:cs="Arial"/>
          <w:szCs w:val="24"/>
        </w:rPr>
        <w:t xml:space="preserve"> </w:t>
      </w:r>
      <w:r w:rsidRPr="00D720DA">
        <w:rPr>
          <w:rStyle w:val="Hyperlink"/>
          <w:rFonts w:ascii="Arial" w:hAnsi="Arial" w:cs="Arial"/>
          <w:color w:val="auto"/>
          <w:szCs w:val="24"/>
          <w:u w:val="none"/>
        </w:rPr>
        <w:t>on 8 Apr 2020.</w:t>
      </w:r>
    </w:p>
    <w:p w14:paraId="495C8AE4" w14:textId="77777777" w:rsidR="00BB449F" w:rsidRPr="00D720DA" w:rsidRDefault="00BB449F" w:rsidP="00BB449F">
      <w:pPr>
        <w:ind w:left="720" w:hanging="720"/>
        <w:rPr>
          <w:rStyle w:val="Hyperlink"/>
          <w:rFonts w:ascii="Arial" w:hAnsi="Arial" w:cs="Arial"/>
          <w:color w:val="auto"/>
          <w:szCs w:val="24"/>
          <w:u w:val="none"/>
          <w:shd w:val="clear" w:color="auto" w:fill="FFFFFF"/>
        </w:rPr>
      </w:pPr>
      <w:r w:rsidRPr="00D720DA">
        <w:rPr>
          <w:rStyle w:val="Hyperlink"/>
          <w:rFonts w:ascii="Arial" w:hAnsi="Arial" w:cs="Arial"/>
          <w:color w:val="auto"/>
          <w:szCs w:val="24"/>
          <w:u w:val="none"/>
          <w:shd w:val="clear" w:color="auto" w:fill="FFFFFF"/>
        </w:rPr>
        <w:t xml:space="preserve">SSMO (2018a). </w:t>
      </w:r>
      <w:r w:rsidRPr="00D720DA">
        <w:rPr>
          <w:rStyle w:val="Hyperlink"/>
          <w:rFonts w:ascii="Arial" w:hAnsi="Arial" w:cs="Arial"/>
          <w:i/>
          <w:iCs/>
          <w:color w:val="auto"/>
          <w:szCs w:val="24"/>
          <w:u w:val="none"/>
          <w:shd w:val="clear" w:color="auto" w:fill="FFFFFF"/>
        </w:rPr>
        <w:t>Guidelines: Senior Executive Recruitment</w:t>
      </w:r>
      <w:r w:rsidRPr="00D720DA">
        <w:rPr>
          <w:rStyle w:val="Hyperlink"/>
          <w:rFonts w:ascii="Arial" w:hAnsi="Arial" w:cs="Arial"/>
          <w:color w:val="auto"/>
          <w:szCs w:val="24"/>
          <w:u w:val="none"/>
          <w:shd w:val="clear" w:color="auto" w:fill="FFFFFF"/>
        </w:rPr>
        <w:t xml:space="preserve">. Retrieved from </w:t>
      </w:r>
      <w:hyperlink r:id="rId59" w:history="1">
        <w:r w:rsidRPr="00D720DA">
          <w:rPr>
            <w:rStyle w:val="Hyperlink"/>
            <w:rFonts w:ascii="Arial" w:hAnsi="Arial" w:cs="Arial"/>
            <w:szCs w:val="24"/>
          </w:rPr>
          <w:t>http://www.dpac.tas.gov.au/divisions/ssmo/employment_policy/managing_conflicts_of_interest_in_recruitment</w:t>
        </w:r>
      </w:hyperlink>
      <w:r w:rsidRPr="00D720DA">
        <w:rPr>
          <w:rFonts w:ascii="Arial" w:hAnsi="Arial" w:cs="Arial"/>
          <w:szCs w:val="24"/>
        </w:rPr>
        <w:t xml:space="preserve"> on 6 Apr 2020.</w:t>
      </w:r>
    </w:p>
    <w:p w14:paraId="7E492949" w14:textId="77777777" w:rsidR="00BB449F" w:rsidRPr="00D720DA" w:rsidRDefault="00BB449F" w:rsidP="00BB449F">
      <w:pPr>
        <w:ind w:left="720" w:hanging="720"/>
        <w:rPr>
          <w:rStyle w:val="Hyperlink"/>
          <w:rFonts w:ascii="Arial" w:hAnsi="Arial" w:cs="Arial"/>
          <w:color w:val="auto"/>
          <w:szCs w:val="24"/>
          <w:u w:val="none"/>
          <w:shd w:val="clear" w:color="auto" w:fill="FFFFFF"/>
        </w:rPr>
      </w:pPr>
      <w:r w:rsidRPr="00D720DA">
        <w:rPr>
          <w:rStyle w:val="Hyperlink"/>
          <w:rFonts w:ascii="Arial" w:hAnsi="Arial" w:cs="Arial"/>
          <w:color w:val="auto"/>
          <w:szCs w:val="24"/>
          <w:u w:val="none"/>
          <w:shd w:val="clear" w:color="auto" w:fill="FFFFFF"/>
        </w:rPr>
        <w:t xml:space="preserve">SSMO (2018b). </w:t>
      </w:r>
      <w:r w:rsidRPr="00D720DA">
        <w:rPr>
          <w:rStyle w:val="Hyperlink"/>
          <w:rFonts w:ascii="Arial" w:hAnsi="Arial" w:cs="Arial"/>
          <w:i/>
          <w:iCs/>
          <w:color w:val="auto"/>
          <w:szCs w:val="24"/>
          <w:u w:val="none"/>
          <w:shd w:val="clear" w:color="auto" w:fill="FFFFFF"/>
        </w:rPr>
        <w:t>Tasmanian State Service Policy: Managing Conflicts of Interest in Recruitment</w:t>
      </w:r>
      <w:r w:rsidRPr="00D720DA">
        <w:rPr>
          <w:rStyle w:val="Hyperlink"/>
          <w:rFonts w:ascii="Arial" w:hAnsi="Arial" w:cs="Arial"/>
          <w:color w:val="auto"/>
          <w:szCs w:val="24"/>
          <w:u w:val="none"/>
          <w:shd w:val="clear" w:color="auto" w:fill="FFFFFF"/>
        </w:rPr>
        <w:t xml:space="preserve">. Retrieved from </w:t>
      </w:r>
      <w:hyperlink r:id="rId60" w:history="1">
        <w:r w:rsidRPr="00D720DA">
          <w:rPr>
            <w:rStyle w:val="Hyperlink"/>
            <w:rFonts w:ascii="Arial" w:hAnsi="Arial" w:cs="Arial"/>
            <w:szCs w:val="24"/>
          </w:rPr>
          <w:t>http://www.dpac.tas.gov.au/divisions/ssmo/employment_policy/managing_conflicts_of_interest_in_recruitment</w:t>
        </w:r>
      </w:hyperlink>
      <w:r w:rsidRPr="00D720DA">
        <w:rPr>
          <w:rFonts w:ascii="Arial" w:hAnsi="Arial" w:cs="Arial"/>
          <w:szCs w:val="24"/>
        </w:rPr>
        <w:t xml:space="preserve"> on 6 Apr 2020.</w:t>
      </w:r>
    </w:p>
    <w:p w14:paraId="768E15A4" w14:textId="77777777" w:rsidR="00BB449F" w:rsidRPr="00D720DA" w:rsidRDefault="00BB449F" w:rsidP="00BB449F">
      <w:pPr>
        <w:ind w:left="720" w:hanging="720"/>
        <w:rPr>
          <w:rStyle w:val="Hyperlink"/>
          <w:rFonts w:ascii="Arial" w:hAnsi="Arial" w:cs="Arial"/>
          <w:color w:val="auto"/>
          <w:szCs w:val="24"/>
          <w:u w:val="none"/>
          <w:shd w:val="clear" w:color="auto" w:fill="FFFFFF"/>
        </w:rPr>
      </w:pPr>
      <w:r w:rsidRPr="00D720DA">
        <w:rPr>
          <w:rStyle w:val="Hyperlink"/>
          <w:rFonts w:ascii="Arial" w:hAnsi="Arial" w:cs="Arial"/>
          <w:color w:val="auto"/>
          <w:szCs w:val="24"/>
          <w:u w:val="none"/>
          <w:shd w:val="clear" w:color="auto" w:fill="FFFFFF"/>
        </w:rPr>
        <w:t xml:space="preserve">SSMO (2016). </w:t>
      </w:r>
      <w:r w:rsidRPr="00D720DA">
        <w:rPr>
          <w:rStyle w:val="Hyperlink"/>
          <w:rFonts w:ascii="Arial" w:hAnsi="Arial" w:cs="Arial"/>
          <w:i/>
          <w:iCs/>
          <w:color w:val="auto"/>
          <w:szCs w:val="24"/>
          <w:u w:val="none"/>
          <w:shd w:val="clear" w:color="auto" w:fill="FFFFFF"/>
        </w:rPr>
        <w:t>Managing Positions in the State Service (MPSS)</w:t>
      </w:r>
      <w:r w:rsidRPr="00D720DA">
        <w:rPr>
          <w:rStyle w:val="Hyperlink"/>
          <w:rFonts w:ascii="Arial" w:hAnsi="Arial" w:cs="Arial"/>
          <w:color w:val="auto"/>
          <w:szCs w:val="24"/>
          <w:u w:val="none"/>
          <w:shd w:val="clear" w:color="auto" w:fill="FFFFFF"/>
        </w:rPr>
        <w:t xml:space="preserve">. Department of Premier and Cabinet. Retrieved from </w:t>
      </w:r>
      <w:hyperlink r:id="rId61" w:history="1">
        <w:r w:rsidRPr="00D720DA">
          <w:rPr>
            <w:rStyle w:val="Hyperlink"/>
            <w:rFonts w:ascii="Arial" w:hAnsi="Arial" w:cs="Arial"/>
            <w:szCs w:val="24"/>
          </w:rPr>
          <w:t>http://www.dpac.tas.gov.au/__data/assets/pdf_file/0006/284469/Managing_Positions_in_the_State_Service_-_April_2016.pdf</w:t>
        </w:r>
      </w:hyperlink>
      <w:r w:rsidRPr="00D720DA">
        <w:rPr>
          <w:rFonts w:ascii="Arial" w:hAnsi="Arial" w:cs="Arial"/>
          <w:szCs w:val="24"/>
        </w:rPr>
        <w:t xml:space="preserve"> on 2 Apr 2020.</w:t>
      </w:r>
    </w:p>
    <w:p w14:paraId="3CA73473" w14:textId="3F590232" w:rsidR="00BD0616" w:rsidRPr="00D720DA" w:rsidRDefault="00BD0616" w:rsidP="00694A97">
      <w:pPr>
        <w:rPr>
          <w:rFonts w:ascii="Arial" w:hAnsi="Arial" w:cs="Arial"/>
          <w:szCs w:val="24"/>
        </w:rPr>
      </w:pPr>
      <w:r w:rsidRPr="00D720DA">
        <w:rPr>
          <w:rFonts w:ascii="Arial" w:hAnsi="Arial" w:cs="Arial"/>
          <w:szCs w:val="24"/>
        </w:rPr>
        <w:t xml:space="preserve">SSMO (2013–2018). </w:t>
      </w:r>
      <w:r w:rsidRPr="00D720DA">
        <w:rPr>
          <w:rFonts w:ascii="Arial" w:hAnsi="Arial" w:cs="Arial"/>
          <w:i/>
          <w:iCs/>
          <w:szCs w:val="24"/>
        </w:rPr>
        <w:t>Annual Report</w:t>
      </w:r>
      <w:r w:rsidRPr="00D720DA">
        <w:rPr>
          <w:rFonts w:ascii="Arial" w:hAnsi="Arial" w:cs="Arial"/>
          <w:szCs w:val="24"/>
        </w:rPr>
        <w:t>. Hobart: State Service Management Office.</w:t>
      </w:r>
    </w:p>
    <w:p w14:paraId="5D894B9C" w14:textId="77777777" w:rsidR="0045501F" w:rsidRPr="00D720DA" w:rsidRDefault="0045501F" w:rsidP="0045501F">
      <w:pPr>
        <w:ind w:left="720" w:hanging="720"/>
        <w:rPr>
          <w:rStyle w:val="Hyperlink"/>
          <w:rFonts w:ascii="Arial" w:hAnsi="Arial" w:cs="Arial"/>
          <w:color w:val="auto"/>
          <w:szCs w:val="24"/>
          <w:u w:val="none"/>
        </w:rPr>
      </w:pPr>
      <w:r w:rsidRPr="00D720DA">
        <w:rPr>
          <w:rStyle w:val="Hyperlink"/>
          <w:rFonts w:ascii="Arial" w:hAnsi="Arial" w:cs="Arial"/>
          <w:color w:val="auto"/>
          <w:szCs w:val="24"/>
          <w:u w:val="none"/>
        </w:rPr>
        <w:t xml:space="preserve">State Service Commissioner (2002). </w:t>
      </w:r>
      <w:r w:rsidRPr="00D720DA">
        <w:rPr>
          <w:rStyle w:val="Hyperlink"/>
          <w:rFonts w:ascii="Arial" w:hAnsi="Arial" w:cs="Arial"/>
          <w:i/>
          <w:iCs/>
          <w:color w:val="auto"/>
          <w:szCs w:val="24"/>
          <w:u w:val="none"/>
        </w:rPr>
        <w:t>Review of Arrangements for Senior Executives in the Tasmanian State Service</w:t>
      </w:r>
      <w:r w:rsidRPr="00D720DA">
        <w:rPr>
          <w:rStyle w:val="Hyperlink"/>
          <w:rFonts w:ascii="Arial" w:hAnsi="Arial" w:cs="Arial"/>
          <w:color w:val="auto"/>
          <w:szCs w:val="24"/>
          <w:u w:val="none"/>
        </w:rPr>
        <w:t>. Hobart: Office of the State Service Commissioner.</w:t>
      </w:r>
    </w:p>
    <w:p w14:paraId="48D63176" w14:textId="24D56882" w:rsidR="004C3276" w:rsidRPr="00D720DA" w:rsidRDefault="004C3276" w:rsidP="00BC391B">
      <w:pPr>
        <w:ind w:left="720" w:hanging="720"/>
        <w:rPr>
          <w:rFonts w:ascii="Arial" w:hAnsi="Arial" w:cs="Arial"/>
          <w:szCs w:val="24"/>
        </w:rPr>
      </w:pPr>
      <w:r w:rsidRPr="00D720DA">
        <w:rPr>
          <w:rFonts w:ascii="Arial" w:hAnsi="Arial" w:cs="Arial"/>
          <w:szCs w:val="24"/>
        </w:rPr>
        <w:t xml:space="preserve">State Service Commissioner (2001–2012). </w:t>
      </w:r>
      <w:r w:rsidRPr="00D720DA">
        <w:rPr>
          <w:rFonts w:ascii="Arial" w:hAnsi="Arial" w:cs="Arial"/>
          <w:i/>
          <w:iCs/>
          <w:szCs w:val="24"/>
        </w:rPr>
        <w:t>Annual Report</w:t>
      </w:r>
      <w:r w:rsidRPr="00D720DA">
        <w:rPr>
          <w:rFonts w:ascii="Arial" w:hAnsi="Arial" w:cs="Arial"/>
          <w:szCs w:val="24"/>
        </w:rPr>
        <w:t>. Hobart: Office of the State Service Commissioner.</w:t>
      </w:r>
    </w:p>
    <w:p w14:paraId="051EE780" w14:textId="785DECE4" w:rsidR="008C57E8" w:rsidRPr="00D720DA" w:rsidRDefault="008C57E8" w:rsidP="00694A97">
      <w:pPr>
        <w:pStyle w:val="indentpara"/>
        <w:ind w:left="720" w:hanging="720"/>
        <w:rPr>
          <w:rFonts w:ascii="Arial" w:hAnsi="Arial" w:cs="Arial"/>
        </w:rPr>
      </w:pPr>
      <w:r w:rsidRPr="00D720DA">
        <w:rPr>
          <w:rFonts w:ascii="Arial" w:hAnsi="Arial" w:cs="Arial"/>
        </w:rPr>
        <w:t xml:space="preserve">Tanner, S. (2006a). Robin Gray. </w:t>
      </w:r>
      <w:r w:rsidRPr="00D720DA">
        <w:rPr>
          <w:rFonts w:ascii="Arial" w:hAnsi="Arial" w:cs="Arial"/>
          <w:i/>
          <w:iCs w:val="0"/>
        </w:rPr>
        <w:t>Companion to Tasmanian History</w:t>
      </w:r>
      <w:r w:rsidRPr="00D720DA">
        <w:rPr>
          <w:rFonts w:ascii="Arial" w:hAnsi="Arial" w:cs="Arial"/>
        </w:rPr>
        <w:t xml:space="preserve">. University of Tasmania. Retrieved from </w:t>
      </w:r>
      <w:hyperlink r:id="rId62" w:history="1">
        <w:r w:rsidRPr="00D720DA">
          <w:rPr>
            <w:rStyle w:val="Hyperlink"/>
            <w:rFonts w:ascii="Arial" w:hAnsi="Arial" w:cs="Arial"/>
          </w:rPr>
          <w:t>https://www.utas.edu.au/library/companion_to_tasmanian_history/G/Robin%20Gray.htm</w:t>
        </w:r>
      </w:hyperlink>
      <w:r w:rsidRPr="00D720DA">
        <w:rPr>
          <w:rFonts w:ascii="Arial" w:hAnsi="Arial" w:cs="Arial"/>
        </w:rPr>
        <w:t xml:space="preserve"> on 25 Aug 2020.</w:t>
      </w:r>
    </w:p>
    <w:p w14:paraId="489D9B62" w14:textId="5B6AE291" w:rsidR="00504FE7" w:rsidRPr="00D720DA" w:rsidRDefault="00504FE7" w:rsidP="00694A97">
      <w:pPr>
        <w:pStyle w:val="indentpara"/>
        <w:ind w:left="720" w:hanging="720"/>
        <w:rPr>
          <w:rFonts w:ascii="Arial" w:hAnsi="Arial" w:cs="Arial"/>
        </w:rPr>
      </w:pPr>
      <w:r w:rsidRPr="00D720DA">
        <w:rPr>
          <w:rFonts w:ascii="Arial" w:hAnsi="Arial" w:cs="Arial"/>
        </w:rPr>
        <w:t>Tanner, S. (2006</w:t>
      </w:r>
      <w:r w:rsidR="008C57E8" w:rsidRPr="00D720DA">
        <w:rPr>
          <w:rFonts w:ascii="Arial" w:hAnsi="Arial" w:cs="Arial"/>
        </w:rPr>
        <w:t>b</w:t>
      </w:r>
      <w:r w:rsidRPr="00D720DA">
        <w:rPr>
          <w:rFonts w:ascii="Arial" w:hAnsi="Arial" w:cs="Arial"/>
        </w:rPr>
        <w:t xml:space="preserve">). Tony Rundle. </w:t>
      </w:r>
      <w:r w:rsidRPr="00D720DA">
        <w:rPr>
          <w:rFonts w:ascii="Arial" w:hAnsi="Arial" w:cs="Arial"/>
          <w:i/>
          <w:iCs w:val="0"/>
        </w:rPr>
        <w:t>Companion to Tasmanian History</w:t>
      </w:r>
      <w:r w:rsidRPr="00D720DA">
        <w:rPr>
          <w:rFonts w:ascii="Arial" w:hAnsi="Arial" w:cs="Arial"/>
        </w:rPr>
        <w:t xml:space="preserve">. University of Tasmania. Retrieved from </w:t>
      </w:r>
      <w:hyperlink r:id="rId63" w:history="1">
        <w:r w:rsidRPr="00D720DA">
          <w:rPr>
            <w:rStyle w:val="Hyperlink"/>
            <w:rFonts w:ascii="Arial" w:hAnsi="Arial" w:cs="Arial"/>
          </w:rPr>
          <w:t>https://www.utas.edu.au/library/companion_to_tasmanian_history/R/Rundle.htm</w:t>
        </w:r>
      </w:hyperlink>
      <w:r w:rsidRPr="00D720DA">
        <w:rPr>
          <w:rFonts w:ascii="Arial" w:hAnsi="Arial" w:cs="Arial"/>
        </w:rPr>
        <w:t xml:space="preserve"> on 7 Apr 2020. </w:t>
      </w:r>
    </w:p>
    <w:p w14:paraId="06C3DEDD" w14:textId="0ED4D6A3" w:rsidR="00EB5DAE" w:rsidRPr="00D720DA" w:rsidRDefault="00EB5DAE" w:rsidP="00694A97">
      <w:pPr>
        <w:ind w:left="720" w:hanging="720"/>
        <w:rPr>
          <w:rStyle w:val="Hyperlink"/>
          <w:rFonts w:ascii="Arial" w:hAnsi="Arial" w:cs="Arial"/>
          <w:b/>
          <w:bCs/>
          <w:szCs w:val="24"/>
          <w:shd w:val="clear" w:color="auto" w:fill="FFFFFF"/>
        </w:rPr>
      </w:pPr>
      <w:r w:rsidRPr="00D720DA">
        <w:rPr>
          <w:rStyle w:val="Hyperlink"/>
          <w:rFonts w:ascii="Arial" w:hAnsi="Arial" w:cs="Arial"/>
          <w:color w:val="auto"/>
          <w:szCs w:val="24"/>
          <w:u w:val="none"/>
          <w:shd w:val="clear" w:color="auto" w:fill="FFFFFF"/>
        </w:rPr>
        <w:t>Tasmania Audit Office (2017).</w:t>
      </w:r>
      <w:r w:rsidRPr="00D720DA">
        <w:rPr>
          <w:rStyle w:val="Hyperlink"/>
          <w:rFonts w:ascii="Arial" w:hAnsi="Arial" w:cs="Arial"/>
          <w:b/>
          <w:bCs/>
          <w:color w:val="auto"/>
          <w:szCs w:val="24"/>
          <w:shd w:val="clear" w:color="auto" w:fill="FFFFFF"/>
        </w:rPr>
        <w:t xml:space="preserve"> </w:t>
      </w:r>
      <w:r w:rsidRPr="00D720DA">
        <w:rPr>
          <w:rFonts w:ascii="Arial" w:hAnsi="Arial" w:cs="Arial"/>
          <w:i/>
          <w:iCs/>
          <w:szCs w:val="24"/>
        </w:rPr>
        <w:t>Appointment of Tasmanian State Service Senior Executive Officers, General Stream Bands 9 and 10 and Professional Stream Band 6 Positions</w:t>
      </w:r>
      <w:r w:rsidRPr="00D720DA">
        <w:rPr>
          <w:rFonts w:ascii="Arial" w:hAnsi="Arial" w:cs="Arial"/>
          <w:szCs w:val="24"/>
        </w:rPr>
        <w:t xml:space="preserve">. Report of the Auditor-General No. 3 of 2017–18 (Nov 2017). Retrieved from </w:t>
      </w:r>
      <w:hyperlink r:id="rId64" w:history="1">
        <w:r w:rsidRPr="00D720DA">
          <w:rPr>
            <w:rStyle w:val="Hyperlink"/>
            <w:rFonts w:ascii="Arial" w:hAnsi="Arial" w:cs="Arial"/>
            <w:szCs w:val="24"/>
          </w:rPr>
          <w:t>https://www.audit.tas.gov.au/wp-content/uploads/Full-Report-No-3-2017-18-Appointment-of-Tasmanian-State-Service-Senior.pdf</w:t>
        </w:r>
      </w:hyperlink>
      <w:r w:rsidRPr="00D720DA">
        <w:rPr>
          <w:rFonts w:ascii="Arial" w:hAnsi="Arial" w:cs="Arial"/>
          <w:szCs w:val="24"/>
        </w:rPr>
        <w:t xml:space="preserve"> on 20 Nov 2019</w:t>
      </w:r>
      <w:r w:rsidR="00C3396E" w:rsidRPr="00D720DA">
        <w:rPr>
          <w:rFonts w:ascii="Arial" w:hAnsi="Arial" w:cs="Arial"/>
          <w:szCs w:val="24"/>
        </w:rPr>
        <w:t>.</w:t>
      </w:r>
    </w:p>
    <w:p w14:paraId="007E49BC" w14:textId="356E02C9" w:rsidR="000D31B3" w:rsidRPr="00D720DA" w:rsidRDefault="000D31B3" w:rsidP="00694A97">
      <w:pPr>
        <w:ind w:left="720" w:hanging="720"/>
        <w:rPr>
          <w:rFonts w:ascii="Arial" w:hAnsi="Arial" w:cs="Arial"/>
          <w:szCs w:val="24"/>
        </w:rPr>
      </w:pPr>
      <w:bookmarkStart w:id="38" w:name="_Hlk29461786"/>
      <w:bookmarkStart w:id="39" w:name="_Hlk36718189"/>
      <w:r w:rsidRPr="00D720DA">
        <w:rPr>
          <w:rFonts w:ascii="Arial" w:hAnsi="Arial" w:cs="Arial"/>
          <w:szCs w:val="24"/>
        </w:rPr>
        <w:t>Tasmanian Government (20</w:t>
      </w:r>
      <w:r w:rsidR="003C0781" w:rsidRPr="00D720DA">
        <w:rPr>
          <w:rFonts w:ascii="Arial" w:hAnsi="Arial" w:cs="Arial"/>
          <w:szCs w:val="24"/>
        </w:rPr>
        <w:t>14</w:t>
      </w:r>
      <w:r w:rsidRPr="00D720DA">
        <w:rPr>
          <w:rFonts w:ascii="Arial" w:hAnsi="Arial" w:cs="Arial"/>
          <w:szCs w:val="24"/>
        </w:rPr>
        <w:t xml:space="preserve">). </w:t>
      </w:r>
      <w:r w:rsidRPr="00D720DA">
        <w:rPr>
          <w:rFonts w:ascii="Arial" w:hAnsi="Arial" w:cs="Arial"/>
          <w:i/>
          <w:iCs/>
          <w:szCs w:val="24"/>
        </w:rPr>
        <w:t>Milestones for Tasmanian Women</w:t>
      </w:r>
      <w:r w:rsidRPr="00D720DA">
        <w:rPr>
          <w:rFonts w:ascii="Arial" w:hAnsi="Arial" w:cs="Arial"/>
          <w:szCs w:val="24"/>
        </w:rPr>
        <w:t xml:space="preserve">. Retrieved from </w:t>
      </w:r>
      <w:hyperlink r:id="rId65" w:history="1">
        <w:r w:rsidRPr="00D720DA">
          <w:rPr>
            <w:rStyle w:val="Hyperlink"/>
            <w:rFonts w:ascii="Arial" w:hAnsi="Arial" w:cs="Arial"/>
          </w:rPr>
          <w:t>https://www.women.tas.gov.au/information_and_resources/significant_tasmanian_women/milestones_for_tasmanian_women</w:t>
        </w:r>
      </w:hyperlink>
      <w:r w:rsidRPr="00D720DA">
        <w:rPr>
          <w:rFonts w:ascii="Arial" w:hAnsi="Arial" w:cs="Arial"/>
        </w:rPr>
        <w:t xml:space="preserve"> on 8 Aug 2020.</w:t>
      </w:r>
    </w:p>
    <w:p w14:paraId="327F3CA6" w14:textId="77777777" w:rsidR="003C0781" w:rsidRPr="00D720DA" w:rsidRDefault="003C0781" w:rsidP="003C0781">
      <w:pPr>
        <w:pStyle w:val="indentpara"/>
        <w:ind w:left="720" w:hanging="720"/>
        <w:rPr>
          <w:rFonts w:ascii="Arial" w:hAnsi="Arial" w:cs="Arial"/>
        </w:rPr>
      </w:pPr>
      <w:r w:rsidRPr="00D720DA">
        <w:rPr>
          <w:rFonts w:ascii="Arial" w:hAnsi="Arial" w:cs="Arial"/>
        </w:rPr>
        <w:t xml:space="preserve">Tasmanian Parliamentary Library (2014). </w:t>
      </w:r>
      <w:r w:rsidRPr="00D720DA">
        <w:rPr>
          <w:rFonts w:ascii="Arial" w:hAnsi="Arial" w:cs="Arial"/>
          <w:i/>
          <w:iCs w:val="0"/>
        </w:rPr>
        <w:t>Premiers of Tasmania</w:t>
      </w:r>
      <w:r w:rsidRPr="00D720DA">
        <w:rPr>
          <w:rFonts w:ascii="Arial" w:hAnsi="Arial" w:cs="Arial"/>
        </w:rPr>
        <w:t xml:space="preserve">. Retrieved from </w:t>
      </w:r>
      <w:hyperlink r:id="rId66" w:history="1">
        <w:r w:rsidRPr="00D720DA">
          <w:rPr>
            <w:rStyle w:val="Hyperlink"/>
            <w:rFonts w:ascii="Arial" w:hAnsi="Arial" w:cs="Arial"/>
          </w:rPr>
          <w:t>https://www.parliament.tas.gov.au/tpl/datasheets/Premiers_Table.htm</w:t>
        </w:r>
      </w:hyperlink>
      <w:r w:rsidRPr="00D720DA">
        <w:rPr>
          <w:rFonts w:ascii="Arial" w:hAnsi="Arial" w:cs="Arial"/>
        </w:rPr>
        <w:t xml:space="preserve"> on 25 Aug 2020. </w:t>
      </w:r>
    </w:p>
    <w:p w14:paraId="65EBD7E3" w14:textId="3FF023A7" w:rsidR="005646E1" w:rsidRPr="00D720DA" w:rsidRDefault="005646E1" w:rsidP="00694A97">
      <w:pPr>
        <w:ind w:left="720" w:hanging="720"/>
        <w:rPr>
          <w:rFonts w:ascii="Arial" w:hAnsi="Arial" w:cs="Arial"/>
          <w:szCs w:val="24"/>
        </w:rPr>
      </w:pPr>
      <w:r w:rsidRPr="00D720DA">
        <w:rPr>
          <w:rFonts w:ascii="Arial" w:hAnsi="Arial" w:cs="Arial"/>
          <w:szCs w:val="24"/>
        </w:rPr>
        <w:t xml:space="preserve">TLRI (2020). Law change needed to improve judicial review of government decisions. University of Tasmania: Tasmania Law Reform Institute. Retrieved from </w:t>
      </w:r>
      <w:hyperlink r:id="rId67" w:history="1">
        <w:r w:rsidRPr="00D720DA">
          <w:rPr>
            <w:rStyle w:val="Hyperlink"/>
            <w:rFonts w:ascii="Arial" w:hAnsi="Arial" w:cs="Arial"/>
            <w:szCs w:val="24"/>
          </w:rPr>
          <w:t>https://www.utas.edu.au/law-reform/news-and-events/tlri-news/law-change-needed-to-improve-judicial-review-of-government-decisions</w:t>
        </w:r>
      </w:hyperlink>
      <w:r w:rsidRPr="00D720DA">
        <w:rPr>
          <w:rFonts w:ascii="Arial" w:hAnsi="Arial" w:cs="Arial"/>
          <w:szCs w:val="24"/>
        </w:rPr>
        <w:t xml:space="preserve"> on 7 Apr 2020. </w:t>
      </w:r>
    </w:p>
    <w:p w14:paraId="17D3609E" w14:textId="77777777" w:rsidR="005047FE" w:rsidRPr="00D720DA" w:rsidRDefault="005047FE" w:rsidP="005047FE">
      <w:pPr>
        <w:shd w:val="clear" w:color="auto" w:fill="FFFFFF"/>
        <w:ind w:left="720" w:hanging="720"/>
        <w:rPr>
          <w:rFonts w:ascii="Arial" w:hAnsi="Arial" w:cs="Arial"/>
          <w:color w:val="000000"/>
          <w:szCs w:val="24"/>
        </w:rPr>
      </w:pPr>
      <w:r w:rsidRPr="00D720DA">
        <w:rPr>
          <w:rFonts w:ascii="Arial" w:hAnsi="Arial" w:cs="Arial"/>
          <w:color w:val="000000"/>
          <w:szCs w:val="24"/>
        </w:rPr>
        <w:t xml:space="preserve">Watt, I. (2020). </w:t>
      </w:r>
      <w:r w:rsidRPr="00D720DA">
        <w:rPr>
          <w:rFonts w:ascii="Arial" w:hAnsi="Arial" w:cs="Arial"/>
          <w:i/>
          <w:iCs/>
          <w:color w:val="000000"/>
          <w:szCs w:val="24"/>
        </w:rPr>
        <w:t>Review of the Tasmanian State Service: Interim Report</w:t>
      </w:r>
      <w:r w:rsidRPr="00D720DA">
        <w:rPr>
          <w:rFonts w:ascii="Arial" w:hAnsi="Arial" w:cs="Arial"/>
          <w:color w:val="000000"/>
          <w:szCs w:val="24"/>
        </w:rPr>
        <w:t xml:space="preserve"> (November). Hobart: Department of Premier and Cabinet. Retrieved from </w:t>
      </w:r>
      <w:hyperlink r:id="rId68" w:history="1">
        <w:r w:rsidRPr="00D720DA">
          <w:rPr>
            <w:rStyle w:val="Hyperlink"/>
            <w:rFonts w:ascii="Arial" w:hAnsi="Arial" w:cs="Arial"/>
            <w:szCs w:val="24"/>
          </w:rPr>
          <w:t>http://www.dpac.tas.gov.au/__data/assets/pdf_file/0010/562591/Interim_Report_-_FINAL.pdf</w:t>
        </w:r>
      </w:hyperlink>
    </w:p>
    <w:p w14:paraId="5963BAD7" w14:textId="312436F2" w:rsidR="00862B84" w:rsidRPr="00D720DA" w:rsidRDefault="00862B84" w:rsidP="00694A97">
      <w:pPr>
        <w:ind w:left="720" w:hanging="720"/>
        <w:rPr>
          <w:rFonts w:ascii="Arial" w:hAnsi="Arial" w:cs="Arial"/>
          <w:color w:val="000000"/>
          <w:szCs w:val="24"/>
        </w:rPr>
      </w:pPr>
      <w:r w:rsidRPr="00D720DA">
        <w:rPr>
          <w:rStyle w:val="Hyperlink"/>
          <w:rFonts w:ascii="Arial" w:hAnsi="Arial" w:cs="Arial"/>
          <w:color w:val="auto"/>
          <w:szCs w:val="24"/>
          <w:u w:val="none"/>
          <w:shd w:val="clear" w:color="auto" w:fill="FFFFFF"/>
        </w:rPr>
        <w:t xml:space="preserve">Watt, I. (2021). </w:t>
      </w:r>
      <w:r w:rsidRPr="00D720DA">
        <w:rPr>
          <w:rStyle w:val="Hyperlink"/>
          <w:rFonts w:ascii="Arial" w:hAnsi="Arial" w:cs="Arial"/>
          <w:i/>
          <w:iCs/>
          <w:color w:val="auto"/>
          <w:szCs w:val="24"/>
          <w:u w:val="none"/>
          <w:shd w:val="clear" w:color="auto" w:fill="FFFFFF"/>
        </w:rPr>
        <w:t>Review of the Tasmanian State Service: Final Report</w:t>
      </w:r>
      <w:r w:rsidRPr="00D720DA">
        <w:rPr>
          <w:rStyle w:val="Hyperlink"/>
          <w:rFonts w:ascii="Arial" w:hAnsi="Arial" w:cs="Arial"/>
          <w:color w:val="auto"/>
          <w:szCs w:val="24"/>
          <w:u w:val="none"/>
          <w:shd w:val="clear" w:color="auto" w:fill="FFFFFF"/>
        </w:rPr>
        <w:t xml:space="preserve"> (July). </w:t>
      </w:r>
      <w:r w:rsidRPr="00D720DA">
        <w:rPr>
          <w:rFonts w:ascii="Arial" w:hAnsi="Arial" w:cs="Arial"/>
          <w:color w:val="000000"/>
          <w:szCs w:val="24"/>
        </w:rPr>
        <w:t xml:space="preserve">Hobart: Department of Premier and Cabinet. Retrieved from </w:t>
      </w:r>
      <w:r w:rsidR="005F630A" w:rsidRPr="00D720DA">
        <w:rPr>
          <w:rStyle w:val="Hyperlink"/>
          <w:rFonts w:ascii="Arial" w:hAnsi="Arial" w:cs="Arial"/>
        </w:rPr>
        <w:t>https://www.dpac.tas.gov.au/__data/assets/pdf_file/0004/587515/TSSR_Final_Report.pdf</w:t>
      </w:r>
      <w:r w:rsidRPr="00D720DA">
        <w:rPr>
          <w:rFonts w:ascii="Arial" w:hAnsi="Arial" w:cs="Arial"/>
          <w:color w:val="000000"/>
          <w:szCs w:val="24"/>
        </w:rPr>
        <w:t xml:space="preserve"> on 1 Oct 2021.</w:t>
      </w:r>
    </w:p>
    <w:p w14:paraId="5C9C2BC1" w14:textId="20E3ACAA" w:rsidR="0028128E" w:rsidRPr="00D720DA" w:rsidRDefault="0028128E" w:rsidP="00694A97">
      <w:pPr>
        <w:ind w:left="720" w:hanging="720"/>
        <w:rPr>
          <w:rFonts w:ascii="Arial" w:hAnsi="Arial" w:cs="Arial"/>
          <w:szCs w:val="24"/>
        </w:rPr>
      </w:pPr>
      <w:proofErr w:type="spellStart"/>
      <w:r w:rsidRPr="00D720DA">
        <w:rPr>
          <w:rStyle w:val="Hyperlink"/>
          <w:rFonts w:ascii="Arial" w:hAnsi="Arial" w:cs="Arial"/>
          <w:color w:val="auto"/>
          <w:szCs w:val="24"/>
          <w:u w:val="none"/>
          <w:shd w:val="clear" w:color="auto" w:fill="FFFFFF"/>
        </w:rPr>
        <w:t>Wettenhal</w:t>
      </w:r>
      <w:r w:rsidR="0050627D" w:rsidRPr="00D720DA">
        <w:rPr>
          <w:rStyle w:val="Hyperlink"/>
          <w:rFonts w:ascii="Arial" w:hAnsi="Arial" w:cs="Arial"/>
          <w:color w:val="auto"/>
          <w:szCs w:val="24"/>
          <w:u w:val="none"/>
          <w:shd w:val="clear" w:color="auto" w:fill="FFFFFF"/>
        </w:rPr>
        <w:t>l</w:t>
      </w:r>
      <w:proofErr w:type="spellEnd"/>
      <w:r w:rsidRPr="00D720DA">
        <w:rPr>
          <w:rStyle w:val="Hyperlink"/>
          <w:rFonts w:ascii="Arial" w:hAnsi="Arial" w:cs="Arial"/>
          <w:color w:val="auto"/>
          <w:szCs w:val="24"/>
          <w:u w:val="none"/>
          <w:shd w:val="clear" w:color="auto" w:fill="FFFFFF"/>
        </w:rPr>
        <w:t>, R. (200</w:t>
      </w:r>
      <w:r w:rsidR="0050627D" w:rsidRPr="00D720DA">
        <w:rPr>
          <w:rStyle w:val="Hyperlink"/>
          <w:rFonts w:ascii="Arial" w:hAnsi="Arial" w:cs="Arial"/>
          <w:color w:val="auto"/>
          <w:szCs w:val="24"/>
          <w:u w:val="none"/>
          <w:shd w:val="clear" w:color="auto" w:fill="FFFFFF"/>
        </w:rPr>
        <w:t>5</w:t>
      </w:r>
      <w:r w:rsidRPr="00D720DA">
        <w:rPr>
          <w:rStyle w:val="Hyperlink"/>
          <w:rFonts w:ascii="Arial" w:hAnsi="Arial" w:cs="Arial"/>
          <w:color w:val="auto"/>
          <w:szCs w:val="24"/>
          <w:u w:val="none"/>
          <w:shd w:val="clear" w:color="auto" w:fill="FFFFFF"/>
        </w:rPr>
        <w:t xml:space="preserve">). Public administration. In A. Alexander (ed.), </w:t>
      </w:r>
      <w:r w:rsidRPr="00D720DA">
        <w:rPr>
          <w:rStyle w:val="Hyperlink"/>
          <w:rFonts w:ascii="Arial" w:hAnsi="Arial" w:cs="Arial"/>
          <w:i/>
          <w:iCs/>
          <w:color w:val="auto"/>
          <w:szCs w:val="24"/>
          <w:u w:val="none"/>
          <w:shd w:val="clear" w:color="auto" w:fill="FFFFFF"/>
        </w:rPr>
        <w:t>The Companion to Tasmanian History</w:t>
      </w:r>
      <w:r w:rsidRPr="00D720DA">
        <w:rPr>
          <w:rStyle w:val="Hyperlink"/>
          <w:rFonts w:ascii="Arial" w:hAnsi="Arial" w:cs="Arial"/>
          <w:color w:val="auto"/>
          <w:szCs w:val="24"/>
          <w:u w:val="none"/>
          <w:shd w:val="clear" w:color="auto" w:fill="FFFFFF"/>
        </w:rPr>
        <w:t xml:space="preserve">. University of Tasmania: Centre for Tasmanian Historical Studies. Retrieved from </w:t>
      </w:r>
      <w:hyperlink r:id="rId69" w:history="1">
        <w:r w:rsidRPr="00D720DA">
          <w:rPr>
            <w:rStyle w:val="Hyperlink"/>
            <w:rFonts w:ascii="Arial" w:hAnsi="Arial" w:cs="Arial"/>
            <w:szCs w:val="24"/>
          </w:rPr>
          <w:t>https://www.utas.edu.au/library/companion_to_tasmanian_history/P/Public%20admin.htm</w:t>
        </w:r>
      </w:hyperlink>
      <w:r w:rsidRPr="00D720DA">
        <w:rPr>
          <w:rFonts w:ascii="Arial" w:hAnsi="Arial" w:cs="Arial"/>
          <w:szCs w:val="24"/>
        </w:rPr>
        <w:t xml:space="preserve"> on 9 Jan 2020.</w:t>
      </w:r>
    </w:p>
    <w:bookmarkEnd w:id="38"/>
    <w:p w14:paraId="19F4BE6E" w14:textId="66BEFA1A" w:rsidR="007C0412" w:rsidRPr="00D720DA" w:rsidRDefault="007C0412" w:rsidP="00694A97">
      <w:pPr>
        <w:ind w:left="720" w:hanging="720"/>
        <w:rPr>
          <w:rStyle w:val="Hyperlink"/>
          <w:rFonts w:ascii="Arial" w:hAnsi="Arial" w:cs="Arial"/>
          <w:color w:val="auto"/>
          <w:szCs w:val="24"/>
          <w:u w:val="none"/>
          <w:shd w:val="clear" w:color="auto" w:fill="FFFFFF"/>
        </w:rPr>
      </w:pPr>
      <w:proofErr w:type="spellStart"/>
      <w:r w:rsidRPr="00D720DA">
        <w:rPr>
          <w:rStyle w:val="Hyperlink"/>
          <w:rFonts w:ascii="Arial" w:hAnsi="Arial" w:cs="Arial"/>
          <w:color w:val="auto"/>
          <w:szCs w:val="24"/>
          <w:u w:val="none"/>
          <w:shd w:val="clear" w:color="auto" w:fill="FFFFFF"/>
        </w:rPr>
        <w:t>Wettenhall</w:t>
      </w:r>
      <w:proofErr w:type="spellEnd"/>
      <w:r w:rsidRPr="00D720DA">
        <w:rPr>
          <w:rStyle w:val="Hyperlink"/>
          <w:rFonts w:ascii="Arial" w:hAnsi="Arial" w:cs="Arial"/>
          <w:color w:val="auto"/>
          <w:szCs w:val="24"/>
          <w:u w:val="none"/>
          <w:shd w:val="clear" w:color="auto" w:fill="FFFFFF"/>
        </w:rPr>
        <w:t xml:space="preserve">, R. L. (1968). </w:t>
      </w:r>
      <w:r w:rsidRPr="00D720DA">
        <w:rPr>
          <w:rStyle w:val="Hyperlink"/>
          <w:rFonts w:ascii="Arial" w:hAnsi="Arial" w:cs="Arial"/>
          <w:i/>
          <w:iCs/>
          <w:color w:val="auto"/>
          <w:szCs w:val="24"/>
          <w:u w:val="none"/>
          <w:shd w:val="clear" w:color="auto" w:fill="FFFFFF"/>
        </w:rPr>
        <w:t>A Guide to Tasmanian Government Administration</w:t>
      </w:r>
      <w:r w:rsidRPr="00D720DA">
        <w:rPr>
          <w:rStyle w:val="Hyperlink"/>
          <w:rFonts w:ascii="Arial" w:hAnsi="Arial" w:cs="Arial"/>
          <w:color w:val="auto"/>
          <w:szCs w:val="24"/>
          <w:u w:val="none"/>
          <w:shd w:val="clear" w:color="auto" w:fill="FFFFFF"/>
        </w:rPr>
        <w:t>. Hobart: Platypus Publications.</w:t>
      </w:r>
    </w:p>
    <w:p w14:paraId="76B79E6D" w14:textId="76DD117C" w:rsidR="007B6690" w:rsidRPr="00D720DA" w:rsidRDefault="009927E2" w:rsidP="00694A97">
      <w:pPr>
        <w:ind w:left="720" w:hanging="720"/>
        <w:rPr>
          <w:rStyle w:val="Hyperlink"/>
          <w:rFonts w:ascii="Arial" w:hAnsi="Arial" w:cs="Arial"/>
          <w:color w:val="auto"/>
          <w:szCs w:val="24"/>
          <w:u w:val="none"/>
          <w:shd w:val="clear" w:color="auto" w:fill="FFFFFF"/>
        </w:rPr>
      </w:pPr>
      <w:r w:rsidRPr="00D720DA">
        <w:rPr>
          <w:rStyle w:val="Hyperlink"/>
          <w:rFonts w:ascii="Arial" w:hAnsi="Arial" w:cs="Arial"/>
          <w:color w:val="auto"/>
          <w:szCs w:val="24"/>
          <w:u w:val="none"/>
          <w:shd w:val="clear" w:color="auto" w:fill="FFFFFF"/>
        </w:rPr>
        <w:t xml:space="preserve">Whitson, R. (2017, Nov 22). </w:t>
      </w:r>
      <w:r w:rsidR="007B6690" w:rsidRPr="00D720DA">
        <w:rPr>
          <w:rStyle w:val="Hyperlink"/>
          <w:rFonts w:ascii="Arial" w:hAnsi="Arial" w:cs="Arial"/>
          <w:color w:val="auto"/>
          <w:szCs w:val="24"/>
          <w:u w:val="none"/>
          <w:shd w:val="clear" w:color="auto" w:fill="FFFFFF"/>
        </w:rPr>
        <w:t xml:space="preserve">UTAS governance expert urges cull of public service 'jobs-for-mates' culture. ABC News. Retrieved from </w:t>
      </w:r>
      <w:hyperlink r:id="rId70" w:history="1">
        <w:r w:rsidR="007B6690" w:rsidRPr="00D720DA">
          <w:rPr>
            <w:rStyle w:val="Hyperlink"/>
            <w:rFonts w:ascii="Arial" w:hAnsi="Arial" w:cs="Arial"/>
            <w:szCs w:val="24"/>
          </w:rPr>
          <w:t>https://www.abc.net.au/news/2017-11-22/utas-kate-crowley-urges-cull-of-public-service-nepotism-culture/9177532</w:t>
        </w:r>
      </w:hyperlink>
      <w:r w:rsidR="007B6690" w:rsidRPr="00D720DA">
        <w:rPr>
          <w:rFonts w:ascii="Arial" w:hAnsi="Arial" w:cs="Arial"/>
          <w:szCs w:val="24"/>
        </w:rPr>
        <w:t xml:space="preserve"> on 2 Apr 2020.</w:t>
      </w:r>
    </w:p>
    <w:bookmarkEnd w:id="39"/>
    <w:p w14:paraId="27758B1C" w14:textId="7D45BB46" w:rsidR="00251446" w:rsidRPr="00D720DA" w:rsidRDefault="00251446" w:rsidP="00F53AE4">
      <w:pPr>
        <w:rPr>
          <w:rFonts w:ascii="Arial" w:hAnsi="Arial" w:cs="Arial"/>
        </w:rPr>
      </w:pPr>
    </w:p>
    <w:p w14:paraId="3B932E3A" w14:textId="77777777" w:rsidR="00802450" w:rsidRPr="00D720DA" w:rsidRDefault="00802450" w:rsidP="00F53AE4">
      <w:pPr>
        <w:rPr>
          <w:rFonts w:ascii="Arial" w:hAnsi="Arial" w:cs="Arial"/>
        </w:rPr>
        <w:sectPr w:rsidR="00802450" w:rsidRPr="00D720DA" w:rsidSect="00AD4156">
          <w:headerReference w:type="even" r:id="rId71"/>
          <w:headerReference w:type="default" r:id="rId72"/>
          <w:footerReference w:type="even" r:id="rId73"/>
          <w:footerReference w:type="default" r:id="rId74"/>
          <w:headerReference w:type="first" r:id="rId75"/>
          <w:footerReference w:type="first" r:id="rId76"/>
          <w:pgSz w:w="11906" w:h="16838"/>
          <w:pgMar w:top="1701" w:right="851" w:bottom="851" w:left="851" w:header="709" w:footer="709" w:gutter="0"/>
          <w:pgNumType w:start="0"/>
          <w:cols w:space="708"/>
          <w:titlePg/>
          <w:docGrid w:linePitch="360"/>
        </w:sectPr>
      </w:pPr>
    </w:p>
    <w:p w14:paraId="7CD25834" w14:textId="4E904769" w:rsidR="00802450" w:rsidRPr="00D720DA" w:rsidRDefault="00967775" w:rsidP="005909D5">
      <w:pPr>
        <w:pStyle w:val="Heading1"/>
        <w:spacing w:after="240"/>
        <w:ind w:left="431" w:hanging="431"/>
        <w:rPr>
          <w:rFonts w:ascii="Arial" w:hAnsi="Arial" w:cs="Arial"/>
          <w:bCs/>
          <w:sz w:val="24"/>
          <w:szCs w:val="24"/>
        </w:rPr>
      </w:pPr>
      <w:bookmarkStart w:id="40" w:name="_Toc77356805"/>
      <w:r w:rsidRPr="00D720DA">
        <w:rPr>
          <w:rFonts w:ascii="Arial" w:hAnsi="Arial" w:cs="Arial"/>
        </w:rPr>
        <w:lastRenderedPageBreak/>
        <w:t>Appendix</w:t>
      </w:r>
      <w:r w:rsidRPr="00D720DA">
        <w:rPr>
          <w:rFonts w:ascii="Arial" w:hAnsi="Arial" w:cs="Arial"/>
          <w:u w:val="none"/>
        </w:rPr>
        <w:t xml:space="preserve">– </w:t>
      </w:r>
      <w:r w:rsidRPr="00D720DA">
        <w:rPr>
          <w:rFonts w:ascii="Arial" w:hAnsi="Arial" w:cs="Arial"/>
          <w:bCs/>
          <w:sz w:val="24"/>
          <w:szCs w:val="24"/>
          <w:u w:val="none"/>
        </w:rPr>
        <w:t>Extracts from Annual Reports, State Service Directions and Policies, Legislation</w:t>
      </w:r>
      <w:bookmarkEnd w:id="40"/>
    </w:p>
    <w:tbl>
      <w:tblPr>
        <w:tblStyle w:val="TableGrid"/>
        <w:tblW w:w="4856" w:type="pct"/>
        <w:tblLook w:val="04A0" w:firstRow="1" w:lastRow="0" w:firstColumn="1" w:lastColumn="0" w:noHBand="0" w:noVBand="1"/>
      </w:tblPr>
      <w:tblGrid>
        <w:gridCol w:w="737"/>
        <w:gridCol w:w="3821"/>
        <w:gridCol w:w="3921"/>
        <w:gridCol w:w="6544"/>
      </w:tblGrid>
      <w:tr w:rsidR="0008146B" w:rsidRPr="00D720DA" w14:paraId="39D46C6F" w14:textId="77777777" w:rsidTr="0032127B">
        <w:trPr>
          <w:tblHeader/>
        </w:trPr>
        <w:tc>
          <w:tcPr>
            <w:tcW w:w="241" w:type="pct"/>
            <w:tcBorders>
              <w:bottom w:val="single" w:sz="4" w:space="0" w:color="auto"/>
            </w:tcBorders>
            <w:shd w:val="clear" w:color="auto" w:fill="8DB3E2" w:themeFill="text2" w:themeFillTint="66"/>
          </w:tcPr>
          <w:p w14:paraId="7B104AC6" w14:textId="77777777" w:rsidR="005C7D7D" w:rsidRPr="00D720DA" w:rsidRDefault="005C7D7D" w:rsidP="007B0BBE">
            <w:pPr>
              <w:spacing w:after="200" w:line="276" w:lineRule="auto"/>
              <w:rPr>
                <w:rFonts w:ascii="Arial" w:hAnsi="Arial" w:cs="Arial"/>
                <w:b/>
              </w:rPr>
            </w:pPr>
            <w:r w:rsidRPr="00D720DA">
              <w:rPr>
                <w:rFonts w:ascii="Arial" w:hAnsi="Arial" w:cs="Arial"/>
                <w:b/>
              </w:rPr>
              <w:t>Year</w:t>
            </w:r>
          </w:p>
        </w:tc>
        <w:tc>
          <w:tcPr>
            <w:tcW w:w="1800" w:type="pct"/>
            <w:tcBorders>
              <w:bottom w:val="single" w:sz="4" w:space="0" w:color="auto"/>
            </w:tcBorders>
            <w:shd w:val="clear" w:color="auto" w:fill="8DB3E2" w:themeFill="text2" w:themeFillTint="66"/>
          </w:tcPr>
          <w:p w14:paraId="3B118A76" w14:textId="7B627517" w:rsidR="005C7D7D" w:rsidRPr="00D720DA" w:rsidRDefault="005B179E" w:rsidP="007B0BBE">
            <w:pPr>
              <w:spacing w:after="200" w:line="276" w:lineRule="auto"/>
              <w:rPr>
                <w:rFonts w:ascii="Arial" w:hAnsi="Arial" w:cs="Arial"/>
                <w:b/>
              </w:rPr>
            </w:pPr>
            <w:r w:rsidRPr="00D720DA">
              <w:rPr>
                <w:rFonts w:ascii="Arial" w:hAnsi="Arial" w:cs="Arial"/>
                <w:b/>
              </w:rPr>
              <w:t xml:space="preserve">State Service </w:t>
            </w:r>
            <w:r w:rsidR="00051426" w:rsidRPr="00D720DA">
              <w:rPr>
                <w:rFonts w:ascii="Arial" w:hAnsi="Arial" w:cs="Arial"/>
                <w:b/>
              </w:rPr>
              <w:t>Annual reports</w:t>
            </w:r>
          </w:p>
        </w:tc>
        <w:tc>
          <w:tcPr>
            <w:tcW w:w="1833" w:type="pct"/>
            <w:tcBorders>
              <w:bottom w:val="single" w:sz="4" w:space="0" w:color="auto"/>
            </w:tcBorders>
            <w:shd w:val="clear" w:color="auto" w:fill="8DB3E2" w:themeFill="text2" w:themeFillTint="66"/>
          </w:tcPr>
          <w:p w14:paraId="582B358F" w14:textId="48629752" w:rsidR="005C7D7D" w:rsidRPr="00D720DA" w:rsidRDefault="00251446" w:rsidP="007B0BBE">
            <w:pPr>
              <w:spacing w:after="200" w:line="276" w:lineRule="auto"/>
              <w:rPr>
                <w:rFonts w:ascii="Arial" w:hAnsi="Arial" w:cs="Arial"/>
                <w:b/>
              </w:rPr>
            </w:pPr>
            <w:r w:rsidRPr="00D720DA">
              <w:rPr>
                <w:rFonts w:ascii="Arial" w:hAnsi="Arial" w:cs="Arial"/>
                <w:b/>
              </w:rPr>
              <w:t>Directions, policy</w:t>
            </w:r>
          </w:p>
        </w:tc>
        <w:tc>
          <w:tcPr>
            <w:tcW w:w="1127" w:type="pct"/>
            <w:tcBorders>
              <w:bottom w:val="single" w:sz="4" w:space="0" w:color="auto"/>
            </w:tcBorders>
            <w:shd w:val="clear" w:color="auto" w:fill="8DB3E2" w:themeFill="text2" w:themeFillTint="66"/>
          </w:tcPr>
          <w:p w14:paraId="0CB29395" w14:textId="2BDC0AF9" w:rsidR="005C7D7D" w:rsidRPr="00D720DA" w:rsidRDefault="00251446" w:rsidP="007B0BBE">
            <w:pPr>
              <w:spacing w:after="200" w:line="276" w:lineRule="auto"/>
              <w:rPr>
                <w:rFonts w:ascii="Arial" w:hAnsi="Arial" w:cs="Arial"/>
                <w:b/>
              </w:rPr>
            </w:pPr>
            <w:r w:rsidRPr="00D720DA">
              <w:rPr>
                <w:rFonts w:ascii="Arial" w:hAnsi="Arial" w:cs="Arial"/>
                <w:b/>
              </w:rPr>
              <w:t>Legislation, regulations etc</w:t>
            </w:r>
          </w:p>
        </w:tc>
      </w:tr>
      <w:tr w:rsidR="00251446" w:rsidRPr="00D720DA" w14:paraId="2A18DA7C" w14:textId="77777777" w:rsidTr="0032127B">
        <w:tc>
          <w:tcPr>
            <w:tcW w:w="241" w:type="pct"/>
          </w:tcPr>
          <w:p w14:paraId="67815693" w14:textId="26AE6158" w:rsidR="00251446" w:rsidRPr="00D720DA" w:rsidRDefault="00251446" w:rsidP="007B0BBE">
            <w:pPr>
              <w:rPr>
                <w:rFonts w:ascii="Arial" w:hAnsi="Arial" w:cs="Arial"/>
                <w:b/>
                <w:sz w:val="22"/>
              </w:rPr>
            </w:pPr>
            <w:r w:rsidRPr="00D720DA">
              <w:rPr>
                <w:rFonts w:ascii="Arial" w:hAnsi="Arial" w:cs="Arial"/>
                <w:b/>
                <w:sz w:val="22"/>
              </w:rPr>
              <w:t>2020</w:t>
            </w:r>
          </w:p>
        </w:tc>
        <w:tc>
          <w:tcPr>
            <w:tcW w:w="1800" w:type="pct"/>
          </w:tcPr>
          <w:p w14:paraId="67E32C0D" w14:textId="77777777" w:rsidR="00251446" w:rsidRPr="00D720DA" w:rsidRDefault="00251446" w:rsidP="007B0BBE">
            <w:pPr>
              <w:rPr>
                <w:rFonts w:ascii="Arial" w:hAnsi="Arial" w:cs="Arial"/>
              </w:rPr>
            </w:pPr>
          </w:p>
        </w:tc>
        <w:tc>
          <w:tcPr>
            <w:tcW w:w="1833" w:type="pct"/>
          </w:tcPr>
          <w:p w14:paraId="111DE915" w14:textId="3BDF57EC" w:rsidR="00E54C6F" w:rsidRPr="00D720DA" w:rsidRDefault="00754FB3" w:rsidP="007B0BBE">
            <w:pPr>
              <w:rPr>
                <w:rFonts w:ascii="Arial" w:hAnsi="Arial" w:cs="Arial"/>
                <w:sz w:val="20"/>
                <w:szCs w:val="20"/>
              </w:rPr>
            </w:pPr>
            <w:r w:rsidRPr="00D720DA">
              <w:rPr>
                <w:rFonts w:ascii="Arial" w:hAnsi="Arial" w:cs="Arial"/>
                <w:sz w:val="20"/>
                <w:szCs w:val="20"/>
              </w:rPr>
              <w:t xml:space="preserve">Interim Report of the </w:t>
            </w:r>
            <w:r w:rsidR="00251446" w:rsidRPr="00D720DA">
              <w:rPr>
                <w:rFonts w:ascii="Arial" w:hAnsi="Arial" w:cs="Arial"/>
                <w:sz w:val="20"/>
                <w:szCs w:val="20"/>
              </w:rPr>
              <w:t>Review of the State Service by Dr Ian Watt</w:t>
            </w:r>
            <w:r w:rsidRPr="00D720DA">
              <w:rPr>
                <w:rFonts w:ascii="Arial" w:hAnsi="Arial" w:cs="Arial"/>
                <w:sz w:val="20"/>
                <w:szCs w:val="20"/>
              </w:rPr>
              <w:t xml:space="preserve"> delivered to government in November</w:t>
            </w:r>
            <w:r w:rsidR="002A23EC" w:rsidRPr="00D720DA">
              <w:rPr>
                <w:rFonts w:ascii="Arial" w:hAnsi="Arial" w:cs="Arial"/>
                <w:sz w:val="20"/>
                <w:szCs w:val="20"/>
              </w:rPr>
              <w:t>.</w:t>
            </w:r>
            <w:r w:rsidRPr="00D720DA">
              <w:rPr>
                <w:rFonts w:ascii="Arial" w:hAnsi="Arial" w:cs="Arial"/>
                <w:sz w:val="20"/>
                <w:szCs w:val="20"/>
              </w:rPr>
              <w:t xml:space="preserve"> Employment Direction ED17: </w:t>
            </w:r>
            <w:r w:rsidRPr="00D720DA">
              <w:rPr>
                <w:rFonts w:ascii="Arial" w:hAnsi="Arial" w:cs="Arial"/>
                <w:i/>
                <w:iCs/>
                <w:color w:val="000000"/>
                <w:sz w:val="20"/>
                <w:szCs w:val="20"/>
              </w:rPr>
              <w:t xml:space="preserve">Senior Executive Service and Equivalent Specialist Officers Administrative Arrangements and Conditions of Service </w:t>
            </w:r>
            <w:r w:rsidRPr="00D720DA">
              <w:rPr>
                <w:rFonts w:ascii="Arial" w:hAnsi="Arial" w:cs="Arial"/>
                <w:color w:val="000000"/>
                <w:sz w:val="20"/>
                <w:szCs w:val="20"/>
              </w:rPr>
              <w:t>permits Heads of Agencies to</w:t>
            </w:r>
            <w:r w:rsidR="005B1408" w:rsidRPr="00D720DA">
              <w:rPr>
                <w:rFonts w:ascii="Arial" w:hAnsi="Arial" w:cs="Arial"/>
                <w:color w:val="000000"/>
                <w:sz w:val="20"/>
                <w:szCs w:val="20"/>
              </w:rPr>
              <w:t>: extend fixed-terms contracts or</w:t>
            </w:r>
            <w:r w:rsidRPr="00D720DA">
              <w:rPr>
                <w:rFonts w:ascii="Arial" w:hAnsi="Arial" w:cs="Arial"/>
                <w:color w:val="000000"/>
                <w:sz w:val="20"/>
                <w:szCs w:val="20"/>
              </w:rPr>
              <w:t xml:space="preserve"> transfer officers to another agency for up to six months </w:t>
            </w:r>
            <w:r w:rsidR="005B1408" w:rsidRPr="00D720DA">
              <w:rPr>
                <w:rFonts w:ascii="Arial" w:hAnsi="Arial" w:cs="Arial"/>
                <w:color w:val="000000"/>
                <w:sz w:val="20"/>
                <w:szCs w:val="20"/>
              </w:rPr>
              <w:t>(</w:t>
            </w:r>
            <w:r w:rsidRPr="00D720DA">
              <w:rPr>
                <w:rFonts w:ascii="Arial" w:hAnsi="Arial" w:cs="Arial"/>
                <w:color w:val="000000"/>
                <w:sz w:val="20"/>
                <w:szCs w:val="20"/>
              </w:rPr>
              <w:t xml:space="preserve">with the agreement of the </w:t>
            </w:r>
            <w:r w:rsidR="005B1408" w:rsidRPr="00D720DA">
              <w:rPr>
                <w:rFonts w:ascii="Arial" w:hAnsi="Arial" w:cs="Arial"/>
                <w:color w:val="000000"/>
                <w:sz w:val="20"/>
                <w:szCs w:val="20"/>
              </w:rPr>
              <w:t>receiving</w:t>
            </w:r>
            <w:r w:rsidRPr="00D720DA">
              <w:rPr>
                <w:rFonts w:ascii="Arial" w:hAnsi="Arial" w:cs="Arial"/>
                <w:color w:val="000000"/>
                <w:sz w:val="20"/>
                <w:szCs w:val="20"/>
              </w:rPr>
              <w:t xml:space="preserve"> Head of Agency</w:t>
            </w:r>
            <w:r w:rsidR="005B1408" w:rsidRPr="00D720DA">
              <w:rPr>
                <w:rFonts w:ascii="Arial" w:hAnsi="Arial" w:cs="Arial"/>
                <w:color w:val="000000"/>
                <w:sz w:val="20"/>
                <w:szCs w:val="20"/>
              </w:rPr>
              <w:t>)</w:t>
            </w:r>
            <w:r w:rsidRPr="00D720DA">
              <w:rPr>
                <w:rFonts w:ascii="Arial" w:hAnsi="Arial" w:cs="Arial"/>
                <w:color w:val="000000"/>
                <w:sz w:val="20"/>
                <w:szCs w:val="20"/>
              </w:rPr>
              <w:t xml:space="preserve"> without the </w:t>
            </w:r>
            <w:r w:rsidR="005B1408" w:rsidRPr="00D720DA">
              <w:rPr>
                <w:rFonts w:ascii="Arial" w:hAnsi="Arial" w:cs="Arial"/>
                <w:color w:val="000000"/>
                <w:sz w:val="20"/>
                <w:szCs w:val="20"/>
              </w:rPr>
              <w:t>involvement of the Head of the State Service.</w:t>
            </w:r>
          </w:p>
        </w:tc>
        <w:tc>
          <w:tcPr>
            <w:tcW w:w="1127" w:type="pct"/>
          </w:tcPr>
          <w:p w14:paraId="438395DB" w14:textId="77777777" w:rsidR="00251446" w:rsidRPr="00D720DA" w:rsidRDefault="00251446" w:rsidP="007B0BBE">
            <w:pPr>
              <w:rPr>
                <w:rFonts w:ascii="Arial" w:hAnsi="Arial" w:cs="Arial"/>
              </w:rPr>
            </w:pPr>
          </w:p>
        </w:tc>
      </w:tr>
      <w:tr w:rsidR="00251446" w:rsidRPr="00D720DA" w14:paraId="03166B73" w14:textId="77777777" w:rsidTr="0032127B">
        <w:tc>
          <w:tcPr>
            <w:tcW w:w="241" w:type="pct"/>
          </w:tcPr>
          <w:p w14:paraId="08860D6A" w14:textId="79B408A5" w:rsidR="00251446" w:rsidRPr="00D720DA" w:rsidRDefault="00CD7FCA" w:rsidP="007B0BBE">
            <w:pPr>
              <w:rPr>
                <w:rFonts w:ascii="Arial" w:hAnsi="Arial" w:cs="Arial"/>
                <w:b/>
                <w:sz w:val="22"/>
              </w:rPr>
            </w:pPr>
            <w:r w:rsidRPr="00D720DA">
              <w:rPr>
                <w:rFonts w:ascii="Arial" w:hAnsi="Arial" w:cs="Arial"/>
                <w:b/>
                <w:sz w:val="22"/>
              </w:rPr>
              <w:t>2019</w:t>
            </w:r>
          </w:p>
        </w:tc>
        <w:tc>
          <w:tcPr>
            <w:tcW w:w="1800" w:type="pct"/>
          </w:tcPr>
          <w:p w14:paraId="409269C8" w14:textId="77777777" w:rsidR="009A44E2" w:rsidRPr="00D720DA" w:rsidRDefault="00CD7FCA" w:rsidP="00581C78">
            <w:pPr>
              <w:rPr>
                <w:rFonts w:ascii="Arial" w:hAnsi="Arial" w:cs="Arial"/>
                <w:i/>
                <w:iCs/>
                <w:sz w:val="20"/>
                <w:szCs w:val="20"/>
              </w:rPr>
            </w:pPr>
            <w:r w:rsidRPr="00D720DA">
              <w:rPr>
                <w:rFonts w:ascii="Arial" w:hAnsi="Arial" w:cs="Arial"/>
                <w:i/>
                <w:iCs/>
                <w:sz w:val="20"/>
                <w:szCs w:val="20"/>
              </w:rPr>
              <w:t>TSS Annual Report 2018-19</w:t>
            </w:r>
            <w:r w:rsidR="009A44E2" w:rsidRPr="00D720DA">
              <w:rPr>
                <w:rFonts w:ascii="Arial" w:hAnsi="Arial" w:cs="Arial"/>
                <w:i/>
                <w:iCs/>
                <w:sz w:val="20"/>
                <w:szCs w:val="20"/>
              </w:rPr>
              <w:t xml:space="preserve"> </w:t>
            </w:r>
          </w:p>
          <w:p w14:paraId="74766A46" w14:textId="77777777" w:rsidR="009A44E2" w:rsidRPr="00D720DA" w:rsidRDefault="009A44E2" w:rsidP="00581C78">
            <w:pPr>
              <w:rPr>
                <w:rFonts w:ascii="Arial" w:hAnsi="Arial" w:cs="Arial"/>
                <w:sz w:val="20"/>
                <w:szCs w:val="20"/>
              </w:rPr>
            </w:pPr>
          </w:p>
          <w:p w14:paraId="19BD628B" w14:textId="4BF0EB0F" w:rsidR="00251446" w:rsidRPr="00D720DA" w:rsidRDefault="009A44E2" w:rsidP="00581C78">
            <w:pPr>
              <w:rPr>
                <w:rFonts w:ascii="Arial" w:hAnsi="Arial" w:cs="Arial"/>
                <w:color w:val="FF0000"/>
                <w:sz w:val="20"/>
                <w:szCs w:val="20"/>
              </w:rPr>
            </w:pPr>
            <w:r w:rsidRPr="00D720DA">
              <w:rPr>
                <w:rFonts w:ascii="Arial" w:hAnsi="Arial" w:cs="Arial"/>
                <w:sz w:val="20"/>
                <w:szCs w:val="20"/>
              </w:rPr>
              <w:t>In early 2019, SSMO completed a review and validation of employment type coding within agency payroll systems. This process resulted in amendments to the coding of some employees and officers to correctly reflect their appointment type.</w:t>
            </w:r>
          </w:p>
        </w:tc>
        <w:tc>
          <w:tcPr>
            <w:tcW w:w="1833" w:type="pct"/>
          </w:tcPr>
          <w:p w14:paraId="117A2978" w14:textId="463D7388" w:rsidR="00251446" w:rsidRPr="00D720DA" w:rsidRDefault="00251446" w:rsidP="007B0BBE">
            <w:pPr>
              <w:rPr>
                <w:rFonts w:ascii="Arial" w:hAnsi="Arial" w:cs="Arial"/>
              </w:rPr>
            </w:pPr>
          </w:p>
        </w:tc>
        <w:tc>
          <w:tcPr>
            <w:tcW w:w="1127" w:type="pct"/>
          </w:tcPr>
          <w:p w14:paraId="16959233" w14:textId="77777777" w:rsidR="00251446" w:rsidRPr="00D720DA" w:rsidRDefault="00251446" w:rsidP="007B0BBE">
            <w:pPr>
              <w:rPr>
                <w:rFonts w:ascii="Arial" w:hAnsi="Arial" w:cs="Arial"/>
              </w:rPr>
            </w:pPr>
          </w:p>
        </w:tc>
      </w:tr>
      <w:tr w:rsidR="0008146B" w:rsidRPr="00D720DA" w14:paraId="44BA6C57" w14:textId="77777777" w:rsidTr="0032127B">
        <w:tc>
          <w:tcPr>
            <w:tcW w:w="241" w:type="pct"/>
          </w:tcPr>
          <w:p w14:paraId="21F2D4BF" w14:textId="77777777" w:rsidR="005C7D7D" w:rsidRPr="00D720DA" w:rsidRDefault="005C7D7D" w:rsidP="007B0BBE">
            <w:pPr>
              <w:spacing w:after="200" w:line="276" w:lineRule="auto"/>
              <w:rPr>
                <w:rFonts w:ascii="Arial" w:hAnsi="Arial" w:cs="Arial"/>
                <w:b/>
                <w:sz w:val="22"/>
              </w:rPr>
            </w:pPr>
            <w:r w:rsidRPr="00D720DA">
              <w:rPr>
                <w:rFonts w:ascii="Arial" w:hAnsi="Arial" w:cs="Arial"/>
                <w:b/>
                <w:sz w:val="22"/>
              </w:rPr>
              <w:t>2018</w:t>
            </w:r>
          </w:p>
        </w:tc>
        <w:tc>
          <w:tcPr>
            <w:tcW w:w="1800" w:type="pct"/>
          </w:tcPr>
          <w:p w14:paraId="132A8986" w14:textId="77777777" w:rsidR="005C7D7D" w:rsidRPr="00D720DA" w:rsidRDefault="005C7D7D" w:rsidP="00581C78">
            <w:pPr>
              <w:spacing w:after="200"/>
              <w:rPr>
                <w:rFonts w:ascii="Arial" w:hAnsi="Arial" w:cs="Arial"/>
                <w:i/>
                <w:iCs/>
                <w:sz w:val="20"/>
                <w:szCs w:val="20"/>
              </w:rPr>
            </w:pPr>
            <w:r w:rsidRPr="00D720DA">
              <w:rPr>
                <w:rFonts w:ascii="Arial" w:hAnsi="Arial" w:cs="Arial"/>
                <w:i/>
                <w:iCs/>
                <w:sz w:val="20"/>
                <w:szCs w:val="20"/>
              </w:rPr>
              <w:t>TSS Annual Report 2017-18</w:t>
            </w:r>
          </w:p>
          <w:p w14:paraId="61EA9459" w14:textId="4A46F48C" w:rsidR="0008146B" w:rsidRPr="00D720DA" w:rsidRDefault="0008146B" w:rsidP="00581C78">
            <w:pPr>
              <w:spacing w:after="200"/>
              <w:rPr>
                <w:rFonts w:ascii="Arial" w:hAnsi="Arial" w:cs="Arial"/>
                <w:sz w:val="20"/>
                <w:szCs w:val="20"/>
              </w:rPr>
            </w:pPr>
            <w:r w:rsidRPr="00D720DA">
              <w:rPr>
                <w:rFonts w:ascii="Arial" w:hAnsi="Arial" w:cs="Arial"/>
                <w:sz w:val="20"/>
                <w:szCs w:val="20"/>
              </w:rPr>
              <w:t xml:space="preserve">SSMO developed and released Guidelines for Senior Executive Recruitment, aimed to “ensure transparent, effective and merit-based SES recruitment approach that is </w:t>
            </w:r>
            <w:r w:rsidRPr="00D720DA">
              <w:rPr>
                <w:rFonts w:ascii="Arial" w:hAnsi="Arial" w:cs="Arial"/>
                <w:sz w:val="20"/>
                <w:szCs w:val="20"/>
              </w:rPr>
              <w:lastRenderedPageBreak/>
              <w:t xml:space="preserve">compliant with </w:t>
            </w:r>
            <w:r w:rsidRPr="00D720DA">
              <w:rPr>
                <w:rFonts w:ascii="Arial" w:hAnsi="Arial" w:cs="Arial"/>
                <w:i/>
                <w:sz w:val="20"/>
                <w:szCs w:val="20"/>
              </w:rPr>
              <w:t>Employment Direction No. 17</w:t>
            </w:r>
            <w:r w:rsidRPr="00D720DA">
              <w:rPr>
                <w:rFonts w:ascii="Arial" w:hAnsi="Arial" w:cs="Arial"/>
                <w:sz w:val="20"/>
                <w:szCs w:val="20"/>
              </w:rPr>
              <w:t>”. (p</w:t>
            </w:r>
            <w:r w:rsidR="00FA4BB8" w:rsidRPr="00D720DA">
              <w:rPr>
                <w:rFonts w:ascii="Arial" w:hAnsi="Arial" w:cs="Arial"/>
                <w:sz w:val="20"/>
                <w:szCs w:val="20"/>
              </w:rPr>
              <w:t xml:space="preserve">. </w:t>
            </w:r>
            <w:r w:rsidRPr="00D720DA">
              <w:rPr>
                <w:rFonts w:ascii="Arial" w:hAnsi="Arial" w:cs="Arial"/>
                <w:sz w:val="20"/>
                <w:szCs w:val="20"/>
              </w:rPr>
              <w:t>11)</w:t>
            </w:r>
          </w:p>
          <w:p w14:paraId="7F49FCC9" w14:textId="3D72694D" w:rsidR="0008146B" w:rsidRPr="00D720DA" w:rsidRDefault="0008146B" w:rsidP="00581C78">
            <w:pPr>
              <w:spacing w:after="200"/>
              <w:rPr>
                <w:rFonts w:ascii="Arial" w:hAnsi="Arial" w:cs="Arial"/>
                <w:sz w:val="20"/>
                <w:szCs w:val="20"/>
              </w:rPr>
            </w:pPr>
            <w:r w:rsidRPr="00D720DA">
              <w:rPr>
                <w:rFonts w:ascii="Arial" w:hAnsi="Arial" w:cs="Arial"/>
                <w:sz w:val="20"/>
                <w:szCs w:val="20"/>
              </w:rPr>
              <w:t xml:space="preserve">SSMO </w:t>
            </w:r>
            <w:r w:rsidR="0053152A" w:rsidRPr="00D720DA">
              <w:rPr>
                <w:rFonts w:ascii="Arial" w:hAnsi="Arial" w:cs="Arial"/>
                <w:sz w:val="20"/>
                <w:szCs w:val="20"/>
              </w:rPr>
              <w:t xml:space="preserve">provided advice and guidelines on the application of the findings of the </w:t>
            </w:r>
            <w:r w:rsidRPr="00D720DA">
              <w:rPr>
                <w:rFonts w:ascii="Arial" w:hAnsi="Arial" w:cs="Arial"/>
                <w:sz w:val="20"/>
                <w:szCs w:val="20"/>
              </w:rPr>
              <w:t xml:space="preserve">Auditor-General’s </w:t>
            </w:r>
            <w:r w:rsidR="0053152A" w:rsidRPr="00D720DA">
              <w:rPr>
                <w:rFonts w:ascii="Arial" w:hAnsi="Arial" w:cs="Arial"/>
                <w:sz w:val="20"/>
                <w:szCs w:val="20"/>
              </w:rPr>
              <w:t xml:space="preserve">report on </w:t>
            </w:r>
            <w:r w:rsidRPr="00D720DA">
              <w:rPr>
                <w:rFonts w:ascii="Arial" w:hAnsi="Arial" w:cs="Arial"/>
                <w:sz w:val="20"/>
                <w:szCs w:val="20"/>
              </w:rPr>
              <w:t>‘Appointment of Tasmanian State Service Senior Executive Service Officers’ (p</w:t>
            </w:r>
            <w:r w:rsidR="00FA4BB8" w:rsidRPr="00D720DA">
              <w:rPr>
                <w:rFonts w:ascii="Arial" w:hAnsi="Arial" w:cs="Arial"/>
                <w:sz w:val="20"/>
                <w:szCs w:val="20"/>
              </w:rPr>
              <w:t xml:space="preserve">. </w:t>
            </w:r>
            <w:r w:rsidRPr="00D720DA">
              <w:rPr>
                <w:rFonts w:ascii="Arial" w:hAnsi="Arial" w:cs="Arial"/>
                <w:sz w:val="20"/>
                <w:szCs w:val="20"/>
              </w:rPr>
              <w:t>12)</w:t>
            </w:r>
          </w:p>
          <w:p w14:paraId="7BD866BE" w14:textId="693E8404" w:rsidR="0008146B" w:rsidRPr="00D720DA" w:rsidRDefault="0008146B" w:rsidP="00581C78">
            <w:pPr>
              <w:spacing w:after="200"/>
              <w:rPr>
                <w:rFonts w:ascii="Arial" w:hAnsi="Arial" w:cs="Arial"/>
                <w:sz w:val="20"/>
                <w:szCs w:val="20"/>
              </w:rPr>
            </w:pPr>
            <w:r w:rsidRPr="00D720DA">
              <w:rPr>
                <w:rFonts w:ascii="Arial" w:hAnsi="Arial" w:cs="Arial"/>
                <w:sz w:val="20"/>
                <w:szCs w:val="20"/>
              </w:rPr>
              <w:t xml:space="preserve">SSMO ran inaugural Senior Executive Leadership Development Program 2017 in conjunction with ANZSOG, building ‘new SES </w:t>
            </w:r>
            <w:proofErr w:type="gramStart"/>
            <w:r w:rsidRPr="00D720DA">
              <w:rPr>
                <w:rFonts w:ascii="Arial" w:hAnsi="Arial" w:cs="Arial"/>
                <w:sz w:val="20"/>
                <w:szCs w:val="20"/>
              </w:rPr>
              <w:t>capabilities’</w:t>
            </w:r>
            <w:proofErr w:type="gramEnd"/>
            <w:r w:rsidRPr="00D720DA">
              <w:rPr>
                <w:rFonts w:ascii="Arial" w:hAnsi="Arial" w:cs="Arial"/>
                <w:sz w:val="20"/>
                <w:szCs w:val="20"/>
              </w:rPr>
              <w:t>. (p</w:t>
            </w:r>
            <w:r w:rsidR="00FA4BB8" w:rsidRPr="00D720DA">
              <w:rPr>
                <w:rFonts w:ascii="Arial" w:hAnsi="Arial" w:cs="Arial"/>
                <w:sz w:val="20"/>
                <w:szCs w:val="20"/>
              </w:rPr>
              <w:t>.</w:t>
            </w:r>
            <w:r w:rsidRPr="00D720DA">
              <w:rPr>
                <w:rFonts w:ascii="Arial" w:hAnsi="Arial" w:cs="Arial"/>
                <w:sz w:val="20"/>
                <w:szCs w:val="20"/>
              </w:rPr>
              <w:t>17)</w:t>
            </w:r>
          </w:p>
        </w:tc>
        <w:tc>
          <w:tcPr>
            <w:tcW w:w="1833" w:type="pct"/>
          </w:tcPr>
          <w:p w14:paraId="00B0765D" w14:textId="17EA38EB" w:rsidR="005C7D7D" w:rsidRPr="00D720DA" w:rsidRDefault="005C7D7D" w:rsidP="007B0BBE">
            <w:pPr>
              <w:spacing w:after="200" w:line="276" w:lineRule="auto"/>
              <w:rPr>
                <w:rFonts w:ascii="Arial" w:hAnsi="Arial" w:cs="Arial"/>
              </w:rPr>
            </w:pPr>
          </w:p>
        </w:tc>
        <w:tc>
          <w:tcPr>
            <w:tcW w:w="1127" w:type="pct"/>
          </w:tcPr>
          <w:p w14:paraId="0CB9889B" w14:textId="15A7AB97" w:rsidR="005C7D7D" w:rsidRPr="00D720DA" w:rsidRDefault="00E00C0A" w:rsidP="00A32635">
            <w:pPr>
              <w:rPr>
                <w:rFonts w:ascii="Arial" w:hAnsi="Arial" w:cs="Arial"/>
              </w:rPr>
            </w:pPr>
            <w:hyperlink r:id="rId77" w:history="1">
              <w:r w:rsidR="00424A13" w:rsidRPr="00D720DA">
                <w:rPr>
                  <w:rFonts w:ascii="Arial" w:hAnsi="Arial" w:cs="Arial"/>
                  <w:i/>
                  <w:iCs/>
                  <w:sz w:val="20"/>
                  <w:szCs w:val="20"/>
                </w:rPr>
                <w:t>State Service (Agencies and Heads of Agencies) Order 2018</w:t>
              </w:r>
            </w:hyperlink>
          </w:p>
        </w:tc>
      </w:tr>
      <w:tr w:rsidR="0008146B" w:rsidRPr="00D720DA" w14:paraId="131F222B" w14:textId="77777777" w:rsidTr="0032127B">
        <w:tc>
          <w:tcPr>
            <w:tcW w:w="241" w:type="pct"/>
          </w:tcPr>
          <w:p w14:paraId="75F209F6" w14:textId="77777777" w:rsidR="005C7D7D" w:rsidRPr="00D720DA" w:rsidRDefault="005C7D7D" w:rsidP="007B0BBE">
            <w:pPr>
              <w:spacing w:after="200" w:line="276" w:lineRule="auto"/>
              <w:rPr>
                <w:rFonts w:ascii="Arial" w:hAnsi="Arial" w:cs="Arial"/>
                <w:b/>
                <w:sz w:val="22"/>
              </w:rPr>
            </w:pPr>
            <w:r w:rsidRPr="00D720DA">
              <w:rPr>
                <w:rFonts w:ascii="Arial" w:hAnsi="Arial" w:cs="Arial"/>
                <w:b/>
                <w:sz w:val="22"/>
              </w:rPr>
              <w:t>2017</w:t>
            </w:r>
          </w:p>
        </w:tc>
        <w:tc>
          <w:tcPr>
            <w:tcW w:w="1800" w:type="pct"/>
          </w:tcPr>
          <w:p w14:paraId="6ED2B3B2" w14:textId="77777777" w:rsidR="005C7D7D" w:rsidRPr="00D720DA" w:rsidRDefault="005C7D7D" w:rsidP="00581C78">
            <w:pPr>
              <w:spacing w:after="200"/>
              <w:rPr>
                <w:rFonts w:ascii="Arial" w:hAnsi="Arial" w:cs="Arial"/>
                <w:i/>
                <w:iCs/>
                <w:sz w:val="20"/>
                <w:szCs w:val="20"/>
              </w:rPr>
            </w:pPr>
            <w:r w:rsidRPr="00D720DA">
              <w:rPr>
                <w:rFonts w:ascii="Arial" w:hAnsi="Arial" w:cs="Arial"/>
                <w:i/>
                <w:iCs/>
                <w:sz w:val="20"/>
                <w:szCs w:val="20"/>
              </w:rPr>
              <w:t>TSS Annual Report 2016-17</w:t>
            </w:r>
          </w:p>
          <w:p w14:paraId="2444AD0D" w14:textId="6C88A3A1" w:rsidR="0008146B" w:rsidRPr="00D720DA" w:rsidRDefault="0008146B" w:rsidP="00581C78">
            <w:pPr>
              <w:spacing w:after="200"/>
              <w:rPr>
                <w:rFonts w:ascii="Arial" w:hAnsi="Arial" w:cs="Arial"/>
                <w:sz w:val="20"/>
                <w:szCs w:val="20"/>
              </w:rPr>
            </w:pPr>
            <w:r w:rsidRPr="00D720DA">
              <w:rPr>
                <w:rFonts w:ascii="Arial" w:hAnsi="Arial" w:cs="Arial"/>
                <w:sz w:val="20"/>
                <w:szCs w:val="20"/>
              </w:rPr>
              <w:t>SSMO, in response to the SES Workforce Skills Audit, created a Senior Executive Leadership Development Program for delivery by ANZSOG, aimed to “increase SES capabilities in shaping strategic thinking and delivering results”. (p</w:t>
            </w:r>
            <w:r w:rsidR="00FA4BB8" w:rsidRPr="00D720DA">
              <w:rPr>
                <w:rFonts w:ascii="Arial" w:hAnsi="Arial" w:cs="Arial"/>
                <w:sz w:val="20"/>
                <w:szCs w:val="20"/>
              </w:rPr>
              <w:t xml:space="preserve">. </w:t>
            </w:r>
            <w:r w:rsidRPr="00D720DA">
              <w:rPr>
                <w:rFonts w:ascii="Arial" w:hAnsi="Arial" w:cs="Arial"/>
                <w:sz w:val="20"/>
                <w:szCs w:val="20"/>
              </w:rPr>
              <w:t>15)</w:t>
            </w:r>
          </w:p>
          <w:p w14:paraId="61752BB6" w14:textId="1E5B6D83" w:rsidR="0008146B" w:rsidRPr="00D720DA" w:rsidRDefault="0008146B" w:rsidP="00581C78">
            <w:pPr>
              <w:spacing w:after="200"/>
              <w:rPr>
                <w:rFonts w:ascii="Arial" w:hAnsi="Arial" w:cs="Arial"/>
                <w:sz w:val="20"/>
                <w:szCs w:val="20"/>
              </w:rPr>
            </w:pPr>
            <w:r w:rsidRPr="00D720DA">
              <w:rPr>
                <w:rFonts w:ascii="Arial" w:hAnsi="Arial" w:cs="Arial"/>
                <w:sz w:val="20"/>
                <w:szCs w:val="20"/>
              </w:rPr>
              <w:t>Outlined leadership development initiatives relating to SES officers, including participation in ANZSOG training programs and further development of the Senior Executive Leadership Capability Framework. TSS Senior Executive Forums were also held to investigate development of ‘leadership and management capability’ in SES officers. (pp</w:t>
            </w:r>
            <w:r w:rsidR="00FA4BB8" w:rsidRPr="00D720DA">
              <w:rPr>
                <w:rFonts w:ascii="Arial" w:hAnsi="Arial" w:cs="Arial"/>
                <w:sz w:val="20"/>
                <w:szCs w:val="20"/>
              </w:rPr>
              <w:t xml:space="preserve"> </w:t>
            </w:r>
            <w:r w:rsidRPr="00D720DA">
              <w:rPr>
                <w:rFonts w:ascii="Arial" w:hAnsi="Arial" w:cs="Arial"/>
                <w:sz w:val="20"/>
                <w:szCs w:val="20"/>
              </w:rPr>
              <w:t>16-17)</w:t>
            </w:r>
          </w:p>
        </w:tc>
        <w:tc>
          <w:tcPr>
            <w:tcW w:w="1833" w:type="pct"/>
          </w:tcPr>
          <w:p w14:paraId="1CF71364" w14:textId="7183D684" w:rsidR="005C7D7D" w:rsidRPr="00D720DA" w:rsidRDefault="009F0D24" w:rsidP="009F0D24">
            <w:pPr>
              <w:spacing w:after="200"/>
              <w:rPr>
                <w:rFonts w:ascii="Arial" w:hAnsi="Arial" w:cs="Arial"/>
                <w:i/>
                <w:iCs/>
                <w:sz w:val="20"/>
                <w:szCs w:val="20"/>
              </w:rPr>
            </w:pPr>
            <w:r w:rsidRPr="00D720DA">
              <w:rPr>
                <w:rFonts w:ascii="Arial" w:hAnsi="Arial" w:cs="Arial"/>
                <w:sz w:val="20"/>
                <w:szCs w:val="20"/>
              </w:rPr>
              <w:t>Auditor-General’s Report</w:t>
            </w:r>
            <w:r w:rsidR="00581C78" w:rsidRPr="00D720DA">
              <w:rPr>
                <w:rFonts w:ascii="Arial" w:hAnsi="Arial" w:cs="Arial"/>
                <w:sz w:val="20"/>
                <w:szCs w:val="20"/>
              </w:rPr>
              <w:t xml:space="preserve"> – </w:t>
            </w:r>
            <w:r w:rsidR="00EB5DAE" w:rsidRPr="00D720DA">
              <w:rPr>
                <w:rFonts w:ascii="Arial" w:hAnsi="Arial" w:cs="Arial"/>
                <w:i/>
                <w:iCs/>
                <w:sz w:val="20"/>
                <w:szCs w:val="20"/>
              </w:rPr>
              <w:t>Appointment of Tasmanian State Service Senior Executive Officers, General Stream Bands 9 and 10 and Professional Stream Band 6 Positions</w:t>
            </w:r>
          </w:p>
          <w:p w14:paraId="4FD12055" w14:textId="77777777" w:rsidR="00CD7FCA" w:rsidRPr="00D720DA" w:rsidRDefault="00CD7FCA" w:rsidP="009F0D24">
            <w:pPr>
              <w:spacing w:after="200"/>
              <w:rPr>
                <w:rFonts w:ascii="Arial" w:hAnsi="Arial" w:cs="Arial"/>
                <w:sz w:val="20"/>
                <w:szCs w:val="20"/>
              </w:rPr>
            </w:pPr>
            <w:r w:rsidRPr="00D720DA">
              <w:rPr>
                <w:rFonts w:ascii="Arial" w:hAnsi="Arial" w:cs="Arial"/>
                <w:sz w:val="20"/>
                <w:szCs w:val="20"/>
              </w:rPr>
              <w:t>Following on from the recommendations, detailed Guidelines on SES Recruitment and Conflicts of Interest in Recruitment have been finalised and implemented.</w:t>
            </w:r>
          </w:p>
          <w:p w14:paraId="6BB93DC3" w14:textId="2A153D02" w:rsidR="009F0D24" w:rsidRPr="00D720DA" w:rsidRDefault="009F0D24" w:rsidP="009F0D24">
            <w:pPr>
              <w:spacing w:after="200"/>
              <w:rPr>
                <w:rFonts w:ascii="Arial" w:hAnsi="Arial" w:cs="Arial"/>
                <w:sz w:val="20"/>
                <w:szCs w:val="20"/>
              </w:rPr>
            </w:pPr>
            <w:r w:rsidRPr="00D720DA">
              <w:rPr>
                <w:rFonts w:ascii="Arial" w:hAnsi="Arial" w:cs="Arial"/>
                <w:i/>
                <w:iCs/>
                <w:sz w:val="20"/>
                <w:szCs w:val="20"/>
              </w:rPr>
              <w:t>Report of the Auditor-General No. 2 of 2016-17 – Workforce Planning in the Tasmanian State Service</w:t>
            </w:r>
          </w:p>
        </w:tc>
        <w:tc>
          <w:tcPr>
            <w:tcW w:w="1127" w:type="pct"/>
          </w:tcPr>
          <w:p w14:paraId="3C8345F2" w14:textId="579DCAEB" w:rsidR="005C7D7D" w:rsidRPr="00D720DA" w:rsidRDefault="005C7D7D" w:rsidP="007B0BBE">
            <w:pPr>
              <w:spacing w:after="200" w:line="276" w:lineRule="auto"/>
              <w:rPr>
                <w:rFonts w:ascii="Arial" w:hAnsi="Arial" w:cs="Arial"/>
              </w:rPr>
            </w:pPr>
          </w:p>
        </w:tc>
      </w:tr>
      <w:tr w:rsidR="0008146B" w:rsidRPr="00D720DA" w14:paraId="2218B9A7" w14:textId="77777777" w:rsidTr="0032127B">
        <w:tc>
          <w:tcPr>
            <w:tcW w:w="241" w:type="pct"/>
          </w:tcPr>
          <w:p w14:paraId="279E41C8" w14:textId="77777777" w:rsidR="005C7D7D" w:rsidRPr="00D720DA" w:rsidRDefault="005C7D7D" w:rsidP="007B0BBE">
            <w:pPr>
              <w:spacing w:after="200" w:line="276" w:lineRule="auto"/>
              <w:rPr>
                <w:rFonts w:ascii="Arial" w:hAnsi="Arial" w:cs="Arial"/>
                <w:b/>
                <w:bCs/>
                <w:sz w:val="22"/>
              </w:rPr>
            </w:pPr>
            <w:r w:rsidRPr="00D720DA">
              <w:rPr>
                <w:rFonts w:ascii="Arial" w:hAnsi="Arial" w:cs="Arial"/>
                <w:b/>
                <w:bCs/>
                <w:sz w:val="22"/>
              </w:rPr>
              <w:lastRenderedPageBreak/>
              <w:t>2016</w:t>
            </w:r>
          </w:p>
        </w:tc>
        <w:tc>
          <w:tcPr>
            <w:tcW w:w="1800" w:type="pct"/>
          </w:tcPr>
          <w:p w14:paraId="06F80941" w14:textId="77777777" w:rsidR="005C7D7D" w:rsidRPr="00D720DA" w:rsidRDefault="005C7D7D" w:rsidP="00581C78">
            <w:pPr>
              <w:spacing w:after="200"/>
              <w:rPr>
                <w:rFonts w:ascii="Arial" w:hAnsi="Arial" w:cs="Arial"/>
                <w:i/>
                <w:iCs/>
                <w:sz w:val="20"/>
                <w:szCs w:val="20"/>
              </w:rPr>
            </w:pPr>
            <w:r w:rsidRPr="00D720DA">
              <w:rPr>
                <w:rFonts w:ascii="Arial" w:hAnsi="Arial" w:cs="Arial"/>
                <w:i/>
                <w:iCs/>
                <w:sz w:val="20"/>
                <w:szCs w:val="20"/>
              </w:rPr>
              <w:t>TSS Annual Report 2015-16</w:t>
            </w:r>
          </w:p>
          <w:p w14:paraId="7487C91E" w14:textId="77777777" w:rsidR="0008146B" w:rsidRPr="00D720DA" w:rsidRDefault="0008146B" w:rsidP="00581C78">
            <w:pPr>
              <w:spacing w:after="200"/>
              <w:rPr>
                <w:rFonts w:ascii="Arial" w:hAnsi="Arial" w:cs="Arial"/>
                <w:sz w:val="20"/>
                <w:szCs w:val="20"/>
              </w:rPr>
            </w:pPr>
            <w:r w:rsidRPr="00D720DA">
              <w:rPr>
                <w:rFonts w:ascii="Arial" w:hAnsi="Arial" w:cs="Arial"/>
                <w:sz w:val="20"/>
                <w:szCs w:val="20"/>
              </w:rPr>
              <w:t>Heads of TSS agencies began developing a gender diversity strategy, setting a target of at least 40% women in senior executive positions by 2020. (p8)</w:t>
            </w:r>
          </w:p>
          <w:p w14:paraId="183B812E" w14:textId="77777777" w:rsidR="0008146B" w:rsidRPr="00D720DA" w:rsidRDefault="0008146B" w:rsidP="00581C78">
            <w:pPr>
              <w:spacing w:after="200"/>
              <w:rPr>
                <w:rFonts w:ascii="Arial" w:hAnsi="Arial" w:cs="Arial"/>
                <w:sz w:val="20"/>
                <w:szCs w:val="20"/>
              </w:rPr>
            </w:pPr>
            <w:r w:rsidRPr="00D720DA">
              <w:rPr>
                <w:rFonts w:ascii="Arial" w:hAnsi="Arial" w:cs="Arial"/>
                <w:sz w:val="20"/>
                <w:szCs w:val="20"/>
              </w:rPr>
              <w:t>State Service Management Office implemented first recommendations from SES Workforce Skills Audit to build on the Senior Executive Leadership Capability Framework, delivering programs and activities related to SES professional learning and leadership development. (pp24-25)</w:t>
            </w:r>
          </w:p>
          <w:p w14:paraId="7D4E4B4D" w14:textId="3DD79029" w:rsidR="0008146B" w:rsidRPr="00D720DA" w:rsidRDefault="0008146B" w:rsidP="00581C78">
            <w:pPr>
              <w:spacing w:after="200"/>
              <w:rPr>
                <w:rFonts w:ascii="Arial" w:hAnsi="Arial" w:cs="Arial"/>
                <w:sz w:val="20"/>
                <w:szCs w:val="20"/>
              </w:rPr>
            </w:pPr>
            <w:r w:rsidRPr="00D720DA">
              <w:rPr>
                <w:rFonts w:ascii="Arial" w:hAnsi="Arial" w:cs="Arial"/>
                <w:sz w:val="20"/>
                <w:szCs w:val="20"/>
              </w:rPr>
              <w:t>TSS began trial of new process for advertising and filling SES vacancies, focused on ‘ideal’ candidates and future executive opportunities. (p28)</w:t>
            </w:r>
          </w:p>
        </w:tc>
        <w:tc>
          <w:tcPr>
            <w:tcW w:w="1833" w:type="pct"/>
          </w:tcPr>
          <w:p w14:paraId="7BCBD7C5" w14:textId="473C5C14" w:rsidR="005C7D7D" w:rsidRPr="00D720DA" w:rsidRDefault="00F279E7" w:rsidP="007B0BBE">
            <w:pPr>
              <w:spacing w:after="200" w:line="276" w:lineRule="auto"/>
              <w:rPr>
                <w:rFonts w:ascii="Arial" w:hAnsi="Arial" w:cs="Arial"/>
                <w:i/>
                <w:iCs/>
                <w:sz w:val="20"/>
                <w:szCs w:val="20"/>
              </w:rPr>
            </w:pPr>
            <w:r w:rsidRPr="00D720DA">
              <w:rPr>
                <w:rFonts w:ascii="Arial" w:hAnsi="Arial" w:cs="Arial"/>
                <w:sz w:val="20"/>
                <w:szCs w:val="20"/>
              </w:rPr>
              <w:t xml:space="preserve">SSMO - </w:t>
            </w:r>
            <w:r w:rsidR="006F6AC1" w:rsidRPr="00D720DA">
              <w:rPr>
                <w:rFonts w:ascii="Arial" w:hAnsi="Arial" w:cs="Arial"/>
                <w:i/>
                <w:iCs/>
                <w:sz w:val="20"/>
                <w:szCs w:val="20"/>
              </w:rPr>
              <w:t xml:space="preserve">Managing Positions in the State </w:t>
            </w:r>
            <w:r w:rsidRPr="00D720DA">
              <w:rPr>
                <w:rFonts w:ascii="Arial" w:hAnsi="Arial" w:cs="Arial"/>
                <w:i/>
                <w:iCs/>
                <w:sz w:val="20"/>
                <w:szCs w:val="20"/>
              </w:rPr>
              <w:t>Service (MPSS 2016)</w:t>
            </w:r>
          </w:p>
          <w:p w14:paraId="71A53704" w14:textId="1225DF8B" w:rsidR="00F279E7" w:rsidRPr="00D720DA" w:rsidRDefault="00F279E7" w:rsidP="007B0BBE">
            <w:pPr>
              <w:spacing w:after="200" w:line="276" w:lineRule="auto"/>
              <w:rPr>
                <w:rFonts w:ascii="Arial" w:hAnsi="Arial" w:cs="Arial"/>
                <w:sz w:val="20"/>
                <w:szCs w:val="20"/>
              </w:rPr>
            </w:pPr>
            <w:r w:rsidRPr="00D720DA">
              <w:rPr>
                <w:rFonts w:ascii="Arial" w:hAnsi="Arial" w:cs="Arial"/>
                <w:sz w:val="20"/>
                <w:szCs w:val="20"/>
              </w:rPr>
              <w:t xml:space="preserve">Released in April 2016, this revision of the 2014 MPS </w:t>
            </w:r>
            <w:proofErr w:type="gramStart"/>
            <w:r w:rsidRPr="00D720DA">
              <w:rPr>
                <w:rFonts w:ascii="Arial" w:hAnsi="Arial" w:cs="Arial"/>
                <w:sz w:val="20"/>
                <w:szCs w:val="20"/>
              </w:rPr>
              <w:t>took into account</w:t>
            </w:r>
            <w:proofErr w:type="gramEnd"/>
            <w:r w:rsidRPr="00D720DA">
              <w:rPr>
                <w:rFonts w:ascii="Arial" w:hAnsi="Arial" w:cs="Arial"/>
                <w:sz w:val="20"/>
                <w:szCs w:val="20"/>
              </w:rPr>
              <w:t xml:space="preserve"> “</w:t>
            </w:r>
            <w:r w:rsidRPr="00D720DA">
              <w:rPr>
                <w:rFonts w:ascii="Arial" w:hAnsi="Arial" w:cs="Arial"/>
                <w:sz w:val="20"/>
                <w:szCs w:val="20"/>
                <w:shd w:val="clear" w:color="auto" w:fill="FFFFFF"/>
              </w:rPr>
              <w:t>the findings of an evaluation into MPSS and simplifies, removes ambiguities and streamlines the original processes”.</w:t>
            </w:r>
            <w:r w:rsidR="00170D9E" w:rsidRPr="00D720DA">
              <w:rPr>
                <w:rFonts w:ascii="Arial" w:hAnsi="Arial" w:cs="Arial"/>
                <w:sz w:val="20"/>
                <w:szCs w:val="20"/>
                <w:shd w:val="clear" w:color="auto" w:fill="FFFFFF"/>
              </w:rPr>
              <w:t xml:space="preserve"> This does not apply to SES</w:t>
            </w:r>
            <w:r w:rsidR="008E4721" w:rsidRPr="00D720DA">
              <w:rPr>
                <w:rFonts w:ascii="Arial" w:hAnsi="Arial" w:cs="Arial"/>
                <w:sz w:val="20"/>
                <w:szCs w:val="20"/>
                <w:shd w:val="clear" w:color="auto" w:fill="FFFFFF"/>
              </w:rPr>
              <w:t>.</w:t>
            </w:r>
          </w:p>
          <w:p w14:paraId="4DC4B1B0" w14:textId="415883FA" w:rsidR="00F279E7" w:rsidRPr="00D720DA" w:rsidRDefault="00F279E7" w:rsidP="007B0BBE">
            <w:pPr>
              <w:spacing w:after="200" w:line="276" w:lineRule="auto"/>
              <w:rPr>
                <w:rFonts w:ascii="Arial" w:hAnsi="Arial" w:cs="Arial"/>
              </w:rPr>
            </w:pPr>
          </w:p>
        </w:tc>
        <w:tc>
          <w:tcPr>
            <w:tcW w:w="1127" w:type="pct"/>
          </w:tcPr>
          <w:p w14:paraId="560F00F1" w14:textId="77777777" w:rsidR="003D3F81" w:rsidRPr="00D720DA" w:rsidRDefault="003D3F81" w:rsidP="003D3F81">
            <w:pPr>
              <w:rPr>
                <w:rFonts w:ascii="Arial" w:hAnsi="Arial" w:cs="Arial"/>
                <w:i/>
                <w:iCs/>
                <w:sz w:val="20"/>
                <w:szCs w:val="20"/>
              </w:rPr>
            </w:pPr>
            <w:r w:rsidRPr="00D720DA">
              <w:rPr>
                <w:rFonts w:ascii="Arial" w:hAnsi="Arial" w:cs="Arial"/>
                <w:i/>
                <w:iCs/>
                <w:sz w:val="20"/>
                <w:szCs w:val="20"/>
              </w:rPr>
              <w:t>State Service Legislation (Miscellaneous Amendments) Act 2016</w:t>
            </w:r>
          </w:p>
          <w:p w14:paraId="0FAC0A2C" w14:textId="0EDD1CC3" w:rsidR="003D3F81" w:rsidRPr="00D720DA" w:rsidRDefault="00BE6099" w:rsidP="007B0BBE">
            <w:pPr>
              <w:spacing w:after="200" w:line="276" w:lineRule="auto"/>
              <w:rPr>
                <w:rFonts w:ascii="Arial" w:hAnsi="Arial" w:cs="Arial"/>
                <w:sz w:val="20"/>
                <w:szCs w:val="20"/>
              </w:rPr>
            </w:pPr>
            <w:r w:rsidRPr="00D720DA">
              <w:rPr>
                <w:rFonts w:ascii="Arial" w:hAnsi="Arial" w:cs="Arial"/>
                <w:sz w:val="20"/>
                <w:szCs w:val="20"/>
              </w:rPr>
              <w:t>[repealed in 2017]</w:t>
            </w:r>
          </w:p>
          <w:p w14:paraId="769FC637" w14:textId="6E5A0CDA" w:rsidR="005C7D7D" w:rsidRPr="00D720DA" w:rsidRDefault="00E00C0A" w:rsidP="007B0BBE">
            <w:pPr>
              <w:spacing w:after="200" w:line="276" w:lineRule="auto"/>
              <w:rPr>
                <w:rFonts w:ascii="Arial" w:hAnsi="Arial" w:cs="Arial"/>
                <w:i/>
                <w:iCs/>
                <w:sz w:val="20"/>
                <w:szCs w:val="20"/>
              </w:rPr>
            </w:pPr>
            <w:hyperlink r:id="rId78" w:history="1">
              <w:r w:rsidR="00424A13" w:rsidRPr="00D720DA">
                <w:rPr>
                  <w:rFonts w:ascii="Arial" w:hAnsi="Arial" w:cs="Arial"/>
                  <w:i/>
                  <w:iCs/>
                  <w:sz w:val="20"/>
                  <w:szCs w:val="20"/>
                </w:rPr>
                <w:t>State Service (Agencies and Heads of Agencies) Order 2016</w:t>
              </w:r>
            </w:hyperlink>
          </w:p>
          <w:p w14:paraId="0DE194DE" w14:textId="3D8A1352" w:rsidR="00424A13" w:rsidRPr="00D720DA" w:rsidRDefault="00E00C0A" w:rsidP="007B0BBE">
            <w:pPr>
              <w:spacing w:after="200" w:line="276" w:lineRule="auto"/>
              <w:rPr>
                <w:rFonts w:ascii="Arial" w:hAnsi="Arial" w:cs="Arial"/>
              </w:rPr>
            </w:pPr>
            <w:hyperlink r:id="rId79" w:history="1">
              <w:r w:rsidR="00424A13" w:rsidRPr="00D720DA">
                <w:rPr>
                  <w:rFonts w:ascii="Arial" w:hAnsi="Arial" w:cs="Arial"/>
                  <w:i/>
                  <w:iCs/>
                  <w:sz w:val="20"/>
                  <w:szCs w:val="20"/>
                </w:rPr>
                <w:t>Public Sector Superannuation Reform (Consequential and Transitional Provisions) Act 2016</w:t>
              </w:r>
            </w:hyperlink>
          </w:p>
        </w:tc>
      </w:tr>
      <w:tr w:rsidR="0008146B" w:rsidRPr="00D720DA" w14:paraId="2EB38FDD" w14:textId="77777777" w:rsidTr="0032127B">
        <w:tc>
          <w:tcPr>
            <w:tcW w:w="241" w:type="pct"/>
          </w:tcPr>
          <w:p w14:paraId="22F03B9C" w14:textId="77777777" w:rsidR="005C7D7D" w:rsidRPr="00D720DA" w:rsidRDefault="005C7D7D" w:rsidP="007B0BBE">
            <w:pPr>
              <w:spacing w:after="200" w:line="276" w:lineRule="auto"/>
              <w:rPr>
                <w:rFonts w:ascii="Arial" w:hAnsi="Arial" w:cs="Arial"/>
                <w:b/>
                <w:bCs/>
                <w:sz w:val="22"/>
              </w:rPr>
            </w:pPr>
            <w:r w:rsidRPr="00D720DA">
              <w:rPr>
                <w:rFonts w:ascii="Arial" w:hAnsi="Arial" w:cs="Arial"/>
                <w:b/>
                <w:bCs/>
                <w:sz w:val="22"/>
              </w:rPr>
              <w:t>2015</w:t>
            </w:r>
          </w:p>
        </w:tc>
        <w:tc>
          <w:tcPr>
            <w:tcW w:w="1800" w:type="pct"/>
          </w:tcPr>
          <w:p w14:paraId="7C32B189" w14:textId="77777777" w:rsidR="005C7D7D" w:rsidRPr="00D720DA" w:rsidRDefault="005C7D7D" w:rsidP="00581C78">
            <w:pPr>
              <w:spacing w:after="200"/>
              <w:rPr>
                <w:rFonts w:ascii="Arial" w:hAnsi="Arial" w:cs="Arial"/>
                <w:i/>
                <w:iCs/>
                <w:sz w:val="20"/>
                <w:szCs w:val="20"/>
              </w:rPr>
            </w:pPr>
            <w:r w:rsidRPr="00D720DA">
              <w:rPr>
                <w:rFonts w:ascii="Arial" w:hAnsi="Arial" w:cs="Arial"/>
                <w:i/>
                <w:iCs/>
                <w:sz w:val="20"/>
                <w:szCs w:val="20"/>
              </w:rPr>
              <w:t>TSS Annual Report 2014-15</w:t>
            </w:r>
          </w:p>
          <w:p w14:paraId="4657E206" w14:textId="50FA3A8B" w:rsidR="0008146B" w:rsidRPr="00D720DA" w:rsidRDefault="0008146B" w:rsidP="00581C78">
            <w:pPr>
              <w:spacing w:after="200"/>
              <w:rPr>
                <w:rFonts w:ascii="Arial" w:hAnsi="Arial" w:cs="Arial"/>
                <w:sz w:val="20"/>
                <w:szCs w:val="20"/>
              </w:rPr>
            </w:pPr>
            <w:r w:rsidRPr="00D720DA">
              <w:rPr>
                <w:rFonts w:ascii="Arial" w:hAnsi="Arial" w:cs="Arial"/>
                <w:sz w:val="20"/>
                <w:szCs w:val="20"/>
              </w:rPr>
              <w:t>TSS undertook a first ever skills audit of the SES to develop a ‘senior executive capability program’ and “build a strong leadership cohort”. (pp</w:t>
            </w:r>
            <w:r w:rsidR="00FA4BB8" w:rsidRPr="00D720DA">
              <w:rPr>
                <w:rFonts w:ascii="Arial" w:hAnsi="Arial" w:cs="Arial"/>
                <w:sz w:val="20"/>
                <w:szCs w:val="20"/>
              </w:rPr>
              <w:t xml:space="preserve"> </w:t>
            </w:r>
            <w:r w:rsidRPr="00D720DA">
              <w:rPr>
                <w:rFonts w:ascii="Arial" w:hAnsi="Arial" w:cs="Arial"/>
                <w:sz w:val="20"/>
                <w:szCs w:val="20"/>
              </w:rPr>
              <w:t>6, 22)</w:t>
            </w:r>
          </w:p>
          <w:p w14:paraId="752B9188" w14:textId="2AA4C56F" w:rsidR="0008146B" w:rsidRPr="00D720DA" w:rsidRDefault="0008146B" w:rsidP="00581C78">
            <w:pPr>
              <w:spacing w:after="200"/>
              <w:rPr>
                <w:rFonts w:ascii="Arial" w:hAnsi="Arial" w:cs="Arial"/>
                <w:sz w:val="20"/>
                <w:szCs w:val="20"/>
              </w:rPr>
            </w:pPr>
            <w:r w:rsidRPr="00D720DA">
              <w:rPr>
                <w:rFonts w:ascii="Arial" w:hAnsi="Arial" w:cs="Arial"/>
                <w:sz w:val="20"/>
                <w:szCs w:val="20"/>
              </w:rPr>
              <w:t xml:space="preserve">Outlined leadership development initiatives relating to SES officers, including participation in ANZSOG executive training programs as well as continued development of the Senior Executive Leadership Capability Framework. TSS Senior Executive Forums were held to investigate </w:t>
            </w:r>
            <w:r w:rsidRPr="00D720DA">
              <w:rPr>
                <w:rFonts w:ascii="Arial" w:hAnsi="Arial" w:cs="Arial"/>
                <w:sz w:val="20"/>
                <w:szCs w:val="20"/>
              </w:rPr>
              <w:lastRenderedPageBreak/>
              <w:t>development of ‘leadership and management capability’ in SES officers. (pp</w:t>
            </w:r>
            <w:r w:rsidR="00FA4BB8" w:rsidRPr="00D720DA">
              <w:rPr>
                <w:rFonts w:ascii="Arial" w:hAnsi="Arial" w:cs="Arial"/>
                <w:sz w:val="20"/>
                <w:szCs w:val="20"/>
              </w:rPr>
              <w:t xml:space="preserve"> </w:t>
            </w:r>
            <w:r w:rsidRPr="00D720DA">
              <w:rPr>
                <w:rFonts w:ascii="Arial" w:hAnsi="Arial" w:cs="Arial"/>
                <w:sz w:val="20"/>
                <w:szCs w:val="20"/>
              </w:rPr>
              <w:t>22-24)</w:t>
            </w:r>
          </w:p>
        </w:tc>
        <w:tc>
          <w:tcPr>
            <w:tcW w:w="1833" w:type="pct"/>
          </w:tcPr>
          <w:p w14:paraId="49349067" w14:textId="77777777" w:rsidR="005C7D7D" w:rsidRPr="00D720DA" w:rsidRDefault="00C5164F" w:rsidP="00A32635">
            <w:pPr>
              <w:spacing w:after="200" w:line="276" w:lineRule="auto"/>
              <w:rPr>
                <w:rFonts w:ascii="Arial" w:hAnsi="Arial" w:cs="Arial"/>
                <w:i/>
                <w:iCs/>
                <w:sz w:val="20"/>
                <w:szCs w:val="20"/>
              </w:rPr>
            </w:pPr>
            <w:r w:rsidRPr="00D720DA">
              <w:rPr>
                <w:rFonts w:ascii="Arial" w:hAnsi="Arial" w:cs="Arial"/>
                <w:i/>
                <w:iCs/>
                <w:sz w:val="20"/>
                <w:szCs w:val="20"/>
              </w:rPr>
              <w:lastRenderedPageBreak/>
              <w:t>Employment Direction No. 17 – Senior Executive Service and Equivalent Specialist Officers Administrative Arrangements and Conditions of Service</w:t>
            </w:r>
          </w:p>
          <w:p w14:paraId="30F77ABA" w14:textId="71D19CE0" w:rsidR="00C5164F" w:rsidRPr="00D720DA" w:rsidRDefault="00C5164F" w:rsidP="00C5164F">
            <w:pPr>
              <w:spacing w:after="200"/>
              <w:rPr>
                <w:rFonts w:ascii="Arial" w:hAnsi="Arial" w:cs="Arial"/>
                <w:i/>
                <w:iCs/>
                <w:sz w:val="20"/>
                <w:szCs w:val="20"/>
              </w:rPr>
            </w:pPr>
            <w:r w:rsidRPr="00D720DA">
              <w:rPr>
                <w:rFonts w:ascii="Arial" w:hAnsi="Arial" w:cs="Arial"/>
                <w:sz w:val="20"/>
                <w:szCs w:val="20"/>
              </w:rPr>
              <w:t xml:space="preserve">Prescribes the administrative arrangements and requirements to apply to persons appointed under Section 31 of the </w:t>
            </w:r>
            <w:r w:rsidRPr="00D720DA">
              <w:rPr>
                <w:rFonts w:ascii="Arial" w:hAnsi="Arial" w:cs="Arial"/>
                <w:i/>
                <w:iCs/>
                <w:sz w:val="20"/>
                <w:szCs w:val="20"/>
              </w:rPr>
              <w:t>State Service Act 2000</w:t>
            </w:r>
            <w:r w:rsidRPr="00D720DA">
              <w:rPr>
                <w:rFonts w:ascii="Arial" w:hAnsi="Arial" w:cs="Arial"/>
                <w:sz w:val="20"/>
                <w:szCs w:val="20"/>
              </w:rPr>
              <w:t xml:space="preserve"> as Senior Executive Service (SES) officers in relations to classification, appointment, termination, salary and performance management.</w:t>
            </w:r>
          </w:p>
        </w:tc>
        <w:tc>
          <w:tcPr>
            <w:tcW w:w="1127" w:type="pct"/>
          </w:tcPr>
          <w:p w14:paraId="212BF71B" w14:textId="6AFAA3D9" w:rsidR="005C7D7D" w:rsidRPr="00D720DA" w:rsidRDefault="00E00C0A" w:rsidP="007B0BBE">
            <w:pPr>
              <w:spacing w:after="200" w:line="276" w:lineRule="auto"/>
              <w:rPr>
                <w:rFonts w:ascii="Arial" w:hAnsi="Arial" w:cs="Arial"/>
              </w:rPr>
            </w:pPr>
            <w:hyperlink r:id="rId80" w:history="1">
              <w:r w:rsidR="00424A13" w:rsidRPr="00D720DA">
                <w:rPr>
                  <w:rFonts w:ascii="Arial" w:hAnsi="Arial" w:cs="Arial"/>
                  <w:i/>
                  <w:iCs/>
                  <w:sz w:val="20"/>
                  <w:szCs w:val="20"/>
                </w:rPr>
                <w:t>State Service (Agencies and Heads of Agencies) Order 2015</w:t>
              </w:r>
            </w:hyperlink>
          </w:p>
        </w:tc>
      </w:tr>
      <w:tr w:rsidR="0008146B" w:rsidRPr="00D720DA" w14:paraId="44910D0A" w14:textId="77777777" w:rsidTr="0032127B">
        <w:tc>
          <w:tcPr>
            <w:tcW w:w="241" w:type="pct"/>
          </w:tcPr>
          <w:p w14:paraId="3AB595B4" w14:textId="77777777" w:rsidR="005C7D7D" w:rsidRPr="00D720DA" w:rsidRDefault="005C7D7D" w:rsidP="007B0BBE">
            <w:pPr>
              <w:spacing w:after="200" w:line="276" w:lineRule="auto"/>
              <w:rPr>
                <w:rFonts w:ascii="Arial" w:hAnsi="Arial" w:cs="Arial"/>
                <w:b/>
                <w:bCs/>
                <w:sz w:val="22"/>
              </w:rPr>
            </w:pPr>
            <w:r w:rsidRPr="00D720DA">
              <w:rPr>
                <w:rFonts w:ascii="Arial" w:hAnsi="Arial" w:cs="Arial"/>
                <w:b/>
                <w:bCs/>
                <w:sz w:val="22"/>
              </w:rPr>
              <w:t>2014</w:t>
            </w:r>
          </w:p>
        </w:tc>
        <w:tc>
          <w:tcPr>
            <w:tcW w:w="1800" w:type="pct"/>
          </w:tcPr>
          <w:p w14:paraId="777FDED0" w14:textId="77777777" w:rsidR="00DB020F" w:rsidRPr="00D720DA" w:rsidRDefault="005C7D7D" w:rsidP="00DB020F">
            <w:pPr>
              <w:spacing w:after="200"/>
              <w:rPr>
                <w:rFonts w:ascii="Arial" w:hAnsi="Arial" w:cs="Arial"/>
                <w:sz w:val="20"/>
                <w:szCs w:val="20"/>
              </w:rPr>
            </w:pPr>
            <w:r w:rsidRPr="00D720DA">
              <w:rPr>
                <w:rFonts w:ascii="Arial" w:hAnsi="Arial" w:cs="Arial"/>
                <w:i/>
                <w:iCs/>
                <w:sz w:val="20"/>
                <w:szCs w:val="20"/>
              </w:rPr>
              <w:t>TSS Annual Report 2013-14</w:t>
            </w:r>
            <w:r w:rsidR="00DB020F" w:rsidRPr="00D720DA">
              <w:rPr>
                <w:rFonts w:ascii="Arial" w:hAnsi="Arial" w:cs="Arial"/>
                <w:sz w:val="20"/>
                <w:szCs w:val="20"/>
              </w:rPr>
              <w:t xml:space="preserve"> </w:t>
            </w:r>
          </w:p>
          <w:p w14:paraId="2FEB733F" w14:textId="61D65B77" w:rsidR="00DB020F" w:rsidRPr="00D720DA" w:rsidRDefault="00DB020F" w:rsidP="00DB020F">
            <w:pPr>
              <w:spacing w:after="200"/>
              <w:rPr>
                <w:rFonts w:ascii="Arial" w:hAnsi="Arial" w:cs="Arial"/>
                <w:sz w:val="20"/>
                <w:szCs w:val="20"/>
              </w:rPr>
            </w:pPr>
            <w:r w:rsidRPr="00D720DA">
              <w:rPr>
                <w:rFonts w:ascii="Arial" w:hAnsi="Arial" w:cs="Arial"/>
                <w:sz w:val="20"/>
                <w:szCs w:val="20"/>
              </w:rPr>
              <w:t xml:space="preserve">Outlined employment classification of senior executives and conditions as established under </w:t>
            </w:r>
            <w:r w:rsidRPr="00D720DA">
              <w:rPr>
                <w:rFonts w:ascii="Arial" w:hAnsi="Arial" w:cs="Arial"/>
                <w:i/>
                <w:sz w:val="20"/>
                <w:szCs w:val="20"/>
              </w:rPr>
              <w:t>Employment Direction No. 17</w:t>
            </w:r>
            <w:r w:rsidRPr="00D720DA">
              <w:rPr>
                <w:rFonts w:ascii="Arial" w:hAnsi="Arial" w:cs="Arial"/>
                <w:sz w:val="20"/>
                <w:szCs w:val="20"/>
              </w:rPr>
              <w:t>. (p39)</w:t>
            </w:r>
          </w:p>
          <w:p w14:paraId="5E34C0DE" w14:textId="77777777" w:rsidR="0008146B" w:rsidRPr="00D720DA" w:rsidRDefault="0008146B" w:rsidP="00581C78">
            <w:pPr>
              <w:spacing w:after="200"/>
              <w:rPr>
                <w:rFonts w:ascii="Arial" w:hAnsi="Arial" w:cs="Arial"/>
                <w:sz w:val="20"/>
                <w:szCs w:val="20"/>
              </w:rPr>
            </w:pPr>
            <w:r w:rsidRPr="00D720DA">
              <w:rPr>
                <w:rFonts w:ascii="Arial" w:hAnsi="Arial" w:cs="Arial"/>
                <w:sz w:val="20"/>
                <w:szCs w:val="20"/>
              </w:rPr>
              <w:t>Outlined leadership development initiatives relating to SES officers, including participation in ANZSOG executive training programs as well as TSS Tasmanian Leaders Program. Also detailed new TSS initiatives to develop ‘highest quality SES leadership’: a Senior Executive Rotation and Mobility Policy, and new Senior Executive Leadership Capability Framework to prescribe desired capabilities and qualities of SES officers as well as “provide a key tool to support executive performance management”. (pp43-48)</w:t>
            </w:r>
          </w:p>
          <w:p w14:paraId="633CE16C" w14:textId="6C0D2EF6" w:rsidR="0008146B" w:rsidRPr="00D720DA" w:rsidRDefault="0008146B" w:rsidP="00581C78">
            <w:pPr>
              <w:spacing w:after="200"/>
              <w:rPr>
                <w:rFonts w:ascii="Arial" w:hAnsi="Arial" w:cs="Arial"/>
                <w:sz w:val="20"/>
                <w:szCs w:val="20"/>
              </w:rPr>
            </w:pPr>
            <w:r w:rsidRPr="00D720DA">
              <w:rPr>
                <w:rFonts w:ascii="Arial" w:hAnsi="Arial" w:cs="Arial"/>
                <w:sz w:val="20"/>
                <w:szCs w:val="20"/>
              </w:rPr>
              <w:t xml:space="preserve">Heads of TSS agencies investigated appointment and employment arrangements, and performance management issues, related to SES officers; led to issuing a revised </w:t>
            </w:r>
            <w:r w:rsidRPr="00D720DA">
              <w:rPr>
                <w:rFonts w:ascii="Arial" w:hAnsi="Arial" w:cs="Arial"/>
                <w:i/>
                <w:sz w:val="20"/>
                <w:szCs w:val="20"/>
              </w:rPr>
              <w:t>Employment Direction No. 17</w:t>
            </w:r>
            <w:r w:rsidRPr="00D720DA">
              <w:rPr>
                <w:rFonts w:ascii="Arial" w:hAnsi="Arial" w:cs="Arial"/>
                <w:sz w:val="20"/>
                <w:szCs w:val="20"/>
              </w:rPr>
              <w:t xml:space="preserve"> in June 2014, amended in relation to consecutive appointments and incentive payments. (p</w:t>
            </w:r>
            <w:r w:rsidR="00FA4BB8" w:rsidRPr="00D720DA">
              <w:rPr>
                <w:rFonts w:ascii="Arial" w:hAnsi="Arial" w:cs="Arial"/>
                <w:sz w:val="20"/>
                <w:szCs w:val="20"/>
              </w:rPr>
              <w:t xml:space="preserve">. </w:t>
            </w:r>
            <w:r w:rsidRPr="00D720DA">
              <w:rPr>
                <w:rFonts w:ascii="Arial" w:hAnsi="Arial" w:cs="Arial"/>
                <w:sz w:val="20"/>
                <w:szCs w:val="20"/>
              </w:rPr>
              <w:t>86)</w:t>
            </w:r>
          </w:p>
        </w:tc>
        <w:tc>
          <w:tcPr>
            <w:tcW w:w="1833" w:type="pct"/>
          </w:tcPr>
          <w:p w14:paraId="2708C0B4" w14:textId="77777777" w:rsidR="005C7D7D" w:rsidRPr="00D720DA" w:rsidRDefault="00F279E7" w:rsidP="007B0BBE">
            <w:pPr>
              <w:spacing w:after="200" w:line="276" w:lineRule="auto"/>
              <w:rPr>
                <w:rFonts w:ascii="Arial" w:hAnsi="Arial" w:cs="Arial"/>
                <w:i/>
                <w:iCs/>
                <w:sz w:val="20"/>
                <w:szCs w:val="20"/>
              </w:rPr>
            </w:pPr>
            <w:r w:rsidRPr="00D720DA">
              <w:rPr>
                <w:rFonts w:ascii="Arial" w:hAnsi="Arial" w:cs="Arial"/>
                <w:sz w:val="20"/>
                <w:szCs w:val="20"/>
              </w:rPr>
              <w:t>SSMO</w:t>
            </w:r>
            <w:r w:rsidRPr="00D720DA">
              <w:rPr>
                <w:rFonts w:ascii="Arial" w:hAnsi="Arial" w:cs="Arial"/>
                <w:i/>
                <w:iCs/>
                <w:sz w:val="20"/>
                <w:szCs w:val="20"/>
              </w:rPr>
              <w:t xml:space="preserve"> - Managing Positions in the State Service</w:t>
            </w:r>
          </w:p>
          <w:p w14:paraId="75918061" w14:textId="51FD83C7" w:rsidR="00F279E7" w:rsidRPr="00D720DA" w:rsidRDefault="00F279E7" w:rsidP="007B0BBE">
            <w:pPr>
              <w:spacing w:after="200" w:line="276" w:lineRule="auto"/>
              <w:rPr>
                <w:rFonts w:ascii="Arial" w:hAnsi="Arial" w:cs="Arial"/>
                <w:sz w:val="20"/>
                <w:szCs w:val="20"/>
              </w:rPr>
            </w:pPr>
            <w:r w:rsidRPr="00D720DA">
              <w:rPr>
                <w:rFonts w:ascii="Arial" w:hAnsi="Arial" w:cs="Arial"/>
                <w:sz w:val="20"/>
                <w:szCs w:val="20"/>
              </w:rPr>
              <w:t>Released in Sep 2014 “to assist Heads of Agencies to meet the Government’s commitment to reduce employment costs as well as to have a more productive and effective Tasmanian State Service”.</w:t>
            </w:r>
            <w:r w:rsidR="00170D9E" w:rsidRPr="00D720DA">
              <w:rPr>
                <w:rFonts w:ascii="Arial" w:hAnsi="Arial" w:cs="Arial"/>
                <w:sz w:val="20"/>
                <w:szCs w:val="20"/>
              </w:rPr>
              <w:t xml:space="preserve"> This does not apply to SES</w:t>
            </w:r>
            <w:r w:rsidR="008E4721" w:rsidRPr="00D720DA">
              <w:rPr>
                <w:rFonts w:ascii="Arial" w:hAnsi="Arial" w:cs="Arial"/>
                <w:sz w:val="20"/>
                <w:szCs w:val="20"/>
              </w:rPr>
              <w:t>.</w:t>
            </w:r>
          </w:p>
        </w:tc>
        <w:tc>
          <w:tcPr>
            <w:tcW w:w="1127" w:type="pct"/>
          </w:tcPr>
          <w:p w14:paraId="69F7053E" w14:textId="75EE405A" w:rsidR="005C7D7D" w:rsidRPr="00D720DA" w:rsidRDefault="00E00C0A" w:rsidP="007B0BBE">
            <w:pPr>
              <w:spacing w:after="200" w:line="276" w:lineRule="auto"/>
              <w:rPr>
                <w:rFonts w:ascii="Arial" w:hAnsi="Arial" w:cs="Arial"/>
              </w:rPr>
            </w:pPr>
            <w:hyperlink r:id="rId81" w:history="1">
              <w:r w:rsidR="00424A13" w:rsidRPr="00D720DA">
                <w:rPr>
                  <w:rFonts w:ascii="Arial" w:hAnsi="Arial" w:cs="Arial"/>
                  <w:i/>
                  <w:iCs/>
                  <w:sz w:val="20"/>
                  <w:szCs w:val="20"/>
                </w:rPr>
                <w:t>State Service (Agencies and Heads of Agencies) Order 2014</w:t>
              </w:r>
            </w:hyperlink>
          </w:p>
        </w:tc>
      </w:tr>
      <w:tr w:rsidR="0008146B" w:rsidRPr="00D720DA" w14:paraId="08D8C455" w14:textId="77777777" w:rsidTr="0032127B">
        <w:tc>
          <w:tcPr>
            <w:tcW w:w="241" w:type="pct"/>
          </w:tcPr>
          <w:p w14:paraId="31189158" w14:textId="77777777" w:rsidR="005C7D7D" w:rsidRPr="00D720DA" w:rsidRDefault="005C7D7D" w:rsidP="007B0BBE">
            <w:pPr>
              <w:spacing w:after="200" w:line="276" w:lineRule="auto"/>
              <w:rPr>
                <w:rFonts w:ascii="Arial" w:hAnsi="Arial" w:cs="Arial"/>
                <w:b/>
                <w:bCs/>
                <w:sz w:val="22"/>
              </w:rPr>
            </w:pPr>
            <w:r w:rsidRPr="00D720DA">
              <w:rPr>
                <w:rFonts w:ascii="Arial" w:hAnsi="Arial" w:cs="Arial"/>
                <w:b/>
                <w:bCs/>
                <w:sz w:val="22"/>
              </w:rPr>
              <w:lastRenderedPageBreak/>
              <w:t>2013</w:t>
            </w:r>
          </w:p>
        </w:tc>
        <w:tc>
          <w:tcPr>
            <w:tcW w:w="1800" w:type="pct"/>
          </w:tcPr>
          <w:p w14:paraId="74FF9D18" w14:textId="77777777" w:rsidR="005C7D7D" w:rsidRPr="00D720DA" w:rsidRDefault="005C7D7D" w:rsidP="00581C78">
            <w:pPr>
              <w:spacing w:after="200"/>
              <w:rPr>
                <w:rFonts w:ascii="Arial" w:hAnsi="Arial" w:cs="Arial"/>
                <w:i/>
                <w:iCs/>
                <w:sz w:val="20"/>
                <w:szCs w:val="20"/>
              </w:rPr>
            </w:pPr>
            <w:r w:rsidRPr="00D720DA">
              <w:rPr>
                <w:rFonts w:ascii="Arial" w:hAnsi="Arial" w:cs="Arial"/>
                <w:i/>
                <w:iCs/>
                <w:sz w:val="20"/>
                <w:szCs w:val="20"/>
              </w:rPr>
              <w:t>TSS Annual Report 2012-13</w:t>
            </w:r>
          </w:p>
          <w:p w14:paraId="0D3A86CD" w14:textId="42B12400" w:rsidR="0008146B" w:rsidRPr="00D720DA" w:rsidRDefault="0008146B" w:rsidP="00581C78">
            <w:pPr>
              <w:spacing w:after="200"/>
              <w:rPr>
                <w:rFonts w:ascii="Arial" w:hAnsi="Arial" w:cs="Arial"/>
                <w:sz w:val="20"/>
                <w:szCs w:val="20"/>
              </w:rPr>
            </w:pPr>
            <w:r w:rsidRPr="00D720DA">
              <w:rPr>
                <w:rFonts w:ascii="Arial" w:hAnsi="Arial" w:cs="Arial"/>
                <w:sz w:val="20"/>
                <w:szCs w:val="20"/>
              </w:rPr>
              <w:t xml:space="preserve">First report by Head of new Tasmanian State Service (TSS) – </w:t>
            </w:r>
            <w:proofErr w:type="gramStart"/>
            <w:r w:rsidRPr="00D720DA">
              <w:rPr>
                <w:rFonts w:ascii="Arial" w:hAnsi="Arial" w:cs="Arial"/>
                <w:sz w:val="20"/>
                <w:szCs w:val="20"/>
              </w:rPr>
              <w:t>and also</w:t>
            </w:r>
            <w:proofErr w:type="gramEnd"/>
            <w:r w:rsidRPr="00D720DA">
              <w:rPr>
                <w:rFonts w:ascii="Arial" w:hAnsi="Arial" w:cs="Arial"/>
                <w:sz w:val="20"/>
                <w:szCs w:val="20"/>
              </w:rPr>
              <w:t xml:space="preserve"> Premier’s Department Secretary – outlining employment classification of senior executives and conditions as established under </w:t>
            </w:r>
            <w:r w:rsidRPr="00D720DA">
              <w:rPr>
                <w:rFonts w:ascii="Arial" w:hAnsi="Arial" w:cs="Arial"/>
                <w:i/>
                <w:sz w:val="20"/>
                <w:szCs w:val="20"/>
              </w:rPr>
              <w:t>Employment Direction No. 17</w:t>
            </w:r>
            <w:r w:rsidRPr="00D720DA">
              <w:rPr>
                <w:rFonts w:ascii="Arial" w:hAnsi="Arial" w:cs="Arial"/>
                <w:sz w:val="20"/>
                <w:szCs w:val="20"/>
              </w:rPr>
              <w:t>. (p</w:t>
            </w:r>
            <w:r w:rsidR="00FA4BB8" w:rsidRPr="00D720DA">
              <w:rPr>
                <w:rFonts w:ascii="Arial" w:hAnsi="Arial" w:cs="Arial"/>
                <w:sz w:val="20"/>
                <w:szCs w:val="20"/>
              </w:rPr>
              <w:t xml:space="preserve">. </w:t>
            </w:r>
            <w:r w:rsidRPr="00D720DA">
              <w:rPr>
                <w:rFonts w:ascii="Arial" w:hAnsi="Arial" w:cs="Arial"/>
                <w:sz w:val="20"/>
                <w:szCs w:val="20"/>
              </w:rPr>
              <w:t>47)</w:t>
            </w:r>
          </w:p>
          <w:p w14:paraId="168CAE7E" w14:textId="5860BB25" w:rsidR="0008146B" w:rsidRPr="00D720DA" w:rsidRDefault="0008146B" w:rsidP="00581C78">
            <w:pPr>
              <w:spacing w:after="200"/>
              <w:rPr>
                <w:rFonts w:ascii="Arial" w:hAnsi="Arial" w:cs="Arial"/>
                <w:sz w:val="20"/>
                <w:szCs w:val="20"/>
              </w:rPr>
            </w:pPr>
            <w:r w:rsidRPr="00D720DA">
              <w:rPr>
                <w:rFonts w:ascii="Arial" w:hAnsi="Arial" w:cs="Arial"/>
                <w:sz w:val="20"/>
                <w:szCs w:val="20"/>
              </w:rPr>
              <w:t>Also outlined leadership development initiatives relating to SES officers, including participation in ANZSOG executive training programs as well as new TSS Tasmanian Leaders Program. (p</w:t>
            </w:r>
            <w:r w:rsidR="00FA4BB8" w:rsidRPr="00D720DA">
              <w:rPr>
                <w:rFonts w:ascii="Arial" w:hAnsi="Arial" w:cs="Arial"/>
                <w:sz w:val="20"/>
                <w:szCs w:val="20"/>
              </w:rPr>
              <w:t xml:space="preserve">. </w:t>
            </w:r>
            <w:r w:rsidRPr="00D720DA">
              <w:rPr>
                <w:rFonts w:ascii="Arial" w:hAnsi="Arial" w:cs="Arial"/>
                <w:sz w:val="20"/>
                <w:szCs w:val="20"/>
              </w:rPr>
              <w:t>51)</w:t>
            </w:r>
          </w:p>
        </w:tc>
        <w:tc>
          <w:tcPr>
            <w:tcW w:w="1833" w:type="pct"/>
          </w:tcPr>
          <w:p w14:paraId="4B956175" w14:textId="77777777" w:rsidR="005C7D7D" w:rsidRPr="00D720DA" w:rsidRDefault="007F0032" w:rsidP="007B0BBE">
            <w:pPr>
              <w:spacing w:after="200" w:line="276" w:lineRule="auto"/>
              <w:rPr>
                <w:rFonts w:ascii="Arial" w:hAnsi="Arial" w:cs="Arial"/>
                <w:i/>
                <w:iCs/>
                <w:sz w:val="20"/>
                <w:szCs w:val="20"/>
              </w:rPr>
            </w:pPr>
            <w:r w:rsidRPr="00D720DA">
              <w:rPr>
                <w:rFonts w:ascii="Arial" w:hAnsi="Arial" w:cs="Arial"/>
                <w:i/>
                <w:iCs/>
                <w:sz w:val="20"/>
                <w:szCs w:val="20"/>
              </w:rPr>
              <w:t>Senior Executive Leadership Capability Framework</w:t>
            </w:r>
          </w:p>
          <w:p w14:paraId="16EF30DB" w14:textId="77777777" w:rsidR="007F0032" w:rsidRPr="00D720DA" w:rsidRDefault="007F0032" w:rsidP="00064DC1">
            <w:pPr>
              <w:spacing w:after="200"/>
              <w:rPr>
                <w:rFonts w:ascii="Arial" w:hAnsi="Arial" w:cs="Arial"/>
                <w:sz w:val="20"/>
                <w:szCs w:val="20"/>
              </w:rPr>
            </w:pPr>
            <w:r w:rsidRPr="00D720DA">
              <w:rPr>
                <w:rFonts w:ascii="Arial" w:hAnsi="Arial" w:cs="Arial"/>
                <w:sz w:val="20"/>
                <w:szCs w:val="20"/>
              </w:rPr>
              <w:t xml:space="preserve">Was the </w:t>
            </w:r>
            <w:proofErr w:type="gramStart"/>
            <w:r w:rsidRPr="00D720DA">
              <w:rPr>
                <w:rFonts w:ascii="Arial" w:hAnsi="Arial" w:cs="Arial"/>
                <w:sz w:val="20"/>
                <w:szCs w:val="20"/>
              </w:rPr>
              <w:t>first priority</w:t>
            </w:r>
            <w:proofErr w:type="gramEnd"/>
            <w:r w:rsidRPr="00D720DA">
              <w:rPr>
                <w:rFonts w:ascii="Arial" w:hAnsi="Arial" w:cs="Arial"/>
                <w:sz w:val="20"/>
                <w:szCs w:val="20"/>
              </w:rPr>
              <w:t xml:space="preserve"> in the broader management and leadership initiative then underway in the State Service.</w:t>
            </w:r>
          </w:p>
          <w:p w14:paraId="2FC89113" w14:textId="1A345DB8" w:rsidR="00064DC1" w:rsidRPr="00D720DA" w:rsidRDefault="00064DC1" w:rsidP="007B0BBE">
            <w:pPr>
              <w:spacing w:after="200" w:line="276" w:lineRule="auto"/>
              <w:rPr>
                <w:rFonts w:ascii="Arial" w:hAnsi="Arial" w:cs="Arial"/>
                <w:i/>
                <w:iCs/>
                <w:sz w:val="20"/>
                <w:szCs w:val="20"/>
              </w:rPr>
            </w:pPr>
            <w:r w:rsidRPr="00D720DA">
              <w:rPr>
                <w:rFonts w:ascii="Arial" w:hAnsi="Arial" w:cs="Arial"/>
                <w:i/>
                <w:iCs/>
                <w:sz w:val="20"/>
                <w:szCs w:val="20"/>
              </w:rPr>
              <w:t>Employment Direction No. 7 – Pre</w:t>
            </w:r>
            <w:r w:rsidR="0032127B" w:rsidRPr="00D720DA">
              <w:rPr>
                <w:rFonts w:ascii="Arial" w:hAnsi="Arial" w:cs="Arial"/>
                <w:i/>
                <w:iCs/>
                <w:sz w:val="20"/>
                <w:szCs w:val="20"/>
              </w:rPr>
              <w:t>-</w:t>
            </w:r>
            <w:r w:rsidRPr="00D720DA">
              <w:rPr>
                <w:rFonts w:ascii="Arial" w:hAnsi="Arial" w:cs="Arial"/>
                <w:i/>
                <w:iCs/>
                <w:sz w:val="20"/>
                <w:szCs w:val="20"/>
              </w:rPr>
              <w:t>Employment Checks</w:t>
            </w:r>
          </w:p>
        </w:tc>
        <w:tc>
          <w:tcPr>
            <w:tcW w:w="1127" w:type="pct"/>
          </w:tcPr>
          <w:p w14:paraId="3C7252A1" w14:textId="25457E4E" w:rsidR="005C7D7D" w:rsidRPr="00D720DA" w:rsidRDefault="005C7D7D" w:rsidP="007B0BBE">
            <w:pPr>
              <w:spacing w:after="200" w:line="276" w:lineRule="auto"/>
              <w:rPr>
                <w:rFonts w:ascii="Arial" w:hAnsi="Arial" w:cs="Arial"/>
              </w:rPr>
            </w:pPr>
          </w:p>
        </w:tc>
      </w:tr>
      <w:tr w:rsidR="0008146B" w:rsidRPr="00D720DA" w14:paraId="62BFA358" w14:textId="77777777" w:rsidTr="0032127B">
        <w:tc>
          <w:tcPr>
            <w:tcW w:w="241" w:type="pct"/>
          </w:tcPr>
          <w:p w14:paraId="6FA4B6D3" w14:textId="77777777" w:rsidR="005C7D7D" w:rsidRPr="00D720DA" w:rsidRDefault="005C7D7D" w:rsidP="007B0BBE">
            <w:pPr>
              <w:spacing w:after="200" w:line="276" w:lineRule="auto"/>
              <w:rPr>
                <w:rFonts w:ascii="Arial" w:hAnsi="Arial" w:cs="Arial"/>
                <w:b/>
                <w:bCs/>
                <w:sz w:val="22"/>
              </w:rPr>
            </w:pPr>
            <w:r w:rsidRPr="00D720DA">
              <w:rPr>
                <w:rFonts w:ascii="Arial" w:hAnsi="Arial" w:cs="Arial"/>
                <w:b/>
                <w:bCs/>
                <w:sz w:val="22"/>
              </w:rPr>
              <w:t>2012</w:t>
            </w:r>
          </w:p>
        </w:tc>
        <w:tc>
          <w:tcPr>
            <w:tcW w:w="1800" w:type="pct"/>
          </w:tcPr>
          <w:p w14:paraId="750D8D53" w14:textId="77777777" w:rsidR="005C7D7D" w:rsidRPr="00D720DA" w:rsidRDefault="005C7D7D" w:rsidP="00581C78">
            <w:pPr>
              <w:spacing w:after="200"/>
              <w:rPr>
                <w:rFonts w:ascii="Arial" w:hAnsi="Arial" w:cs="Arial"/>
                <w:i/>
                <w:iCs/>
                <w:sz w:val="20"/>
                <w:szCs w:val="20"/>
              </w:rPr>
            </w:pPr>
            <w:r w:rsidRPr="00D720DA">
              <w:rPr>
                <w:rFonts w:ascii="Arial" w:hAnsi="Arial" w:cs="Arial"/>
                <w:i/>
                <w:iCs/>
                <w:sz w:val="20"/>
                <w:szCs w:val="20"/>
              </w:rPr>
              <w:t>SSC Annual Report 2011-12</w:t>
            </w:r>
          </w:p>
          <w:p w14:paraId="1D06B151" w14:textId="028354C4" w:rsidR="0008146B" w:rsidRPr="00D720DA" w:rsidRDefault="0008146B" w:rsidP="00581C78">
            <w:pPr>
              <w:spacing w:after="200"/>
              <w:rPr>
                <w:rFonts w:ascii="Arial" w:hAnsi="Arial" w:cs="Arial"/>
                <w:sz w:val="20"/>
                <w:szCs w:val="20"/>
              </w:rPr>
            </w:pPr>
            <w:r w:rsidRPr="00D720DA">
              <w:rPr>
                <w:rFonts w:ascii="Arial" w:hAnsi="Arial" w:cs="Arial"/>
                <w:sz w:val="20"/>
                <w:szCs w:val="20"/>
              </w:rPr>
              <w:t>Outlined new leadership development initiatives relating to SES officers, including participation in several ANZSOG executive training programs. (p</w:t>
            </w:r>
            <w:r w:rsidR="00FA4BB8" w:rsidRPr="00D720DA">
              <w:rPr>
                <w:rFonts w:ascii="Arial" w:hAnsi="Arial" w:cs="Arial"/>
                <w:sz w:val="20"/>
                <w:szCs w:val="20"/>
              </w:rPr>
              <w:t xml:space="preserve">. </w:t>
            </w:r>
            <w:r w:rsidRPr="00D720DA">
              <w:rPr>
                <w:rFonts w:ascii="Arial" w:hAnsi="Arial" w:cs="Arial"/>
                <w:sz w:val="20"/>
                <w:szCs w:val="20"/>
              </w:rPr>
              <w:t>38)</w:t>
            </w:r>
          </w:p>
        </w:tc>
        <w:tc>
          <w:tcPr>
            <w:tcW w:w="1833" w:type="pct"/>
          </w:tcPr>
          <w:p w14:paraId="35919995" w14:textId="7BB43911" w:rsidR="005C7D7D" w:rsidRPr="00D720DA" w:rsidRDefault="005C7D7D" w:rsidP="007B0BBE">
            <w:pPr>
              <w:spacing w:after="200" w:line="276" w:lineRule="auto"/>
              <w:rPr>
                <w:rFonts w:ascii="Arial" w:hAnsi="Arial" w:cs="Arial"/>
              </w:rPr>
            </w:pPr>
          </w:p>
        </w:tc>
        <w:tc>
          <w:tcPr>
            <w:tcW w:w="1127" w:type="pct"/>
          </w:tcPr>
          <w:p w14:paraId="2DBDBB1A" w14:textId="04B43314" w:rsidR="005C7D7D" w:rsidRPr="00D720DA" w:rsidRDefault="00E00C0A" w:rsidP="007B0BBE">
            <w:pPr>
              <w:spacing w:after="200" w:line="276" w:lineRule="auto"/>
              <w:rPr>
                <w:rFonts w:ascii="Arial" w:hAnsi="Arial" w:cs="Arial"/>
              </w:rPr>
            </w:pPr>
            <w:hyperlink r:id="rId82" w:history="1">
              <w:r w:rsidR="00424A13" w:rsidRPr="00D720DA">
                <w:rPr>
                  <w:rFonts w:ascii="Arial" w:hAnsi="Arial" w:cs="Arial"/>
                  <w:i/>
                  <w:iCs/>
                  <w:sz w:val="20"/>
                  <w:szCs w:val="20"/>
                </w:rPr>
                <w:t>State Service Amendment Act 2012</w:t>
              </w:r>
            </w:hyperlink>
          </w:p>
        </w:tc>
      </w:tr>
      <w:tr w:rsidR="0008146B" w:rsidRPr="00D720DA" w14:paraId="6310CA57" w14:textId="77777777" w:rsidTr="0032127B">
        <w:trPr>
          <w:trHeight w:val="405"/>
        </w:trPr>
        <w:tc>
          <w:tcPr>
            <w:tcW w:w="241" w:type="pct"/>
          </w:tcPr>
          <w:p w14:paraId="734EE527" w14:textId="77777777" w:rsidR="005C7D7D" w:rsidRPr="00D720DA" w:rsidRDefault="005C7D7D" w:rsidP="007B0BBE">
            <w:pPr>
              <w:spacing w:after="200" w:line="276" w:lineRule="auto"/>
              <w:rPr>
                <w:rFonts w:ascii="Arial" w:hAnsi="Arial" w:cs="Arial"/>
                <w:b/>
                <w:bCs/>
                <w:sz w:val="22"/>
              </w:rPr>
            </w:pPr>
            <w:r w:rsidRPr="00D720DA">
              <w:rPr>
                <w:rFonts w:ascii="Arial" w:hAnsi="Arial" w:cs="Arial"/>
                <w:b/>
                <w:bCs/>
                <w:sz w:val="22"/>
              </w:rPr>
              <w:t>2011</w:t>
            </w:r>
          </w:p>
        </w:tc>
        <w:tc>
          <w:tcPr>
            <w:tcW w:w="1800" w:type="pct"/>
          </w:tcPr>
          <w:p w14:paraId="46DF1B62" w14:textId="77777777" w:rsidR="005C7D7D" w:rsidRPr="00D720DA" w:rsidRDefault="005C7D7D" w:rsidP="00581C78">
            <w:pPr>
              <w:spacing w:after="200"/>
              <w:rPr>
                <w:rFonts w:ascii="Arial" w:hAnsi="Arial" w:cs="Arial"/>
                <w:i/>
                <w:iCs/>
                <w:sz w:val="20"/>
                <w:szCs w:val="20"/>
              </w:rPr>
            </w:pPr>
            <w:r w:rsidRPr="00D720DA">
              <w:rPr>
                <w:rFonts w:ascii="Arial" w:hAnsi="Arial" w:cs="Arial"/>
                <w:i/>
                <w:iCs/>
                <w:sz w:val="20"/>
                <w:szCs w:val="20"/>
              </w:rPr>
              <w:t>SSC Annual Report 2010-11</w:t>
            </w:r>
          </w:p>
          <w:p w14:paraId="782A5045" w14:textId="77777777" w:rsidR="0008146B" w:rsidRPr="00D720DA" w:rsidRDefault="0008146B" w:rsidP="00581C78">
            <w:pPr>
              <w:spacing w:after="200"/>
              <w:rPr>
                <w:rFonts w:ascii="Arial" w:hAnsi="Arial" w:cs="Arial"/>
                <w:sz w:val="20"/>
                <w:szCs w:val="20"/>
              </w:rPr>
            </w:pPr>
            <w:r w:rsidRPr="00D720DA">
              <w:rPr>
                <w:rFonts w:ascii="Arial" w:hAnsi="Arial" w:cs="Arial"/>
                <w:sz w:val="20"/>
                <w:szCs w:val="20"/>
              </w:rPr>
              <w:t xml:space="preserve">Detailed an amendment to </w:t>
            </w:r>
            <w:r w:rsidRPr="00D720DA">
              <w:rPr>
                <w:rFonts w:ascii="Arial" w:hAnsi="Arial" w:cs="Arial"/>
                <w:i/>
                <w:sz w:val="20"/>
                <w:szCs w:val="20"/>
              </w:rPr>
              <w:t>Ministerial Direction No. 17 – Senior Executive and Equivalent Specialist Officers</w:t>
            </w:r>
            <w:r w:rsidRPr="00D720DA">
              <w:rPr>
                <w:rFonts w:ascii="Arial" w:hAnsi="Arial" w:cs="Arial"/>
                <w:sz w:val="20"/>
                <w:szCs w:val="20"/>
              </w:rPr>
              <w:t xml:space="preserve"> relating to remuneration and salary rates for SES officers. (p7)</w:t>
            </w:r>
          </w:p>
          <w:p w14:paraId="34B9ED7F" w14:textId="0A5666D3" w:rsidR="0008146B" w:rsidRPr="00D720DA" w:rsidRDefault="0008146B" w:rsidP="00581C78">
            <w:pPr>
              <w:spacing w:after="200"/>
              <w:rPr>
                <w:rFonts w:ascii="Arial" w:hAnsi="Arial" w:cs="Arial"/>
                <w:sz w:val="20"/>
                <w:szCs w:val="20"/>
              </w:rPr>
            </w:pPr>
            <w:r w:rsidRPr="00D720DA">
              <w:rPr>
                <w:rFonts w:ascii="Arial" w:hAnsi="Arial" w:cs="Arial"/>
                <w:sz w:val="20"/>
                <w:szCs w:val="20"/>
              </w:rPr>
              <w:t xml:space="preserve">Outlined new leadership development initiatives relating to SES officers, including creation of a Senior Executive </w:t>
            </w:r>
            <w:r w:rsidRPr="00D720DA">
              <w:rPr>
                <w:rFonts w:ascii="Arial" w:hAnsi="Arial" w:cs="Arial"/>
                <w:sz w:val="20"/>
                <w:szCs w:val="20"/>
              </w:rPr>
              <w:lastRenderedPageBreak/>
              <w:t>Capability Profile and supporting documentary materials. (p52)</w:t>
            </w:r>
          </w:p>
        </w:tc>
        <w:tc>
          <w:tcPr>
            <w:tcW w:w="1833" w:type="pct"/>
          </w:tcPr>
          <w:p w14:paraId="74D4F4E0" w14:textId="6F4AADC1" w:rsidR="005C7D7D" w:rsidRPr="00D720DA" w:rsidRDefault="005C7D7D" w:rsidP="007B0BBE">
            <w:pPr>
              <w:spacing w:after="200" w:line="276" w:lineRule="auto"/>
              <w:rPr>
                <w:rFonts w:ascii="Arial" w:hAnsi="Arial" w:cs="Arial"/>
              </w:rPr>
            </w:pPr>
          </w:p>
        </w:tc>
        <w:tc>
          <w:tcPr>
            <w:tcW w:w="1127" w:type="pct"/>
          </w:tcPr>
          <w:p w14:paraId="50917E14" w14:textId="77777777" w:rsidR="005C7D7D" w:rsidRPr="00D720DA" w:rsidRDefault="006F6AC1" w:rsidP="007B0BBE">
            <w:pPr>
              <w:spacing w:after="200" w:line="276" w:lineRule="auto"/>
              <w:rPr>
                <w:rFonts w:ascii="Arial" w:hAnsi="Arial" w:cs="Arial"/>
                <w:i/>
                <w:iCs/>
                <w:sz w:val="20"/>
                <w:szCs w:val="20"/>
              </w:rPr>
            </w:pPr>
            <w:r w:rsidRPr="00D720DA">
              <w:rPr>
                <w:rFonts w:ascii="Arial" w:hAnsi="Arial" w:cs="Arial"/>
                <w:i/>
                <w:iCs/>
                <w:sz w:val="20"/>
                <w:szCs w:val="20"/>
              </w:rPr>
              <w:t>State Service Regulations 2011</w:t>
            </w:r>
          </w:p>
          <w:p w14:paraId="465BD2AC" w14:textId="77777777" w:rsidR="006F6AC1" w:rsidRPr="00D720DA" w:rsidRDefault="006F6AC1" w:rsidP="007B0BBE">
            <w:pPr>
              <w:spacing w:after="200" w:line="276" w:lineRule="auto"/>
              <w:rPr>
                <w:rFonts w:ascii="Arial" w:hAnsi="Arial" w:cs="Arial"/>
                <w:sz w:val="20"/>
                <w:szCs w:val="20"/>
                <w:shd w:val="clear" w:color="auto" w:fill="FFFFFF"/>
              </w:rPr>
            </w:pPr>
            <w:r w:rsidRPr="00D720DA">
              <w:rPr>
                <w:rFonts w:ascii="Arial" w:hAnsi="Arial" w:cs="Arial"/>
                <w:sz w:val="20"/>
                <w:szCs w:val="20"/>
                <w:shd w:val="clear" w:color="auto" w:fill="FFFFFF"/>
              </w:rPr>
              <w:t>Supplement the </w:t>
            </w:r>
            <w:hyperlink r:id="rId83" w:history="1">
              <w:r w:rsidRPr="00D720DA">
                <w:rPr>
                  <w:rStyle w:val="Hyperlink"/>
                  <w:rFonts w:ascii="Arial" w:hAnsi="Arial" w:cs="Arial"/>
                  <w:i/>
                  <w:iCs/>
                  <w:color w:val="auto"/>
                  <w:sz w:val="20"/>
                  <w:szCs w:val="20"/>
                  <w:u w:val="none"/>
                  <w:bdr w:val="none" w:sz="0" w:space="0" w:color="auto" w:frame="1"/>
                  <w:shd w:val="clear" w:color="auto" w:fill="FFFFFF"/>
                </w:rPr>
                <w:t>State Service Act 2000</w:t>
              </w:r>
            </w:hyperlink>
            <w:r w:rsidRPr="00D720DA">
              <w:rPr>
                <w:rFonts w:ascii="Arial" w:hAnsi="Arial" w:cs="Arial"/>
                <w:sz w:val="20"/>
                <w:szCs w:val="20"/>
                <w:shd w:val="clear" w:color="auto" w:fill="FFFFFF"/>
              </w:rPr>
              <w:t> (the Act) and, alongside and </w:t>
            </w:r>
            <w:hyperlink r:id="rId84" w:history="1">
              <w:r w:rsidRPr="00D720DA">
                <w:rPr>
                  <w:rStyle w:val="Hyperlink"/>
                  <w:rFonts w:ascii="Arial" w:hAnsi="Arial" w:cs="Arial"/>
                  <w:color w:val="auto"/>
                  <w:sz w:val="20"/>
                  <w:szCs w:val="20"/>
                  <w:u w:val="none"/>
                  <w:shd w:val="clear" w:color="auto" w:fill="FFFFFF"/>
                </w:rPr>
                <w:t>Employment Directions</w:t>
              </w:r>
            </w:hyperlink>
            <w:r w:rsidRPr="00D720DA">
              <w:rPr>
                <w:rFonts w:ascii="Arial" w:hAnsi="Arial" w:cs="Arial"/>
                <w:sz w:val="20"/>
                <w:szCs w:val="20"/>
              </w:rPr>
              <w:t>,</w:t>
            </w:r>
            <w:r w:rsidRPr="00D720DA">
              <w:rPr>
                <w:rFonts w:ascii="Arial" w:hAnsi="Arial" w:cs="Arial"/>
                <w:sz w:val="20"/>
                <w:szCs w:val="20"/>
                <w:shd w:val="clear" w:color="auto" w:fill="FFFFFF"/>
              </w:rPr>
              <w:t> are a key component of the legislative framework supporting the operation of the State Service.</w:t>
            </w:r>
          </w:p>
          <w:p w14:paraId="28C32FE2" w14:textId="05B0BB58" w:rsidR="00043D02" w:rsidRPr="00D720DA" w:rsidRDefault="00E00C0A" w:rsidP="007B0BBE">
            <w:pPr>
              <w:spacing w:after="200" w:line="276" w:lineRule="auto"/>
              <w:rPr>
                <w:rFonts w:ascii="Arial" w:hAnsi="Arial" w:cs="Arial"/>
                <w:color w:val="FF0000"/>
              </w:rPr>
            </w:pPr>
            <w:hyperlink r:id="rId85" w:history="1">
              <w:r w:rsidR="00043D02" w:rsidRPr="00D720DA">
                <w:rPr>
                  <w:rFonts w:ascii="Arial" w:hAnsi="Arial" w:cs="Arial"/>
                  <w:i/>
                  <w:iCs/>
                  <w:sz w:val="20"/>
                  <w:szCs w:val="20"/>
                </w:rPr>
                <w:t>State Service Amendment (Redeployment) Act 2011</w:t>
              </w:r>
            </w:hyperlink>
            <w:r w:rsidR="00D34833" w:rsidRPr="00D720DA">
              <w:rPr>
                <w:rFonts w:ascii="Arial" w:hAnsi="Arial" w:cs="Arial"/>
                <w:i/>
                <w:iCs/>
                <w:sz w:val="20"/>
                <w:szCs w:val="20"/>
              </w:rPr>
              <w:t xml:space="preserve"> – </w:t>
            </w:r>
            <w:r w:rsidR="00D34833" w:rsidRPr="00D720DA">
              <w:rPr>
                <w:rFonts w:ascii="Arial" w:hAnsi="Arial" w:cs="Arial"/>
                <w:sz w:val="20"/>
                <w:szCs w:val="20"/>
              </w:rPr>
              <w:t>applies to employees, not officers.</w:t>
            </w:r>
          </w:p>
        </w:tc>
      </w:tr>
      <w:tr w:rsidR="0008146B" w:rsidRPr="00D720DA" w14:paraId="5AB3FAA8" w14:textId="77777777" w:rsidTr="0032127B">
        <w:trPr>
          <w:trHeight w:val="517"/>
        </w:trPr>
        <w:tc>
          <w:tcPr>
            <w:tcW w:w="241" w:type="pct"/>
          </w:tcPr>
          <w:p w14:paraId="307381F9" w14:textId="77777777" w:rsidR="005C7D7D" w:rsidRPr="00D720DA" w:rsidRDefault="005C7D7D" w:rsidP="007B0BBE">
            <w:pPr>
              <w:spacing w:after="200" w:line="276" w:lineRule="auto"/>
              <w:rPr>
                <w:rFonts w:ascii="Arial" w:hAnsi="Arial" w:cs="Arial"/>
                <w:b/>
                <w:bCs/>
                <w:sz w:val="22"/>
              </w:rPr>
            </w:pPr>
            <w:r w:rsidRPr="00D720DA">
              <w:rPr>
                <w:rFonts w:ascii="Arial" w:hAnsi="Arial" w:cs="Arial"/>
                <w:b/>
                <w:bCs/>
                <w:sz w:val="22"/>
              </w:rPr>
              <w:t>2010</w:t>
            </w:r>
          </w:p>
        </w:tc>
        <w:tc>
          <w:tcPr>
            <w:tcW w:w="1800" w:type="pct"/>
          </w:tcPr>
          <w:p w14:paraId="6D5181D0" w14:textId="77777777" w:rsidR="005C7D7D" w:rsidRPr="00D720DA" w:rsidRDefault="005C7D7D" w:rsidP="00581C78">
            <w:pPr>
              <w:spacing w:after="200"/>
              <w:rPr>
                <w:rFonts w:ascii="Arial" w:hAnsi="Arial" w:cs="Arial"/>
                <w:i/>
                <w:iCs/>
                <w:sz w:val="20"/>
                <w:szCs w:val="20"/>
              </w:rPr>
            </w:pPr>
            <w:r w:rsidRPr="00D720DA">
              <w:rPr>
                <w:rFonts w:ascii="Arial" w:hAnsi="Arial" w:cs="Arial"/>
                <w:i/>
                <w:iCs/>
                <w:sz w:val="20"/>
                <w:szCs w:val="20"/>
              </w:rPr>
              <w:t>SSC Annual Report 2009-10</w:t>
            </w:r>
          </w:p>
          <w:p w14:paraId="5A4DF8AF" w14:textId="537B7487" w:rsidR="0008146B" w:rsidRPr="00D720DA" w:rsidRDefault="0008146B" w:rsidP="00581C78">
            <w:pPr>
              <w:spacing w:after="200"/>
              <w:rPr>
                <w:rFonts w:ascii="Arial" w:hAnsi="Arial" w:cs="Arial"/>
                <w:sz w:val="20"/>
                <w:szCs w:val="20"/>
              </w:rPr>
            </w:pPr>
            <w:r w:rsidRPr="00D720DA">
              <w:rPr>
                <w:rFonts w:ascii="Arial" w:hAnsi="Arial" w:cs="Arial"/>
                <w:sz w:val="20"/>
                <w:szCs w:val="20"/>
              </w:rPr>
              <w:t xml:space="preserve">Detailed a new </w:t>
            </w:r>
            <w:r w:rsidRPr="00D720DA">
              <w:rPr>
                <w:rFonts w:ascii="Arial" w:hAnsi="Arial" w:cs="Arial"/>
                <w:i/>
                <w:sz w:val="20"/>
                <w:szCs w:val="20"/>
              </w:rPr>
              <w:t>Ministerial Direction No. 17 – Senior Executive and Equivalent Specialist Officers</w:t>
            </w:r>
            <w:r w:rsidRPr="00D720DA">
              <w:rPr>
                <w:rFonts w:ascii="Arial" w:hAnsi="Arial" w:cs="Arial"/>
                <w:sz w:val="20"/>
                <w:szCs w:val="20"/>
              </w:rPr>
              <w:t xml:space="preserve"> relating to administrative arrangements for the creation and abolition of senior executive roles, appointment and termination of SES officers and their applicable conditions of service. (p</w:t>
            </w:r>
            <w:r w:rsidR="00FA4BB8" w:rsidRPr="00D720DA">
              <w:rPr>
                <w:rFonts w:ascii="Arial" w:hAnsi="Arial" w:cs="Arial"/>
                <w:sz w:val="20"/>
                <w:szCs w:val="20"/>
              </w:rPr>
              <w:t xml:space="preserve">. </w:t>
            </w:r>
            <w:r w:rsidRPr="00D720DA">
              <w:rPr>
                <w:rFonts w:ascii="Arial" w:hAnsi="Arial" w:cs="Arial"/>
                <w:sz w:val="20"/>
                <w:szCs w:val="20"/>
              </w:rPr>
              <w:t>5)</w:t>
            </w:r>
          </w:p>
        </w:tc>
        <w:tc>
          <w:tcPr>
            <w:tcW w:w="1833" w:type="pct"/>
          </w:tcPr>
          <w:p w14:paraId="4EBAF675" w14:textId="3EE6B09F" w:rsidR="005C7D7D" w:rsidRPr="00D720DA" w:rsidRDefault="005C7D7D" w:rsidP="007B0BBE">
            <w:pPr>
              <w:spacing w:after="200" w:line="276" w:lineRule="auto"/>
              <w:rPr>
                <w:rFonts w:ascii="Arial" w:hAnsi="Arial" w:cs="Arial"/>
              </w:rPr>
            </w:pPr>
          </w:p>
        </w:tc>
        <w:tc>
          <w:tcPr>
            <w:tcW w:w="1127" w:type="pct"/>
          </w:tcPr>
          <w:p w14:paraId="758DC463" w14:textId="23278737" w:rsidR="005C7D7D" w:rsidRPr="00D720DA" w:rsidRDefault="005C7D7D" w:rsidP="007B0BBE">
            <w:pPr>
              <w:spacing w:after="200" w:line="276" w:lineRule="auto"/>
              <w:rPr>
                <w:rFonts w:ascii="Arial" w:hAnsi="Arial" w:cs="Arial"/>
              </w:rPr>
            </w:pPr>
          </w:p>
        </w:tc>
      </w:tr>
      <w:tr w:rsidR="0008146B" w:rsidRPr="00D720DA" w14:paraId="51E88F76" w14:textId="77777777" w:rsidTr="0032127B">
        <w:trPr>
          <w:trHeight w:val="517"/>
        </w:trPr>
        <w:tc>
          <w:tcPr>
            <w:tcW w:w="241" w:type="pct"/>
          </w:tcPr>
          <w:p w14:paraId="3AD7A845" w14:textId="77777777" w:rsidR="005C7D7D" w:rsidRPr="00D720DA" w:rsidRDefault="005C7D7D" w:rsidP="007B0BBE">
            <w:pPr>
              <w:spacing w:after="200" w:line="276" w:lineRule="auto"/>
              <w:rPr>
                <w:rFonts w:ascii="Arial" w:hAnsi="Arial" w:cs="Arial"/>
                <w:b/>
                <w:bCs/>
                <w:sz w:val="22"/>
              </w:rPr>
            </w:pPr>
            <w:r w:rsidRPr="00D720DA">
              <w:rPr>
                <w:rFonts w:ascii="Arial" w:hAnsi="Arial" w:cs="Arial"/>
                <w:b/>
                <w:bCs/>
                <w:sz w:val="22"/>
              </w:rPr>
              <w:t>2009</w:t>
            </w:r>
          </w:p>
        </w:tc>
        <w:tc>
          <w:tcPr>
            <w:tcW w:w="1800" w:type="pct"/>
          </w:tcPr>
          <w:p w14:paraId="4A75D0A1" w14:textId="77777777" w:rsidR="005C7D7D" w:rsidRPr="00D720DA" w:rsidRDefault="005C7D7D" w:rsidP="00581C78">
            <w:pPr>
              <w:spacing w:after="200"/>
              <w:rPr>
                <w:rFonts w:ascii="Arial" w:hAnsi="Arial" w:cs="Arial"/>
                <w:i/>
                <w:iCs/>
                <w:sz w:val="20"/>
                <w:szCs w:val="20"/>
              </w:rPr>
            </w:pPr>
            <w:r w:rsidRPr="00D720DA">
              <w:rPr>
                <w:rFonts w:ascii="Arial" w:hAnsi="Arial" w:cs="Arial"/>
                <w:i/>
                <w:iCs/>
                <w:sz w:val="20"/>
                <w:szCs w:val="20"/>
              </w:rPr>
              <w:t>SSC Annual Report 2008-09</w:t>
            </w:r>
          </w:p>
          <w:p w14:paraId="7E5F2C77" w14:textId="1F8DFFCB" w:rsidR="0008146B" w:rsidRPr="00D720DA" w:rsidRDefault="0008146B" w:rsidP="00581C78">
            <w:pPr>
              <w:spacing w:after="200"/>
              <w:rPr>
                <w:rFonts w:ascii="Arial" w:hAnsi="Arial" w:cs="Arial"/>
                <w:sz w:val="20"/>
                <w:szCs w:val="20"/>
              </w:rPr>
            </w:pPr>
            <w:r w:rsidRPr="00D720DA">
              <w:rPr>
                <w:rFonts w:ascii="Arial" w:hAnsi="Arial" w:cs="Arial"/>
                <w:sz w:val="20"/>
                <w:szCs w:val="20"/>
              </w:rPr>
              <w:t>Outlined statistics related to SES classification levels and remuneration, and delegation powers of the SSC relating to senior executives. (p</w:t>
            </w:r>
            <w:r w:rsidR="00FA4BB8" w:rsidRPr="00D720DA">
              <w:rPr>
                <w:rFonts w:ascii="Arial" w:hAnsi="Arial" w:cs="Arial"/>
                <w:sz w:val="20"/>
                <w:szCs w:val="20"/>
              </w:rPr>
              <w:t xml:space="preserve">. </w:t>
            </w:r>
            <w:r w:rsidRPr="00D720DA">
              <w:rPr>
                <w:rFonts w:ascii="Arial" w:hAnsi="Arial" w:cs="Arial"/>
                <w:sz w:val="20"/>
                <w:szCs w:val="20"/>
              </w:rPr>
              <w:t>69)</w:t>
            </w:r>
          </w:p>
        </w:tc>
        <w:tc>
          <w:tcPr>
            <w:tcW w:w="1833" w:type="pct"/>
          </w:tcPr>
          <w:p w14:paraId="545F2BC3" w14:textId="098FB430" w:rsidR="005C7D7D" w:rsidRPr="00D720DA" w:rsidRDefault="005C7D7D" w:rsidP="007B0BBE">
            <w:pPr>
              <w:spacing w:after="200" w:line="276" w:lineRule="auto"/>
              <w:rPr>
                <w:rFonts w:ascii="Arial" w:hAnsi="Arial" w:cs="Arial"/>
              </w:rPr>
            </w:pPr>
          </w:p>
        </w:tc>
        <w:tc>
          <w:tcPr>
            <w:tcW w:w="1127" w:type="pct"/>
          </w:tcPr>
          <w:p w14:paraId="621EC7EC" w14:textId="1A93332D" w:rsidR="005C7D7D" w:rsidRPr="00D720DA" w:rsidRDefault="00E00C0A" w:rsidP="007B0BBE">
            <w:pPr>
              <w:spacing w:after="200" w:line="276" w:lineRule="auto"/>
              <w:rPr>
                <w:rFonts w:ascii="Arial" w:hAnsi="Arial" w:cs="Arial"/>
              </w:rPr>
            </w:pPr>
            <w:hyperlink r:id="rId86" w:history="1">
              <w:r w:rsidR="00043D02" w:rsidRPr="00D720DA">
                <w:rPr>
                  <w:rFonts w:ascii="Arial" w:hAnsi="Arial" w:cs="Arial"/>
                  <w:i/>
                  <w:iCs/>
                  <w:sz w:val="20"/>
                  <w:szCs w:val="20"/>
                </w:rPr>
                <w:t>State Service (Agencies and Heads of Agencies) Order 2009</w:t>
              </w:r>
            </w:hyperlink>
          </w:p>
        </w:tc>
      </w:tr>
      <w:tr w:rsidR="0008146B" w:rsidRPr="00D720DA" w14:paraId="5115CF20" w14:textId="77777777" w:rsidTr="0032127B">
        <w:trPr>
          <w:trHeight w:val="517"/>
        </w:trPr>
        <w:tc>
          <w:tcPr>
            <w:tcW w:w="241" w:type="pct"/>
          </w:tcPr>
          <w:p w14:paraId="2FC5BE7D" w14:textId="77777777" w:rsidR="005C7D7D" w:rsidRPr="00D720DA" w:rsidRDefault="005C7D7D" w:rsidP="007B0BBE">
            <w:pPr>
              <w:spacing w:after="200" w:line="276" w:lineRule="auto"/>
              <w:rPr>
                <w:rFonts w:ascii="Arial" w:hAnsi="Arial" w:cs="Arial"/>
                <w:b/>
                <w:bCs/>
                <w:sz w:val="22"/>
              </w:rPr>
            </w:pPr>
            <w:r w:rsidRPr="00D720DA">
              <w:rPr>
                <w:rFonts w:ascii="Arial" w:hAnsi="Arial" w:cs="Arial"/>
                <w:b/>
                <w:bCs/>
                <w:sz w:val="22"/>
              </w:rPr>
              <w:t>2008</w:t>
            </w:r>
          </w:p>
        </w:tc>
        <w:tc>
          <w:tcPr>
            <w:tcW w:w="1800" w:type="pct"/>
          </w:tcPr>
          <w:p w14:paraId="7FA54C23" w14:textId="77777777" w:rsidR="005C7D7D" w:rsidRPr="00D720DA" w:rsidRDefault="005C7D7D" w:rsidP="00581C78">
            <w:pPr>
              <w:spacing w:after="200"/>
              <w:rPr>
                <w:rFonts w:ascii="Arial" w:hAnsi="Arial" w:cs="Arial"/>
                <w:i/>
                <w:iCs/>
                <w:sz w:val="20"/>
                <w:szCs w:val="20"/>
              </w:rPr>
            </w:pPr>
            <w:r w:rsidRPr="00D720DA">
              <w:rPr>
                <w:rFonts w:ascii="Arial" w:hAnsi="Arial" w:cs="Arial"/>
                <w:i/>
                <w:iCs/>
                <w:sz w:val="20"/>
                <w:szCs w:val="20"/>
              </w:rPr>
              <w:t>SSC Annual Report 2007-08</w:t>
            </w:r>
          </w:p>
          <w:p w14:paraId="50298359" w14:textId="3F757B39" w:rsidR="0008146B" w:rsidRPr="00D720DA" w:rsidRDefault="0008146B" w:rsidP="00581C78">
            <w:pPr>
              <w:spacing w:after="200"/>
              <w:rPr>
                <w:rFonts w:ascii="Arial" w:hAnsi="Arial" w:cs="Arial"/>
                <w:sz w:val="20"/>
                <w:szCs w:val="20"/>
              </w:rPr>
            </w:pPr>
            <w:r w:rsidRPr="00D720DA">
              <w:rPr>
                <w:rFonts w:ascii="Arial" w:hAnsi="Arial" w:cs="Arial"/>
                <w:sz w:val="20"/>
                <w:szCs w:val="20"/>
              </w:rPr>
              <w:t>Outlined statistics related to SES classification levels and remuneration, and delegation powers of the SSC relating to senior executives. (p</w:t>
            </w:r>
            <w:r w:rsidR="00FA4BB8" w:rsidRPr="00D720DA">
              <w:rPr>
                <w:rFonts w:ascii="Arial" w:hAnsi="Arial" w:cs="Arial"/>
                <w:sz w:val="20"/>
                <w:szCs w:val="20"/>
              </w:rPr>
              <w:t xml:space="preserve">. </w:t>
            </w:r>
            <w:r w:rsidRPr="00D720DA">
              <w:rPr>
                <w:rFonts w:ascii="Arial" w:hAnsi="Arial" w:cs="Arial"/>
                <w:sz w:val="20"/>
                <w:szCs w:val="20"/>
              </w:rPr>
              <w:t>76)</w:t>
            </w:r>
          </w:p>
        </w:tc>
        <w:tc>
          <w:tcPr>
            <w:tcW w:w="1833" w:type="pct"/>
          </w:tcPr>
          <w:p w14:paraId="50B10E2B" w14:textId="3ED747F1" w:rsidR="005C7D7D" w:rsidRPr="00D720DA" w:rsidRDefault="005C7D7D" w:rsidP="007B0BBE">
            <w:pPr>
              <w:spacing w:after="200" w:line="276" w:lineRule="auto"/>
              <w:rPr>
                <w:rFonts w:ascii="Arial" w:hAnsi="Arial" w:cs="Arial"/>
              </w:rPr>
            </w:pPr>
          </w:p>
        </w:tc>
        <w:tc>
          <w:tcPr>
            <w:tcW w:w="1127" w:type="pct"/>
          </w:tcPr>
          <w:p w14:paraId="24A9BC71" w14:textId="77777777" w:rsidR="00043D02" w:rsidRPr="00D720DA" w:rsidRDefault="00E00C0A" w:rsidP="00A32635">
            <w:pPr>
              <w:spacing w:after="200" w:line="276" w:lineRule="auto"/>
              <w:rPr>
                <w:rFonts w:ascii="Arial" w:hAnsi="Arial" w:cs="Arial"/>
                <w:i/>
                <w:iCs/>
                <w:sz w:val="20"/>
                <w:szCs w:val="20"/>
              </w:rPr>
            </w:pPr>
            <w:hyperlink r:id="rId87" w:history="1">
              <w:r w:rsidR="00043D02" w:rsidRPr="00D720DA">
                <w:rPr>
                  <w:rFonts w:ascii="Arial" w:hAnsi="Arial" w:cs="Arial"/>
                  <w:i/>
                  <w:iCs/>
                  <w:sz w:val="20"/>
                  <w:szCs w:val="20"/>
                </w:rPr>
                <w:t>State Service (Agencies and Heads of Agencies) Order 2008</w:t>
              </w:r>
            </w:hyperlink>
            <w:hyperlink r:id="rId88" w:history="1">
              <w:r w:rsidR="00C12B7B" w:rsidRPr="00D720DA">
                <w:rPr>
                  <w:rStyle w:val="Hyperlink"/>
                  <w:rFonts w:ascii="Arial" w:hAnsi="Arial" w:cs="Arial"/>
                </w:rPr>
                <w:t>https://www.legislation.tas.gov.au/view/html/asmade/sr-2008-004</w:t>
              </w:r>
            </w:hyperlink>
          </w:p>
          <w:p w14:paraId="33795745" w14:textId="3E7B0BD1" w:rsidR="005C7D7D" w:rsidRPr="00D720DA" w:rsidRDefault="005C7D7D" w:rsidP="007B0BBE">
            <w:pPr>
              <w:spacing w:after="200" w:line="276" w:lineRule="auto"/>
              <w:rPr>
                <w:rFonts w:ascii="Arial" w:hAnsi="Arial" w:cs="Arial"/>
              </w:rPr>
            </w:pPr>
          </w:p>
        </w:tc>
      </w:tr>
      <w:tr w:rsidR="0008146B" w:rsidRPr="00D720DA" w14:paraId="0AA5DC21" w14:textId="77777777" w:rsidTr="0032127B">
        <w:trPr>
          <w:trHeight w:val="517"/>
        </w:trPr>
        <w:tc>
          <w:tcPr>
            <w:tcW w:w="241" w:type="pct"/>
          </w:tcPr>
          <w:p w14:paraId="4767B754" w14:textId="77777777" w:rsidR="005C7D7D" w:rsidRPr="00D720DA" w:rsidRDefault="005C7D7D" w:rsidP="007B0BBE">
            <w:pPr>
              <w:spacing w:after="200" w:line="276" w:lineRule="auto"/>
              <w:rPr>
                <w:rFonts w:ascii="Arial" w:hAnsi="Arial" w:cs="Arial"/>
                <w:b/>
                <w:bCs/>
                <w:sz w:val="22"/>
              </w:rPr>
            </w:pPr>
            <w:r w:rsidRPr="00D720DA">
              <w:rPr>
                <w:rFonts w:ascii="Arial" w:hAnsi="Arial" w:cs="Arial"/>
                <w:b/>
                <w:bCs/>
                <w:sz w:val="22"/>
              </w:rPr>
              <w:t>2007</w:t>
            </w:r>
          </w:p>
        </w:tc>
        <w:tc>
          <w:tcPr>
            <w:tcW w:w="1800" w:type="pct"/>
          </w:tcPr>
          <w:p w14:paraId="3E82D072" w14:textId="77777777" w:rsidR="005C7D7D" w:rsidRPr="00D720DA" w:rsidRDefault="005C7D7D" w:rsidP="00581C78">
            <w:pPr>
              <w:spacing w:after="200"/>
              <w:rPr>
                <w:rFonts w:ascii="Arial" w:hAnsi="Arial" w:cs="Arial"/>
                <w:i/>
                <w:iCs/>
                <w:sz w:val="20"/>
                <w:szCs w:val="20"/>
              </w:rPr>
            </w:pPr>
            <w:r w:rsidRPr="00D720DA">
              <w:rPr>
                <w:rFonts w:ascii="Arial" w:hAnsi="Arial" w:cs="Arial"/>
                <w:i/>
                <w:iCs/>
                <w:sz w:val="20"/>
                <w:szCs w:val="20"/>
              </w:rPr>
              <w:t>SSC Annual Report 2006-07</w:t>
            </w:r>
          </w:p>
          <w:p w14:paraId="70F0EFD9" w14:textId="6F84594B" w:rsidR="0008146B" w:rsidRPr="00D720DA" w:rsidRDefault="0008146B" w:rsidP="00581C78">
            <w:pPr>
              <w:spacing w:after="200"/>
              <w:rPr>
                <w:rFonts w:ascii="Arial" w:hAnsi="Arial" w:cs="Arial"/>
                <w:sz w:val="20"/>
                <w:szCs w:val="20"/>
              </w:rPr>
            </w:pPr>
            <w:r w:rsidRPr="00D720DA">
              <w:rPr>
                <w:rFonts w:ascii="Arial" w:hAnsi="Arial" w:cs="Arial"/>
                <w:sz w:val="20"/>
                <w:szCs w:val="20"/>
              </w:rPr>
              <w:t>Outlined statistics related to SES classification levels and remuneration, and delegation powers of the SSC relating to senior executives. (p</w:t>
            </w:r>
            <w:r w:rsidR="00FA4BB8" w:rsidRPr="00D720DA">
              <w:rPr>
                <w:rFonts w:ascii="Arial" w:hAnsi="Arial" w:cs="Arial"/>
                <w:sz w:val="20"/>
                <w:szCs w:val="20"/>
              </w:rPr>
              <w:t xml:space="preserve">. </w:t>
            </w:r>
            <w:r w:rsidRPr="00D720DA">
              <w:rPr>
                <w:rFonts w:ascii="Arial" w:hAnsi="Arial" w:cs="Arial"/>
                <w:sz w:val="20"/>
                <w:szCs w:val="20"/>
              </w:rPr>
              <w:t>62)</w:t>
            </w:r>
          </w:p>
        </w:tc>
        <w:tc>
          <w:tcPr>
            <w:tcW w:w="1833" w:type="pct"/>
          </w:tcPr>
          <w:p w14:paraId="3FB5ECD5" w14:textId="64433570" w:rsidR="005C7D7D" w:rsidRPr="00D720DA" w:rsidRDefault="005C7D7D" w:rsidP="007B0BBE">
            <w:pPr>
              <w:spacing w:after="200" w:line="276" w:lineRule="auto"/>
              <w:rPr>
                <w:rFonts w:ascii="Arial" w:hAnsi="Arial" w:cs="Arial"/>
              </w:rPr>
            </w:pPr>
          </w:p>
        </w:tc>
        <w:tc>
          <w:tcPr>
            <w:tcW w:w="1127" w:type="pct"/>
          </w:tcPr>
          <w:p w14:paraId="414B8E7B" w14:textId="11812BAB" w:rsidR="005C7D7D" w:rsidRPr="00D720DA" w:rsidRDefault="005C7D7D" w:rsidP="007B0BBE">
            <w:pPr>
              <w:spacing w:after="200" w:line="276" w:lineRule="auto"/>
              <w:rPr>
                <w:rFonts w:ascii="Arial" w:hAnsi="Arial" w:cs="Arial"/>
              </w:rPr>
            </w:pPr>
          </w:p>
        </w:tc>
      </w:tr>
      <w:tr w:rsidR="0008146B" w:rsidRPr="00D720DA" w14:paraId="702402D8" w14:textId="77777777" w:rsidTr="0032127B">
        <w:trPr>
          <w:trHeight w:val="517"/>
        </w:trPr>
        <w:tc>
          <w:tcPr>
            <w:tcW w:w="241" w:type="pct"/>
          </w:tcPr>
          <w:p w14:paraId="0285F596" w14:textId="77777777" w:rsidR="005C7D7D" w:rsidRPr="00D720DA" w:rsidRDefault="005C7D7D" w:rsidP="007B0BBE">
            <w:pPr>
              <w:spacing w:after="200" w:line="276" w:lineRule="auto"/>
              <w:rPr>
                <w:rFonts w:ascii="Arial" w:hAnsi="Arial" w:cs="Arial"/>
                <w:b/>
                <w:bCs/>
                <w:sz w:val="22"/>
              </w:rPr>
            </w:pPr>
            <w:r w:rsidRPr="00D720DA">
              <w:rPr>
                <w:rFonts w:ascii="Arial" w:hAnsi="Arial" w:cs="Arial"/>
                <w:b/>
                <w:bCs/>
                <w:sz w:val="22"/>
              </w:rPr>
              <w:lastRenderedPageBreak/>
              <w:t>2006</w:t>
            </w:r>
          </w:p>
        </w:tc>
        <w:tc>
          <w:tcPr>
            <w:tcW w:w="1800" w:type="pct"/>
          </w:tcPr>
          <w:p w14:paraId="7142DD8D" w14:textId="77777777" w:rsidR="005C7D7D" w:rsidRPr="00D720DA" w:rsidRDefault="005C7D7D" w:rsidP="00581C78">
            <w:pPr>
              <w:spacing w:after="200"/>
              <w:rPr>
                <w:rFonts w:ascii="Arial" w:hAnsi="Arial" w:cs="Arial"/>
                <w:i/>
                <w:iCs/>
                <w:sz w:val="20"/>
                <w:szCs w:val="20"/>
              </w:rPr>
            </w:pPr>
            <w:r w:rsidRPr="00D720DA">
              <w:rPr>
                <w:rFonts w:ascii="Arial" w:hAnsi="Arial" w:cs="Arial"/>
                <w:i/>
                <w:iCs/>
                <w:sz w:val="20"/>
                <w:szCs w:val="20"/>
              </w:rPr>
              <w:t>SSC Annual Report 2005-06</w:t>
            </w:r>
          </w:p>
          <w:p w14:paraId="682B3DBA" w14:textId="33E48234" w:rsidR="0008146B" w:rsidRPr="00D720DA" w:rsidRDefault="0008146B" w:rsidP="00581C78">
            <w:pPr>
              <w:spacing w:after="200"/>
              <w:rPr>
                <w:rFonts w:ascii="Arial" w:hAnsi="Arial" w:cs="Arial"/>
                <w:sz w:val="20"/>
                <w:szCs w:val="20"/>
              </w:rPr>
            </w:pPr>
            <w:r w:rsidRPr="00D720DA">
              <w:rPr>
                <w:rFonts w:ascii="Arial" w:hAnsi="Arial" w:cs="Arial"/>
                <w:sz w:val="20"/>
                <w:szCs w:val="20"/>
              </w:rPr>
              <w:t>Outlined statistics related to different means of advertisement of TSS senior executive vacancies, through online jobs portal, press advertisements and internal appointments/promotions. (p</w:t>
            </w:r>
            <w:r w:rsidR="00FA4BB8" w:rsidRPr="00D720DA">
              <w:rPr>
                <w:rFonts w:ascii="Arial" w:hAnsi="Arial" w:cs="Arial"/>
                <w:sz w:val="20"/>
                <w:szCs w:val="20"/>
              </w:rPr>
              <w:t xml:space="preserve">p </w:t>
            </w:r>
            <w:r w:rsidRPr="00D720DA">
              <w:rPr>
                <w:rFonts w:ascii="Arial" w:hAnsi="Arial" w:cs="Arial"/>
                <w:sz w:val="20"/>
                <w:szCs w:val="20"/>
              </w:rPr>
              <w:t>14-15)</w:t>
            </w:r>
          </w:p>
        </w:tc>
        <w:tc>
          <w:tcPr>
            <w:tcW w:w="1833" w:type="pct"/>
          </w:tcPr>
          <w:p w14:paraId="07FE8E15" w14:textId="7422F750" w:rsidR="005C7D7D" w:rsidRPr="00D720DA" w:rsidRDefault="005C7D7D" w:rsidP="007B0BBE">
            <w:pPr>
              <w:spacing w:after="200" w:line="276" w:lineRule="auto"/>
              <w:rPr>
                <w:rFonts w:ascii="Arial" w:hAnsi="Arial" w:cs="Arial"/>
              </w:rPr>
            </w:pPr>
          </w:p>
        </w:tc>
        <w:tc>
          <w:tcPr>
            <w:tcW w:w="1127" w:type="pct"/>
          </w:tcPr>
          <w:p w14:paraId="4F9A1B78" w14:textId="77777777" w:rsidR="00043D02" w:rsidRPr="00D720DA" w:rsidRDefault="00E00C0A" w:rsidP="00A32635">
            <w:pPr>
              <w:spacing w:after="200" w:line="276" w:lineRule="auto"/>
              <w:rPr>
                <w:rFonts w:ascii="Arial" w:hAnsi="Arial" w:cs="Arial"/>
                <w:i/>
                <w:iCs/>
                <w:sz w:val="20"/>
                <w:szCs w:val="20"/>
              </w:rPr>
            </w:pPr>
            <w:hyperlink r:id="rId89" w:history="1">
              <w:r w:rsidR="00043D02" w:rsidRPr="00D720DA">
                <w:rPr>
                  <w:rFonts w:ascii="Arial" w:hAnsi="Arial" w:cs="Arial"/>
                  <w:i/>
                  <w:iCs/>
                  <w:sz w:val="20"/>
                  <w:szCs w:val="20"/>
                </w:rPr>
                <w:t>State Service (Agencies and Heads of Agencies) Order 2006</w:t>
              </w:r>
            </w:hyperlink>
          </w:p>
          <w:p w14:paraId="661CB13E" w14:textId="77777777" w:rsidR="00043D02" w:rsidRPr="00D720DA" w:rsidRDefault="00E00C0A" w:rsidP="00A32635">
            <w:pPr>
              <w:spacing w:after="200" w:line="276" w:lineRule="auto"/>
              <w:rPr>
                <w:rFonts w:ascii="Arial" w:hAnsi="Arial" w:cs="Arial"/>
                <w:i/>
                <w:iCs/>
                <w:sz w:val="20"/>
                <w:szCs w:val="20"/>
              </w:rPr>
            </w:pPr>
            <w:hyperlink r:id="rId90" w:history="1">
              <w:r w:rsidR="00043D02" w:rsidRPr="00D720DA">
                <w:rPr>
                  <w:rFonts w:ascii="Arial" w:hAnsi="Arial" w:cs="Arial"/>
                  <w:i/>
                  <w:iCs/>
                  <w:sz w:val="20"/>
                  <w:szCs w:val="20"/>
                </w:rPr>
                <w:t>State Service (Agencies and Heads of Agencies) Order (No. 2) 2006</w:t>
              </w:r>
            </w:hyperlink>
          </w:p>
          <w:p w14:paraId="4B9D6477" w14:textId="2374F153" w:rsidR="005C7D7D" w:rsidRPr="00D720DA" w:rsidRDefault="005C7D7D" w:rsidP="00043D02">
            <w:pPr>
              <w:rPr>
                <w:rFonts w:ascii="Arial" w:hAnsi="Arial" w:cs="Arial"/>
              </w:rPr>
            </w:pPr>
          </w:p>
        </w:tc>
      </w:tr>
      <w:tr w:rsidR="0008146B" w:rsidRPr="00D720DA" w14:paraId="486E6DAC" w14:textId="77777777" w:rsidTr="0032127B">
        <w:trPr>
          <w:trHeight w:val="517"/>
        </w:trPr>
        <w:tc>
          <w:tcPr>
            <w:tcW w:w="241" w:type="pct"/>
          </w:tcPr>
          <w:p w14:paraId="51FA0269" w14:textId="77777777" w:rsidR="0008146B" w:rsidRPr="00D720DA" w:rsidRDefault="0008146B" w:rsidP="0008146B">
            <w:pPr>
              <w:spacing w:after="200" w:line="276" w:lineRule="auto"/>
              <w:rPr>
                <w:rFonts w:ascii="Arial" w:hAnsi="Arial" w:cs="Arial"/>
                <w:b/>
                <w:bCs/>
                <w:sz w:val="22"/>
              </w:rPr>
            </w:pPr>
            <w:r w:rsidRPr="00D720DA">
              <w:rPr>
                <w:rFonts w:ascii="Arial" w:hAnsi="Arial" w:cs="Arial"/>
                <w:b/>
                <w:bCs/>
                <w:sz w:val="22"/>
              </w:rPr>
              <w:t>2005</w:t>
            </w:r>
          </w:p>
        </w:tc>
        <w:tc>
          <w:tcPr>
            <w:tcW w:w="1800" w:type="pct"/>
          </w:tcPr>
          <w:p w14:paraId="5F9E6BFB" w14:textId="115F52B2" w:rsidR="00A32635" w:rsidRPr="00D720DA" w:rsidRDefault="00A32635" w:rsidP="00A32635">
            <w:pPr>
              <w:spacing w:after="200"/>
              <w:rPr>
                <w:rFonts w:ascii="Arial" w:hAnsi="Arial" w:cs="Arial"/>
                <w:i/>
                <w:iCs/>
                <w:sz w:val="20"/>
                <w:szCs w:val="20"/>
              </w:rPr>
            </w:pPr>
            <w:r w:rsidRPr="00D720DA">
              <w:rPr>
                <w:rFonts w:ascii="Arial" w:hAnsi="Arial" w:cs="Arial"/>
                <w:i/>
                <w:iCs/>
                <w:sz w:val="20"/>
                <w:szCs w:val="20"/>
              </w:rPr>
              <w:t>SSC Annual Report 2004-0</w:t>
            </w:r>
            <w:r w:rsidR="00B02E1F" w:rsidRPr="00D720DA">
              <w:rPr>
                <w:rFonts w:ascii="Arial" w:hAnsi="Arial" w:cs="Arial"/>
                <w:i/>
                <w:iCs/>
                <w:sz w:val="20"/>
                <w:szCs w:val="20"/>
              </w:rPr>
              <w:t>5</w:t>
            </w:r>
          </w:p>
          <w:p w14:paraId="7F3B4A36" w14:textId="44AE1E7B" w:rsidR="0008146B" w:rsidRPr="00D720DA" w:rsidRDefault="0008146B" w:rsidP="00581C78">
            <w:pPr>
              <w:spacing w:after="200"/>
              <w:rPr>
                <w:rFonts w:ascii="Arial" w:hAnsi="Arial" w:cs="Arial"/>
                <w:sz w:val="20"/>
                <w:szCs w:val="20"/>
              </w:rPr>
            </w:pPr>
            <w:r w:rsidRPr="00D720DA">
              <w:rPr>
                <w:rFonts w:ascii="Arial" w:hAnsi="Arial" w:cs="Arial"/>
                <w:sz w:val="20"/>
                <w:szCs w:val="20"/>
              </w:rPr>
              <w:t>Outlined statistics related to different means of advertisement of TSS senior executive vacancies, through online jobs portal, press advertisements and internal appointments/promotions. (p</w:t>
            </w:r>
            <w:r w:rsidR="00FA4BB8" w:rsidRPr="00D720DA">
              <w:rPr>
                <w:rFonts w:ascii="Arial" w:hAnsi="Arial" w:cs="Arial"/>
                <w:sz w:val="20"/>
                <w:szCs w:val="20"/>
              </w:rPr>
              <w:t xml:space="preserve">p </w:t>
            </w:r>
            <w:r w:rsidRPr="00D720DA">
              <w:rPr>
                <w:rFonts w:ascii="Arial" w:hAnsi="Arial" w:cs="Arial"/>
                <w:sz w:val="20"/>
                <w:szCs w:val="20"/>
              </w:rPr>
              <w:t>10-11)</w:t>
            </w:r>
          </w:p>
        </w:tc>
        <w:tc>
          <w:tcPr>
            <w:tcW w:w="1833" w:type="pct"/>
          </w:tcPr>
          <w:p w14:paraId="779453A1" w14:textId="792DEB42" w:rsidR="0008146B" w:rsidRPr="00D720DA" w:rsidRDefault="0008146B" w:rsidP="0008146B">
            <w:pPr>
              <w:spacing w:after="200" w:line="276" w:lineRule="auto"/>
              <w:rPr>
                <w:rFonts w:ascii="Arial" w:hAnsi="Arial" w:cs="Arial"/>
              </w:rPr>
            </w:pPr>
          </w:p>
        </w:tc>
        <w:tc>
          <w:tcPr>
            <w:tcW w:w="1127" w:type="pct"/>
          </w:tcPr>
          <w:p w14:paraId="10592F0B" w14:textId="04E53196" w:rsidR="0008146B" w:rsidRPr="00D720DA" w:rsidRDefault="00E00C0A" w:rsidP="0008146B">
            <w:pPr>
              <w:spacing w:after="200" w:line="276" w:lineRule="auto"/>
              <w:rPr>
                <w:rFonts w:ascii="Arial" w:hAnsi="Arial" w:cs="Arial"/>
              </w:rPr>
            </w:pPr>
            <w:hyperlink r:id="rId91" w:history="1">
              <w:r w:rsidR="00946742" w:rsidRPr="00D720DA">
                <w:rPr>
                  <w:rFonts w:ascii="Arial" w:hAnsi="Arial" w:cs="Arial"/>
                  <w:i/>
                  <w:iCs/>
                  <w:sz w:val="20"/>
                  <w:szCs w:val="20"/>
                </w:rPr>
                <w:t>Public Sector Superannuation (Miscellaneous Amendments) Act 2005</w:t>
              </w:r>
            </w:hyperlink>
          </w:p>
        </w:tc>
      </w:tr>
      <w:tr w:rsidR="0008146B" w:rsidRPr="00D720DA" w14:paraId="5785C764" w14:textId="77777777" w:rsidTr="0032127B">
        <w:trPr>
          <w:trHeight w:val="517"/>
        </w:trPr>
        <w:tc>
          <w:tcPr>
            <w:tcW w:w="241" w:type="pct"/>
          </w:tcPr>
          <w:p w14:paraId="6A4AAB20" w14:textId="77777777" w:rsidR="0008146B" w:rsidRPr="00D720DA" w:rsidRDefault="0008146B" w:rsidP="0008146B">
            <w:pPr>
              <w:spacing w:after="200" w:line="276" w:lineRule="auto"/>
              <w:rPr>
                <w:rFonts w:ascii="Arial" w:hAnsi="Arial" w:cs="Arial"/>
                <w:b/>
                <w:bCs/>
                <w:sz w:val="22"/>
              </w:rPr>
            </w:pPr>
            <w:r w:rsidRPr="00D720DA">
              <w:rPr>
                <w:rFonts w:ascii="Arial" w:hAnsi="Arial" w:cs="Arial"/>
                <w:b/>
                <w:bCs/>
                <w:sz w:val="22"/>
              </w:rPr>
              <w:t>2004</w:t>
            </w:r>
          </w:p>
        </w:tc>
        <w:tc>
          <w:tcPr>
            <w:tcW w:w="1800" w:type="pct"/>
          </w:tcPr>
          <w:p w14:paraId="7350F304" w14:textId="77777777" w:rsidR="0008146B" w:rsidRPr="00D720DA" w:rsidRDefault="0008146B" w:rsidP="00581C78">
            <w:pPr>
              <w:spacing w:after="200"/>
              <w:rPr>
                <w:rFonts w:ascii="Arial" w:hAnsi="Arial" w:cs="Arial"/>
                <w:i/>
                <w:iCs/>
                <w:sz w:val="20"/>
                <w:szCs w:val="20"/>
              </w:rPr>
            </w:pPr>
            <w:r w:rsidRPr="00D720DA">
              <w:rPr>
                <w:rFonts w:ascii="Arial" w:hAnsi="Arial" w:cs="Arial"/>
                <w:i/>
                <w:iCs/>
                <w:sz w:val="20"/>
                <w:szCs w:val="20"/>
              </w:rPr>
              <w:t>SSC Annual Report 2003-04</w:t>
            </w:r>
          </w:p>
          <w:p w14:paraId="4D93E535" w14:textId="66D41B44" w:rsidR="0008146B" w:rsidRPr="00D720DA" w:rsidRDefault="0008146B" w:rsidP="00581C78">
            <w:pPr>
              <w:spacing w:after="200"/>
              <w:rPr>
                <w:rFonts w:ascii="Arial" w:hAnsi="Arial" w:cs="Arial"/>
                <w:sz w:val="20"/>
                <w:szCs w:val="20"/>
              </w:rPr>
            </w:pPr>
            <w:r w:rsidRPr="00D720DA">
              <w:rPr>
                <w:rFonts w:ascii="Arial" w:hAnsi="Arial" w:cs="Arial"/>
                <w:sz w:val="20"/>
                <w:szCs w:val="20"/>
              </w:rPr>
              <w:t>Outlined statistics related to different means of advertisement of TSS senior executive vacancies, through online jobs portal, press advertisements and internal appointments/promotions. (pp</w:t>
            </w:r>
            <w:r w:rsidR="00FA4BB8" w:rsidRPr="00D720DA">
              <w:rPr>
                <w:rFonts w:ascii="Arial" w:hAnsi="Arial" w:cs="Arial"/>
                <w:sz w:val="20"/>
                <w:szCs w:val="20"/>
              </w:rPr>
              <w:t xml:space="preserve"> </w:t>
            </w:r>
            <w:r w:rsidRPr="00D720DA">
              <w:rPr>
                <w:rFonts w:ascii="Arial" w:hAnsi="Arial" w:cs="Arial"/>
                <w:sz w:val="20"/>
                <w:szCs w:val="20"/>
              </w:rPr>
              <w:t>7-8)</w:t>
            </w:r>
          </w:p>
        </w:tc>
        <w:tc>
          <w:tcPr>
            <w:tcW w:w="1833" w:type="pct"/>
          </w:tcPr>
          <w:p w14:paraId="3C9E287D" w14:textId="6C48C7D9" w:rsidR="0008146B" w:rsidRPr="00D720DA" w:rsidRDefault="0008146B" w:rsidP="00A32635">
            <w:pPr>
              <w:spacing w:after="200"/>
              <w:rPr>
                <w:rFonts w:ascii="Arial" w:hAnsi="Arial" w:cs="Arial"/>
              </w:rPr>
            </w:pPr>
          </w:p>
        </w:tc>
        <w:tc>
          <w:tcPr>
            <w:tcW w:w="1127" w:type="pct"/>
          </w:tcPr>
          <w:p w14:paraId="1A8410D0" w14:textId="4D072D24" w:rsidR="0008146B" w:rsidRPr="00D720DA" w:rsidRDefault="0008146B" w:rsidP="0008146B">
            <w:pPr>
              <w:spacing w:after="200" w:line="276" w:lineRule="auto"/>
              <w:rPr>
                <w:rFonts w:ascii="Arial" w:hAnsi="Arial" w:cs="Arial"/>
              </w:rPr>
            </w:pPr>
          </w:p>
        </w:tc>
      </w:tr>
      <w:tr w:rsidR="0008146B" w:rsidRPr="00D720DA" w14:paraId="34F89B1E" w14:textId="77777777" w:rsidTr="0032127B">
        <w:trPr>
          <w:trHeight w:val="517"/>
        </w:trPr>
        <w:tc>
          <w:tcPr>
            <w:tcW w:w="241" w:type="pct"/>
          </w:tcPr>
          <w:p w14:paraId="09DFCC32" w14:textId="77777777" w:rsidR="0008146B" w:rsidRPr="00D720DA" w:rsidRDefault="0008146B" w:rsidP="0008146B">
            <w:pPr>
              <w:spacing w:after="200" w:line="276" w:lineRule="auto"/>
              <w:rPr>
                <w:rFonts w:ascii="Arial" w:hAnsi="Arial" w:cs="Arial"/>
                <w:b/>
                <w:bCs/>
                <w:sz w:val="22"/>
              </w:rPr>
            </w:pPr>
            <w:r w:rsidRPr="00D720DA">
              <w:rPr>
                <w:rFonts w:ascii="Arial" w:hAnsi="Arial" w:cs="Arial"/>
                <w:b/>
                <w:bCs/>
                <w:sz w:val="22"/>
              </w:rPr>
              <w:t>2003</w:t>
            </w:r>
          </w:p>
        </w:tc>
        <w:tc>
          <w:tcPr>
            <w:tcW w:w="1800" w:type="pct"/>
          </w:tcPr>
          <w:p w14:paraId="33870125" w14:textId="77777777" w:rsidR="0008146B" w:rsidRPr="00D720DA" w:rsidRDefault="0008146B" w:rsidP="00581C78">
            <w:pPr>
              <w:spacing w:after="200"/>
              <w:rPr>
                <w:rFonts w:ascii="Arial" w:hAnsi="Arial" w:cs="Arial"/>
                <w:i/>
                <w:iCs/>
                <w:sz w:val="20"/>
                <w:szCs w:val="20"/>
              </w:rPr>
            </w:pPr>
            <w:r w:rsidRPr="00D720DA">
              <w:rPr>
                <w:rFonts w:ascii="Arial" w:hAnsi="Arial" w:cs="Arial"/>
                <w:i/>
                <w:iCs/>
                <w:sz w:val="20"/>
                <w:szCs w:val="20"/>
              </w:rPr>
              <w:t>SSC Annual Report 2002-03</w:t>
            </w:r>
          </w:p>
          <w:p w14:paraId="5D43C906" w14:textId="7226DD96" w:rsidR="0008146B" w:rsidRPr="00D720DA" w:rsidRDefault="0008146B" w:rsidP="00581C78">
            <w:pPr>
              <w:spacing w:after="200"/>
              <w:rPr>
                <w:rFonts w:ascii="Arial" w:hAnsi="Arial" w:cs="Arial"/>
                <w:sz w:val="20"/>
                <w:szCs w:val="20"/>
              </w:rPr>
            </w:pPr>
            <w:r w:rsidRPr="00D720DA">
              <w:rPr>
                <w:rFonts w:ascii="Arial" w:hAnsi="Arial" w:cs="Arial"/>
                <w:sz w:val="20"/>
                <w:szCs w:val="20"/>
              </w:rPr>
              <w:t xml:space="preserve">“This year has also seen the completion of the review of the Senior Executive Classification System, including the implementation of the recommendations arising from the review. As part of this process, a capability framework for senior executives has been developed, </w:t>
            </w:r>
            <w:r w:rsidRPr="00D720DA">
              <w:rPr>
                <w:rFonts w:ascii="Arial" w:hAnsi="Arial" w:cs="Arial"/>
                <w:sz w:val="20"/>
                <w:szCs w:val="20"/>
              </w:rPr>
              <w:lastRenderedPageBreak/>
              <w:t>drawing together the knowledge, skills and personal attributes required of senior executives at each of the four levels. The framework has been released for use by Agencies in designing senior executive roles as well as personal and career development and performance management”. (pp</w:t>
            </w:r>
            <w:r w:rsidR="00FA4BB8" w:rsidRPr="00D720DA">
              <w:rPr>
                <w:rFonts w:ascii="Arial" w:hAnsi="Arial" w:cs="Arial"/>
                <w:sz w:val="20"/>
                <w:szCs w:val="20"/>
              </w:rPr>
              <w:t xml:space="preserve"> </w:t>
            </w:r>
            <w:r w:rsidRPr="00D720DA">
              <w:rPr>
                <w:rFonts w:ascii="Arial" w:hAnsi="Arial" w:cs="Arial"/>
                <w:sz w:val="20"/>
                <w:szCs w:val="20"/>
              </w:rPr>
              <w:t>3, 25)</w:t>
            </w:r>
          </w:p>
          <w:p w14:paraId="69A948B1" w14:textId="6D80501B" w:rsidR="0008146B" w:rsidRPr="00D720DA" w:rsidRDefault="0008146B" w:rsidP="00581C78">
            <w:pPr>
              <w:spacing w:after="200"/>
              <w:rPr>
                <w:rFonts w:ascii="Arial" w:hAnsi="Arial" w:cs="Arial"/>
                <w:sz w:val="20"/>
                <w:szCs w:val="20"/>
              </w:rPr>
            </w:pPr>
            <w:r w:rsidRPr="00D720DA">
              <w:rPr>
                <w:rFonts w:ascii="Arial" w:hAnsi="Arial" w:cs="Arial"/>
                <w:sz w:val="20"/>
                <w:szCs w:val="20"/>
              </w:rPr>
              <w:t>Following review, TSS leadership development programs were extended to include more senior level executives in tailored courses. (p</w:t>
            </w:r>
            <w:r w:rsidR="00FA4BB8" w:rsidRPr="00D720DA">
              <w:rPr>
                <w:rFonts w:ascii="Arial" w:hAnsi="Arial" w:cs="Arial"/>
                <w:sz w:val="20"/>
                <w:szCs w:val="20"/>
              </w:rPr>
              <w:t xml:space="preserve">. </w:t>
            </w:r>
            <w:r w:rsidRPr="00D720DA">
              <w:rPr>
                <w:rFonts w:ascii="Arial" w:hAnsi="Arial" w:cs="Arial"/>
                <w:sz w:val="20"/>
                <w:szCs w:val="20"/>
              </w:rPr>
              <w:t>17)</w:t>
            </w:r>
          </w:p>
        </w:tc>
        <w:tc>
          <w:tcPr>
            <w:tcW w:w="1833" w:type="pct"/>
          </w:tcPr>
          <w:p w14:paraId="39B1438F" w14:textId="15D0F2C5" w:rsidR="0008146B" w:rsidRPr="00D720DA" w:rsidRDefault="0008146B" w:rsidP="0008146B">
            <w:pPr>
              <w:spacing w:after="200" w:line="276" w:lineRule="auto"/>
              <w:rPr>
                <w:rFonts w:ascii="Arial" w:hAnsi="Arial" w:cs="Arial"/>
              </w:rPr>
            </w:pPr>
          </w:p>
        </w:tc>
        <w:tc>
          <w:tcPr>
            <w:tcW w:w="1127" w:type="pct"/>
          </w:tcPr>
          <w:p w14:paraId="60799FE9" w14:textId="275B9F56" w:rsidR="0008146B" w:rsidRPr="00D720DA" w:rsidRDefault="0008146B" w:rsidP="0008146B">
            <w:pPr>
              <w:spacing w:after="200" w:line="276" w:lineRule="auto"/>
              <w:rPr>
                <w:rFonts w:ascii="Arial" w:hAnsi="Arial" w:cs="Arial"/>
              </w:rPr>
            </w:pPr>
          </w:p>
        </w:tc>
      </w:tr>
      <w:tr w:rsidR="0008146B" w:rsidRPr="00D720DA" w14:paraId="4552CCF6" w14:textId="77777777" w:rsidTr="0032127B">
        <w:trPr>
          <w:trHeight w:val="517"/>
        </w:trPr>
        <w:tc>
          <w:tcPr>
            <w:tcW w:w="241" w:type="pct"/>
          </w:tcPr>
          <w:p w14:paraId="4691D896" w14:textId="77777777" w:rsidR="0008146B" w:rsidRPr="00D720DA" w:rsidRDefault="0008146B" w:rsidP="0008146B">
            <w:pPr>
              <w:spacing w:after="200" w:line="276" w:lineRule="auto"/>
              <w:rPr>
                <w:rFonts w:ascii="Arial" w:hAnsi="Arial" w:cs="Arial"/>
                <w:b/>
                <w:bCs/>
                <w:sz w:val="22"/>
              </w:rPr>
            </w:pPr>
            <w:r w:rsidRPr="00D720DA">
              <w:rPr>
                <w:rFonts w:ascii="Arial" w:hAnsi="Arial" w:cs="Arial"/>
                <w:b/>
                <w:bCs/>
                <w:sz w:val="22"/>
              </w:rPr>
              <w:t>2002</w:t>
            </w:r>
          </w:p>
        </w:tc>
        <w:tc>
          <w:tcPr>
            <w:tcW w:w="1800" w:type="pct"/>
          </w:tcPr>
          <w:p w14:paraId="15457D83" w14:textId="77777777" w:rsidR="0008146B" w:rsidRPr="00D720DA" w:rsidRDefault="0008146B" w:rsidP="00581C78">
            <w:pPr>
              <w:spacing w:after="200"/>
              <w:rPr>
                <w:rFonts w:ascii="Arial" w:hAnsi="Arial" w:cs="Arial"/>
                <w:i/>
                <w:iCs/>
                <w:sz w:val="20"/>
                <w:szCs w:val="20"/>
              </w:rPr>
            </w:pPr>
            <w:r w:rsidRPr="00D720DA">
              <w:rPr>
                <w:rFonts w:ascii="Arial" w:hAnsi="Arial" w:cs="Arial"/>
                <w:i/>
                <w:iCs/>
                <w:sz w:val="20"/>
                <w:szCs w:val="20"/>
              </w:rPr>
              <w:t>SSC Annual Report 2001-02</w:t>
            </w:r>
          </w:p>
          <w:p w14:paraId="25ECD4B2" w14:textId="77777777" w:rsidR="0008146B" w:rsidRPr="00D720DA" w:rsidRDefault="0008146B" w:rsidP="00581C78">
            <w:pPr>
              <w:spacing w:after="200"/>
              <w:rPr>
                <w:rFonts w:ascii="Arial" w:hAnsi="Arial" w:cs="Arial"/>
                <w:sz w:val="20"/>
                <w:szCs w:val="20"/>
              </w:rPr>
            </w:pPr>
            <w:r w:rsidRPr="00D720DA">
              <w:rPr>
                <w:rFonts w:ascii="Arial" w:hAnsi="Arial" w:cs="Arial"/>
                <w:sz w:val="20"/>
                <w:szCs w:val="20"/>
              </w:rPr>
              <w:t>Outlined how new Act established process for creation of Senior Executive positions. (pp23-24)</w:t>
            </w:r>
          </w:p>
          <w:p w14:paraId="642ED625" w14:textId="58604441" w:rsidR="0008146B" w:rsidRPr="00D720DA" w:rsidRDefault="0008146B" w:rsidP="00A27311">
            <w:pPr>
              <w:spacing w:after="200"/>
              <w:rPr>
                <w:rFonts w:ascii="Arial" w:hAnsi="Arial" w:cs="Arial"/>
                <w:sz w:val="20"/>
                <w:szCs w:val="20"/>
              </w:rPr>
            </w:pPr>
            <w:r w:rsidRPr="00D720DA">
              <w:rPr>
                <w:rFonts w:ascii="Arial" w:hAnsi="Arial" w:cs="Arial"/>
                <w:sz w:val="20"/>
                <w:szCs w:val="20"/>
              </w:rPr>
              <w:t>OSSC undertook a major review of the Senior Executive Classification System: “intended that the outcome of the review will be consolidated</w:t>
            </w:r>
            <w:r w:rsidR="00A27311" w:rsidRPr="00D720DA">
              <w:rPr>
                <w:rFonts w:ascii="Arial" w:hAnsi="Arial" w:cs="Arial"/>
                <w:sz w:val="20"/>
                <w:szCs w:val="20"/>
              </w:rPr>
              <w:t xml:space="preserve"> </w:t>
            </w:r>
            <w:r w:rsidRPr="00D720DA">
              <w:rPr>
                <w:rFonts w:ascii="Arial" w:hAnsi="Arial" w:cs="Arial"/>
                <w:sz w:val="20"/>
                <w:szCs w:val="20"/>
              </w:rPr>
              <w:t>into a management system for senior executives”; review areas included employment classification, executive remuneration, the merit principle, and performance management. (p</w:t>
            </w:r>
            <w:r w:rsidR="00FA4BB8" w:rsidRPr="00D720DA">
              <w:rPr>
                <w:rFonts w:ascii="Arial" w:hAnsi="Arial" w:cs="Arial"/>
                <w:sz w:val="20"/>
                <w:szCs w:val="20"/>
              </w:rPr>
              <w:t xml:space="preserve">. </w:t>
            </w:r>
            <w:r w:rsidRPr="00D720DA">
              <w:rPr>
                <w:rFonts w:ascii="Arial" w:hAnsi="Arial" w:cs="Arial"/>
                <w:sz w:val="20"/>
                <w:szCs w:val="20"/>
              </w:rPr>
              <w:t>24)</w:t>
            </w:r>
          </w:p>
        </w:tc>
        <w:tc>
          <w:tcPr>
            <w:tcW w:w="1833" w:type="pct"/>
          </w:tcPr>
          <w:p w14:paraId="1BED7ABA" w14:textId="69FF0F2D" w:rsidR="0008146B" w:rsidRPr="00D720DA" w:rsidRDefault="0008146B" w:rsidP="0008146B">
            <w:pPr>
              <w:spacing w:after="200" w:line="276" w:lineRule="auto"/>
              <w:rPr>
                <w:rFonts w:ascii="Arial" w:hAnsi="Arial" w:cs="Arial"/>
              </w:rPr>
            </w:pPr>
          </w:p>
        </w:tc>
        <w:tc>
          <w:tcPr>
            <w:tcW w:w="1127" w:type="pct"/>
          </w:tcPr>
          <w:p w14:paraId="0CB6ABAF" w14:textId="56E50AA0" w:rsidR="0008146B" w:rsidRPr="00D720DA" w:rsidRDefault="00E00C0A" w:rsidP="0008146B">
            <w:pPr>
              <w:spacing w:after="200" w:line="276" w:lineRule="auto"/>
              <w:rPr>
                <w:rFonts w:ascii="Arial" w:hAnsi="Arial" w:cs="Arial"/>
                <w:i/>
                <w:iCs/>
                <w:sz w:val="20"/>
                <w:szCs w:val="20"/>
              </w:rPr>
            </w:pPr>
            <w:hyperlink r:id="rId92" w:history="1">
              <w:r w:rsidR="00043D02" w:rsidRPr="00D720DA">
                <w:rPr>
                  <w:rFonts w:ascii="Arial" w:hAnsi="Arial" w:cs="Arial"/>
                  <w:i/>
                  <w:iCs/>
                  <w:sz w:val="20"/>
                  <w:szCs w:val="20"/>
                </w:rPr>
                <w:t>State Service (Agencies and Heads of Agencies) Order 2002</w:t>
              </w:r>
            </w:hyperlink>
          </w:p>
          <w:p w14:paraId="2BD582DA" w14:textId="75A7FE82" w:rsidR="00043D02" w:rsidRPr="00D720DA" w:rsidRDefault="00043D02" w:rsidP="00B02E1F">
            <w:pPr>
              <w:spacing w:after="200"/>
              <w:rPr>
                <w:rFonts w:ascii="Arial" w:hAnsi="Arial" w:cs="Arial"/>
                <w:sz w:val="20"/>
                <w:szCs w:val="20"/>
              </w:rPr>
            </w:pPr>
            <w:r w:rsidRPr="00D720DA">
              <w:rPr>
                <w:rFonts w:ascii="Arial" w:hAnsi="Arial" w:cs="Arial"/>
                <w:sz w:val="20"/>
                <w:szCs w:val="20"/>
                <w:shd w:val="clear" w:color="auto" w:fill="FFFFFF"/>
              </w:rPr>
              <w:t>This order omits and substitutes </w:t>
            </w:r>
            <w:hyperlink r:id="rId93" w:anchor="JS1@EN" w:history="1">
              <w:r w:rsidRPr="00D720DA">
                <w:rPr>
                  <w:rStyle w:val="Hyperlink"/>
                  <w:rFonts w:ascii="Arial" w:hAnsi="Arial" w:cs="Arial"/>
                  <w:color w:val="auto"/>
                  <w:sz w:val="20"/>
                  <w:szCs w:val="20"/>
                  <w:u w:val="none"/>
                  <w:shd w:val="clear" w:color="auto" w:fill="FFFFFF"/>
                </w:rPr>
                <w:t>Schedule 1 to the </w:t>
              </w:r>
            </w:hyperlink>
            <w:hyperlink r:id="rId94" w:history="1">
              <w:r w:rsidRPr="00D720DA">
                <w:rPr>
                  <w:rStyle w:val="Hyperlink"/>
                  <w:rFonts w:ascii="Arial" w:hAnsi="Arial" w:cs="Arial"/>
                  <w:i/>
                  <w:iCs/>
                  <w:color w:val="auto"/>
                  <w:sz w:val="20"/>
                  <w:szCs w:val="20"/>
                  <w:u w:val="none"/>
                  <w:shd w:val="clear" w:color="auto" w:fill="FFFFFF"/>
                </w:rPr>
                <w:t>State Service Act 2000</w:t>
              </w:r>
            </w:hyperlink>
            <w:r w:rsidRPr="00D720DA">
              <w:rPr>
                <w:rFonts w:ascii="Arial" w:hAnsi="Arial" w:cs="Arial"/>
                <w:sz w:val="20"/>
                <w:szCs w:val="20"/>
                <w:shd w:val="clear" w:color="auto" w:fill="FFFFFF"/>
              </w:rPr>
              <w:t>, which specifies the Agencies and Heads of Agencies, consequential on the restructuring of the State Service.</w:t>
            </w:r>
          </w:p>
          <w:p w14:paraId="0089E640" w14:textId="616221C7" w:rsidR="00043D02" w:rsidRPr="00D720DA" w:rsidRDefault="00043D02" w:rsidP="0008146B">
            <w:pPr>
              <w:spacing w:after="200" w:line="276" w:lineRule="auto"/>
              <w:rPr>
                <w:rFonts w:ascii="Arial" w:hAnsi="Arial" w:cs="Arial"/>
              </w:rPr>
            </w:pPr>
          </w:p>
        </w:tc>
      </w:tr>
      <w:tr w:rsidR="0008146B" w:rsidRPr="00D720DA" w14:paraId="5A96F0C6" w14:textId="77777777" w:rsidTr="0032127B">
        <w:trPr>
          <w:trHeight w:val="517"/>
        </w:trPr>
        <w:tc>
          <w:tcPr>
            <w:tcW w:w="241" w:type="pct"/>
          </w:tcPr>
          <w:p w14:paraId="2179238C" w14:textId="77777777" w:rsidR="0008146B" w:rsidRPr="00D720DA" w:rsidRDefault="0008146B" w:rsidP="0008146B">
            <w:pPr>
              <w:spacing w:after="200" w:line="276" w:lineRule="auto"/>
              <w:rPr>
                <w:rFonts w:ascii="Arial" w:hAnsi="Arial" w:cs="Arial"/>
                <w:b/>
                <w:bCs/>
                <w:sz w:val="22"/>
              </w:rPr>
            </w:pPr>
            <w:r w:rsidRPr="00D720DA">
              <w:rPr>
                <w:rFonts w:ascii="Arial" w:hAnsi="Arial" w:cs="Arial"/>
                <w:b/>
                <w:bCs/>
                <w:sz w:val="22"/>
              </w:rPr>
              <w:t>2001</w:t>
            </w:r>
          </w:p>
        </w:tc>
        <w:tc>
          <w:tcPr>
            <w:tcW w:w="1800" w:type="pct"/>
          </w:tcPr>
          <w:p w14:paraId="68CCBC0F" w14:textId="77777777" w:rsidR="0008146B" w:rsidRPr="00D720DA" w:rsidRDefault="0008146B" w:rsidP="00581C78">
            <w:pPr>
              <w:spacing w:after="200"/>
              <w:rPr>
                <w:rFonts w:ascii="Arial" w:hAnsi="Arial" w:cs="Arial"/>
                <w:i/>
                <w:iCs/>
                <w:sz w:val="20"/>
                <w:szCs w:val="20"/>
              </w:rPr>
            </w:pPr>
            <w:r w:rsidRPr="00D720DA">
              <w:rPr>
                <w:rFonts w:ascii="Arial" w:hAnsi="Arial" w:cs="Arial"/>
                <w:i/>
                <w:iCs/>
                <w:sz w:val="20"/>
                <w:szCs w:val="20"/>
              </w:rPr>
              <w:t>SSC Annual Report 2000-01</w:t>
            </w:r>
          </w:p>
          <w:p w14:paraId="1157728E" w14:textId="00274B75" w:rsidR="0008146B" w:rsidRPr="00D720DA" w:rsidRDefault="0008146B" w:rsidP="00581C78">
            <w:pPr>
              <w:spacing w:after="200"/>
              <w:rPr>
                <w:rFonts w:ascii="Arial" w:hAnsi="Arial" w:cs="Arial"/>
                <w:sz w:val="20"/>
                <w:szCs w:val="20"/>
              </w:rPr>
            </w:pPr>
            <w:r w:rsidRPr="00D720DA">
              <w:rPr>
                <w:rFonts w:ascii="Arial" w:hAnsi="Arial" w:cs="Arial"/>
                <w:sz w:val="20"/>
                <w:szCs w:val="20"/>
              </w:rPr>
              <w:t xml:space="preserve">First report by new State Service Commissioner, outlining new TSS </w:t>
            </w:r>
            <w:r w:rsidRPr="00D720DA">
              <w:rPr>
                <w:rFonts w:ascii="Arial" w:hAnsi="Arial" w:cs="Arial"/>
                <w:sz w:val="20"/>
                <w:szCs w:val="20"/>
              </w:rPr>
              <w:lastRenderedPageBreak/>
              <w:t xml:space="preserve">Principles as established by the </w:t>
            </w:r>
            <w:r w:rsidRPr="00D720DA">
              <w:rPr>
                <w:rFonts w:ascii="Arial" w:hAnsi="Arial" w:cs="Arial"/>
                <w:i/>
                <w:sz w:val="20"/>
                <w:szCs w:val="20"/>
              </w:rPr>
              <w:t>State Service Act 2000</w:t>
            </w:r>
            <w:r w:rsidRPr="00D720DA">
              <w:rPr>
                <w:rFonts w:ascii="Arial" w:hAnsi="Arial" w:cs="Arial"/>
                <w:sz w:val="20"/>
                <w:szCs w:val="20"/>
              </w:rPr>
              <w:t>. (pp</w:t>
            </w:r>
            <w:r w:rsidR="00FA4BB8" w:rsidRPr="00D720DA">
              <w:rPr>
                <w:rFonts w:ascii="Arial" w:hAnsi="Arial" w:cs="Arial"/>
                <w:sz w:val="20"/>
                <w:szCs w:val="20"/>
              </w:rPr>
              <w:t xml:space="preserve"> </w:t>
            </w:r>
            <w:r w:rsidRPr="00D720DA">
              <w:rPr>
                <w:rFonts w:ascii="Arial" w:hAnsi="Arial" w:cs="Arial"/>
                <w:sz w:val="20"/>
                <w:szCs w:val="20"/>
              </w:rPr>
              <w:t>3-4)</w:t>
            </w:r>
          </w:p>
          <w:p w14:paraId="3F55639D" w14:textId="06EF6EF5" w:rsidR="0008146B" w:rsidRPr="00D720DA" w:rsidRDefault="0008146B" w:rsidP="00581C78">
            <w:pPr>
              <w:spacing w:after="200"/>
              <w:rPr>
                <w:rFonts w:ascii="Arial" w:hAnsi="Arial" w:cs="Arial"/>
                <w:sz w:val="20"/>
                <w:szCs w:val="20"/>
              </w:rPr>
            </w:pPr>
            <w:r w:rsidRPr="00D720DA">
              <w:rPr>
                <w:rFonts w:ascii="Arial" w:hAnsi="Arial" w:cs="Arial"/>
                <w:sz w:val="20"/>
                <w:szCs w:val="20"/>
              </w:rPr>
              <w:t>Outlined that new Act established right of return (‘reversion rights’) for senior executives. (p</w:t>
            </w:r>
            <w:r w:rsidR="00FA4BB8" w:rsidRPr="00D720DA">
              <w:rPr>
                <w:rFonts w:ascii="Arial" w:hAnsi="Arial" w:cs="Arial"/>
                <w:sz w:val="20"/>
                <w:szCs w:val="20"/>
              </w:rPr>
              <w:t xml:space="preserve">. </w:t>
            </w:r>
            <w:r w:rsidRPr="00D720DA">
              <w:rPr>
                <w:rFonts w:ascii="Arial" w:hAnsi="Arial" w:cs="Arial"/>
                <w:sz w:val="20"/>
                <w:szCs w:val="20"/>
              </w:rPr>
              <w:t>6)</w:t>
            </w:r>
          </w:p>
        </w:tc>
        <w:tc>
          <w:tcPr>
            <w:tcW w:w="1833" w:type="pct"/>
          </w:tcPr>
          <w:p w14:paraId="4E1B2D88" w14:textId="37AF168D" w:rsidR="0008146B" w:rsidRPr="00D720DA" w:rsidRDefault="0008146B" w:rsidP="0008146B">
            <w:pPr>
              <w:spacing w:after="200" w:line="276" w:lineRule="auto"/>
              <w:rPr>
                <w:rFonts w:ascii="Arial" w:hAnsi="Arial" w:cs="Arial"/>
              </w:rPr>
            </w:pPr>
          </w:p>
        </w:tc>
        <w:tc>
          <w:tcPr>
            <w:tcW w:w="1127" w:type="pct"/>
          </w:tcPr>
          <w:p w14:paraId="03AE8E54" w14:textId="2ADACF44" w:rsidR="0008146B" w:rsidRPr="00D720DA" w:rsidRDefault="0008146B" w:rsidP="0008146B">
            <w:pPr>
              <w:spacing w:after="200" w:line="276" w:lineRule="auto"/>
              <w:rPr>
                <w:rFonts w:ascii="Arial" w:hAnsi="Arial" w:cs="Arial"/>
              </w:rPr>
            </w:pPr>
          </w:p>
        </w:tc>
      </w:tr>
      <w:tr w:rsidR="0008146B" w:rsidRPr="00D720DA" w14:paraId="7DD4E146" w14:textId="77777777" w:rsidTr="0032127B">
        <w:trPr>
          <w:trHeight w:val="517"/>
        </w:trPr>
        <w:tc>
          <w:tcPr>
            <w:tcW w:w="241" w:type="pct"/>
          </w:tcPr>
          <w:p w14:paraId="6BC798CF" w14:textId="77777777" w:rsidR="0008146B" w:rsidRPr="00D720DA" w:rsidRDefault="0008146B" w:rsidP="0008146B">
            <w:pPr>
              <w:spacing w:after="200" w:line="276" w:lineRule="auto"/>
              <w:rPr>
                <w:rFonts w:ascii="Arial" w:hAnsi="Arial" w:cs="Arial"/>
                <w:b/>
                <w:bCs/>
                <w:sz w:val="22"/>
              </w:rPr>
            </w:pPr>
            <w:r w:rsidRPr="00D720DA">
              <w:rPr>
                <w:rFonts w:ascii="Arial" w:hAnsi="Arial" w:cs="Arial"/>
                <w:b/>
                <w:bCs/>
                <w:sz w:val="22"/>
              </w:rPr>
              <w:t>2000</w:t>
            </w:r>
          </w:p>
        </w:tc>
        <w:tc>
          <w:tcPr>
            <w:tcW w:w="1800" w:type="pct"/>
          </w:tcPr>
          <w:p w14:paraId="1072E7D0" w14:textId="77777777" w:rsidR="0008146B" w:rsidRPr="00D720DA" w:rsidRDefault="0008146B" w:rsidP="00581C78">
            <w:pPr>
              <w:spacing w:after="200"/>
              <w:rPr>
                <w:rFonts w:ascii="Arial" w:hAnsi="Arial" w:cs="Arial"/>
                <w:i/>
                <w:iCs/>
                <w:sz w:val="20"/>
                <w:szCs w:val="20"/>
              </w:rPr>
            </w:pPr>
            <w:r w:rsidRPr="00D720DA">
              <w:rPr>
                <w:rFonts w:ascii="Arial" w:hAnsi="Arial" w:cs="Arial"/>
                <w:i/>
                <w:iCs/>
                <w:sz w:val="20"/>
                <w:szCs w:val="20"/>
              </w:rPr>
              <w:t>CPE Annual Report 1999-00</w:t>
            </w:r>
          </w:p>
          <w:p w14:paraId="633E390E" w14:textId="7DADEDBC" w:rsidR="0008146B" w:rsidRPr="00D720DA" w:rsidRDefault="0008146B" w:rsidP="00581C78">
            <w:pPr>
              <w:spacing w:after="200"/>
              <w:rPr>
                <w:rFonts w:ascii="Arial" w:hAnsi="Arial" w:cs="Arial"/>
                <w:sz w:val="20"/>
                <w:szCs w:val="20"/>
              </w:rPr>
            </w:pPr>
          </w:p>
        </w:tc>
        <w:tc>
          <w:tcPr>
            <w:tcW w:w="1833" w:type="pct"/>
          </w:tcPr>
          <w:p w14:paraId="2F3DCB55" w14:textId="77777777" w:rsidR="00A27311" w:rsidRPr="00D720DA" w:rsidRDefault="00A27311" w:rsidP="00A27311">
            <w:pPr>
              <w:spacing w:after="200" w:line="276" w:lineRule="auto"/>
              <w:rPr>
                <w:rFonts w:ascii="Arial" w:hAnsi="Arial" w:cs="Arial"/>
                <w:i/>
                <w:iCs/>
                <w:sz w:val="20"/>
                <w:szCs w:val="20"/>
              </w:rPr>
            </w:pPr>
            <w:r w:rsidRPr="00D720DA">
              <w:rPr>
                <w:rFonts w:ascii="Arial" w:hAnsi="Arial" w:cs="Arial"/>
                <w:i/>
                <w:iCs/>
                <w:sz w:val="20"/>
                <w:szCs w:val="20"/>
              </w:rPr>
              <w:t>Employment Instruction 99/1 – Employment in the Tasmanian State Service</w:t>
            </w:r>
          </w:p>
          <w:p w14:paraId="73D0E6D9" w14:textId="1A6F5B72" w:rsidR="0008146B" w:rsidRPr="00D720DA" w:rsidRDefault="00A27311" w:rsidP="00A27311">
            <w:pPr>
              <w:spacing w:after="200" w:line="276" w:lineRule="auto"/>
              <w:rPr>
                <w:rFonts w:ascii="Arial" w:hAnsi="Arial" w:cs="Arial"/>
              </w:rPr>
            </w:pPr>
            <w:r w:rsidRPr="00D720DA">
              <w:rPr>
                <w:rFonts w:ascii="Arial" w:hAnsi="Arial" w:cs="Arial"/>
                <w:sz w:val="20"/>
                <w:szCs w:val="20"/>
              </w:rPr>
              <w:t>In part related to defining categories of TSS employees, including SES officers. (p</w:t>
            </w:r>
            <w:r w:rsidR="00FA4BB8" w:rsidRPr="00D720DA">
              <w:rPr>
                <w:rFonts w:ascii="Arial" w:hAnsi="Arial" w:cs="Arial"/>
                <w:sz w:val="20"/>
                <w:szCs w:val="20"/>
              </w:rPr>
              <w:t xml:space="preserve">. </w:t>
            </w:r>
            <w:r w:rsidRPr="00D720DA">
              <w:rPr>
                <w:rFonts w:ascii="Arial" w:hAnsi="Arial" w:cs="Arial"/>
                <w:sz w:val="20"/>
                <w:szCs w:val="20"/>
              </w:rPr>
              <w:t>7)</w:t>
            </w:r>
          </w:p>
        </w:tc>
        <w:tc>
          <w:tcPr>
            <w:tcW w:w="1127" w:type="pct"/>
          </w:tcPr>
          <w:p w14:paraId="14325066" w14:textId="77777777" w:rsidR="0008146B" w:rsidRPr="00D720DA" w:rsidRDefault="00251446" w:rsidP="0008146B">
            <w:pPr>
              <w:spacing w:after="200" w:line="276" w:lineRule="auto"/>
              <w:rPr>
                <w:rFonts w:ascii="Arial" w:hAnsi="Arial" w:cs="Arial"/>
                <w:i/>
                <w:iCs/>
                <w:sz w:val="20"/>
                <w:szCs w:val="20"/>
              </w:rPr>
            </w:pPr>
            <w:r w:rsidRPr="00D720DA">
              <w:rPr>
                <w:rFonts w:ascii="Arial" w:hAnsi="Arial" w:cs="Arial"/>
                <w:i/>
                <w:iCs/>
                <w:sz w:val="20"/>
                <w:szCs w:val="20"/>
              </w:rPr>
              <w:t>State Service Act 2000</w:t>
            </w:r>
          </w:p>
          <w:p w14:paraId="30350A32" w14:textId="0645FE1F" w:rsidR="006F6AC1" w:rsidRPr="00D720DA" w:rsidRDefault="006F6AC1" w:rsidP="00B02E1F">
            <w:pPr>
              <w:spacing w:after="200"/>
              <w:rPr>
                <w:rFonts w:ascii="Arial" w:hAnsi="Arial" w:cs="Arial"/>
                <w:sz w:val="20"/>
                <w:szCs w:val="20"/>
              </w:rPr>
            </w:pPr>
            <w:r w:rsidRPr="00D720DA">
              <w:rPr>
                <w:rFonts w:ascii="Arial" w:hAnsi="Arial" w:cs="Arial"/>
                <w:sz w:val="20"/>
                <w:szCs w:val="20"/>
              </w:rPr>
              <w:t xml:space="preserve">Came into force in November 2000 following a review of the State Service Act 1984. </w:t>
            </w:r>
          </w:p>
        </w:tc>
      </w:tr>
      <w:tr w:rsidR="0008146B" w:rsidRPr="00D720DA" w14:paraId="5A35C4D5" w14:textId="77777777" w:rsidTr="0032127B">
        <w:trPr>
          <w:trHeight w:val="517"/>
        </w:trPr>
        <w:tc>
          <w:tcPr>
            <w:tcW w:w="241" w:type="pct"/>
          </w:tcPr>
          <w:p w14:paraId="439A14BE" w14:textId="77777777" w:rsidR="0008146B" w:rsidRPr="00D720DA" w:rsidRDefault="0008146B" w:rsidP="0008146B">
            <w:pPr>
              <w:spacing w:after="200" w:line="276" w:lineRule="auto"/>
              <w:rPr>
                <w:rFonts w:ascii="Arial" w:hAnsi="Arial" w:cs="Arial"/>
                <w:b/>
                <w:bCs/>
                <w:sz w:val="22"/>
              </w:rPr>
            </w:pPr>
            <w:r w:rsidRPr="00D720DA">
              <w:rPr>
                <w:rFonts w:ascii="Arial" w:hAnsi="Arial" w:cs="Arial"/>
                <w:b/>
                <w:bCs/>
                <w:sz w:val="22"/>
              </w:rPr>
              <w:t>1999</w:t>
            </w:r>
          </w:p>
        </w:tc>
        <w:tc>
          <w:tcPr>
            <w:tcW w:w="1800" w:type="pct"/>
          </w:tcPr>
          <w:p w14:paraId="48807483" w14:textId="77777777" w:rsidR="0008146B" w:rsidRPr="00D720DA" w:rsidRDefault="0008146B" w:rsidP="00581C78">
            <w:pPr>
              <w:spacing w:after="200"/>
              <w:rPr>
                <w:rFonts w:ascii="Arial" w:hAnsi="Arial" w:cs="Arial"/>
                <w:i/>
                <w:iCs/>
                <w:sz w:val="20"/>
                <w:szCs w:val="20"/>
              </w:rPr>
            </w:pPr>
            <w:r w:rsidRPr="00D720DA">
              <w:rPr>
                <w:rFonts w:ascii="Arial" w:hAnsi="Arial" w:cs="Arial"/>
                <w:i/>
                <w:iCs/>
                <w:sz w:val="20"/>
                <w:szCs w:val="20"/>
              </w:rPr>
              <w:t>CPE Annual Report 1998-99</w:t>
            </w:r>
          </w:p>
          <w:p w14:paraId="091A82C9" w14:textId="3CC41DB5" w:rsidR="0008146B" w:rsidRPr="00D720DA" w:rsidRDefault="0008146B" w:rsidP="00581C78">
            <w:pPr>
              <w:spacing w:after="200"/>
              <w:rPr>
                <w:rFonts w:ascii="Arial" w:hAnsi="Arial" w:cs="Arial"/>
                <w:sz w:val="20"/>
                <w:szCs w:val="20"/>
              </w:rPr>
            </w:pPr>
            <w:r w:rsidRPr="00D720DA">
              <w:rPr>
                <w:rFonts w:ascii="Arial" w:hAnsi="Arial" w:cs="Arial"/>
                <w:sz w:val="20"/>
                <w:szCs w:val="20"/>
              </w:rPr>
              <w:t>Tasmanian State Service introduced a Changing Workplace Behaviour Management Plan in May 1997</w:t>
            </w:r>
            <w:r w:rsidR="00A27311" w:rsidRPr="00D720DA">
              <w:rPr>
                <w:rFonts w:ascii="Arial" w:hAnsi="Arial" w:cs="Arial"/>
                <w:sz w:val="20"/>
                <w:szCs w:val="20"/>
              </w:rPr>
              <w:t>. Its</w:t>
            </w:r>
            <w:r w:rsidRPr="00D720DA">
              <w:rPr>
                <w:rFonts w:ascii="Arial" w:hAnsi="Arial" w:cs="Arial"/>
                <w:sz w:val="20"/>
                <w:szCs w:val="20"/>
              </w:rPr>
              <w:t xml:space="preserve"> implementation was overseen by a Peak Body (chaired by the Commissioner for Public Employment) and coordinated by several sub-committees, including one representing the State Executive Service (SES). (p</w:t>
            </w:r>
            <w:r w:rsidR="00FA4BB8" w:rsidRPr="00D720DA">
              <w:rPr>
                <w:rFonts w:ascii="Arial" w:hAnsi="Arial" w:cs="Arial"/>
                <w:sz w:val="20"/>
                <w:szCs w:val="20"/>
              </w:rPr>
              <w:t xml:space="preserve">. </w:t>
            </w:r>
            <w:r w:rsidRPr="00D720DA">
              <w:rPr>
                <w:rFonts w:ascii="Arial" w:hAnsi="Arial" w:cs="Arial"/>
                <w:sz w:val="20"/>
                <w:szCs w:val="20"/>
              </w:rPr>
              <w:t>4)</w:t>
            </w:r>
          </w:p>
        </w:tc>
        <w:tc>
          <w:tcPr>
            <w:tcW w:w="1833" w:type="pct"/>
          </w:tcPr>
          <w:p w14:paraId="4BA28B98" w14:textId="47FF7BD1" w:rsidR="0008146B" w:rsidRPr="00D720DA" w:rsidRDefault="0008146B" w:rsidP="0008146B">
            <w:pPr>
              <w:spacing w:after="200" w:line="276" w:lineRule="auto"/>
              <w:rPr>
                <w:rFonts w:ascii="Arial" w:hAnsi="Arial" w:cs="Arial"/>
              </w:rPr>
            </w:pPr>
          </w:p>
        </w:tc>
        <w:tc>
          <w:tcPr>
            <w:tcW w:w="1127" w:type="pct"/>
          </w:tcPr>
          <w:p w14:paraId="35D2272D" w14:textId="7077468F" w:rsidR="0008146B" w:rsidRPr="00D720DA" w:rsidRDefault="0008146B" w:rsidP="0008146B">
            <w:pPr>
              <w:spacing w:after="200" w:line="276" w:lineRule="auto"/>
              <w:rPr>
                <w:rFonts w:ascii="Arial" w:hAnsi="Arial" w:cs="Arial"/>
              </w:rPr>
            </w:pPr>
          </w:p>
        </w:tc>
      </w:tr>
      <w:tr w:rsidR="0008146B" w:rsidRPr="00D720DA" w14:paraId="68BA4132" w14:textId="77777777" w:rsidTr="0032127B">
        <w:trPr>
          <w:trHeight w:val="517"/>
        </w:trPr>
        <w:tc>
          <w:tcPr>
            <w:tcW w:w="241" w:type="pct"/>
          </w:tcPr>
          <w:p w14:paraId="66025727" w14:textId="3A969C71" w:rsidR="0008146B" w:rsidRPr="00D720DA" w:rsidRDefault="00EB7408" w:rsidP="0008146B">
            <w:pPr>
              <w:spacing w:after="200" w:line="276" w:lineRule="auto"/>
              <w:rPr>
                <w:rFonts w:ascii="Arial" w:hAnsi="Arial" w:cs="Arial"/>
                <w:b/>
                <w:bCs/>
                <w:sz w:val="22"/>
              </w:rPr>
            </w:pPr>
            <w:r w:rsidRPr="00D720DA">
              <w:rPr>
                <w:rFonts w:ascii="Arial" w:hAnsi="Arial" w:cs="Arial"/>
                <w:b/>
                <w:bCs/>
                <w:sz w:val="22"/>
              </w:rPr>
              <w:t>1985</w:t>
            </w:r>
          </w:p>
        </w:tc>
        <w:tc>
          <w:tcPr>
            <w:tcW w:w="1800" w:type="pct"/>
          </w:tcPr>
          <w:p w14:paraId="02D67001" w14:textId="77777777" w:rsidR="0008146B" w:rsidRPr="00D720DA" w:rsidRDefault="0008146B" w:rsidP="0008146B">
            <w:pPr>
              <w:spacing w:after="200" w:line="276" w:lineRule="auto"/>
              <w:rPr>
                <w:rFonts w:ascii="Arial" w:hAnsi="Arial" w:cs="Arial"/>
              </w:rPr>
            </w:pPr>
          </w:p>
        </w:tc>
        <w:tc>
          <w:tcPr>
            <w:tcW w:w="1833" w:type="pct"/>
          </w:tcPr>
          <w:p w14:paraId="1EA04CB2" w14:textId="77777777" w:rsidR="0008146B" w:rsidRPr="00D720DA" w:rsidRDefault="0008146B" w:rsidP="0008146B">
            <w:pPr>
              <w:spacing w:after="200" w:line="276" w:lineRule="auto"/>
              <w:rPr>
                <w:rFonts w:ascii="Arial" w:hAnsi="Arial" w:cs="Arial"/>
              </w:rPr>
            </w:pPr>
          </w:p>
        </w:tc>
        <w:tc>
          <w:tcPr>
            <w:tcW w:w="1127" w:type="pct"/>
          </w:tcPr>
          <w:p w14:paraId="06AAFD0B" w14:textId="0A55A2FA" w:rsidR="0008146B" w:rsidRPr="00D720DA" w:rsidRDefault="00EB7408" w:rsidP="0008146B">
            <w:pPr>
              <w:spacing w:after="200" w:line="276" w:lineRule="auto"/>
              <w:rPr>
                <w:rFonts w:ascii="Arial" w:hAnsi="Arial" w:cs="Arial"/>
              </w:rPr>
            </w:pPr>
            <w:r w:rsidRPr="00D720DA">
              <w:rPr>
                <w:rFonts w:ascii="Arial" w:hAnsi="Arial" w:cs="Arial"/>
                <w:i/>
                <w:iCs/>
                <w:sz w:val="20"/>
                <w:szCs w:val="20"/>
              </w:rPr>
              <w:t>State Service Act 1985</w:t>
            </w:r>
          </w:p>
        </w:tc>
      </w:tr>
      <w:tr w:rsidR="0032127B" w:rsidRPr="00D720DA" w14:paraId="348BDFA9" w14:textId="77777777" w:rsidTr="0032127B">
        <w:trPr>
          <w:trHeight w:val="517"/>
        </w:trPr>
        <w:tc>
          <w:tcPr>
            <w:tcW w:w="3873" w:type="pct"/>
            <w:gridSpan w:val="3"/>
          </w:tcPr>
          <w:p w14:paraId="2B4441B3" w14:textId="431BE5F9" w:rsidR="0032127B" w:rsidRPr="00D720DA" w:rsidRDefault="0032127B" w:rsidP="0008146B">
            <w:pPr>
              <w:spacing w:after="200" w:line="276" w:lineRule="auto"/>
              <w:rPr>
                <w:rFonts w:ascii="Arial" w:hAnsi="Arial" w:cs="Arial"/>
              </w:rPr>
            </w:pPr>
            <w:r w:rsidRPr="00D720DA">
              <w:rPr>
                <w:rFonts w:ascii="Arial" w:hAnsi="Arial" w:cs="Arial"/>
                <w:b/>
                <w:bCs/>
                <w:sz w:val="20"/>
                <w:szCs w:val="20"/>
              </w:rPr>
              <w:t>Pre-1985 legislation</w:t>
            </w:r>
          </w:p>
        </w:tc>
        <w:tc>
          <w:tcPr>
            <w:tcW w:w="1127" w:type="pct"/>
          </w:tcPr>
          <w:p w14:paraId="1C3E64A3" w14:textId="77777777" w:rsidR="0032127B" w:rsidRPr="00D720DA" w:rsidRDefault="0032127B" w:rsidP="0032127B">
            <w:pPr>
              <w:rPr>
                <w:rFonts w:ascii="Arial" w:hAnsi="Arial" w:cs="Arial"/>
                <w:i/>
                <w:iCs/>
                <w:color w:val="000000"/>
                <w:sz w:val="20"/>
                <w:szCs w:val="20"/>
                <w:shd w:val="clear" w:color="auto" w:fill="FFFFFF"/>
              </w:rPr>
            </w:pPr>
            <w:r w:rsidRPr="00D720DA">
              <w:rPr>
                <w:rFonts w:ascii="Arial" w:hAnsi="Arial" w:cs="Arial"/>
                <w:i/>
                <w:iCs/>
                <w:color w:val="000000"/>
                <w:sz w:val="20"/>
                <w:szCs w:val="20"/>
                <w:shd w:val="clear" w:color="auto" w:fill="FFFFFF"/>
              </w:rPr>
              <w:t>Public Service Act 1905</w:t>
            </w:r>
          </w:p>
          <w:p w14:paraId="20A794FD" w14:textId="77777777" w:rsidR="0032127B" w:rsidRPr="00D720DA" w:rsidRDefault="0032127B" w:rsidP="0032127B">
            <w:pPr>
              <w:rPr>
                <w:rFonts w:ascii="Arial" w:hAnsi="Arial" w:cs="Arial"/>
                <w:i/>
                <w:iCs/>
                <w:color w:val="000000"/>
                <w:sz w:val="20"/>
                <w:szCs w:val="20"/>
                <w:shd w:val="clear" w:color="auto" w:fill="FFFFFF"/>
              </w:rPr>
            </w:pPr>
            <w:r w:rsidRPr="00D720DA">
              <w:rPr>
                <w:rFonts w:ascii="Arial" w:hAnsi="Arial" w:cs="Arial"/>
                <w:i/>
                <w:iCs/>
                <w:color w:val="000000"/>
                <w:sz w:val="20"/>
                <w:szCs w:val="20"/>
                <w:shd w:val="clear" w:color="auto" w:fill="FFFFFF"/>
              </w:rPr>
              <w:t>Public Service Act 1918</w:t>
            </w:r>
          </w:p>
          <w:p w14:paraId="580B643B" w14:textId="77777777" w:rsidR="0032127B" w:rsidRPr="00D720DA" w:rsidRDefault="0032127B" w:rsidP="0032127B">
            <w:pPr>
              <w:rPr>
                <w:rFonts w:ascii="Arial" w:hAnsi="Arial" w:cs="Arial"/>
                <w:i/>
                <w:iCs/>
                <w:color w:val="000000"/>
                <w:sz w:val="20"/>
                <w:szCs w:val="20"/>
                <w:shd w:val="clear" w:color="auto" w:fill="FFFFFF"/>
              </w:rPr>
            </w:pPr>
            <w:r w:rsidRPr="00D720DA">
              <w:rPr>
                <w:rFonts w:ascii="Arial" w:hAnsi="Arial" w:cs="Arial"/>
                <w:i/>
                <w:iCs/>
                <w:color w:val="000000"/>
                <w:sz w:val="20"/>
                <w:szCs w:val="20"/>
                <w:shd w:val="clear" w:color="auto" w:fill="FFFFFF"/>
              </w:rPr>
              <w:t>Public Service Act 1923</w:t>
            </w:r>
          </w:p>
          <w:p w14:paraId="749934CF" w14:textId="30266BAD" w:rsidR="0032127B" w:rsidRPr="00D720DA" w:rsidRDefault="0032127B" w:rsidP="0032127B">
            <w:pPr>
              <w:rPr>
                <w:rFonts w:ascii="Arial" w:hAnsi="Arial" w:cs="Arial"/>
                <w:i/>
                <w:iCs/>
                <w:color w:val="000000"/>
                <w:sz w:val="20"/>
                <w:szCs w:val="20"/>
                <w:shd w:val="clear" w:color="auto" w:fill="FFFFFF"/>
              </w:rPr>
            </w:pPr>
            <w:r w:rsidRPr="00D720DA">
              <w:rPr>
                <w:rFonts w:ascii="Arial" w:hAnsi="Arial" w:cs="Arial"/>
                <w:i/>
                <w:iCs/>
                <w:color w:val="000000"/>
                <w:sz w:val="20"/>
                <w:szCs w:val="20"/>
                <w:shd w:val="clear" w:color="auto" w:fill="FFFFFF"/>
              </w:rPr>
              <w:lastRenderedPageBreak/>
              <w:t>Public Service Tribunal Act 1958</w:t>
            </w:r>
          </w:p>
        </w:tc>
      </w:tr>
    </w:tbl>
    <w:p w14:paraId="2FC6E881" w14:textId="40B5BE25" w:rsidR="00802450" w:rsidRPr="00D720DA" w:rsidRDefault="00802450" w:rsidP="00F53AE4">
      <w:pPr>
        <w:rPr>
          <w:rFonts w:ascii="Arial" w:hAnsi="Arial" w:cs="Arial"/>
        </w:rPr>
      </w:pPr>
    </w:p>
    <w:sectPr w:rsidR="00802450" w:rsidRPr="00D720DA" w:rsidSect="00802450">
      <w:headerReference w:type="default" r:id="rId95"/>
      <w:pgSz w:w="16838" w:h="11906" w:orient="landscape"/>
      <w:pgMar w:top="851"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0624" w14:textId="77777777" w:rsidR="00756BE1" w:rsidRDefault="00756BE1" w:rsidP="00DF6F99">
      <w:pPr>
        <w:spacing w:after="0"/>
      </w:pPr>
      <w:r>
        <w:separator/>
      </w:r>
    </w:p>
  </w:endnote>
  <w:endnote w:type="continuationSeparator" w:id="0">
    <w:p w14:paraId="609F00A5" w14:textId="77777777" w:rsidR="00756BE1" w:rsidRDefault="00756BE1" w:rsidP="00DF6F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5138" w14:textId="77777777" w:rsidR="00E70AAD" w:rsidRDefault="00E70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FFB" w14:textId="3F3F69E8" w:rsidR="00816A17" w:rsidRPr="001758AB" w:rsidRDefault="001758AB" w:rsidP="008A13F7">
    <w:pPr>
      <w:pStyle w:val="Footer"/>
      <w:pBdr>
        <w:top w:val="single" w:sz="4" w:space="1" w:color="auto"/>
      </w:pBdr>
      <w:rPr>
        <w:rFonts w:ascii="Arial" w:hAnsi="Arial" w:cs="Arial"/>
        <w:lang w:val="en-GB"/>
      </w:rPr>
    </w:pPr>
    <w:r w:rsidRPr="001758AB">
      <w:rPr>
        <w:rFonts w:ascii="Arial" w:eastAsiaTheme="majorEastAsia" w:hAnsi="Arial" w:cs="Arial"/>
        <w:lang w:val="en-GB"/>
      </w:rPr>
      <w:t>ANZSOG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5227" w14:textId="77777777" w:rsidR="00E70AAD" w:rsidRDefault="00E70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C8DB" w14:textId="77777777" w:rsidR="00756BE1" w:rsidRDefault="00756BE1" w:rsidP="00DF6F99">
      <w:pPr>
        <w:spacing w:after="0"/>
      </w:pPr>
      <w:r>
        <w:separator/>
      </w:r>
    </w:p>
  </w:footnote>
  <w:footnote w:type="continuationSeparator" w:id="0">
    <w:p w14:paraId="47A4716E" w14:textId="77777777" w:rsidR="00756BE1" w:rsidRDefault="00756BE1" w:rsidP="00DF6F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E0E9" w14:textId="77777777" w:rsidR="00E70AAD" w:rsidRDefault="00E70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04587729"/>
      <w:docPartObj>
        <w:docPartGallery w:val="Page Numbers (Top of Page)"/>
        <w:docPartUnique/>
      </w:docPartObj>
    </w:sdtPr>
    <w:sdtEndPr>
      <w:rPr>
        <w:rFonts w:ascii="Times New Roman" w:hAnsi="Times New Roman" w:cstheme="minorBidi"/>
        <w:noProof/>
      </w:rPr>
    </w:sdtEndPr>
    <w:sdtContent>
      <w:p w14:paraId="0072D4DB" w14:textId="3E90D20B" w:rsidR="00916B8A" w:rsidRDefault="001758AB">
        <w:pPr>
          <w:pStyle w:val="Header"/>
        </w:pPr>
        <w:r>
          <w:rPr>
            <w:noProof/>
          </w:rPr>
          <w:drawing>
            <wp:anchor distT="0" distB="0" distL="114300" distR="114300" simplePos="0" relativeHeight="251659264" behindDoc="1" locked="0" layoutInCell="1" allowOverlap="1" wp14:anchorId="633B628A" wp14:editId="4CE1DCB9">
              <wp:simplePos x="0" y="0"/>
              <wp:positionH relativeFrom="margin">
                <wp:align>left</wp:align>
              </wp:positionH>
              <wp:positionV relativeFrom="paragraph">
                <wp:posOffset>-21590</wp:posOffset>
              </wp:positionV>
              <wp:extent cx="6491550" cy="440690"/>
              <wp:effectExtent l="0" t="0" r="508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6491550" cy="440690"/>
                      </a:xfrm>
                      <a:prstGeom prst="rect">
                        <a:avLst/>
                      </a:prstGeom>
                    </pic:spPr>
                  </pic:pic>
                </a:graphicData>
              </a:graphic>
              <wp14:sizeRelH relativeFrom="page">
                <wp14:pctWidth>0</wp14:pctWidth>
              </wp14:sizeRelH>
              <wp14:sizeRelV relativeFrom="page">
                <wp14:pctHeight>0</wp14:pctHeight>
              </wp14:sizeRelV>
            </wp:anchor>
          </w:drawing>
        </w:r>
        <w:r w:rsidR="00916B8A">
          <w:fldChar w:fldCharType="begin"/>
        </w:r>
        <w:r w:rsidR="00916B8A">
          <w:instrText xml:space="preserve"> PAGE   \* MERGEFORMAT </w:instrText>
        </w:r>
        <w:r w:rsidR="00916B8A">
          <w:fldChar w:fldCharType="separate"/>
        </w:r>
        <w:r w:rsidR="00916B8A">
          <w:rPr>
            <w:noProof/>
          </w:rPr>
          <w:t>2</w:t>
        </w:r>
        <w:r w:rsidR="00916B8A">
          <w:rPr>
            <w:noProof/>
          </w:rPr>
          <w:fldChar w:fldCharType="end"/>
        </w:r>
      </w:p>
    </w:sdtContent>
  </w:sdt>
  <w:p w14:paraId="137CCC34" w14:textId="77777777" w:rsidR="00816A17" w:rsidRDefault="00816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4EBD" w14:textId="77777777" w:rsidR="00E70AAD" w:rsidRDefault="00E70A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71839704"/>
      <w:docPartObj>
        <w:docPartGallery w:val="Page Numbers (Top of Page)"/>
        <w:docPartUnique/>
      </w:docPartObj>
    </w:sdtPr>
    <w:sdtEndPr>
      <w:rPr>
        <w:rFonts w:ascii="Times New Roman" w:hAnsi="Times New Roman" w:cstheme="minorBidi"/>
        <w:noProof/>
      </w:rPr>
    </w:sdtEndPr>
    <w:sdtContent>
      <w:p w14:paraId="4494622C" w14:textId="142F7CBC" w:rsidR="001758AB" w:rsidRDefault="00D720DA">
        <w:pPr>
          <w:pStyle w:val="Header"/>
        </w:pPr>
        <w:r>
          <w:rPr>
            <w:rFonts w:ascii="Arial" w:hAnsi="Arial" w:cs="Arial"/>
            <w:noProof/>
          </w:rPr>
          <mc:AlternateContent>
            <mc:Choice Requires="wpg">
              <w:drawing>
                <wp:anchor distT="0" distB="0" distL="114300" distR="114300" simplePos="0" relativeHeight="251661312" behindDoc="0" locked="0" layoutInCell="1" allowOverlap="1" wp14:anchorId="7CD100AD" wp14:editId="757059D7">
                  <wp:simplePos x="0" y="0"/>
                  <wp:positionH relativeFrom="column">
                    <wp:posOffset>-3176</wp:posOffset>
                  </wp:positionH>
                  <wp:positionV relativeFrom="paragraph">
                    <wp:posOffset>-22673</wp:posOffset>
                  </wp:positionV>
                  <wp:extent cx="9572625" cy="441773"/>
                  <wp:effectExtent l="19050" t="0" r="9525" b="0"/>
                  <wp:wrapNone/>
                  <wp:docPr id="8" name="Group 8"/>
                  <wp:cNvGraphicFramePr/>
                  <a:graphic xmlns:a="http://schemas.openxmlformats.org/drawingml/2006/main">
                    <a:graphicData uri="http://schemas.microsoft.com/office/word/2010/wordprocessingGroup">
                      <wpg:wgp>
                        <wpg:cNvGrpSpPr/>
                        <wpg:grpSpPr>
                          <a:xfrm>
                            <a:off x="0" y="0"/>
                            <a:ext cx="9572625" cy="441773"/>
                            <a:chOff x="0" y="0"/>
                            <a:chExt cx="9136965" cy="421640"/>
                          </a:xfrm>
                        </wpg:grpSpPr>
                        <pic:pic xmlns:pic="http://schemas.openxmlformats.org/drawingml/2006/picture">
                          <pic:nvPicPr>
                            <pic:cNvPr id="21" name="Picture 2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926030" y="0"/>
                              <a:ext cx="6210935" cy="421640"/>
                            </a:xfrm>
                            <a:prstGeom prst="rect">
                              <a:avLst/>
                            </a:prstGeom>
                          </pic:spPr>
                        </pic:pic>
                        <wps:wsp>
                          <wps:cNvPr id="16" name="Straight Connector 16"/>
                          <wps:cNvCnPr/>
                          <wps:spPr>
                            <a:xfrm flipH="1">
                              <a:off x="0" y="363434"/>
                              <a:ext cx="2973788" cy="0"/>
                            </a:xfrm>
                            <a:prstGeom prst="line">
                              <a:avLst/>
                            </a:prstGeom>
                            <a:ln w="5334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4D0B692" id="Group 8" o:spid="_x0000_s1026" style="position:absolute;margin-left:-.25pt;margin-top:-1.8pt;width:753.75pt;height:34.8pt;z-index:251661312;mso-width-relative:margin;mso-height-relative:margin" coordsize="91369,4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29260;width:62109;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">
                    <v:imagedata r:id="rId2" o:title=""/>
                  </v:shape>
                  <v:line id="Straight Connector 16" o:spid="_x0000_s1028" style="position:absolute;flip:x;visibility:visible;mso-wrap-style:square" from="0,3634" to="29737,3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" strokecolor="black [3040]" strokeweight="4.2pt"/>
                </v:group>
              </w:pict>
            </mc:Fallback>
          </mc:AlternateContent>
        </w:r>
        <w:r w:rsidR="001758AB">
          <w:fldChar w:fldCharType="begin"/>
        </w:r>
        <w:r w:rsidR="001758AB">
          <w:instrText xml:space="preserve"> PAGE   \* MERGEFORMAT </w:instrText>
        </w:r>
        <w:r w:rsidR="001758AB">
          <w:fldChar w:fldCharType="separate"/>
        </w:r>
        <w:r w:rsidR="001758AB">
          <w:rPr>
            <w:noProof/>
          </w:rPr>
          <w:t>2</w:t>
        </w:r>
        <w:r w:rsidR="001758AB">
          <w:rPr>
            <w:noProof/>
          </w:rPr>
          <w:fldChar w:fldCharType="end"/>
        </w:r>
      </w:p>
    </w:sdtContent>
  </w:sdt>
  <w:p w14:paraId="0B86FB58" w14:textId="77777777" w:rsidR="001758AB" w:rsidRDefault="00175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A28"/>
    <w:multiLevelType w:val="hybridMultilevel"/>
    <w:tmpl w:val="4A506A88"/>
    <w:lvl w:ilvl="0" w:tplc="33F6AD36">
      <w:start w:val="1"/>
      <w:numFmt w:val="decimal"/>
      <w:pStyle w:val="Table"/>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426B7"/>
    <w:multiLevelType w:val="multilevel"/>
    <w:tmpl w:val="EEAC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73544"/>
    <w:multiLevelType w:val="hybridMultilevel"/>
    <w:tmpl w:val="2812B6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8A12E8"/>
    <w:multiLevelType w:val="hybridMultilevel"/>
    <w:tmpl w:val="14B262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20AD331B"/>
    <w:multiLevelType w:val="hybridMultilevel"/>
    <w:tmpl w:val="C1F0B8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BE47719"/>
    <w:multiLevelType w:val="hybridMultilevel"/>
    <w:tmpl w:val="A91889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79C69BF"/>
    <w:multiLevelType w:val="multilevel"/>
    <w:tmpl w:val="9BCEC3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F652E75"/>
    <w:multiLevelType w:val="hybridMultilevel"/>
    <w:tmpl w:val="F3581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8F7080"/>
    <w:multiLevelType w:val="hybridMultilevel"/>
    <w:tmpl w:val="2FFE9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0177487">
    <w:abstractNumId w:val="6"/>
  </w:num>
  <w:num w:numId="2" w16cid:durableId="1967663739">
    <w:abstractNumId w:val="3"/>
  </w:num>
  <w:num w:numId="3" w16cid:durableId="938486835">
    <w:abstractNumId w:val="6"/>
  </w:num>
  <w:num w:numId="4" w16cid:durableId="1739594269">
    <w:abstractNumId w:val="2"/>
  </w:num>
  <w:num w:numId="5" w16cid:durableId="1500198000">
    <w:abstractNumId w:val="7"/>
  </w:num>
  <w:num w:numId="6" w16cid:durableId="1300458157">
    <w:abstractNumId w:val="0"/>
  </w:num>
  <w:num w:numId="7" w16cid:durableId="966273854">
    <w:abstractNumId w:val="1"/>
  </w:num>
  <w:num w:numId="8" w16cid:durableId="1418012443">
    <w:abstractNumId w:val="4"/>
  </w:num>
  <w:num w:numId="9" w16cid:durableId="882907606">
    <w:abstractNumId w:val="5"/>
  </w:num>
  <w:num w:numId="10" w16cid:durableId="154409910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AB"/>
    <w:rsid w:val="0000266A"/>
    <w:rsid w:val="0000415E"/>
    <w:rsid w:val="000054DC"/>
    <w:rsid w:val="000056D7"/>
    <w:rsid w:val="00014193"/>
    <w:rsid w:val="00014DCA"/>
    <w:rsid w:val="000154B2"/>
    <w:rsid w:val="000160AC"/>
    <w:rsid w:val="00016933"/>
    <w:rsid w:val="000202CF"/>
    <w:rsid w:val="00020CFB"/>
    <w:rsid w:val="000212C3"/>
    <w:rsid w:val="000219CA"/>
    <w:rsid w:val="00021A55"/>
    <w:rsid w:val="000225DA"/>
    <w:rsid w:val="00023241"/>
    <w:rsid w:val="00024670"/>
    <w:rsid w:val="000265AB"/>
    <w:rsid w:val="00027A38"/>
    <w:rsid w:val="00030698"/>
    <w:rsid w:val="00031293"/>
    <w:rsid w:val="00034E76"/>
    <w:rsid w:val="00035D51"/>
    <w:rsid w:val="00040D87"/>
    <w:rsid w:val="000414AD"/>
    <w:rsid w:val="0004312C"/>
    <w:rsid w:val="00043D02"/>
    <w:rsid w:val="00044CB9"/>
    <w:rsid w:val="00045A4F"/>
    <w:rsid w:val="00051218"/>
    <w:rsid w:val="00051426"/>
    <w:rsid w:val="00052ACF"/>
    <w:rsid w:val="00053457"/>
    <w:rsid w:val="000539B2"/>
    <w:rsid w:val="00053D22"/>
    <w:rsid w:val="00064531"/>
    <w:rsid w:val="00064DC1"/>
    <w:rsid w:val="00066759"/>
    <w:rsid w:val="000669D4"/>
    <w:rsid w:val="0006736B"/>
    <w:rsid w:val="00067C65"/>
    <w:rsid w:val="0007153A"/>
    <w:rsid w:val="0007185C"/>
    <w:rsid w:val="0007647F"/>
    <w:rsid w:val="00076937"/>
    <w:rsid w:val="00076A40"/>
    <w:rsid w:val="0008146B"/>
    <w:rsid w:val="000815CE"/>
    <w:rsid w:val="00082617"/>
    <w:rsid w:val="00083325"/>
    <w:rsid w:val="000867E6"/>
    <w:rsid w:val="00090E7E"/>
    <w:rsid w:val="00092CBA"/>
    <w:rsid w:val="00095E56"/>
    <w:rsid w:val="00096347"/>
    <w:rsid w:val="00096378"/>
    <w:rsid w:val="000977D5"/>
    <w:rsid w:val="000A034E"/>
    <w:rsid w:val="000A6202"/>
    <w:rsid w:val="000B021F"/>
    <w:rsid w:val="000B1A4D"/>
    <w:rsid w:val="000B29C4"/>
    <w:rsid w:val="000B2A40"/>
    <w:rsid w:val="000B2C0F"/>
    <w:rsid w:val="000B62C4"/>
    <w:rsid w:val="000B7127"/>
    <w:rsid w:val="000C0017"/>
    <w:rsid w:val="000C0A83"/>
    <w:rsid w:val="000C116D"/>
    <w:rsid w:val="000C508E"/>
    <w:rsid w:val="000C59F3"/>
    <w:rsid w:val="000C65D8"/>
    <w:rsid w:val="000D10D0"/>
    <w:rsid w:val="000D1D7C"/>
    <w:rsid w:val="000D31B3"/>
    <w:rsid w:val="000D3454"/>
    <w:rsid w:val="000D384F"/>
    <w:rsid w:val="000D3DC7"/>
    <w:rsid w:val="000E2F66"/>
    <w:rsid w:val="000E37BC"/>
    <w:rsid w:val="000E6927"/>
    <w:rsid w:val="000F1F16"/>
    <w:rsid w:val="000F21E2"/>
    <w:rsid w:val="000F4267"/>
    <w:rsid w:val="000F4F3C"/>
    <w:rsid w:val="000F611D"/>
    <w:rsid w:val="000F6CF3"/>
    <w:rsid w:val="000F7219"/>
    <w:rsid w:val="0010179D"/>
    <w:rsid w:val="00102FBB"/>
    <w:rsid w:val="0010623C"/>
    <w:rsid w:val="00107548"/>
    <w:rsid w:val="00111834"/>
    <w:rsid w:val="00111F0E"/>
    <w:rsid w:val="001129F5"/>
    <w:rsid w:val="0011338C"/>
    <w:rsid w:val="00113A9C"/>
    <w:rsid w:val="00113CA4"/>
    <w:rsid w:val="00117574"/>
    <w:rsid w:val="00120B2E"/>
    <w:rsid w:val="00125BC8"/>
    <w:rsid w:val="00127457"/>
    <w:rsid w:val="00131752"/>
    <w:rsid w:val="00136572"/>
    <w:rsid w:val="00136F59"/>
    <w:rsid w:val="00140529"/>
    <w:rsid w:val="00142900"/>
    <w:rsid w:val="001437C2"/>
    <w:rsid w:val="00143D89"/>
    <w:rsid w:val="001444CF"/>
    <w:rsid w:val="001450F5"/>
    <w:rsid w:val="00146642"/>
    <w:rsid w:val="00146D2C"/>
    <w:rsid w:val="001503E7"/>
    <w:rsid w:val="0015066D"/>
    <w:rsid w:val="001512D2"/>
    <w:rsid w:val="00152F59"/>
    <w:rsid w:val="0015460B"/>
    <w:rsid w:val="00154730"/>
    <w:rsid w:val="001579D0"/>
    <w:rsid w:val="001606E9"/>
    <w:rsid w:val="00165646"/>
    <w:rsid w:val="00165F7A"/>
    <w:rsid w:val="00166775"/>
    <w:rsid w:val="0016739A"/>
    <w:rsid w:val="00170D9E"/>
    <w:rsid w:val="00172721"/>
    <w:rsid w:val="00173D82"/>
    <w:rsid w:val="001758AB"/>
    <w:rsid w:val="001760D6"/>
    <w:rsid w:val="00176A3F"/>
    <w:rsid w:val="00180CE2"/>
    <w:rsid w:val="00181DA3"/>
    <w:rsid w:val="00184670"/>
    <w:rsid w:val="00184900"/>
    <w:rsid w:val="00185D13"/>
    <w:rsid w:val="00185FBE"/>
    <w:rsid w:val="0019095E"/>
    <w:rsid w:val="0019533A"/>
    <w:rsid w:val="0019649C"/>
    <w:rsid w:val="001968AC"/>
    <w:rsid w:val="001A06A5"/>
    <w:rsid w:val="001A22D1"/>
    <w:rsid w:val="001A41EE"/>
    <w:rsid w:val="001A466A"/>
    <w:rsid w:val="001A4D6E"/>
    <w:rsid w:val="001A7D7C"/>
    <w:rsid w:val="001B0E5A"/>
    <w:rsid w:val="001B590D"/>
    <w:rsid w:val="001B6948"/>
    <w:rsid w:val="001C04A8"/>
    <w:rsid w:val="001C1CC2"/>
    <w:rsid w:val="001C259C"/>
    <w:rsid w:val="001C2719"/>
    <w:rsid w:val="001C54E3"/>
    <w:rsid w:val="001C6C17"/>
    <w:rsid w:val="001C7EAE"/>
    <w:rsid w:val="001D3082"/>
    <w:rsid w:val="001D344B"/>
    <w:rsid w:val="001D5146"/>
    <w:rsid w:val="001D7073"/>
    <w:rsid w:val="001D7F77"/>
    <w:rsid w:val="001E1B2A"/>
    <w:rsid w:val="001E1F7E"/>
    <w:rsid w:val="001E27E6"/>
    <w:rsid w:val="001F0FFE"/>
    <w:rsid w:val="001F186D"/>
    <w:rsid w:val="001F236B"/>
    <w:rsid w:val="001F2611"/>
    <w:rsid w:val="001F2A40"/>
    <w:rsid w:val="001F340F"/>
    <w:rsid w:val="001F466C"/>
    <w:rsid w:val="001F48DF"/>
    <w:rsid w:val="001F591F"/>
    <w:rsid w:val="001F66DD"/>
    <w:rsid w:val="002008DF"/>
    <w:rsid w:val="00202FC3"/>
    <w:rsid w:val="00203145"/>
    <w:rsid w:val="00203DF4"/>
    <w:rsid w:val="00204207"/>
    <w:rsid w:val="002042BD"/>
    <w:rsid w:val="00206954"/>
    <w:rsid w:val="00211362"/>
    <w:rsid w:val="00212B7E"/>
    <w:rsid w:val="00213579"/>
    <w:rsid w:val="00214629"/>
    <w:rsid w:val="00215E7D"/>
    <w:rsid w:val="0022346E"/>
    <w:rsid w:val="00223E13"/>
    <w:rsid w:val="0022462A"/>
    <w:rsid w:val="00227B1D"/>
    <w:rsid w:val="00227C50"/>
    <w:rsid w:val="00231367"/>
    <w:rsid w:val="00232306"/>
    <w:rsid w:val="002346EC"/>
    <w:rsid w:val="00235001"/>
    <w:rsid w:val="00235A7E"/>
    <w:rsid w:val="0024351E"/>
    <w:rsid w:val="00243DEE"/>
    <w:rsid w:val="00245E84"/>
    <w:rsid w:val="00245F1F"/>
    <w:rsid w:val="00246C63"/>
    <w:rsid w:val="00246DF3"/>
    <w:rsid w:val="00246E51"/>
    <w:rsid w:val="002473B4"/>
    <w:rsid w:val="00251446"/>
    <w:rsid w:val="00251641"/>
    <w:rsid w:val="00253F10"/>
    <w:rsid w:val="00254D5C"/>
    <w:rsid w:val="00254FF6"/>
    <w:rsid w:val="0025557A"/>
    <w:rsid w:val="00255734"/>
    <w:rsid w:val="00261657"/>
    <w:rsid w:val="002618ED"/>
    <w:rsid w:val="002623D9"/>
    <w:rsid w:val="002626F5"/>
    <w:rsid w:val="00263CE5"/>
    <w:rsid w:val="00264A44"/>
    <w:rsid w:val="00267B1D"/>
    <w:rsid w:val="00270E8C"/>
    <w:rsid w:val="0027267F"/>
    <w:rsid w:val="00272D7D"/>
    <w:rsid w:val="00273172"/>
    <w:rsid w:val="00273FC4"/>
    <w:rsid w:val="002776A8"/>
    <w:rsid w:val="0028128E"/>
    <w:rsid w:val="00285446"/>
    <w:rsid w:val="00285936"/>
    <w:rsid w:val="00290A27"/>
    <w:rsid w:val="002920AC"/>
    <w:rsid w:val="00292A9C"/>
    <w:rsid w:val="00292D73"/>
    <w:rsid w:val="00295580"/>
    <w:rsid w:val="002A23EC"/>
    <w:rsid w:val="002A3642"/>
    <w:rsid w:val="002A3BD0"/>
    <w:rsid w:val="002A4318"/>
    <w:rsid w:val="002A5A16"/>
    <w:rsid w:val="002A6AD4"/>
    <w:rsid w:val="002A77E9"/>
    <w:rsid w:val="002B1632"/>
    <w:rsid w:val="002B21E6"/>
    <w:rsid w:val="002B2570"/>
    <w:rsid w:val="002B681C"/>
    <w:rsid w:val="002C423E"/>
    <w:rsid w:val="002C7665"/>
    <w:rsid w:val="002D0833"/>
    <w:rsid w:val="002D0E65"/>
    <w:rsid w:val="002D177B"/>
    <w:rsid w:val="002D19C3"/>
    <w:rsid w:val="002D1B68"/>
    <w:rsid w:val="002D1F8A"/>
    <w:rsid w:val="002D3FD2"/>
    <w:rsid w:val="002D46CB"/>
    <w:rsid w:val="002D5C88"/>
    <w:rsid w:val="002E1D28"/>
    <w:rsid w:val="002E2ADF"/>
    <w:rsid w:val="002E2CEC"/>
    <w:rsid w:val="002E31D9"/>
    <w:rsid w:val="002E54AB"/>
    <w:rsid w:val="002E5BBC"/>
    <w:rsid w:val="002F37CB"/>
    <w:rsid w:val="002F4BD8"/>
    <w:rsid w:val="002F5090"/>
    <w:rsid w:val="002F5B4B"/>
    <w:rsid w:val="002F69CC"/>
    <w:rsid w:val="0030748E"/>
    <w:rsid w:val="00307D2E"/>
    <w:rsid w:val="00310618"/>
    <w:rsid w:val="003108CB"/>
    <w:rsid w:val="0031113B"/>
    <w:rsid w:val="00312694"/>
    <w:rsid w:val="003147BA"/>
    <w:rsid w:val="00315D70"/>
    <w:rsid w:val="00317A06"/>
    <w:rsid w:val="00320FB0"/>
    <w:rsid w:val="00321114"/>
    <w:rsid w:val="0032127B"/>
    <w:rsid w:val="00323726"/>
    <w:rsid w:val="003237AD"/>
    <w:rsid w:val="00325352"/>
    <w:rsid w:val="00325418"/>
    <w:rsid w:val="0032688A"/>
    <w:rsid w:val="00330492"/>
    <w:rsid w:val="00330900"/>
    <w:rsid w:val="00336F7C"/>
    <w:rsid w:val="0034046F"/>
    <w:rsid w:val="003418AB"/>
    <w:rsid w:val="00343C64"/>
    <w:rsid w:val="003457AE"/>
    <w:rsid w:val="0034728C"/>
    <w:rsid w:val="00347A84"/>
    <w:rsid w:val="00347B0D"/>
    <w:rsid w:val="00355549"/>
    <w:rsid w:val="003576E9"/>
    <w:rsid w:val="003604DE"/>
    <w:rsid w:val="00360775"/>
    <w:rsid w:val="00363735"/>
    <w:rsid w:val="00363D49"/>
    <w:rsid w:val="00365613"/>
    <w:rsid w:val="00366268"/>
    <w:rsid w:val="00367EDF"/>
    <w:rsid w:val="00370CBE"/>
    <w:rsid w:val="00372044"/>
    <w:rsid w:val="0037229E"/>
    <w:rsid w:val="003725B0"/>
    <w:rsid w:val="00372EA9"/>
    <w:rsid w:val="00373074"/>
    <w:rsid w:val="00374D63"/>
    <w:rsid w:val="003769C2"/>
    <w:rsid w:val="003772B7"/>
    <w:rsid w:val="003777B3"/>
    <w:rsid w:val="0038294B"/>
    <w:rsid w:val="00383ADE"/>
    <w:rsid w:val="003856F6"/>
    <w:rsid w:val="00385759"/>
    <w:rsid w:val="00386AEB"/>
    <w:rsid w:val="00386BAA"/>
    <w:rsid w:val="00390C26"/>
    <w:rsid w:val="00391B68"/>
    <w:rsid w:val="003924DF"/>
    <w:rsid w:val="00393653"/>
    <w:rsid w:val="0039393C"/>
    <w:rsid w:val="00393E8D"/>
    <w:rsid w:val="0039626C"/>
    <w:rsid w:val="00397065"/>
    <w:rsid w:val="003979AB"/>
    <w:rsid w:val="003A1B8F"/>
    <w:rsid w:val="003A1D23"/>
    <w:rsid w:val="003A1FB4"/>
    <w:rsid w:val="003A25C3"/>
    <w:rsid w:val="003A38CB"/>
    <w:rsid w:val="003A6E0B"/>
    <w:rsid w:val="003B4089"/>
    <w:rsid w:val="003B5DDC"/>
    <w:rsid w:val="003B64DA"/>
    <w:rsid w:val="003B6596"/>
    <w:rsid w:val="003C0651"/>
    <w:rsid w:val="003C0781"/>
    <w:rsid w:val="003C1F6F"/>
    <w:rsid w:val="003C35FB"/>
    <w:rsid w:val="003C4CCF"/>
    <w:rsid w:val="003C4FD6"/>
    <w:rsid w:val="003C61DF"/>
    <w:rsid w:val="003C623B"/>
    <w:rsid w:val="003C720D"/>
    <w:rsid w:val="003D046E"/>
    <w:rsid w:val="003D179F"/>
    <w:rsid w:val="003D1F75"/>
    <w:rsid w:val="003D3F81"/>
    <w:rsid w:val="003E0A9E"/>
    <w:rsid w:val="003E1719"/>
    <w:rsid w:val="003E2227"/>
    <w:rsid w:val="003E2AEF"/>
    <w:rsid w:val="003E554C"/>
    <w:rsid w:val="003E56F1"/>
    <w:rsid w:val="003F0D60"/>
    <w:rsid w:val="003F2483"/>
    <w:rsid w:val="00400527"/>
    <w:rsid w:val="00403842"/>
    <w:rsid w:val="00404086"/>
    <w:rsid w:val="00404BB5"/>
    <w:rsid w:val="00406BA6"/>
    <w:rsid w:val="00410979"/>
    <w:rsid w:val="00411388"/>
    <w:rsid w:val="004120E7"/>
    <w:rsid w:val="00412A91"/>
    <w:rsid w:val="00413210"/>
    <w:rsid w:val="00413ACD"/>
    <w:rsid w:val="004147E6"/>
    <w:rsid w:val="0041594F"/>
    <w:rsid w:val="00415F3D"/>
    <w:rsid w:val="00416122"/>
    <w:rsid w:val="00424646"/>
    <w:rsid w:val="00424765"/>
    <w:rsid w:val="00424A13"/>
    <w:rsid w:val="0042692E"/>
    <w:rsid w:val="004311B6"/>
    <w:rsid w:val="00435714"/>
    <w:rsid w:val="004418AE"/>
    <w:rsid w:val="00444C2E"/>
    <w:rsid w:val="0044573F"/>
    <w:rsid w:val="00447F33"/>
    <w:rsid w:val="0045072F"/>
    <w:rsid w:val="00450C84"/>
    <w:rsid w:val="0045130A"/>
    <w:rsid w:val="00452DF5"/>
    <w:rsid w:val="00453D60"/>
    <w:rsid w:val="0045501F"/>
    <w:rsid w:val="00455F34"/>
    <w:rsid w:val="004573E0"/>
    <w:rsid w:val="004601F5"/>
    <w:rsid w:val="00460401"/>
    <w:rsid w:val="004607C5"/>
    <w:rsid w:val="00462AA6"/>
    <w:rsid w:val="00462B2E"/>
    <w:rsid w:val="004636C5"/>
    <w:rsid w:val="00463E1E"/>
    <w:rsid w:val="00467946"/>
    <w:rsid w:val="004704A5"/>
    <w:rsid w:val="00472CE5"/>
    <w:rsid w:val="00473518"/>
    <w:rsid w:val="00476E93"/>
    <w:rsid w:val="004776F9"/>
    <w:rsid w:val="00477FC6"/>
    <w:rsid w:val="00483719"/>
    <w:rsid w:val="004843DD"/>
    <w:rsid w:val="004849B2"/>
    <w:rsid w:val="00486491"/>
    <w:rsid w:val="00486CE2"/>
    <w:rsid w:val="00487DB6"/>
    <w:rsid w:val="00493561"/>
    <w:rsid w:val="00493C89"/>
    <w:rsid w:val="004962AD"/>
    <w:rsid w:val="00496629"/>
    <w:rsid w:val="004972C1"/>
    <w:rsid w:val="00497CBA"/>
    <w:rsid w:val="004A1B49"/>
    <w:rsid w:val="004A39BC"/>
    <w:rsid w:val="004A48F3"/>
    <w:rsid w:val="004A508E"/>
    <w:rsid w:val="004A7CDA"/>
    <w:rsid w:val="004B05CA"/>
    <w:rsid w:val="004B0883"/>
    <w:rsid w:val="004B3184"/>
    <w:rsid w:val="004B342F"/>
    <w:rsid w:val="004B548B"/>
    <w:rsid w:val="004B6AAB"/>
    <w:rsid w:val="004B6B81"/>
    <w:rsid w:val="004B72E0"/>
    <w:rsid w:val="004C1326"/>
    <w:rsid w:val="004C160E"/>
    <w:rsid w:val="004C3276"/>
    <w:rsid w:val="004C37E6"/>
    <w:rsid w:val="004C5E64"/>
    <w:rsid w:val="004C63C1"/>
    <w:rsid w:val="004D0F2E"/>
    <w:rsid w:val="004D23D0"/>
    <w:rsid w:val="004D2465"/>
    <w:rsid w:val="004D478E"/>
    <w:rsid w:val="004D5C1A"/>
    <w:rsid w:val="004E0463"/>
    <w:rsid w:val="004E1B9E"/>
    <w:rsid w:val="004E21FD"/>
    <w:rsid w:val="004E24BF"/>
    <w:rsid w:val="004E24E5"/>
    <w:rsid w:val="004E28F2"/>
    <w:rsid w:val="004F213B"/>
    <w:rsid w:val="004F49E0"/>
    <w:rsid w:val="004F6837"/>
    <w:rsid w:val="004F7CBF"/>
    <w:rsid w:val="00501782"/>
    <w:rsid w:val="00503315"/>
    <w:rsid w:val="005042DF"/>
    <w:rsid w:val="005047FE"/>
    <w:rsid w:val="00504BA3"/>
    <w:rsid w:val="00504FE7"/>
    <w:rsid w:val="005056C5"/>
    <w:rsid w:val="00505D5A"/>
    <w:rsid w:val="0050627D"/>
    <w:rsid w:val="00512515"/>
    <w:rsid w:val="00513D7A"/>
    <w:rsid w:val="005210BB"/>
    <w:rsid w:val="005212F6"/>
    <w:rsid w:val="005219DB"/>
    <w:rsid w:val="00521B24"/>
    <w:rsid w:val="00523D26"/>
    <w:rsid w:val="005257D0"/>
    <w:rsid w:val="00525F31"/>
    <w:rsid w:val="00526A2A"/>
    <w:rsid w:val="00530156"/>
    <w:rsid w:val="0053152A"/>
    <w:rsid w:val="00531F6A"/>
    <w:rsid w:val="00536C1E"/>
    <w:rsid w:val="00536F9B"/>
    <w:rsid w:val="00537963"/>
    <w:rsid w:val="00544039"/>
    <w:rsid w:val="005451FF"/>
    <w:rsid w:val="00545532"/>
    <w:rsid w:val="00546B81"/>
    <w:rsid w:val="005510F5"/>
    <w:rsid w:val="00552678"/>
    <w:rsid w:val="00552CCC"/>
    <w:rsid w:val="00552F6C"/>
    <w:rsid w:val="00557343"/>
    <w:rsid w:val="00557CAA"/>
    <w:rsid w:val="005613D9"/>
    <w:rsid w:val="005619B4"/>
    <w:rsid w:val="00561CE8"/>
    <w:rsid w:val="005646E1"/>
    <w:rsid w:val="005656A3"/>
    <w:rsid w:val="00571013"/>
    <w:rsid w:val="00571BC5"/>
    <w:rsid w:val="0057271B"/>
    <w:rsid w:val="005765B7"/>
    <w:rsid w:val="005803E2"/>
    <w:rsid w:val="00581C78"/>
    <w:rsid w:val="005827B5"/>
    <w:rsid w:val="005829E5"/>
    <w:rsid w:val="00584B76"/>
    <w:rsid w:val="00584D1D"/>
    <w:rsid w:val="00587116"/>
    <w:rsid w:val="0058775F"/>
    <w:rsid w:val="005909D5"/>
    <w:rsid w:val="005913E7"/>
    <w:rsid w:val="00591D53"/>
    <w:rsid w:val="005926C9"/>
    <w:rsid w:val="00593B15"/>
    <w:rsid w:val="00594630"/>
    <w:rsid w:val="0059598B"/>
    <w:rsid w:val="00597E4D"/>
    <w:rsid w:val="005A0620"/>
    <w:rsid w:val="005A258F"/>
    <w:rsid w:val="005B031E"/>
    <w:rsid w:val="005B05D5"/>
    <w:rsid w:val="005B0E11"/>
    <w:rsid w:val="005B1408"/>
    <w:rsid w:val="005B179E"/>
    <w:rsid w:val="005B1873"/>
    <w:rsid w:val="005B1F57"/>
    <w:rsid w:val="005B28D0"/>
    <w:rsid w:val="005B5D97"/>
    <w:rsid w:val="005B6C03"/>
    <w:rsid w:val="005B7155"/>
    <w:rsid w:val="005C10F6"/>
    <w:rsid w:val="005C2EA5"/>
    <w:rsid w:val="005C4173"/>
    <w:rsid w:val="005C6199"/>
    <w:rsid w:val="005C696F"/>
    <w:rsid w:val="005C7D7D"/>
    <w:rsid w:val="005D0A83"/>
    <w:rsid w:val="005D0DEF"/>
    <w:rsid w:val="005D1A86"/>
    <w:rsid w:val="005D2D70"/>
    <w:rsid w:val="005D476D"/>
    <w:rsid w:val="005D740E"/>
    <w:rsid w:val="005D7440"/>
    <w:rsid w:val="005E228D"/>
    <w:rsid w:val="005E37CF"/>
    <w:rsid w:val="005E54CF"/>
    <w:rsid w:val="005E7025"/>
    <w:rsid w:val="005F1077"/>
    <w:rsid w:val="005F36B7"/>
    <w:rsid w:val="005F5B8D"/>
    <w:rsid w:val="005F61F9"/>
    <w:rsid w:val="005F630A"/>
    <w:rsid w:val="005F6742"/>
    <w:rsid w:val="006006EE"/>
    <w:rsid w:val="00601538"/>
    <w:rsid w:val="00603EAB"/>
    <w:rsid w:val="00605CAB"/>
    <w:rsid w:val="0061006C"/>
    <w:rsid w:val="006117F9"/>
    <w:rsid w:val="00613BBD"/>
    <w:rsid w:val="00614BCF"/>
    <w:rsid w:val="006152DD"/>
    <w:rsid w:val="00616C8E"/>
    <w:rsid w:val="00621F53"/>
    <w:rsid w:val="00623BC9"/>
    <w:rsid w:val="00624094"/>
    <w:rsid w:val="00625AB8"/>
    <w:rsid w:val="00625F1A"/>
    <w:rsid w:val="00626245"/>
    <w:rsid w:val="006274A3"/>
    <w:rsid w:val="0063125D"/>
    <w:rsid w:val="006323B3"/>
    <w:rsid w:val="00632A33"/>
    <w:rsid w:val="00633A6B"/>
    <w:rsid w:val="00634516"/>
    <w:rsid w:val="00635DEF"/>
    <w:rsid w:val="006361E8"/>
    <w:rsid w:val="006405CB"/>
    <w:rsid w:val="006421FD"/>
    <w:rsid w:val="00644A51"/>
    <w:rsid w:val="00645B3E"/>
    <w:rsid w:val="006479A4"/>
    <w:rsid w:val="00651729"/>
    <w:rsid w:val="00652E35"/>
    <w:rsid w:val="00657893"/>
    <w:rsid w:val="006600A5"/>
    <w:rsid w:val="0066011B"/>
    <w:rsid w:val="00660D86"/>
    <w:rsid w:val="00660EE4"/>
    <w:rsid w:val="0066437D"/>
    <w:rsid w:val="00667C24"/>
    <w:rsid w:val="00671BEB"/>
    <w:rsid w:val="00672359"/>
    <w:rsid w:val="00675B38"/>
    <w:rsid w:val="00680B5C"/>
    <w:rsid w:val="00682007"/>
    <w:rsid w:val="00684530"/>
    <w:rsid w:val="006853F0"/>
    <w:rsid w:val="00686AFC"/>
    <w:rsid w:val="00686D54"/>
    <w:rsid w:val="00686D9E"/>
    <w:rsid w:val="00687081"/>
    <w:rsid w:val="00691F6A"/>
    <w:rsid w:val="006928ED"/>
    <w:rsid w:val="00692CA3"/>
    <w:rsid w:val="00692F70"/>
    <w:rsid w:val="00693D80"/>
    <w:rsid w:val="00694902"/>
    <w:rsid w:val="00694A97"/>
    <w:rsid w:val="00694CAB"/>
    <w:rsid w:val="00695414"/>
    <w:rsid w:val="00695678"/>
    <w:rsid w:val="00697A2F"/>
    <w:rsid w:val="00697E31"/>
    <w:rsid w:val="006A0D65"/>
    <w:rsid w:val="006A1C00"/>
    <w:rsid w:val="006A206E"/>
    <w:rsid w:val="006A3895"/>
    <w:rsid w:val="006A3911"/>
    <w:rsid w:val="006A4B2E"/>
    <w:rsid w:val="006A7467"/>
    <w:rsid w:val="006B3CF1"/>
    <w:rsid w:val="006B4FB7"/>
    <w:rsid w:val="006B681C"/>
    <w:rsid w:val="006B7093"/>
    <w:rsid w:val="006B7DAF"/>
    <w:rsid w:val="006C013E"/>
    <w:rsid w:val="006C0FBB"/>
    <w:rsid w:val="006C36D9"/>
    <w:rsid w:val="006C414D"/>
    <w:rsid w:val="006C50CB"/>
    <w:rsid w:val="006C5267"/>
    <w:rsid w:val="006C5739"/>
    <w:rsid w:val="006C59EC"/>
    <w:rsid w:val="006C7CE5"/>
    <w:rsid w:val="006D27DF"/>
    <w:rsid w:val="006D3162"/>
    <w:rsid w:val="006D4B39"/>
    <w:rsid w:val="006D703D"/>
    <w:rsid w:val="006D70C1"/>
    <w:rsid w:val="006E1E84"/>
    <w:rsid w:val="006E2127"/>
    <w:rsid w:val="006E4F99"/>
    <w:rsid w:val="006E5286"/>
    <w:rsid w:val="006E6C06"/>
    <w:rsid w:val="006F1ADA"/>
    <w:rsid w:val="006F1CFF"/>
    <w:rsid w:val="006F1E62"/>
    <w:rsid w:val="006F400E"/>
    <w:rsid w:val="006F6AC1"/>
    <w:rsid w:val="006F74DE"/>
    <w:rsid w:val="0070061B"/>
    <w:rsid w:val="00700B89"/>
    <w:rsid w:val="007045D6"/>
    <w:rsid w:val="00705771"/>
    <w:rsid w:val="00707952"/>
    <w:rsid w:val="0071197F"/>
    <w:rsid w:val="007128EC"/>
    <w:rsid w:val="007129F3"/>
    <w:rsid w:val="00717EE7"/>
    <w:rsid w:val="0072080F"/>
    <w:rsid w:val="00725289"/>
    <w:rsid w:val="007262EE"/>
    <w:rsid w:val="0073177F"/>
    <w:rsid w:val="007331E2"/>
    <w:rsid w:val="007340D3"/>
    <w:rsid w:val="00737040"/>
    <w:rsid w:val="00746342"/>
    <w:rsid w:val="00750DBE"/>
    <w:rsid w:val="00754434"/>
    <w:rsid w:val="00754FB3"/>
    <w:rsid w:val="00756BE1"/>
    <w:rsid w:val="0075759D"/>
    <w:rsid w:val="007600BE"/>
    <w:rsid w:val="00761E1C"/>
    <w:rsid w:val="00763F08"/>
    <w:rsid w:val="007658C6"/>
    <w:rsid w:val="007677A2"/>
    <w:rsid w:val="007702E8"/>
    <w:rsid w:val="00773917"/>
    <w:rsid w:val="00775D7E"/>
    <w:rsid w:val="007766EB"/>
    <w:rsid w:val="00781754"/>
    <w:rsid w:val="007825E7"/>
    <w:rsid w:val="00782EAA"/>
    <w:rsid w:val="00787979"/>
    <w:rsid w:val="007938B2"/>
    <w:rsid w:val="00793BB6"/>
    <w:rsid w:val="00793D8D"/>
    <w:rsid w:val="007946B8"/>
    <w:rsid w:val="00794D66"/>
    <w:rsid w:val="00796BE0"/>
    <w:rsid w:val="007A04DD"/>
    <w:rsid w:val="007A5D67"/>
    <w:rsid w:val="007A5F1A"/>
    <w:rsid w:val="007A6467"/>
    <w:rsid w:val="007B0BBE"/>
    <w:rsid w:val="007B0EB0"/>
    <w:rsid w:val="007B3086"/>
    <w:rsid w:val="007B48B1"/>
    <w:rsid w:val="007B6690"/>
    <w:rsid w:val="007B6E8F"/>
    <w:rsid w:val="007C0412"/>
    <w:rsid w:val="007C1150"/>
    <w:rsid w:val="007C193B"/>
    <w:rsid w:val="007C5220"/>
    <w:rsid w:val="007D2EA7"/>
    <w:rsid w:val="007D34DC"/>
    <w:rsid w:val="007D4DDC"/>
    <w:rsid w:val="007D5A6F"/>
    <w:rsid w:val="007E036D"/>
    <w:rsid w:val="007E04AC"/>
    <w:rsid w:val="007E2501"/>
    <w:rsid w:val="007E403B"/>
    <w:rsid w:val="007E4227"/>
    <w:rsid w:val="007E49FE"/>
    <w:rsid w:val="007E505D"/>
    <w:rsid w:val="007E598A"/>
    <w:rsid w:val="007F0032"/>
    <w:rsid w:val="007F1D8F"/>
    <w:rsid w:val="007F2E62"/>
    <w:rsid w:val="007F4FF5"/>
    <w:rsid w:val="007F6E2F"/>
    <w:rsid w:val="007F7D3C"/>
    <w:rsid w:val="00802450"/>
    <w:rsid w:val="00802815"/>
    <w:rsid w:val="008039F7"/>
    <w:rsid w:val="00803DC6"/>
    <w:rsid w:val="00806F86"/>
    <w:rsid w:val="00807388"/>
    <w:rsid w:val="00812A33"/>
    <w:rsid w:val="00812CFF"/>
    <w:rsid w:val="00816A17"/>
    <w:rsid w:val="0082148D"/>
    <w:rsid w:val="00825B75"/>
    <w:rsid w:val="0082644F"/>
    <w:rsid w:val="00827746"/>
    <w:rsid w:val="00834493"/>
    <w:rsid w:val="008361A8"/>
    <w:rsid w:val="008408AE"/>
    <w:rsid w:val="008412D9"/>
    <w:rsid w:val="00843379"/>
    <w:rsid w:val="0084369E"/>
    <w:rsid w:val="00843EB6"/>
    <w:rsid w:val="00844D02"/>
    <w:rsid w:val="00845438"/>
    <w:rsid w:val="00846884"/>
    <w:rsid w:val="00847A2C"/>
    <w:rsid w:val="00847BC3"/>
    <w:rsid w:val="008511C0"/>
    <w:rsid w:val="00852D35"/>
    <w:rsid w:val="00853E51"/>
    <w:rsid w:val="00854AB2"/>
    <w:rsid w:val="00855011"/>
    <w:rsid w:val="00855C36"/>
    <w:rsid w:val="00857D44"/>
    <w:rsid w:val="0086122E"/>
    <w:rsid w:val="00862B84"/>
    <w:rsid w:val="00863984"/>
    <w:rsid w:val="0086708F"/>
    <w:rsid w:val="008725F1"/>
    <w:rsid w:val="0087260A"/>
    <w:rsid w:val="008778B1"/>
    <w:rsid w:val="00877ED6"/>
    <w:rsid w:val="00882474"/>
    <w:rsid w:val="0088327A"/>
    <w:rsid w:val="00884C06"/>
    <w:rsid w:val="008856DD"/>
    <w:rsid w:val="00886F22"/>
    <w:rsid w:val="008950CD"/>
    <w:rsid w:val="00895568"/>
    <w:rsid w:val="008957DB"/>
    <w:rsid w:val="00897AD4"/>
    <w:rsid w:val="008A03D8"/>
    <w:rsid w:val="008A1388"/>
    <w:rsid w:val="008A13F7"/>
    <w:rsid w:val="008A2868"/>
    <w:rsid w:val="008A2F2B"/>
    <w:rsid w:val="008A45B8"/>
    <w:rsid w:val="008A530F"/>
    <w:rsid w:val="008A5FA7"/>
    <w:rsid w:val="008A7739"/>
    <w:rsid w:val="008A7876"/>
    <w:rsid w:val="008B09B8"/>
    <w:rsid w:val="008B418A"/>
    <w:rsid w:val="008B558E"/>
    <w:rsid w:val="008B68BB"/>
    <w:rsid w:val="008C25F2"/>
    <w:rsid w:val="008C3AD0"/>
    <w:rsid w:val="008C554B"/>
    <w:rsid w:val="008C57E8"/>
    <w:rsid w:val="008C6232"/>
    <w:rsid w:val="008C79AF"/>
    <w:rsid w:val="008D2CC6"/>
    <w:rsid w:val="008D36D0"/>
    <w:rsid w:val="008D3DA6"/>
    <w:rsid w:val="008D4BA7"/>
    <w:rsid w:val="008E01E2"/>
    <w:rsid w:val="008E1166"/>
    <w:rsid w:val="008E1E42"/>
    <w:rsid w:val="008E2033"/>
    <w:rsid w:val="008E3EF1"/>
    <w:rsid w:val="008E4721"/>
    <w:rsid w:val="008E7F8B"/>
    <w:rsid w:val="008F6379"/>
    <w:rsid w:val="008F6BB7"/>
    <w:rsid w:val="00900C9D"/>
    <w:rsid w:val="009022CB"/>
    <w:rsid w:val="0090323B"/>
    <w:rsid w:val="00904933"/>
    <w:rsid w:val="00905D64"/>
    <w:rsid w:val="009060F3"/>
    <w:rsid w:val="009079BD"/>
    <w:rsid w:val="009123B1"/>
    <w:rsid w:val="00913F41"/>
    <w:rsid w:val="009143BB"/>
    <w:rsid w:val="00916B8A"/>
    <w:rsid w:val="009206B6"/>
    <w:rsid w:val="00920C40"/>
    <w:rsid w:val="0092102A"/>
    <w:rsid w:val="00921515"/>
    <w:rsid w:val="00922970"/>
    <w:rsid w:val="0092400E"/>
    <w:rsid w:val="00926FCF"/>
    <w:rsid w:val="0094176F"/>
    <w:rsid w:val="009430E6"/>
    <w:rsid w:val="00945B00"/>
    <w:rsid w:val="00945B81"/>
    <w:rsid w:val="00946742"/>
    <w:rsid w:val="009469F7"/>
    <w:rsid w:val="0095111C"/>
    <w:rsid w:val="00954FD8"/>
    <w:rsid w:val="00955AB9"/>
    <w:rsid w:val="00955D6A"/>
    <w:rsid w:val="00956B92"/>
    <w:rsid w:val="00956E88"/>
    <w:rsid w:val="00962584"/>
    <w:rsid w:val="00963A08"/>
    <w:rsid w:val="0096481C"/>
    <w:rsid w:val="00964E95"/>
    <w:rsid w:val="0096681B"/>
    <w:rsid w:val="00966DEB"/>
    <w:rsid w:val="00967775"/>
    <w:rsid w:val="0096783B"/>
    <w:rsid w:val="00970137"/>
    <w:rsid w:val="009737CB"/>
    <w:rsid w:val="0097450C"/>
    <w:rsid w:val="00974F5E"/>
    <w:rsid w:val="00976128"/>
    <w:rsid w:val="00981DAD"/>
    <w:rsid w:val="00982FBE"/>
    <w:rsid w:val="00983DCF"/>
    <w:rsid w:val="00984E0D"/>
    <w:rsid w:val="00984F10"/>
    <w:rsid w:val="009927E2"/>
    <w:rsid w:val="0099297D"/>
    <w:rsid w:val="0099311F"/>
    <w:rsid w:val="00993890"/>
    <w:rsid w:val="009949A4"/>
    <w:rsid w:val="0099583B"/>
    <w:rsid w:val="00995E72"/>
    <w:rsid w:val="0099734B"/>
    <w:rsid w:val="009A0066"/>
    <w:rsid w:val="009A0B72"/>
    <w:rsid w:val="009A44E2"/>
    <w:rsid w:val="009A60F3"/>
    <w:rsid w:val="009A698A"/>
    <w:rsid w:val="009B0C47"/>
    <w:rsid w:val="009B284C"/>
    <w:rsid w:val="009B3E58"/>
    <w:rsid w:val="009B520B"/>
    <w:rsid w:val="009B5891"/>
    <w:rsid w:val="009B71AF"/>
    <w:rsid w:val="009C4AB4"/>
    <w:rsid w:val="009C579D"/>
    <w:rsid w:val="009C69B6"/>
    <w:rsid w:val="009C7F30"/>
    <w:rsid w:val="009D2B6E"/>
    <w:rsid w:val="009D331C"/>
    <w:rsid w:val="009D457D"/>
    <w:rsid w:val="009D548D"/>
    <w:rsid w:val="009D705E"/>
    <w:rsid w:val="009D7137"/>
    <w:rsid w:val="009E0CA6"/>
    <w:rsid w:val="009E1498"/>
    <w:rsid w:val="009E1FFF"/>
    <w:rsid w:val="009F0D24"/>
    <w:rsid w:val="009F2130"/>
    <w:rsid w:val="009F39CE"/>
    <w:rsid w:val="00A00150"/>
    <w:rsid w:val="00A03DAD"/>
    <w:rsid w:val="00A0513D"/>
    <w:rsid w:val="00A054C1"/>
    <w:rsid w:val="00A06000"/>
    <w:rsid w:val="00A06C66"/>
    <w:rsid w:val="00A23C9C"/>
    <w:rsid w:val="00A2474B"/>
    <w:rsid w:val="00A2654C"/>
    <w:rsid w:val="00A26ECB"/>
    <w:rsid w:val="00A27311"/>
    <w:rsid w:val="00A278EA"/>
    <w:rsid w:val="00A27D95"/>
    <w:rsid w:val="00A323DA"/>
    <w:rsid w:val="00A32635"/>
    <w:rsid w:val="00A336EC"/>
    <w:rsid w:val="00A34207"/>
    <w:rsid w:val="00A3712F"/>
    <w:rsid w:val="00A37980"/>
    <w:rsid w:val="00A401A9"/>
    <w:rsid w:val="00A41297"/>
    <w:rsid w:val="00A4153D"/>
    <w:rsid w:val="00A429AC"/>
    <w:rsid w:val="00A433A4"/>
    <w:rsid w:val="00A434EE"/>
    <w:rsid w:val="00A47C00"/>
    <w:rsid w:val="00A47D4B"/>
    <w:rsid w:val="00A50019"/>
    <w:rsid w:val="00A527B3"/>
    <w:rsid w:val="00A52947"/>
    <w:rsid w:val="00A52B3B"/>
    <w:rsid w:val="00A52C92"/>
    <w:rsid w:val="00A5636A"/>
    <w:rsid w:val="00A618CB"/>
    <w:rsid w:val="00A61FC6"/>
    <w:rsid w:val="00A62A75"/>
    <w:rsid w:val="00A641BF"/>
    <w:rsid w:val="00A64285"/>
    <w:rsid w:val="00A643DA"/>
    <w:rsid w:val="00A64E3F"/>
    <w:rsid w:val="00A6753D"/>
    <w:rsid w:val="00A708D2"/>
    <w:rsid w:val="00A73C1C"/>
    <w:rsid w:val="00A740A3"/>
    <w:rsid w:val="00A75E8F"/>
    <w:rsid w:val="00A772FD"/>
    <w:rsid w:val="00A827E1"/>
    <w:rsid w:val="00A82F4B"/>
    <w:rsid w:val="00A84E5F"/>
    <w:rsid w:val="00A86F73"/>
    <w:rsid w:val="00A9197C"/>
    <w:rsid w:val="00A93E78"/>
    <w:rsid w:val="00A94C91"/>
    <w:rsid w:val="00A96468"/>
    <w:rsid w:val="00AA3536"/>
    <w:rsid w:val="00AA4A8C"/>
    <w:rsid w:val="00AA4F66"/>
    <w:rsid w:val="00AB203A"/>
    <w:rsid w:val="00AB218C"/>
    <w:rsid w:val="00AB327C"/>
    <w:rsid w:val="00AB3D53"/>
    <w:rsid w:val="00AB4190"/>
    <w:rsid w:val="00AB530F"/>
    <w:rsid w:val="00AB5C6C"/>
    <w:rsid w:val="00AB6866"/>
    <w:rsid w:val="00AB713E"/>
    <w:rsid w:val="00AC20EA"/>
    <w:rsid w:val="00AC2849"/>
    <w:rsid w:val="00AC3CEB"/>
    <w:rsid w:val="00AC3D22"/>
    <w:rsid w:val="00AC50BE"/>
    <w:rsid w:val="00AC51C7"/>
    <w:rsid w:val="00AD33D1"/>
    <w:rsid w:val="00AD4156"/>
    <w:rsid w:val="00AD532D"/>
    <w:rsid w:val="00AD59DB"/>
    <w:rsid w:val="00AD7811"/>
    <w:rsid w:val="00AE0810"/>
    <w:rsid w:val="00AE237C"/>
    <w:rsid w:val="00AE3E50"/>
    <w:rsid w:val="00AE4C83"/>
    <w:rsid w:val="00AE65AB"/>
    <w:rsid w:val="00AE7DA4"/>
    <w:rsid w:val="00AF0A70"/>
    <w:rsid w:val="00AF114F"/>
    <w:rsid w:val="00AF36B5"/>
    <w:rsid w:val="00AF4028"/>
    <w:rsid w:val="00AF428A"/>
    <w:rsid w:val="00AF4E59"/>
    <w:rsid w:val="00AF7591"/>
    <w:rsid w:val="00B00536"/>
    <w:rsid w:val="00B00CDA"/>
    <w:rsid w:val="00B00F1F"/>
    <w:rsid w:val="00B010A4"/>
    <w:rsid w:val="00B017EF"/>
    <w:rsid w:val="00B02E1F"/>
    <w:rsid w:val="00B03873"/>
    <w:rsid w:val="00B03B28"/>
    <w:rsid w:val="00B0495A"/>
    <w:rsid w:val="00B0518D"/>
    <w:rsid w:val="00B05EA6"/>
    <w:rsid w:val="00B07E5F"/>
    <w:rsid w:val="00B106A1"/>
    <w:rsid w:val="00B11837"/>
    <w:rsid w:val="00B11C99"/>
    <w:rsid w:val="00B15186"/>
    <w:rsid w:val="00B1549D"/>
    <w:rsid w:val="00B15988"/>
    <w:rsid w:val="00B20A9B"/>
    <w:rsid w:val="00B214ED"/>
    <w:rsid w:val="00B21AB2"/>
    <w:rsid w:val="00B23D6D"/>
    <w:rsid w:val="00B242C0"/>
    <w:rsid w:val="00B27931"/>
    <w:rsid w:val="00B32344"/>
    <w:rsid w:val="00B32B1E"/>
    <w:rsid w:val="00B365FF"/>
    <w:rsid w:val="00B4142C"/>
    <w:rsid w:val="00B43686"/>
    <w:rsid w:val="00B437EB"/>
    <w:rsid w:val="00B513A4"/>
    <w:rsid w:val="00B5194A"/>
    <w:rsid w:val="00B53DBC"/>
    <w:rsid w:val="00B55974"/>
    <w:rsid w:val="00B561CB"/>
    <w:rsid w:val="00B56520"/>
    <w:rsid w:val="00B60408"/>
    <w:rsid w:val="00B6063E"/>
    <w:rsid w:val="00B60C30"/>
    <w:rsid w:val="00B60F55"/>
    <w:rsid w:val="00B642F6"/>
    <w:rsid w:val="00B644DD"/>
    <w:rsid w:val="00B64947"/>
    <w:rsid w:val="00B659D6"/>
    <w:rsid w:val="00B67BF7"/>
    <w:rsid w:val="00B70A9D"/>
    <w:rsid w:val="00B72375"/>
    <w:rsid w:val="00B727F5"/>
    <w:rsid w:val="00B743B0"/>
    <w:rsid w:val="00B77F1F"/>
    <w:rsid w:val="00B8381C"/>
    <w:rsid w:val="00B85CCA"/>
    <w:rsid w:val="00B91243"/>
    <w:rsid w:val="00B92468"/>
    <w:rsid w:val="00B93425"/>
    <w:rsid w:val="00B95CE4"/>
    <w:rsid w:val="00B96192"/>
    <w:rsid w:val="00BA22BF"/>
    <w:rsid w:val="00BA233D"/>
    <w:rsid w:val="00BA5778"/>
    <w:rsid w:val="00BA57F7"/>
    <w:rsid w:val="00BA760D"/>
    <w:rsid w:val="00BB0D4D"/>
    <w:rsid w:val="00BB3D9D"/>
    <w:rsid w:val="00BB4454"/>
    <w:rsid w:val="00BB449F"/>
    <w:rsid w:val="00BB4C16"/>
    <w:rsid w:val="00BB55A0"/>
    <w:rsid w:val="00BB7A9F"/>
    <w:rsid w:val="00BC0771"/>
    <w:rsid w:val="00BC1F86"/>
    <w:rsid w:val="00BC391B"/>
    <w:rsid w:val="00BC4EA1"/>
    <w:rsid w:val="00BC5F3F"/>
    <w:rsid w:val="00BC600C"/>
    <w:rsid w:val="00BC65B1"/>
    <w:rsid w:val="00BD0616"/>
    <w:rsid w:val="00BD068B"/>
    <w:rsid w:val="00BD15C4"/>
    <w:rsid w:val="00BD3F71"/>
    <w:rsid w:val="00BD646E"/>
    <w:rsid w:val="00BD69F8"/>
    <w:rsid w:val="00BE2719"/>
    <w:rsid w:val="00BE2F86"/>
    <w:rsid w:val="00BE47E4"/>
    <w:rsid w:val="00BE5182"/>
    <w:rsid w:val="00BE5D2F"/>
    <w:rsid w:val="00BE6099"/>
    <w:rsid w:val="00BE65B3"/>
    <w:rsid w:val="00BE6E65"/>
    <w:rsid w:val="00BF16F9"/>
    <w:rsid w:val="00BF2B6A"/>
    <w:rsid w:val="00BF30FC"/>
    <w:rsid w:val="00BF5304"/>
    <w:rsid w:val="00BF6831"/>
    <w:rsid w:val="00C00E58"/>
    <w:rsid w:val="00C01308"/>
    <w:rsid w:val="00C04065"/>
    <w:rsid w:val="00C05C77"/>
    <w:rsid w:val="00C0632F"/>
    <w:rsid w:val="00C06BB9"/>
    <w:rsid w:val="00C06E4E"/>
    <w:rsid w:val="00C0736F"/>
    <w:rsid w:val="00C075D1"/>
    <w:rsid w:val="00C1192E"/>
    <w:rsid w:val="00C11DC2"/>
    <w:rsid w:val="00C12B7B"/>
    <w:rsid w:val="00C1319D"/>
    <w:rsid w:val="00C161A4"/>
    <w:rsid w:val="00C17D27"/>
    <w:rsid w:val="00C205FB"/>
    <w:rsid w:val="00C20847"/>
    <w:rsid w:val="00C2118E"/>
    <w:rsid w:val="00C21FEB"/>
    <w:rsid w:val="00C25CD0"/>
    <w:rsid w:val="00C27913"/>
    <w:rsid w:val="00C27B65"/>
    <w:rsid w:val="00C3396E"/>
    <w:rsid w:val="00C34A71"/>
    <w:rsid w:val="00C35023"/>
    <w:rsid w:val="00C369BD"/>
    <w:rsid w:val="00C40FD0"/>
    <w:rsid w:val="00C4313A"/>
    <w:rsid w:val="00C433FE"/>
    <w:rsid w:val="00C445D9"/>
    <w:rsid w:val="00C4573C"/>
    <w:rsid w:val="00C45F02"/>
    <w:rsid w:val="00C5164F"/>
    <w:rsid w:val="00C52238"/>
    <w:rsid w:val="00C53A40"/>
    <w:rsid w:val="00C54B10"/>
    <w:rsid w:val="00C551C4"/>
    <w:rsid w:val="00C571B8"/>
    <w:rsid w:val="00C57E7B"/>
    <w:rsid w:val="00C6027F"/>
    <w:rsid w:val="00C637E9"/>
    <w:rsid w:val="00C6546E"/>
    <w:rsid w:val="00C65F69"/>
    <w:rsid w:val="00C71EC3"/>
    <w:rsid w:val="00C75250"/>
    <w:rsid w:val="00C771BC"/>
    <w:rsid w:val="00C80562"/>
    <w:rsid w:val="00C80E68"/>
    <w:rsid w:val="00C82853"/>
    <w:rsid w:val="00C84038"/>
    <w:rsid w:val="00C8424F"/>
    <w:rsid w:val="00C85375"/>
    <w:rsid w:val="00C87C5A"/>
    <w:rsid w:val="00C87E43"/>
    <w:rsid w:val="00C9017B"/>
    <w:rsid w:val="00C90AD0"/>
    <w:rsid w:val="00C92107"/>
    <w:rsid w:val="00C9419B"/>
    <w:rsid w:val="00C94767"/>
    <w:rsid w:val="00C97176"/>
    <w:rsid w:val="00CA59ED"/>
    <w:rsid w:val="00CB349E"/>
    <w:rsid w:val="00CB38C1"/>
    <w:rsid w:val="00CB4469"/>
    <w:rsid w:val="00CB4C44"/>
    <w:rsid w:val="00CB4D45"/>
    <w:rsid w:val="00CB638F"/>
    <w:rsid w:val="00CB69CA"/>
    <w:rsid w:val="00CB7FC6"/>
    <w:rsid w:val="00CC4102"/>
    <w:rsid w:val="00CC4C18"/>
    <w:rsid w:val="00CD34EA"/>
    <w:rsid w:val="00CD3D1B"/>
    <w:rsid w:val="00CD476A"/>
    <w:rsid w:val="00CD491A"/>
    <w:rsid w:val="00CD557F"/>
    <w:rsid w:val="00CD5F94"/>
    <w:rsid w:val="00CD75B9"/>
    <w:rsid w:val="00CD7FCA"/>
    <w:rsid w:val="00CE18D7"/>
    <w:rsid w:val="00CE2284"/>
    <w:rsid w:val="00CE4A63"/>
    <w:rsid w:val="00CE6B66"/>
    <w:rsid w:val="00CE7D46"/>
    <w:rsid w:val="00CF084F"/>
    <w:rsid w:val="00CF0FBA"/>
    <w:rsid w:val="00CF14E3"/>
    <w:rsid w:val="00CF3E42"/>
    <w:rsid w:val="00CF506D"/>
    <w:rsid w:val="00CF77C7"/>
    <w:rsid w:val="00CF7F05"/>
    <w:rsid w:val="00D00F91"/>
    <w:rsid w:val="00D02605"/>
    <w:rsid w:val="00D03215"/>
    <w:rsid w:val="00D0487A"/>
    <w:rsid w:val="00D05CE7"/>
    <w:rsid w:val="00D12FB0"/>
    <w:rsid w:val="00D149D0"/>
    <w:rsid w:val="00D224FE"/>
    <w:rsid w:val="00D231BB"/>
    <w:rsid w:val="00D2417D"/>
    <w:rsid w:val="00D243F1"/>
    <w:rsid w:val="00D24F17"/>
    <w:rsid w:val="00D25C3D"/>
    <w:rsid w:val="00D2643C"/>
    <w:rsid w:val="00D27AFD"/>
    <w:rsid w:val="00D27D93"/>
    <w:rsid w:val="00D3120A"/>
    <w:rsid w:val="00D31C32"/>
    <w:rsid w:val="00D33DA3"/>
    <w:rsid w:val="00D34833"/>
    <w:rsid w:val="00D3796A"/>
    <w:rsid w:val="00D40763"/>
    <w:rsid w:val="00D40851"/>
    <w:rsid w:val="00D410B5"/>
    <w:rsid w:val="00D417B7"/>
    <w:rsid w:val="00D47100"/>
    <w:rsid w:val="00D47ADF"/>
    <w:rsid w:val="00D509EC"/>
    <w:rsid w:val="00D527C0"/>
    <w:rsid w:val="00D52AD4"/>
    <w:rsid w:val="00D54666"/>
    <w:rsid w:val="00D54B71"/>
    <w:rsid w:val="00D54F1F"/>
    <w:rsid w:val="00D56088"/>
    <w:rsid w:val="00D5759F"/>
    <w:rsid w:val="00D61925"/>
    <w:rsid w:val="00D620BF"/>
    <w:rsid w:val="00D639F8"/>
    <w:rsid w:val="00D643CC"/>
    <w:rsid w:val="00D649BB"/>
    <w:rsid w:val="00D669F0"/>
    <w:rsid w:val="00D70BFC"/>
    <w:rsid w:val="00D720DA"/>
    <w:rsid w:val="00D73C63"/>
    <w:rsid w:val="00D76654"/>
    <w:rsid w:val="00D82F88"/>
    <w:rsid w:val="00D84034"/>
    <w:rsid w:val="00D85A9A"/>
    <w:rsid w:val="00D86088"/>
    <w:rsid w:val="00D868A7"/>
    <w:rsid w:val="00D86D56"/>
    <w:rsid w:val="00D8777C"/>
    <w:rsid w:val="00D90488"/>
    <w:rsid w:val="00D904ED"/>
    <w:rsid w:val="00D90F95"/>
    <w:rsid w:val="00D93A18"/>
    <w:rsid w:val="00D95412"/>
    <w:rsid w:val="00D9588A"/>
    <w:rsid w:val="00D96999"/>
    <w:rsid w:val="00D96AFA"/>
    <w:rsid w:val="00D96C66"/>
    <w:rsid w:val="00DA183C"/>
    <w:rsid w:val="00DA196B"/>
    <w:rsid w:val="00DA2C09"/>
    <w:rsid w:val="00DA6A0A"/>
    <w:rsid w:val="00DA6B23"/>
    <w:rsid w:val="00DA6C2A"/>
    <w:rsid w:val="00DA7BF8"/>
    <w:rsid w:val="00DB020F"/>
    <w:rsid w:val="00DB1E42"/>
    <w:rsid w:val="00DB5875"/>
    <w:rsid w:val="00DB6E38"/>
    <w:rsid w:val="00DB7CC7"/>
    <w:rsid w:val="00DC7B7E"/>
    <w:rsid w:val="00DD2ED9"/>
    <w:rsid w:val="00DE1CDD"/>
    <w:rsid w:val="00DE26D0"/>
    <w:rsid w:val="00DE274A"/>
    <w:rsid w:val="00DE2D12"/>
    <w:rsid w:val="00DE3165"/>
    <w:rsid w:val="00DE4742"/>
    <w:rsid w:val="00DE6919"/>
    <w:rsid w:val="00DF03A1"/>
    <w:rsid w:val="00DF0667"/>
    <w:rsid w:val="00DF1C00"/>
    <w:rsid w:val="00DF60FC"/>
    <w:rsid w:val="00DF6F99"/>
    <w:rsid w:val="00E00C0A"/>
    <w:rsid w:val="00E02568"/>
    <w:rsid w:val="00E0311D"/>
    <w:rsid w:val="00E04227"/>
    <w:rsid w:val="00E05A1F"/>
    <w:rsid w:val="00E05A6B"/>
    <w:rsid w:val="00E102B8"/>
    <w:rsid w:val="00E10432"/>
    <w:rsid w:val="00E120F1"/>
    <w:rsid w:val="00E1284E"/>
    <w:rsid w:val="00E213CF"/>
    <w:rsid w:val="00E229F6"/>
    <w:rsid w:val="00E241FA"/>
    <w:rsid w:val="00E24BD9"/>
    <w:rsid w:val="00E25C50"/>
    <w:rsid w:val="00E261CD"/>
    <w:rsid w:val="00E302EE"/>
    <w:rsid w:val="00E303DC"/>
    <w:rsid w:val="00E31FBA"/>
    <w:rsid w:val="00E320E1"/>
    <w:rsid w:val="00E32A2E"/>
    <w:rsid w:val="00E32FBA"/>
    <w:rsid w:val="00E34474"/>
    <w:rsid w:val="00E35761"/>
    <w:rsid w:val="00E36A3A"/>
    <w:rsid w:val="00E404A7"/>
    <w:rsid w:val="00E40D3C"/>
    <w:rsid w:val="00E40DD6"/>
    <w:rsid w:val="00E4181A"/>
    <w:rsid w:val="00E43672"/>
    <w:rsid w:val="00E4415D"/>
    <w:rsid w:val="00E4636A"/>
    <w:rsid w:val="00E510EC"/>
    <w:rsid w:val="00E529C9"/>
    <w:rsid w:val="00E54C6F"/>
    <w:rsid w:val="00E558B7"/>
    <w:rsid w:val="00E56EF1"/>
    <w:rsid w:val="00E617A1"/>
    <w:rsid w:val="00E619B8"/>
    <w:rsid w:val="00E63204"/>
    <w:rsid w:val="00E65BA2"/>
    <w:rsid w:val="00E65D05"/>
    <w:rsid w:val="00E65D2A"/>
    <w:rsid w:val="00E6750E"/>
    <w:rsid w:val="00E676FC"/>
    <w:rsid w:val="00E67CDE"/>
    <w:rsid w:val="00E70AAD"/>
    <w:rsid w:val="00E70BC6"/>
    <w:rsid w:val="00E7197D"/>
    <w:rsid w:val="00E7355F"/>
    <w:rsid w:val="00E73668"/>
    <w:rsid w:val="00E741CD"/>
    <w:rsid w:val="00E75812"/>
    <w:rsid w:val="00E76D91"/>
    <w:rsid w:val="00E8060D"/>
    <w:rsid w:val="00E80D66"/>
    <w:rsid w:val="00E85C52"/>
    <w:rsid w:val="00E86E5F"/>
    <w:rsid w:val="00E8740F"/>
    <w:rsid w:val="00E8747E"/>
    <w:rsid w:val="00E90809"/>
    <w:rsid w:val="00E911B0"/>
    <w:rsid w:val="00E926CA"/>
    <w:rsid w:val="00E92925"/>
    <w:rsid w:val="00E93832"/>
    <w:rsid w:val="00E943C3"/>
    <w:rsid w:val="00E95644"/>
    <w:rsid w:val="00E95B59"/>
    <w:rsid w:val="00E96B4B"/>
    <w:rsid w:val="00E9738B"/>
    <w:rsid w:val="00E973EF"/>
    <w:rsid w:val="00EA3BA2"/>
    <w:rsid w:val="00EA47B9"/>
    <w:rsid w:val="00EA6969"/>
    <w:rsid w:val="00EA6DCD"/>
    <w:rsid w:val="00EA6E97"/>
    <w:rsid w:val="00EB3A4A"/>
    <w:rsid w:val="00EB5DAE"/>
    <w:rsid w:val="00EB7408"/>
    <w:rsid w:val="00EC0877"/>
    <w:rsid w:val="00EC097E"/>
    <w:rsid w:val="00EC212B"/>
    <w:rsid w:val="00EC2629"/>
    <w:rsid w:val="00EC3CA5"/>
    <w:rsid w:val="00EC4E39"/>
    <w:rsid w:val="00EC7ADD"/>
    <w:rsid w:val="00ED1C3D"/>
    <w:rsid w:val="00ED2D98"/>
    <w:rsid w:val="00ED549E"/>
    <w:rsid w:val="00ED56D9"/>
    <w:rsid w:val="00ED5862"/>
    <w:rsid w:val="00ED66C2"/>
    <w:rsid w:val="00ED70EF"/>
    <w:rsid w:val="00EE174F"/>
    <w:rsid w:val="00EE2C22"/>
    <w:rsid w:val="00EE40BC"/>
    <w:rsid w:val="00EE6262"/>
    <w:rsid w:val="00EE7B85"/>
    <w:rsid w:val="00EF1DC0"/>
    <w:rsid w:val="00EF2FFC"/>
    <w:rsid w:val="00EF476C"/>
    <w:rsid w:val="00EF5A84"/>
    <w:rsid w:val="00EF6209"/>
    <w:rsid w:val="00F0039C"/>
    <w:rsid w:val="00F040C1"/>
    <w:rsid w:val="00F041B9"/>
    <w:rsid w:val="00F06202"/>
    <w:rsid w:val="00F0704F"/>
    <w:rsid w:val="00F110E7"/>
    <w:rsid w:val="00F11A77"/>
    <w:rsid w:val="00F11D8B"/>
    <w:rsid w:val="00F1309F"/>
    <w:rsid w:val="00F13563"/>
    <w:rsid w:val="00F14279"/>
    <w:rsid w:val="00F21EFD"/>
    <w:rsid w:val="00F24598"/>
    <w:rsid w:val="00F24CA3"/>
    <w:rsid w:val="00F2639F"/>
    <w:rsid w:val="00F279E7"/>
    <w:rsid w:val="00F303CE"/>
    <w:rsid w:val="00F3054A"/>
    <w:rsid w:val="00F30AEB"/>
    <w:rsid w:val="00F30D18"/>
    <w:rsid w:val="00F31483"/>
    <w:rsid w:val="00F316B3"/>
    <w:rsid w:val="00F31D40"/>
    <w:rsid w:val="00F3345C"/>
    <w:rsid w:val="00F36A37"/>
    <w:rsid w:val="00F37DF7"/>
    <w:rsid w:val="00F431F6"/>
    <w:rsid w:val="00F43F8E"/>
    <w:rsid w:val="00F451B1"/>
    <w:rsid w:val="00F519E7"/>
    <w:rsid w:val="00F51FFB"/>
    <w:rsid w:val="00F53AE4"/>
    <w:rsid w:val="00F6161A"/>
    <w:rsid w:val="00F630EE"/>
    <w:rsid w:val="00F70362"/>
    <w:rsid w:val="00F721B8"/>
    <w:rsid w:val="00F72415"/>
    <w:rsid w:val="00F7347C"/>
    <w:rsid w:val="00F751F9"/>
    <w:rsid w:val="00F75454"/>
    <w:rsid w:val="00F76609"/>
    <w:rsid w:val="00F824D6"/>
    <w:rsid w:val="00F85914"/>
    <w:rsid w:val="00F8704F"/>
    <w:rsid w:val="00F90099"/>
    <w:rsid w:val="00F925F7"/>
    <w:rsid w:val="00F92F1D"/>
    <w:rsid w:val="00F95AB1"/>
    <w:rsid w:val="00F97C4E"/>
    <w:rsid w:val="00FA0E82"/>
    <w:rsid w:val="00FA1073"/>
    <w:rsid w:val="00FA192E"/>
    <w:rsid w:val="00FA2561"/>
    <w:rsid w:val="00FA4BB8"/>
    <w:rsid w:val="00FA4D0A"/>
    <w:rsid w:val="00FA7031"/>
    <w:rsid w:val="00FB0AD7"/>
    <w:rsid w:val="00FB21DB"/>
    <w:rsid w:val="00FB3687"/>
    <w:rsid w:val="00FB5233"/>
    <w:rsid w:val="00FB5F19"/>
    <w:rsid w:val="00FB6361"/>
    <w:rsid w:val="00FB6C03"/>
    <w:rsid w:val="00FC1795"/>
    <w:rsid w:val="00FC2CBC"/>
    <w:rsid w:val="00FD1FA3"/>
    <w:rsid w:val="00FD56B2"/>
    <w:rsid w:val="00FD58AA"/>
    <w:rsid w:val="00FD70E5"/>
    <w:rsid w:val="00FE19D9"/>
    <w:rsid w:val="00FE3254"/>
    <w:rsid w:val="00FE3959"/>
    <w:rsid w:val="00FE3EF2"/>
    <w:rsid w:val="00FE4BB6"/>
    <w:rsid w:val="00FE4F49"/>
    <w:rsid w:val="00FE506B"/>
    <w:rsid w:val="00FE5E9E"/>
    <w:rsid w:val="00FF099D"/>
    <w:rsid w:val="00FF1185"/>
    <w:rsid w:val="00FF2393"/>
    <w:rsid w:val="00FF5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37D2E"/>
  <w15:docId w15:val="{1B0F232E-3CE9-4AA1-AD54-56DFC59E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B2E"/>
    <w:pPr>
      <w:spacing w:before="120" w:after="120" w:line="240" w:lineRule="auto"/>
    </w:pPr>
    <w:rPr>
      <w:rFonts w:ascii="Times New Roman" w:hAnsi="Times New Roman"/>
      <w:sz w:val="24"/>
    </w:rPr>
  </w:style>
  <w:style w:type="paragraph" w:styleId="Heading1">
    <w:name w:val="heading 1"/>
    <w:basedOn w:val="Normal"/>
    <w:next w:val="Normal"/>
    <w:link w:val="Heading1Char"/>
    <w:uiPriority w:val="9"/>
    <w:qFormat/>
    <w:rsid w:val="00955D6A"/>
    <w:pPr>
      <w:keepNext/>
      <w:keepLines/>
      <w:numPr>
        <w:numId w:val="1"/>
      </w:numPr>
      <w:spacing w:before="24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955D6A"/>
    <w:pPr>
      <w:keepNext/>
      <w:keepLines/>
      <w:numPr>
        <w:ilvl w:val="1"/>
        <w:numId w:val="1"/>
      </w:numPr>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semiHidden/>
    <w:unhideWhenUsed/>
    <w:qFormat/>
    <w:rsid w:val="00F040C1"/>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040C1"/>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040C1"/>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040C1"/>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040C1"/>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040C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40C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F99"/>
    <w:pPr>
      <w:tabs>
        <w:tab w:val="center" w:pos="4513"/>
        <w:tab w:val="right" w:pos="9026"/>
      </w:tabs>
      <w:spacing w:after="0"/>
    </w:pPr>
  </w:style>
  <w:style w:type="character" w:customStyle="1" w:styleId="HeaderChar">
    <w:name w:val="Header Char"/>
    <w:basedOn w:val="DefaultParagraphFont"/>
    <w:link w:val="Header"/>
    <w:uiPriority w:val="99"/>
    <w:rsid w:val="00DF6F99"/>
  </w:style>
  <w:style w:type="paragraph" w:styleId="Footer">
    <w:name w:val="footer"/>
    <w:basedOn w:val="Normal"/>
    <w:link w:val="FooterChar"/>
    <w:uiPriority w:val="99"/>
    <w:unhideWhenUsed/>
    <w:rsid w:val="00DF6F99"/>
    <w:pPr>
      <w:tabs>
        <w:tab w:val="center" w:pos="4513"/>
        <w:tab w:val="right" w:pos="9026"/>
      </w:tabs>
      <w:spacing w:after="0"/>
    </w:pPr>
  </w:style>
  <w:style w:type="character" w:customStyle="1" w:styleId="FooterChar">
    <w:name w:val="Footer Char"/>
    <w:basedOn w:val="DefaultParagraphFont"/>
    <w:link w:val="Footer"/>
    <w:uiPriority w:val="99"/>
    <w:rsid w:val="00DF6F99"/>
  </w:style>
  <w:style w:type="paragraph" w:styleId="BalloonText">
    <w:name w:val="Balloon Text"/>
    <w:basedOn w:val="Normal"/>
    <w:link w:val="BalloonTextChar"/>
    <w:uiPriority w:val="99"/>
    <w:semiHidden/>
    <w:unhideWhenUsed/>
    <w:rsid w:val="002D1F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8A"/>
    <w:rPr>
      <w:rFonts w:ascii="Tahoma" w:hAnsi="Tahoma" w:cs="Tahoma"/>
      <w:sz w:val="16"/>
      <w:szCs w:val="16"/>
    </w:rPr>
  </w:style>
  <w:style w:type="paragraph" w:styleId="ListParagraph">
    <w:name w:val="List Paragraph"/>
    <w:basedOn w:val="Normal"/>
    <w:uiPriority w:val="34"/>
    <w:qFormat/>
    <w:rsid w:val="0096481C"/>
    <w:pPr>
      <w:ind w:left="720"/>
      <w:contextualSpacing/>
    </w:pPr>
  </w:style>
  <w:style w:type="character" w:styleId="Hyperlink">
    <w:name w:val="Hyperlink"/>
    <w:basedOn w:val="DefaultParagraphFont"/>
    <w:uiPriority w:val="99"/>
    <w:unhideWhenUsed/>
    <w:rsid w:val="001E1B2A"/>
    <w:rPr>
      <w:color w:val="0000FF" w:themeColor="hyperlink"/>
      <w:u w:val="single"/>
    </w:rPr>
  </w:style>
  <w:style w:type="paragraph" w:styleId="FootnoteText">
    <w:name w:val="footnote text"/>
    <w:basedOn w:val="Normal"/>
    <w:link w:val="FootnoteTextChar"/>
    <w:uiPriority w:val="99"/>
    <w:semiHidden/>
    <w:unhideWhenUsed/>
    <w:rsid w:val="00410979"/>
    <w:pPr>
      <w:spacing w:after="0"/>
    </w:pPr>
    <w:rPr>
      <w:sz w:val="20"/>
      <w:szCs w:val="20"/>
    </w:rPr>
  </w:style>
  <w:style w:type="character" w:customStyle="1" w:styleId="FootnoteTextChar">
    <w:name w:val="Footnote Text Char"/>
    <w:basedOn w:val="DefaultParagraphFont"/>
    <w:link w:val="FootnoteText"/>
    <w:uiPriority w:val="99"/>
    <w:semiHidden/>
    <w:rsid w:val="00410979"/>
    <w:rPr>
      <w:sz w:val="20"/>
      <w:szCs w:val="20"/>
    </w:rPr>
  </w:style>
  <w:style w:type="character" w:styleId="FootnoteReference">
    <w:name w:val="footnote reference"/>
    <w:basedOn w:val="DefaultParagraphFont"/>
    <w:uiPriority w:val="99"/>
    <w:semiHidden/>
    <w:unhideWhenUsed/>
    <w:rsid w:val="00410979"/>
    <w:rPr>
      <w:vertAlign w:val="superscript"/>
    </w:rPr>
  </w:style>
  <w:style w:type="character" w:customStyle="1" w:styleId="UnresolvedMention1">
    <w:name w:val="Unresolved Mention1"/>
    <w:basedOn w:val="DefaultParagraphFont"/>
    <w:uiPriority w:val="99"/>
    <w:semiHidden/>
    <w:unhideWhenUsed/>
    <w:rsid w:val="00AA4A8C"/>
    <w:rPr>
      <w:color w:val="808080"/>
      <w:shd w:val="clear" w:color="auto" w:fill="E6E6E6"/>
    </w:rPr>
  </w:style>
  <w:style w:type="character" w:styleId="FollowedHyperlink">
    <w:name w:val="FollowedHyperlink"/>
    <w:basedOn w:val="DefaultParagraphFont"/>
    <w:uiPriority w:val="99"/>
    <w:semiHidden/>
    <w:unhideWhenUsed/>
    <w:rsid w:val="00D95412"/>
    <w:rPr>
      <w:color w:val="800080" w:themeColor="followedHyperlink"/>
      <w:u w:val="single"/>
    </w:rPr>
  </w:style>
  <w:style w:type="character" w:customStyle="1" w:styleId="Heading1Char">
    <w:name w:val="Heading 1 Char"/>
    <w:basedOn w:val="DefaultParagraphFont"/>
    <w:link w:val="Heading1"/>
    <w:uiPriority w:val="9"/>
    <w:rsid w:val="00955D6A"/>
    <w:rPr>
      <w:rFonts w:ascii="Times New Roman" w:eastAsiaTheme="majorEastAsia" w:hAnsi="Times New Roman" w:cstheme="majorBidi"/>
      <w:b/>
      <w:sz w:val="28"/>
      <w:szCs w:val="32"/>
      <w:u w:val="single"/>
    </w:rPr>
  </w:style>
  <w:style w:type="character" w:customStyle="1" w:styleId="Heading2Char">
    <w:name w:val="Heading 2 Char"/>
    <w:basedOn w:val="DefaultParagraphFont"/>
    <w:link w:val="Heading2"/>
    <w:uiPriority w:val="9"/>
    <w:rsid w:val="00955D6A"/>
    <w:rPr>
      <w:rFonts w:ascii="Times New Roman" w:eastAsiaTheme="majorEastAsia" w:hAnsi="Times New Roman" w:cstheme="majorBidi"/>
      <w:b/>
      <w:sz w:val="24"/>
      <w:szCs w:val="26"/>
      <w:u w:val="single"/>
    </w:rPr>
  </w:style>
  <w:style w:type="character" w:customStyle="1" w:styleId="Heading3Char">
    <w:name w:val="Heading 3 Char"/>
    <w:basedOn w:val="DefaultParagraphFont"/>
    <w:link w:val="Heading3"/>
    <w:uiPriority w:val="9"/>
    <w:semiHidden/>
    <w:rsid w:val="00F040C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040C1"/>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F040C1"/>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F040C1"/>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F040C1"/>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F040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40C1"/>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55D6A"/>
    <w:pPr>
      <w:numPr>
        <w:numId w:val="0"/>
      </w:numPr>
      <w:spacing w:after="0" w:line="259" w:lineRule="auto"/>
      <w:outlineLvl w:val="9"/>
    </w:pPr>
    <w:rPr>
      <w:rFonts w:asciiTheme="majorHAnsi" w:hAnsiTheme="majorHAnsi"/>
      <w:b w:val="0"/>
      <w:color w:val="365F91" w:themeColor="accent1" w:themeShade="BF"/>
      <w:sz w:val="32"/>
      <w:u w:val="none"/>
      <w:lang w:val="en-US"/>
    </w:rPr>
  </w:style>
  <w:style w:type="paragraph" w:styleId="TOC1">
    <w:name w:val="toc 1"/>
    <w:basedOn w:val="Normal"/>
    <w:next w:val="Normal"/>
    <w:autoRedefine/>
    <w:uiPriority w:val="39"/>
    <w:unhideWhenUsed/>
    <w:rsid w:val="00955D6A"/>
    <w:pPr>
      <w:spacing w:after="100"/>
    </w:pPr>
  </w:style>
  <w:style w:type="paragraph" w:styleId="TOC2">
    <w:name w:val="toc 2"/>
    <w:basedOn w:val="Normal"/>
    <w:next w:val="Normal"/>
    <w:autoRedefine/>
    <w:uiPriority w:val="39"/>
    <w:unhideWhenUsed/>
    <w:rsid w:val="00955D6A"/>
    <w:pPr>
      <w:spacing w:after="100"/>
      <w:ind w:left="220"/>
    </w:pPr>
  </w:style>
  <w:style w:type="character" w:customStyle="1" w:styleId="UnresolvedMention2">
    <w:name w:val="Unresolved Mention2"/>
    <w:basedOn w:val="DefaultParagraphFont"/>
    <w:uiPriority w:val="99"/>
    <w:semiHidden/>
    <w:unhideWhenUsed/>
    <w:rsid w:val="006928ED"/>
    <w:rPr>
      <w:color w:val="605E5C"/>
      <w:shd w:val="clear" w:color="auto" w:fill="E1DFDD"/>
    </w:rPr>
  </w:style>
  <w:style w:type="character" w:customStyle="1" w:styleId="UnresolvedMention3">
    <w:name w:val="Unresolved Mention3"/>
    <w:basedOn w:val="DefaultParagraphFont"/>
    <w:uiPriority w:val="99"/>
    <w:semiHidden/>
    <w:unhideWhenUsed/>
    <w:rsid w:val="00251446"/>
    <w:rPr>
      <w:color w:val="605E5C"/>
      <w:shd w:val="clear" w:color="auto" w:fill="E1DFDD"/>
    </w:rPr>
  </w:style>
  <w:style w:type="character" w:customStyle="1" w:styleId="fontstyle01">
    <w:name w:val="fontstyle01"/>
    <w:basedOn w:val="DefaultParagraphFont"/>
    <w:rsid w:val="00EB5DAE"/>
    <w:rPr>
      <w:rFonts w:ascii="MyriadPro-Regular" w:hAnsi="MyriadPro-Regular" w:hint="default"/>
      <w:b w:val="0"/>
      <w:bCs w:val="0"/>
      <w:i w:val="0"/>
      <w:iCs w:val="0"/>
      <w:color w:val="242021"/>
      <w:sz w:val="30"/>
      <w:szCs w:val="30"/>
    </w:rPr>
  </w:style>
  <w:style w:type="character" w:styleId="Emphasis">
    <w:name w:val="Emphasis"/>
    <w:basedOn w:val="DefaultParagraphFont"/>
    <w:uiPriority w:val="20"/>
    <w:qFormat/>
    <w:rsid w:val="006F6AC1"/>
    <w:rPr>
      <w:i/>
      <w:iCs/>
    </w:rPr>
  </w:style>
  <w:style w:type="paragraph" w:customStyle="1" w:styleId="indentpara">
    <w:name w:val="indent para"/>
    <w:basedOn w:val="Normal"/>
    <w:link w:val="indentparaChar"/>
    <w:qFormat/>
    <w:rsid w:val="005C696F"/>
    <w:pPr>
      <w:ind w:firstLine="720"/>
    </w:pPr>
    <w:rPr>
      <w:rFonts w:cstheme="minorHAnsi"/>
      <w:iCs/>
      <w:szCs w:val="24"/>
    </w:rPr>
  </w:style>
  <w:style w:type="character" w:customStyle="1" w:styleId="indentparaChar">
    <w:name w:val="indent para Char"/>
    <w:basedOn w:val="DefaultParagraphFont"/>
    <w:link w:val="indentpara"/>
    <w:rsid w:val="005C696F"/>
    <w:rPr>
      <w:rFonts w:ascii="Times New Roman" w:hAnsi="Times New Roman" w:cstheme="minorHAnsi"/>
      <w:iCs/>
      <w:sz w:val="24"/>
      <w:szCs w:val="24"/>
    </w:rPr>
  </w:style>
  <w:style w:type="paragraph" w:styleId="NormalWeb">
    <w:name w:val="Normal (Web)"/>
    <w:basedOn w:val="Normal"/>
    <w:uiPriority w:val="99"/>
    <w:unhideWhenUsed/>
    <w:rsid w:val="00E95644"/>
    <w:pPr>
      <w:spacing w:before="100" w:beforeAutospacing="1" w:after="100" w:afterAutospacing="1"/>
    </w:pPr>
    <w:rPr>
      <w:rFonts w:eastAsia="Times New Roman" w:cs="Times New Roman"/>
      <w:szCs w:val="24"/>
      <w:lang w:eastAsia="en-AU"/>
    </w:rPr>
  </w:style>
  <w:style w:type="character" w:styleId="Strong">
    <w:name w:val="Strong"/>
    <w:basedOn w:val="DefaultParagraphFont"/>
    <w:uiPriority w:val="22"/>
    <w:qFormat/>
    <w:rsid w:val="00847BC3"/>
    <w:rPr>
      <w:b/>
      <w:bCs/>
    </w:rPr>
  </w:style>
  <w:style w:type="character" w:styleId="CommentReference">
    <w:name w:val="annotation reference"/>
    <w:basedOn w:val="DefaultParagraphFont"/>
    <w:uiPriority w:val="99"/>
    <w:semiHidden/>
    <w:unhideWhenUsed/>
    <w:rsid w:val="00D3120A"/>
    <w:rPr>
      <w:sz w:val="16"/>
      <w:szCs w:val="16"/>
    </w:rPr>
  </w:style>
  <w:style w:type="paragraph" w:styleId="CommentText">
    <w:name w:val="annotation text"/>
    <w:basedOn w:val="Normal"/>
    <w:link w:val="CommentTextChar"/>
    <w:uiPriority w:val="99"/>
    <w:unhideWhenUsed/>
    <w:rsid w:val="00D3120A"/>
    <w:rPr>
      <w:sz w:val="20"/>
      <w:szCs w:val="20"/>
    </w:rPr>
  </w:style>
  <w:style w:type="character" w:customStyle="1" w:styleId="CommentTextChar">
    <w:name w:val="Comment Text Char"/>
    <w:basedOn w:val="DefaultParagraphFont"/>
    <w:link w:val="CommentText"/>
    <w:uiPriority w:val="99"/>
    <w:rsid w:val="00D3120A"/>
    <w:rPr>
      <w:sz w:val="20"/>
      <w:szCs w:val="20"/>
    </w:rPr>
  </w:style>
  <w:style w:type="paragraph" w:styleId="CommentSubject">
    <w:name w:val="annotation subject"/>
    <w:basedOn w:val="CommentText"/>
    <w:next w:val="CommentText"/>
    <w:link w:val="CommentSubjectChar"/>
    <w:uiPriority w:val="99"/>
    <w:semiHidden/>
    <w:unhideWhenUsed/>
    <w:rsid w:val="00D3120A"/>
    <w:rPr>
      <w:b/>
      <w:bCs/>
    </w:rPr>
  </w:style>
  <w:style w:type="character" w:customStyle="1" w:styleId="CommentSubjectChar">
    <w:name w:val="Comment Subject Char"/>
    <w:basedOn w:val="CommentTextChar"/>
    <w:link w:val="CommentSubject"/>
    <w:uiPriority w:val="99"/>
    <w:semiHidden/>
    <w:rsid w:val="00D3120A"/>
    <w:rPr>
      <w:b/>
      <w:bCs/>
      <w:sz w:val="20"/>
      <w:szCs w:val="20"/>
    </w:rPr>
  </w:style>
  <w:style w:type="paragraph" w:customStyle="1" w:styleId="Department">
    <w:name w:val="Department"/>
    <w:basedOn w:val="Normal"/>
    <w:qFormat/>
    <w:rsid w:val="00034E76"/>
    <w:rPr>
      <w:rFonts w:eastAsiaTheme="minorEastAsia"/>
      <w:color w:val="000000" w:themeColor="text1"/>
      <w:szCs w:val="24"/>
    </w:rPr>
  </w:style>
  <w:style w:type="table" w:styleId="GridTable5Dark">
    <w:name w:val="Grid Table 5 Dark"/>
    <w:basedOn w:val="TableNormal"/>
    <w:uiPriority w:val="50"/>
    <w:rsid w:val="003211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GridLight">
    <w:name w:val="Grid Table Light"/>
    <w:basedOn w:val="TableNormal"/>
    <w:uiPriority w:val="40"/>
    <w:rsid w:val="00FB52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B52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C3396E"/>
    <w:rPr>
      <w:color w:val="605E5C"/>
      <w:shd w:val="clear" w:color="auto" w:fill="E1DFDD"/>
    </w:rPr>
  </w:style>
  <w:style w:type="character" w:customStyle="1" w:styleId="xfontstyle2">
    <w:name w:val="x_fontstyle2"/>
    <w:basedOn w:val="DefaultParagraphFont"/>
    <w:rsid w:val="00386AEB"/>
  </w:style>
  <w:style w:type="paragraph" w:styleId="NoSpacing">
    <w:name w:val="No Spacing"/>
    <w:aliases w:val="indent"/>
    <w:link w:val="NoSpacingChar"/>
    <w:uiPriority w:val="1"/>
    <w:qFormat/>
    <w:rsid w:val="005B1408"/>
    <w:pPr>
      <w:spacing w:before="120" w:after="120" w:line="240" w:lineRule="auto"/>
      <w:ind w:firstLine="720"/>
    </w:pPr>
    <w:rPr>
      <w:rFonts w:ascii="Times New Roman" w:hAnsi="Times New Roman"/>
      <w:sz w:val="24"/>
    </w:rPr>
  </w:style>
  <w:style w:type="paragraph" w:customStyle="1" w:styleId="reference">
    <w:name w:val="reference"/>
    <w:basedOn w:val="Normal"/>
    <w:link w:val="referenceChar"/>
    <w:qFormat/>
    <w:rsid w:val="006274A3"/>
    <w:pPr>
      <w:widowControl w:val="0"/>
      <w:ind w:left="720" w:hanging="720"/>
    </w:pPr>
    <w:rPr>
      <w:rFonts w:cs="Times New Roman"/>
      <w:noProof/>
      <w:sz w:val="20"/>
      <w:szCs w:val="20"/>
      <w:lang w:val="en-US"/>
    </w:rPr>
  </w:style>
  <w:style w:type="character" w:customStyle="1" w:styleId="referenceChar">
    <w:name w:val="reference Char"/>
    <w:basedOn w:val="DefaultParagraphFont"/>
    <w:link w:val="reference"/>
    <w:rsid w:val="006274A3"/>
    <w:rPr>
      <w:rFonts w:ascii="Times New Roman" w:hAnsi="Times New Roman" w:cs="Times New Roman"/>
      <w:noProof/>
      <w:sz w:val="20"/>
      <w:szCs w:val="20"/>
      <w:lang w:val="en-US"/>
    </w:rPr>
  </w:style>
  <w:style w:type="paragraph" w:customStyle="1" w:styleId="Table">
    <w:name w:val="Table"/>
    <w:basedOn w:val="Normal"/>
    <w:rsid w:val="00FA4D0A"/>
    <w:pPr>
      <w:numPr>
        <w:numId w:val="6"/>
      </w:numPr>
    </w:pPr>
  </w:style>
  <w:style w:type="character" w:customStyle="1" w:styleId="NoSpacingChar">
    <w:name w:val="No Spacing Char"/>
    <w:aliases w:val="indent Char"/>
    <w:basedOn w:val="DefaultParagraphFont"/>
    <w:link w:val="NoSpacing"/>
    <w:uiPriority w:val="1"/>
    <w:rsid w:val="00C161A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81951">
      <w:bodyDiv w:val="1"/>
      <w:marLeft w:val="0"/>
      <w:marRight w:val="0"/>
      <w:marTop w:val="0"/>
      <w:marBottom w:val="0"/>
      <w:divBdr>
        <w:top w:val="none" w:sz="0" w:space="0" w:color="auto"/>
        <w:left w:val="none" w:sz="0" w:space="0" w:color="auto"/>
        <w:bottom w:val="none" w:sz="0" w:space="0" w:color="auto"/>
        <w:right w:val="none" w:sz="0" w:space="0" w:color="auto"/>
      </w:divBdr>
      <w:divsChild>
        <w:div w:id="1350448189">
          <w:marLeft w:val="0"/>
          <w:marRight w:val="0"/>
          <w:marTop w:val="0"/>
          <w:marBottom w:val="0"/>
          <w:divBdr>
            <w:top w:val="none" w:sz="0" w:space="0" w:color="auto"/>
            <w:left w:val="none" w:sz="0" w:space="0" w:color="auto"/>
            <w:bottom w:val="none" w:sz="0" w:space="0" w:color="auto"/>
            <w:right w:val="none" w:sz="0" w:space="0" w:color="auto"/>
          </w:divBdr>
        </w:div>
        <w:div w:id="381830069">
          <w:marLeft w:val="0"/>
          <w:marRight w:val="0"/>
          <w:marTop w:val="0"/>
          <w:marBottom w:val="0"/>
          <w:divBdr>
            <w:top w:val="none" w:sz="0" w:space="0" w:color="auto"/>
            <w:left w:val="none" w:sz="0" w:space="0" w:color="auto"/>
            <w:bottom w:val="none" w:sz="0" w:space="0" w:color="auto"/>
            <w:right w:val="none" w:sz="0" w:space="0" w:color="auto"/>
          </w:divBdr>
        </w:div>
      </w:divsChild>
    </w:div>
    <w:div w:id="541285234">
      <w:bodyDiv w:val="1"/>
      <w:marLeft w:val="0"/>
      <w:marRight w:val="0"/>
      <w:marTop w:val="0"/>
      <w:marBottom w:val="0"/>
      <w:divBdr>
        <w:top w:val="none" w:sz="0" w:space="0" w:color="auto"/>
        <w:left w:val="none" w:sz="0" w:space="0" w:color="auto"/>
        <w:bottom w:val="none" w:sz="0" w:space="0" w:color="auto"/>
        <w:right w:val="none" w:sz="0" w:space="0" w:color="auto"/>
      </w:divBdr>
    </w:div>
    <w:div w:id="640309539">
      <w:bodyDiv w:val="1"/>
      <w:marLeft w:val="0"/>
      <w:marRight w:val="0"/>
      <w:marTop w:val="0"/>
      <w:marBottom w:val="0"/>
      <w:divBdr>
        <w:top w:val="none" w:sz="0" w:space="0" w:color="auto"/>
        <w:left w:val="none" w:sz="0" w:space="0" w:color="auto"/>
        <w:bottom w:val="none" w:sz="0" w:space="0" w:color="auto"/>
        <w:right w:val="none" w:sz="0" w:space="0" w:color="auto"/>
      </w:divBdr>
      <w:divsChild>
        <w:div w:id="1278558609">
          <w:marLeft w:val="0"/>
          <w:marRight w:val="0"/>
          <w:marTop w:val="0"/>
          <w:marBottom w:val="0"/>
          <w:divBdr>
            <w:top w:val="none" w:sz="0" w:space="0" w:color="auto"/>
            <w:left w:val="none" w:sz="0" w:space="0" w:color="auto"/>
            <w:bottom w:val="none" w:sz="0" w:space="0" w:color="auto"/>
            <w:right w:val="none" w:sz="0" w:space="0" w:color="auto"/>
          </w:divBdr>
        </w:div>
        <w:div w:id="1804225445">
          <w:marLeft w:val="0"/>
          <w:marRight w:val="0"/>
          <w:marTop w:val="0"/>
          <w:marBottom w:val="0"/>
          <w:divBdr>
            <w:top w:val="none" w:sz="0" w:space="0" w:color="auto"/>
            <w:left w:val="none" w:sz="0" w:space="0" w:color="auto"/>
            <w:bottom w:val="none" w:sz="0" w:space="0" w:color="auto"/>
            <w:right w:val="none" w:sz="0" w:space="0" w:color="auto"/>
          </w:divBdr>
        </w:div>
      </w:divsChild>
    </w:div>
    <w:div w:id="759721373">
      <w:bodyDiv w:val="1"/>
      <w:marLeft w:val="0"/>
      <w:marRight w:val="0"/>
      <w:marTop w:val="0"/>
      <w:marBottom w:val="0"/>
      <w:divBdr>
        <w:top w:val="none" w:sz="0" w:space="0" w:color="auto"/>
        <w:left w:val="none" w:sz="0" w:space="0" w:color="auto"/>
        <w:bottom w:val="none" w:sz="0" w:space="0" w:color="auto"/>
        <w:right w:val="none" w:sz="0" w:space="0" w:color="auto"/>
      </w:divBdr>
    </w:div>
    <w:div w:id="760880827">
      <w:bodyDiv w:val="1"/>
      <w:marLeft w:val="0"/>
      <w:marRight w:val="0"/>
      <w:marTop w:val="0"/>
      <w:marBottom w:val="0"/>
      <w:divBdr>
        <w:top w:val="none" w:sz="0" w:space="0" w:color="auto"/>
        <w:left w:val="none" w:sz="0" w:space="0" w:color="auto"/>
        <w:bottom w:val="none" w:sz="0" w:space="0" w:color="auto"/>
        <w:right w:val="none" w:sz="0" w:space="0" w:color="auto"/>
      </w:divBdr>
    </w:div>
    <w:div w:id="963921483">
      <w:bodyDiv w:val="1"/>
      <w:marLeft w:val="0"/>
      <w:marRight w:val="0"/>
      <w:marTop w:val="0"/>
      <w:marBottom w:val="0"/>
      <w:divBdr>
        <w:top w:val="none" w:sz="0" w:space="0" w:color="auto"/>
        <w:left w:val="none" w:sz="0" w:space="0" w:color="auto"/>
        <w:bottom w:val="none" w:sz="0" w:space="0" w:color="auto"/>
        <w:right w:val="none" w:sz="0" w:space="0" w:color="auto"/>
      </w:divBdr>
    </w:div>
    <w:div w:id="1221484019">
      <w:bodyDiv w:val="1"/>
      <w:marLeft w:val="0"/>
      <w:marRight w:val="0"/>
      <w:marTop w:val="0"/>
      <w:marBottom w:val="0"/>
      <w:divBdr>
        <w:top w:val="none" w:sz="0" w:space="0" w:color="auto"/>
        <w:left w:val="none" w:sz="0" w:space="0" w:color="auto"/>
        <w:bottom w:val="none" w:sz="0" w:space="0" w:color="auto"/>
        <w:right w:val="none" w:sz="0" w:space="0" w:color="auto"/>
      </w:divBdr>
    </w:div>
    <w:div w:id="1249388168">
      <w:bodyDiv w:val="1"/>
      <w:marLeft w:val="0"/>
      <w:marRight w:val="0"/>
      <w:marTop w:val="0"/>
      <w:marBottom w:val="0"/>
      <w:divBdr>
        <w:top w:val="none" w:sz="0" w:space="0" w:color="auto"/>
        <w:left w:val="none" w:sz="0" w:space="0" w:color="auto"/>
        <w:bottom w:val="none" w:sz="0" w:space="0" w:color="auto"/>
        <w:right w:val="none" w:sz="0" w:space="0" w:color="auto"/>
      </w:divBdr>
    </w:div>
    <w:div w:id="1380587054">
      <w:bodyDiv w:val="1"/>
      <w:marLeft w:val="0"/>
      <w:marRight w:val="0"/>
      <w:marTop w:val="0"/>
      <w:marBottom w:val="0"/>
      <w:divBdr>
        <w:top w:val="none" w:sz="0" w:space="0" w:color="auto"/>
        <w:left w:val="none" w:sz="0" w:space="0" w:color="auto"/>
        <w:bottom w:val="none" w:sz="0" w:space="0" w:color="auto"/>
        <w:right w:val="none" w:sz="0" w:space="0" w:color="auto"/>
      </w:divBdr>
    </w:div>
    <w:div w:id="1490747683">
      <w:bodyDiv w:val="1"/>
      <w:marLeft w:val="0"/>
      <w:marRight w:val="0"/>
      <w:marTop w:val="0"/>
      <w:marBottom w:val="0"/>
      <w:divBdr>
        <w:top w:val="none" w:sz="0" w:space="0" w:color="auto"/>
        <w:left w:val="none" w:sz="0" w:space="0" w:color="auto"/>
        <w:bottom w:val="none" w:sz="0" w:space="0" w:color="auto"/>
        <w:right w:val="none" w:sz="0" w:space="0" w:color="auto"/>
      </w:divBdr>
    </w:div>
    <w:div w:id="1612397846">
      <w:bodyDiv w:val="1"/>
      <w:marLeft w:val="0"/>
      <w:marRight w:val="0"/>
      <w:marTop w:val="0"/>
      <w:marBottom w:val="0"/>
      <w:divBdr>
        <w:top w:val="none" w:sz="0" w:space="0" w:color="auto"/>
        <w:left w:val="none" w:sz="0" w:space="0" w:color="auto"/>
        <w:bottom w:val="none" w:sz="0" w:space="0" w:color="auto"/>
        <w:right w:val="none" w:sz="0" w:space="0" w:color="auto"/>
      </w:divBdr>
    </w:div>
    <w:div w:id="1762487052">
      <w:bodyDiv w:val="1"/>
      <w:marLeft w:val="0"/>
      <w:marRight w:val="0"/>
      <w:marTop w:val="0"/>
      <w:marBottom w:val="0"/>
      <w:divBdr>
        <w:top w:val="none" w:sz="0" w:space="0" w:color="auto"/>
        <w:left w:val="none" w:sz="0" w:space="0" w:color="auto"/>
        <w:bottom w:val="none" w:sz="0" w:space="0" w:color="auto"/>
        <w:right w:val="none" w:sz="0" w:space="0" w:color="auto"/>
      </w:divBdr>
      <w:divsChild>
        <w:div w:id="1588886169">
          <w:marLeft w:val="0"/>
          <w:marRight w:val="0"/>
          <w:marTop w:val="0"/>
          <w:marBottom w:val="300"/>
          <w:divBdr>
            <w:top w:val="none" w:sz="0" w:space="0" w:color="auto"/>
            <w:left w:val="none" w:sz="0" w:space="0" w:color="auto"/>
            <w:bottom w:val="dotted" w:sz="12" w:space="0" w:color="CCCCCC"/>
            <w:right w:val="none" w:sz="0" w:space="0" w:color="auto"/>
          </w:divBdr>
          <w:divsChild>
            <w:div w:id="1105006442">
              <w:marLeft w:val="0"/>
              <w:marRight w:val="0"/>
              <w:marTop w:val="0"/>
              <w:marBottom w:val="0"/>
              <w:divBdr>
                <w:top w:val="none" w:sz="0" w:space="0" w:color="auto"/>
                <w:left w:val="none" w:sz="0" w:space="0" w:color="auto"/>
                <w:bottom w:val="none" w:sz="0" w:space="0" w:color="auto"/>
                <w:right w:val="none" w:sz="0" w:space="0" w:color="auto"/>
              </w:divBdr>
              <w:divsChild>
                <w:div w:id="1509833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64571039">
      <w:bodyDiv w:val="1"/>
      <w:marLeft w:val="0"/>
      <w:marRight w:val="0"/>
      <w:marTop w:val="0"/>
      <w:marBottom w:val="0"/>
      <w:divBdr>
        <w:top w:val="none" w:sz="0" w:space="0" w:color="auto"/>
        <w:left w:val="none" w:sz="0" w:space="0" w:color="auto"/>
        <w:bottom w:val="none" w:sz="0" w:space="0" w:color="auto"/>
        <w:right w:val="none" w:sz="0" w:space="0" w:color="auto"/>
      </w:divBdr>
    </w:div>
    <w:div w:id="1792163035">
      <w:bodyDiv w:val="1"/>
      <w:marLeft w:val="0"/>
      <w:marRight w:val="0"/>
      <w:marTop w:val="0"/>
      <w:marBottom w:val="0"/>
      <w:divBdr>
        <w:top w:val="none" w:sz="0" w:space="0" w:color="auto"/>
        <w:left w:val="none" w:sz="0" w:space="0" w:color="auto"/>
        <w:bottom w:val="none" w:sz="0" w:space="0" w:color="auto"/>
        <w:right w:val="none" w:sz="0" w:space="0" w:color="auto"/>
      </w:divBdr>
    </w:div>
    <w:div w:id="1975210768">
      <w:bodyDiv w:val="1"/>
      <w:marLeft w:val="0"/>
      <w:marRight w:val="0"/>
      <w:marTop w:val="0"/>
      <w:marBottom w:val="0"/>
      <w:divBdr>
        <w:top w:val="none" w:sz="0" w:space="0" w:color="auto"/>
        <w:left w:val="none" w:sz="0" w:space="0" w:color="auto"/>
        <w:bottom w:val="none" w:sz="0" w:space="0" w:color="auto"/>
        <w:right w:val="none" w:sz="0" w:space="0" w:color="auto"/>
      </w:divBdr>
    </w:div>
    <w:div w:id="200986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mandarin.com.au/86305-conflicts-interest-undermined-senior-recruitment/" TargetMode="External"/><Relationship Id="rId21" Type="http://schemas.openxmlformats.org/officeDocument/2006/relationships/hyperlink" Target="https://www.ceda.com.au/News-and-analysis/CEDA-Events/Public-sector-cuts-required-to-repair-budget-Tasmanian-Premier" TargetMode="External"/><Relationship Id="rId42" Type="http://schemas.openxmlformats.org/officeDocument/2006/relationships/hyperlink" Target="http://www.premier.tas.gov.au/releases/tasmanias_exceptional_economic_growth" TargetMode="External"/><Relationship Id="rId47" Type="http://schemas.openxmlformats.org/officeDocument/2006/relationships/hyperlink" Target="https://www.theadvocate.com.au/story/6646652/terms-of-reference-for-state-service-review-finalised/" TargetMode="External"/><Relationship Id="rId63" Type="http://schemas.openxmlformats.org/officeDocument/2006/relationships/hyperlink" Target="https://www.utas.edu.au/library/companion_to_tasmanian_history/R/Rundle.htm" TargetMode="External"/><Relationship Id="rId68" Type="http://schemas.openxmlformats.org/officeDocument/2006/relationships/hyperlink" Target="http://www.dpac.tas.gov.au/__data/assets/pdf_file/0010/562591/Interim_Report_-_FINAL.pdf" TargetMode="External"/><Relationship Id="rId84" Type="http://schemas.openxmlformats.org/officeDocument/2006/relationships/hyperlink" Target="http://www.dpac.tas.gov.au/divisions/ssmo/employment_directions" TargetMode="External"/><Relationship Id="rId89" Type="http://schemas.openxmlformats.org/officeDocument/2006/relationships/hyperlink" Target="https://www.legislation.tas.gov.au/view/html/asmade/sr-2006-010" TargetMode="External"/><Relationship Id="rId16" Type="http://schemas.openxmlformats.org/officeDocument/2006/relationships/hyperlink" Target="https://www.legislation.tas.gov.au/view/html/asmade/act-2012-042" TargetMode="External"/><Relationship Id="rId11" Type="http://schemas.openxmlformats.org/officeDocument/2006/relationships/image" Target="media/image1.emf"/><Relationship Id="rId32" Type="http://schemas.openxmlformats.org/officeDocument/2006/relationships/hyperlink" Target="http://www.dpac.tas.gov.au/divisions/ssmo/Managing_Positions_in_the_State_Service/wrip" TargetMode="External"/><Relationship Id="rId37" Type="http://schemas.openxmlformats.org/officeDocument/2006/relationships/hyperlink" Target="https://www.abc.net.au/news/2017-04-17/marriage-in-australia-how-love-and-law-have-changed-in-130-years/8430254" TargetMode="External"/><Relationship Id="rId53" Type="http://schemas.openxmlformats.org/officeDocument/2006/relationships/hyperlink" Target="https://www.treasury.tas.gov.au/Documents/2011-12_BP1.pdf" TargetMode="External"/><Relationship Id="rId58" Type="http://schemas.openxmlformats.org/officeDocument/2006/relationships/hyperlink" Target="http://www.dpac.tas.gov.au/divisions/ssmo/about_ssmo/state_service_workforce_reporting/state_service_workforce_report_no_2_of_2019" TargetMode="External"/><Relationship Id="rId74" Type="http://schemas.openxmlformats.org/officeDocument/2006/relationships/footer" Target="footer2.xml"/><Relationship Id="rId79" Type="http://schemas.openxmlformats.org/officeDocument/2006/relationships/hyperlink" Target="https://www.legislation.tas.gov.au/view/html/asmade/act-2016-054" TargetMode="External"/><Relationship Id="rId5" Type="http://schemas.openxmlformats.org/officeDocument/2006/relationships/numbering" Target="numbering.xml"/><Relationship Id="rId90" Type="http://schemas.openxmlformats.org/officeDocument/2006/relationships/hyperlink" Target="https://www.legislation.tas.gov.au/view/html/asmade/sr-2006-022" TargetMode="External"/><Relationship Id="rId95" Type="http://schemas.openxmlformats.org/officeDocument/2006/relationships/header" Target="header4.xml"/><Relationship Id="rId22" Type="http://schemas.openxmlformats.org/officeDocument/2006/relationships/hyperlink" Target="https://doi.org/10.1177/0022185612454962" TargetMode="External"/><Relationship Id="rId27" Type="http://schemas.openxmlformats.org/officeDocument/2006/relationships/hyperlink" Target="http://www.dpac.tas.gov.au/divisions/ssmo/employment_policy" TargetMode="External"/><Relationship Id="rId43" Type="http://schemas.openxmlformats.org/officeDocument/2006/relationships/hyperlink" Target="http://www.premier.tas.gov.au/releases/ministerial_statement_savings_measures" TargetMode="External"/><Relationship Id="rId48" Type="http://schemas.openxmlformats.org/officeDocument/2006/relationships/hyperlink" Target="https://www.themandarin.com.au/127695-planned-cuts-to-tasmanian-government-agencies-removed-under-coronavirus-stimulus-package/" TargetMode="External"/><Relationship Id="rId64" Type="http://schemas.openxmlformats.org/officeDocument/2006/relationships/hyperlink" Target="https://www.audit.tas.gov.au/wp-content/uploads/Full-Report-No-3-2017-18-Appointment-of-Tasmanian-State-Service-Senior.pdf" TargetMode="External"/><Relationship Id="rId69" Type="http://schemas.openxmlformats.org/officeDocument/2006/relationships/hyperlink" Target="https://www.utas.edu.au/library/companion_to_tasmanian_history/P/Public%20admin.htm" TargetMode="External"/><Relationship Id="rId80" Type="http://schemas.openxmlformats.org/officeDocument/2006/relationships/hyperlink" Target="https://www.legislation.tas.gov.au/view/html/asmade/sr-2015-025" TargetMode="External"/><Relationship Id="rId85" Type="http://schemas.openxmlformats.org/officeDocument/2006/relationships/hyperlink" Target="https://www.legislation.tas.gov.au/view/html/asmade/act-2011-018" TargetMode="External"/><Relationship Id="rId3" Type="http://schemas.openxmlformats.org/officeDocument/2006/relationships/customXml" Target="../customXml/item3.xml"/><Relationship Id="rId12" Type="http://schemas.openxmlformats.org/officeDocument/2006/relationships/hyperlink" Target="http://www.thelaw.tas.gov.au/linkto.w3p;doc_id=85++2000+AT@EN+CURRENT" TargetMode="External"/><Relationship Id="rId17" Type="http://schemas.openxmlformats.org/officeDocument/2006/relationships/hyperlink" Target="https://www.examiner.com.au/story/87252/liberals-to-create-super-department-axe-650-jobs/" TargetMode="External"/><Relationship Id="rId25" Type="http://schemas.openxmlformats.org/officeDocument/2006/relationships/hyperlink" Target="https://www.themandarin.com.au/2358-700-public-servants-go-tas-budget/" TargetMode="External"/><Relationship Id="rId33" Type="http://schemas.openxmlformats.org/officeDocument/2006/relationships/hyperlink" Target="https://www.themandarin.com.au/104789-tasmanian-premiers-new-pay-offer-come-with-a-major-public-service-review-attached/" TargetMode="External"/><Relationship Id="rId38" Type="http://schemas.openxmlformats.org/officeDocument/2006/relationships/hyperlink" Target="https://www.abc.net.au/elections/tas/2006/guide/summary.htm" TargetMode="External"/><Relationship Id="rId46" Type="http://schemas.openxmlformats.org/officeDocument/2006/relationships/hyperlink" Target="https://www.examiner.com.au/story/5220959/accord-and-discord-an-oral-history-of-the-field-government/" TargetMode="External"/><Relationship Id="rId59" Type="http://schemas.openxmlformats.org/officeDocument/2006/relationships/hyperlink" Target="http://www.dpac.tas.gov.au/divisions/ssmo/employment_policy/managing_conflicts_of_interest_in_recruitment" TargetMode="External"/><Relationship Id="rId67" Type="http://schemas.openxmlformats.org/officeDocument/2006/relationships/hyperlink" Target="https://www.utas.edu.au/law-reform/news-and-events/tlri-news/law-change-needed-to-improve-judicial-review-of-government-decisions" TargetMode="External"/><Relationship Id="rId20" Type="http://schemas.openxmlformats.org/officeDocument/2006/relationships/hyperlink" Target="https://www.abc.net.au/news/2020-01-24/tasmania-premier-peter-gutwein-cabinet-announcement/11897442" TargetMode="External"/><Relationship Id="rId41" Type="http://schemas.openxmlformats.org/officeDocument/2006/relationships/hyperlink" Target="http://www.premier.tas.gov.au/releases/ses_wage_freeze" TargetMode="External"/><Relationship Id="rId54" Type="http://schemas.openxmlformats.org/officeDocument/2006/relationships/hyperlink" Target="https://www.pesrac.tas.gov.au/__data/assets/pdf_file/0010/283195/Final_Report_-_Short_Form.pdf" TargetMode="External"/><Relationship Id="rId62" Type="http://schemas.openxmlformats.org/officeDocument/2006/relationships/hyperlink" Target="https://www.utas.edu.au/library/companion_to_tasmanian_history/G/Robin%20Gray.htm" TargetMode="External"/><Relationship Id="rId70" Type="http://schemas.openxmlformats.org/officeDocument/2006/relationships/hyperlink" Target="https://www.abc.net.au/news/2017-11-22/utas-kate-crowley-urges-cull-of-public-service-nepotism-culture/9177532" TargetMode="External"/><Relationship Id="rId75" Type="http://schemas.openxmlformats.org/officeDocument/2006/relationships/header" Target="header3.xml"/><Relationship Id="rId83" Type="http://schemas.openxmlformats.org/officeDocument/2006/relationships/hyperlink" Target="http://www.thelaw.tas.gov.au/linkto.w3p;doc_id=85++2000+AT@EN+CURRENT" TargetMode="External"/><Relationship Id="rId88" Type="http://schemas.openxmlformats.org/officeDocument/2006/relationships/hyperlink" Target="https://www.legislation.tas.gov.au/view/html/asmade/sr-2008-004" TargetMode="External"/><Relationship Id="rId91" Type="http://schemas.openxmlformats.org/officeDocument/2006/relationships/hyperlink" Target="https://www.legislation.tas.gov.au/view/html/asmade/act-2005-065"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slation.tas.gov.au/view/html/asmade/sr-2008-004" TargetMode="External"/><Relationship Id="rId23" Type="http://schemas.openxmlformats.org/officeDocument/2006/relationships/hyperlink" Target="https://theconversation.com/pulp-mill-politics-set-to-dominate-tasmanian-election-22112" TargetMode="External"/><Relationship Id="rId28" Type="http://schemas.openxmlformats.org/officeDocument/2006/relationships/hyperlink" Target="http://www.dpac.tas.gov.au/__data/assets/pdf_file/0008/541979/Employment_Direction_No_17A_of_2020.pdf" TargetMode="External"/><Relationship Id="rId36" Type="http://schemas.openxmlformats.org/officeDocument/2006/relationships/hyperlink" Target="https://www.examiner.com.au/story/6471916/building-a-state-service-set-for-the-future/" TargetMode="External"/><Relationship Id="rId49" Type="http://schemas.openxmlformats.org/officeDocument/2006/relationships/hyperlink" Target="https://www.themercury.com.au/news/tasmania-state-election-2014/tasmanias-labor-generation-comes-to-an-end/news-story/70d151bd92deba65ea09cd1f55587095" TargetMode="External"/><Relationship Id="rId57" Type="http://schemas.openxmlformats.org/officeDocument/2006/relationships/hyperlink" Target="http://www.dpac.tas.gov.au/__data/assets/pdf_file/0008/558890/Tasmanian_State_Service_Annual_Report_2019-20_-_September_2020.PDF" TargetMode="External"/><Relationship Id="rId10" Type="http://schemas.openxmlformats.org/officeDocument/2006/relationships/endnotes" Target="endnotes.xml"/><Relationship Id="rId31" Type="http://schemas.openxmlformats.org/officeDocument/2006/relationships/hyperlink" Target="http://www.dpac.tas.gov.au/__data/assets/pdf_file/0007/479293/Employment_Direction_No._17_of_2015_-_final_updated_with_2019_salaries.pdf" TargetMode="External"/><Relationship Id="rId44" Type="http://schemas.openxmlformats.org/officeDocument/2006/relationships/hyperlink" Target="http://www.premier.tas.gov.au/releases/changes_to_senior_public_service_management" TargetMode="External"/><Relationship Id="rId52" Type="http://schemas.openxmlformats.org/officeDocument/2006/relationships/hyperlink" Target="http://www.parliament.tas.gov.au/history/tasparl/lowed583.htm" TargetMode="External"/><Relationship Id="rId60" Type="http://schemas.openxmlformats.org/officeDocument/2006/relationships/hyperlink" Target="http://www.dpac.tas.gov.au/divisions/ssmo/employment_policy/managing_conflicts_of_interest_in_recruitment" TargetMode="External"/><Relationship Id="rId65" Type="http://schemas.openxmlformats.org/officeDocument/2006/relationships/hyperlink" Target="https://www.women.tas.gov.au/information_and_resources/significant_tasmanian_women/milestones_for_tasmanian_women" TargetMode="External"/><Relationship Id="rId73" Type="http://schemas.openxmlformats.org/officeDocument/2006/relationships/footer" Target="footer1.xml"/><Relationship Id="rId78" Type="http://schemas.openxmlformats.org/officeDocument/2006/relationships/hyperlink" Target="https://www.legislation.tas.gov.au/view/html/asmade/sr-2016-018" TargetMode="External"/><Relationship Id="rId81" Type="http://schemas.openxmlformats.org/officeDocument/2006/relationships/hyperlink" Target="https://www.legislation.tas.gov.au/view/html/asmade/sr-2014-077" TargetMode="External"/><Relationship Id="rId86" Type="http://schemas.openxmlformats.org/officeDocument/2006/relationships/hyperlink" Target="https://www.legislation.tas.gov.au/view/html/asmade/sr-2009-072" TargetMode="External"/><Relationship Id="rId94" Type="http://schemas.openxmlformats.org/officeDocument/2006/relationships/hyperlink" Target="https://www.legislation.tas.gov.au/view/html/inforce/current/act-2000-08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egislation.tas.gov.au/view/html/asmade/act-2011-018" TargetMode="External"/><Relationship Id="rId18" Type="http://schemas.openxmlformats.org/officeDocument/2006/relationships/hyperlink" Target="https://www.theadvocate.com.au/story/6804947/senior-tasmanian-public-servants-pay-freeze-lashed/" TargetMode="External"/><Relationship Id="rId39" Type="http://schemas.openxmlformats.org/officeDocument/2006/relationships/hyperlink" Target="https://www.parliament.nsw.gov.au/researchpapers/Documents/oversight-of-public-appointments/E%20Brief%20Oversight%20of%20public%20appointments.pdf" TargetMode="External"/><Relationship Id="rId34" Type="http://schemas.openxmlformats.org/officeDocument/2006/relationships/hyperlink" Target="https://www.themandarin.com.au/48611-tasmanian-bureaucrats-rush-exits-auditor-general-probes-payouts/" TargetMode="External"/><Relationship Id="rId50" Type="http://schemas.openxmlformats.org/officeDocument/2006/relationships/hyperlink" Target="https://www.parliament.tas.gov.au/ctee/Council/Reports/pse.rep.110916.Report%20Final%20pdf.jm.001.a.doc.pdf" TargetMode="External"/><Relationship Id="rId55" Type="http://schemas.openxmlformats.org/officeDocument/2006/relationships/hyperlink" Target="https://www.pesrac.tas.gov.au/__data/assets/pdf_file/0016/250441/Interim_Report.pdf" TargetMode="External"/><Relationship Id="rId76" Type="http://schemas.openxmlformats.org/officeDocument/2006/relationships/footer" Target="footer3.xm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1.xml"/><Relationship Id="rId92" Type="http://schemas.openxmlformats.org/officeDocument/2006/relationships/hyperlink" Target="https://www.legislation.tas.gov.au/view/html/asmade/sr-2002-088" TargetMode="External"/><Relationship Id="rId2" Type="http://schemas.openxmlformats.org/officeDocument/2006/relationships/customXml" Target="../customXml/item2.xml"/><Relationship Id="rId29" Type="http://schemas.openxmlformats.org/officeDocument/2006/relationships/hyperlink" Target="http://www.dpac.tas.gov.au/divisions/policy/review_of_the_tasmanian_state_service" TargetMode="External"/><Relationship Id="rId24" Type="http://schemas.openxmlformats.org/officeDocument/2006/relationships/hyperlink" Target="https://www.themandarin.com.au/8283-tasmania-cut-health-education-staff/" TargetMode="External"/><Relationship Id="rId40" Type="http://schemas.openxmlformats.org/officeDocument/2006/relationships/hyperlink" Target="http://www.premier.tas.gov.au/releases/premiers_economic_and_social_recovery_advisory_council_interim_report" TargetMode="External"/><Relationship Id="rId45" Type="http://schemas.openxmlformats.org/officeDocument/2006/relationships/hyperlink" Target="http://www.parliament.tas.gov.au/bills/Bills2015/pdf/notes/57_of_2015-SRS.pdf" TargetMode="External"/><Relationship Id="rId66" Type="http://schemas.openxmlformats.org/officeDocument/2006/relationships/hyperlink" Target="https://www.parliament.tas.gov.au/tpl/datasheets/Premiers_Table.htm" TargetMode="External"/><Relationship Id="rId87" Type="http://schemas.openxmlformats.org/officeDocument/2006/relationships/hyperlink" Target="https://www.legislation.tas.gov.au/view/html/asmade/sr-2008-004" TargetMode="External"/><Relationship Id="rId61" Type="http://schemas.openxmlformats.org/officeDocument/2006/relationships/hyperlink" Target="http://www.dpac.tas.gov.au/__data/assets/pdf_file/0006/284469/Managing_Positions_in_the_State_Service_-_April_2016.pdf" TargetMode="External"/><Relationship Id="rId82" Type="http://schemas.openxmlformats.org/officeDocument/2006/relationships/hyperlink" Target="https://www.legislation.tas.gov.au/view/html/asmade/act-2012-042" TargetMode="External"/><Relationship Id="rId19" Type="http://schemas.openxmlformats.org/officeDocument/2006/relationships/hyperlink" Target="https://www.abc.net.au/news/2017-11-27/confusion-over-resignation-of-tas-public-service-boss/9198170" TargetMode="External"/><Relationship Id="rId14" Type="http://schemas.openxmlformats.org/officeDocument/2006/relationships/hyperlink" Target="https://www.legislation.tas.gov.au/view/html/asmade/act-2011-019" TargetMode="External"/><Relationship Id="rId30" Type="http://schemas.openxmlformats.org/officeDocument/2006/relationships/hyperlink" Target="http://www.dpac.tas.gov.au/__data/assets/pdf_file/0014/515201/Final_Terms_of_Reference_-_Review_of_the_Tasmanian_State_Service.pdf" TargetMode="External"/><Relationship Id="rId35" Type="http://schemas.openxmlformats.org/officeDocument/2006/relationships/hyperlink" Target="https://www.themandarin.com.au/142109-wage-freeze-tasmania/" TargetMode="External"/><Relationship Id="rId56" Type="http://schemas.openxmlformats.org/officeDocument/2006/relationships/hyperlink" Target="https://www.utas.edu.au/tasmanian-companion/biogs/E000144b.htm" TargetMode="External"/><Relationship Id="rId77" Type="http://schemas.openxmlformats.org/officeDocument/2006/relationships/hyperlink" Target="https://www.legislation.tas.gov.au/view/html/asmade/sr-2018-024" TargetMode="External"/><Relationship Id="rId8" Type="http://schemas.openxmlformats.org/officeDocument/2006/relationships/webSettings" Target="webSettings.xml"/><Relationship Id="rId51" Type="http://schemas.openxmlformats.org/officeDocument/2006/relationships/hyperlink" Target="https://www.crikey.com.au/2011/01/24/they-were-ready-to-slice-him-the-savvy-tassie-premier-who-mistimed-his-run/" TargetMode="External"/><Relationship Id="rId72" Type="http://schemas.openxmlformats.org/officeDocument/2006/relationships/header" Target="header2.xml"/><Relationship Id="rId93" Type="http://schemas.openxmlformats.org/officeDocument/2006/relationships/hyperlink" Target="https://www.legislation.tas.gov.au/view/html/inforce/current/act-2000-08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8F180B4C198844BF045B7BC2D5DE4A" ma:contentTypeVersion="18" ma:contentTypeDescription="Create a new document." ma:contentTypeScope="" ma:versionID="f5e010c48c5213080f290e360049f464">
  <xsd:schema xmlns:xsd="http://www.w3.org/2001/XMLSchema" xmlns:xs="http://www.w3.org/2001/XMLSchema" xmlns:p="http://schemas.microsoft.com/office/2006/metadata/properties" xmlns:ns1="http://schemas.microsoft.com/sharepoint/v3" xmlns:ns2="941e4863-408d-4232-9006-e4ece879a4b8" xmlns:ns3="5fe5f515-21e2-4430-b2c5-8938785ae444" targetNamespace="http://schemas.microsoft.com/office/2006/metadata/properties" ma:root="true" ma:fieldsID="e4ff47fc17650d032d14a98edb8322a7" ns1:_="" ns2:_="" ns3:_="">
    <xsd:import namespace="http://schemas.microsoft.com/sharepoint/v3"/>
    <xsd:import namespace="941e4863-408d-4232-9006-e4ece879a4b8"/>
    <xsd:import namespace="5fe5f515-21e2-4430-b2c5-8938785ae4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e4863-408d-4232-9006-e4ece879a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69956d-e2dd-49b5-a39b-a9fe3f4b9c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5f515-21e2-4430-b2c5-8938785ae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fc4aedc-5d83-4a01-9fc1-02f6c5e38c12}" ma:internalName="TaxCatchAll" ma:showField="CatchAllData" ma:web="5fe5f515-21e2-4430-b2c5-8938785ae4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41e4863-408d-4232-9006-e4ece879a4b8">
      <Terms xmlns="http://schemas.microsoft.com/office/infopath/2007/PartnerControls"/>
    </lcf76f155ced4ddcb4097134ff3c332f>
    <TaxCatchAll xmlns="5fe5f515-21e2-4430-b2c5-8938785ae44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F7A4707-C2DB-402C-918C-AB4F89AE68D8}">
  <ds:schemaRefs>
    <ds:schemaRef ds:uri="http://schemas.microsoft.com/sharepoint/v3/contenttype/forms"/>
  </ds:schemaRefs>
</ds:datastoreItem>
</file>

<file path=customXml/itemProps2.xml><?xml version="1.0" encoding="utf-8"?>
<ds:datastoreItem xmlns:ds="http://schemas.openxmlformats.org/officeDocument/2006/customXml" ds:itemID="{45C815F6-7C94-49C0-BAB4-177F72FDB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1e4863-408d-4232-9006-e4ece879a4b8"/>
    <ds:schemaRef ds:uri="5fe5f515-21e2-4430-b2c5-8938785ae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E6802-B18A-4032-AF16-BF324B2AA595}">
  <ds:schemaRefs>
    <ds:schemaRef ds:uri="http://schemas.openxmlformats.org/officeDocument/2006/bibliography"/>
  </ds:schemaRefs>
</ds:datastoreItem>
</file>

<file path=customXml/itemProps4.xml><?xml version="1.0" encoding="utf-8"?>
<ds:datastoreItem xmlns:ds="http://schemas.openxmlformats.org/officeDocument/2006/customXml" ds:itemID="{9687555B-DD04-49F8-BC5C-A2D0E9B331E0}">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5fe5f515-21e2-4430-b2c5-8938785ae444"/>
    <ds:schemaRef ds:uri="941e4863-408d-4232-9006-e4ece879a4b8"/>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15102</Words>
  <Characters>76266</Characters>
  <Application>Microsoft Office Word</Application>
  <DocSecurity>4</DocSecurity>
  <Lines>1338</Lines>
  <Paragraphs>830</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90538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uqlcoll2</dc:creator>
  <cp:lastModifiedBy>Ben Ruse</cp:lastModifiedBy>
  <cp:revision>2</cp:revision>
  <cp:lastPrinted>2020-08-17T23:30:00Z</cp:lastPrinted>
  <dcterms:created xsi:type="dcterms:W3CDTF">2022-08-15T01:27:00Z</dcterms:created>
  <dcterms:modified xsi:type="dcterms:W3CDTF">2022-08-15T01:27:00Z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2022-05-11T02:00:01Z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5ab4c841-d90d-4433-8806-fc2906444929</vt:lpwstr>
  </property>
  <property fmtid="{D5CDD505-2E9C-101B-9397-08002B2CF9AE}" pid="8" name="MSIP_Label_0f488380-630a-4f55-a077-a19445e3f360_ContentBits">
    <vt:lpwstr>0</vt:lpwstr>
  </property>
  <property fmtid="{D5CDD505-2E9C-101B-9397-08002B2CF9AE}" pid="9" name="ContentTypeId">
    <vt:lpwstr>0x0101004E8F180B4C198844BF045B7BC2D5DE4A</vt:lpwstr>
  </property>
  <property fmtid="{D5CDD505-2E9C-101B-9397-08002B2CF9AE}" pid="10" name="MediaServiceImageTags">
    <vt:lpwstr/>
  </property>
</Properties>
</file>