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8"/>
          <w:szCs w:val="28"/>
          <w:u w:val="single"/>
        </w:rPr>
        <w:id w:val="-652912613"/>
        <w:docPartObj>
          <w:docPartGallery w:val="Cover Pages"/>
          <w:docPartUnique/>
        </w:docPartObj>
      </w:sdtPr>
      <w:sdtEndPr/>
      <w:sdtContent>
        <w:sdt>
          <w:sdtPr>
            <w:rPr>
              <w:rFonts w:ascii="Arial" w:hAnsi="Arial" w:cs="Arial"/>
            </w:rPr>
            <w:id w:val="1493991837"/>
            <w:docPartObj>
              <w:docPartGallery w:val="Cover Pages"/>
              <w:docPartUnique/>
            </w:docPartObj>
          </w:sdtPr>
          <w:sdtEndPr>
            <w:rPr>
              <w:sz w:val="40"/>
              <w:szCs w:val="40"/>
            </w:rPr>
          </w:sdtEndPr>
          <w:sdtContent>
            <w:p w14:paraId="67156636" w14:textId="77777777" w:rsidR="00324B30" w:rsidRPr="004F7F40" w:rsidRDefault="00324B30" w:rsidP="00324B30">
              <w:pPr>
                <w:rPr>
                  <w:rFonts w:ascii="Arial" w:hAnsi="Arial" w:cs="Arial"/>
                </w:rPr>
              </w:pPr>
            </w:p>
            <w:p w14:paraId="3AFF0467" w14:textId="77777777" w:rsidR="00324B30" w:rsidRPr="004F7F40" w:rsidRDefault="00324B30" w:rsidP="00324B30">
              <w:pPr>
                <w:rPr>
                  <w:rFonts w:ascii="Arial" w:hAnsi="Arial" w:cs="Arial"/>
                </w:rPr>
              </w:pPr>
              <w:r w:rsidRPr="004F7F40">
                <w:rPr>
                  <w:rFonts w:ascii="Arial" w:hAnsi="Arial" w:cs="Arial"/>
                  <w:sz w:val="40"/>
                  <w:szCs w:val="40"/>
                </w:rPr>
                <w:br w:type="page"/>
              </w:r>
              <w:r w:rsidRPr="004F7F40">
                <w:rPr>
                  <w:rFonts w:ascii="Arial" w:hAnsi="Arial" w:cs="Arial"/>
                  <w:noProof/>
                </w:rPr>
                <mc:AlternateContent>
                  <mc:Choice Requires="wps">
                    <w:drawing>
                      <wp:anchor distT="0" distB="0" distL="114300" distR="114300" simplePos="0" relativeHeight="251660288" behindDoc="0" locked="0" layoutInCell="1" allowOverlap="1" wp14:anchorId="17D74E45" wp14:editId="39E27692">
                        <wp:simplePos x="0" y="0"/>
                        <wp:positionH relativeFrom="column">
                          <wp:posOffset>2028498</wp:posOffset>
                        </wp:positionH>
                        <wp:positionV relativeFrom="paragraph">
                          <wp:posOffset>2175641</wp:posOffset>
                        </wp:positionV>
                        <wp:extent cx="3962400" cy="481373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6AAF20B7" w14:textId="77777777" w:rsidR="00324B30" w:rsidRDefault="00324B30" w:rsidP="00324B30">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5B870D48" w14:textId="5F3AA97A" w:rsidR="00324B30" w:rsidRPr="002A2955" w:rsidRDefault="00324B30" w:rsidP="00324B30">
                                    <w:pPr>
                                      <w:rPr>
                                        <w:rFonts w:ascii="Arial" w:hAnsi="Arial" w:cs="Arial"/>
                                        <w:sz w:val="92"/>
                                        <w:szCs w:val="92"/>
                                      </w:rPr>
                                    </w:pPr>
                                    <w:r>
                                      <w:rPr>
                                        <w:rFonts w:ascii="Arial" w:hAnsi="Arial" w:cs="Arial"/>
                                        <w:color w:val="FFFFFF" w:themeColor="background1"/>
                                        <w:sz w:val="92"/>
                                        <w:szCs w:val="92"/>
                                      </w:rPr>
                                      <w:t>Case Study – Northern Territory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74E45" id="_x0000_t202" coordsize="21600,21600" o:spt="202" path="m,l,21600r21600,l21600,xe">
                        <v:stroke joinstyle="miter"/>
                        <v:path gradientshapeok="t" o:connecttype="rect"/>
                      </v:shapetype>
                      <v:shape id="Text Box 26" o:spid="_x0000_s1026" type="#_x0000_t202" style="position:absolute;margin-left:159.7pt;margin-top:171.3pt;width:312pt;height:37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wYMAIAAFQEAAAOAAAAZHJzL2Uyb0RvYy54bWysVE1v2zAMvQ/YfxB0X+x8NE2DOEXWIsOA&#10;oi2QDD0rshQbkERNUmJnv36U7KRBt9Owi0KRNCm+95jFfasVOQrnazAFHQ5ySoThUNZmX9Af2/WX&#10;GSU+MFMyBUYU9CQ8vV9+/rRo7FyMoAJVCkewiPHzxha0CsHOs8zzSmjmB2CFwaAEp1nAq9tnpWMN&#10;VtcqG+X5NGvAldYBF96j97EL0mWqL6Xg4UVKLwJRBcW3hXS6dO7imS0XbL53zFY175/B/uEVmtUG&#10;m15KPbLAyMHVf5TSNXfgQYYBB52BlDUXaQacZph/mGZTMSvSLAiOtxeY/P8ry5+Pr47UZUFHU0oM&#10;08jRVrSBfIWWoAvxaayfY9rGYmJo0Y88n/0enXHsVjodf3EggnFE+nRBN1bj6BzfTUeTHEMcY5PZ&#10;cHw7nsU62fvn1vnwTYAm0SioQ/oSquz45EOXek6J3Qysa6UShcqQpqDT8U2ePrhEsLgy2CMO0T02&#10;WqHdtf1kOyhPOJiDThre8nWNzZ+YD6/MoRbwwajv8IKHVIBNoLcoqcD9+ps/5iNFGKWkQW0V1P88&#10;MCcoUd8Nknc3nEyiGNNlcnM7wou7juyuI+agHwDlO8RNsjyZMT+osykd6Ddcg1XsiiFmOPYuaDib&#10;D6FTPK4RF6tVSkL5WRaezMbyWDrCGaHdtm/M2R7/gNQ9w1mFbP6Bhi63I2J1CCDrxFEEuEO1xx2l&#10;m1ju1yzuxvU9Zb3/GSx/AwAA//8DAFBLAwQUAAYACAAAACEA+Xa7quIAAAAMAQAADwAAAGRycy9k&#10;b3ducmV2LnhtbEyPPU/DMBCGdyT+g3VIbNROGkob4lRVpAoJwdDShc2J3STCPofYbQO/nmOC7T4e&#10;vfdcsZ6cZWczht6jhGQmgBlsvO6xlXB4294tgYWoUCvr0Uj4MgHW5fVVoXLtL7gz531sGYVgyJWE&#10;LsYh5zw0nXEqzPxgkHZHPzoVqR1brkd1oXBneSrEgjvVI13o1GCqzjQf+5OT8FxtX9WuTt3y21ZP&#10;L8fN8Hl4v5fy9mbaPAKLZop/MPzqkzqU5FT7E+rArIR5ssoIpSJLF8CIWGVzmtSEJkI8AC8L/v+J&#10;8gcAAP//AwBQSwECLQAUAAYACAAAACEAtoM4kv4AAADhAQAAEwAAAAAAAAAAAAAAAAAAAAAAW0Nv&#10;bnRlbnRfVHlwZXNdLnhtbFBLAQItABQABgAIAAAAIQA4/SH/1gAAAJQBAAALAAAAAAAAAAAAAAAA&#10;AC8BAABfcmVscy8ucmVsc1BLAQItABQABgAIAAAAIQCF7SwYMAIAAFQEAAAOAAAAAAAAAAAAAAAA&#10;AC4CAABkcnMvZTJvRG9jLnhtbFBLAQItABQABgAIAAAAIQD5druq4gAAAAwBAAAPAAAAAAAAAAAA&#10;AAAAAIoEAABkcnMvZG93bnJldi54bWxQSwUGAAAAAAQABADzAAAAmQUAAAAA&#10;" filled="f" stroked="f" strokeweight=".5pt">
                        <v:textbox>
                          <w:txbxContent>
                            <w:p w14:paraId="6AAF20B7" w14:textId="77777777" w:rsidR="00324B30" w:rsidRDefault="00324B30" w:rsidP="00324B30">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5B870D48" w14:textId="5F3AA97A" w:rsidR="00324B30" w:rsidRPr="002A2955" w:rsidRDefault="00324B30" w:rsidP="00324B30">
                              <w:pPr>
                                <w:rPr>
                                  <w:rFonts w:ascii="Arial" w:hAnsi="Arial" w:cs="Arial"/>
                                  <w:sz w:val="92"/>
                                  <w:szCs w:val="92"/>
                                </w:rPr>
                              </w:pPr>
                              <w:r>
                                <w:rPr>
                                  <w:rFonts w:ascii="Arial" w:hAnsi="Arial" w:cs="Arial"/>
                                  <w:color w:val="FFFFFF" w:themeColor="background1"/>
                                  <w:sz w:val="92"/>
                                  <w:szCs w:val="92"/>
                                </w:rPr>
                                <w:t>Case Study – Northern Territory</w:t>
                              </w:r>
                            </w:p>
                          </w:txbxContent>
                        </v:textbox>
                      </v:shape>
                    </w:pict>
                  </mc:Fallback>
                </mc:AlternateContent>
              </w:r>
              <w:r w:rsidRPr="004F7F40">
                <w:rPr>
                  <w:rFonts w:ascii="Arial" w:hAnsi="Arial" w:cs="Arial"/>
                  <w:noProof/>
                </w:rPr>
                <w:drawing>
                  <wp:anchor distT="0" distB="0" distL="114300" distR="114300" simplePos="0" relativeHeight="251659264" behindDoc="1" locked="0" layoutInCell="1" allowOverlap="1" wp14:anchorId="3FEBA025" wp14:editId="4D6B94DD">
                    <wp:simplePos x="0" y="0"/>
                    <wp:positionH relativeFrom="page">
                      <wp:posOffset>0</wp:posOffset>
                    </wp:positionH>
                    <wp:positionV relativeFrom="page">
                      <wp:posOffset>0</wp:posOffset>
                    </wp:positionV>
                    <wp:extent cx="7556400" cy="10692000"/>
                    <wp:effectExtent l="0" t="0" r="63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6458B4A3" w14:textId="77777777" w:rsidR="00324B30" w:rsidRPr="004F7F40" w:rsidRDefault="008C6EA3" w:rsidP="00324B30">
              <w:pPr>
                <w:spacing w:before="0" w:after="200" w:line="276" w:lineRule="auto"/>
                <w:rPr>
                  <w:rFonts w:ascii="Arial" w:hAnsi="Arial" w:cs="Arial"/>
                  <w:sz w:val="40"/>
                  <w:szCs w:val="40"/>
                </w:rPr>
              </w:pPr>
            </w:p>
          </w:sdtContent>
        </w:sdt>
        <w:p w14:paraId="1266B31B" w14:textId="46558593" w:rsidR="00A975AA" w:rsidRPr="004F7F40" w:rsidRDefault="008C6EA3">
          <w:pPr>
            <w:spacing w:before="0" w:after="200" w:line="276" w:lineRule="auto"/>
            <w:rPr>
              <w:rFonts w:ascii="Arial" w:hAnsi="Arial" w:cs="Arial"/>
              <w:b/>
              <w:sz w:val="28"/>
              <w:szCs w:val="28"/>
              <w:u w:val="single"/>
            </w:rPr>
          </w:pPr>
        </w:p>
      </w:sdtContent>
    </w:sdt>
    <w:p w14:paraId="619FC451" w14:textId="6D689F32" w:rsidR="009B64E6" w:rsidRPr="004F7F40" w:rsidRDefault="009B64E6" w:rsidP="00ED2C0A">
      <w:pPr>
        <w:pStyle w:val="Title"/>
        <w:spacing w:line="276" w:lineRule="auto"/>
        <w:ind w:right="1614"/>
        <w:rPr>
          <w:rFonts w:ascii="Arial" w:hAnsi="Arial" w:cs="Arial"/>
          <w:sz w:val="40"/>
          <w:szCs w:val="40"/>
        </w:rPr>
      </w:pPr>
      <w:r w:rsidRPr="004F7F40">
        <w:rPr>
          <w:rFonts w:ascii="Arial" w:hAnsi="Arial" w:cs="Arial"/>
          <w:sz w:val="40"/>
          <w:szCs w:val="40"/>
        </w:rPr>
        <w:t xml:space="preserve">SENIOR EXECUTIVE SERVICE CASE STUDY – </w:t>
      </w:r>
      <w:r w:rsidR="002F290A" w:rsidRPr="004F7F40">
        <w:rPr>
          <w:rFonts w:ascii="Arial" w:hAnsi="Arial" w:cs="Arial"/>
          <w:sz w:val="40"/>
          <w:szCs w:val="40"/>
        </w:rPr>
        <w:t>NORTHERN TERRITORY</w:t>
      </w:r>
    </w:p>
    <w:p w14:paraId="493B4A84" w14:textId="77777777" w:rsidR="009B64E6" w:rsidRPr="004F7F40" w:rsidRDefault="009B64E6" w:rsidP="009B64E6">
      <w:pPr>
        <w:pStyle w:val="BodyText"/>
        <w:rPr>
          <w:noProof/>
        </w:rPr>
      </w:pPr>
    </w:p>
    <w:p w14:paraId="02A683CC" w14:textId="77777777" w:rsidR="009B64E6" w:rsidRPr="004F7F40" w:rsidRDefault="009B64E6" w:rsidP="009B64E6">
      <w:pPr>
        <w:rPr>
          <w:rFonts w:ascii="Arial" w:hAnsi="Arial" w:cs="Arial"/>
          <w:b/>
          <w:sz w:val="20"/>
        </w:rPr>
      </w:pPr>
      <w:r w:rsidRPr="004F7F40">
        <w:rPr>
          <w:rFonts w:ascii="Arial" w:hAnsi="Arial" w:cs="Arial"/>
          <w:b/>
          <w:sz w:val="20"/>
        </w:rPr>
        <w:t xml:space="preserve">       By Professor Brian Head (UQ) and A/Prof Linda Colley (CQU)</w:t>
      </w:r>
    </w:p>
    <w:p w14:paraId="5F8D4993" w14:textId="50F8F004" w:rsidR="00F824D6" w:rsidRPr="004F7F40" w:rsidRDefault="00F824D6" w:rsidP="007E2501">
      <w:pPr>
        <w:jc w:val="center"/>
        <w:rPr>
          <w:rFonts w:ascii="Arial" w:hAnsi="Arial" w:cs="Arial"/>
          <w:b/>
          <w:sz w:val="28"/>
          <w:szCs w:val="28"/>
          <w:u w:val="single"/>
        </w:rPr>
      </w:pPr>
    </w:p>
    <w:p w14:paraId="22525E8C" w14:textId="77777777" w:rsidR="000E0BD6" w:rsidRPr="004F7F40" w:rsidRDefault="000E0BD6" w:rsidP="000E0BD6">
      <w:pPr>
        <w:jc w:val="center"/>
        <w:rPr>
          <w:rFonts w:ascii="Arial" w:hAnsi="Arial" w:cs="Arial"/>
          <w:b/>
          <w:sz w:val="28"/>
          <w:szCs w:val="28"/>
          <w:u w:val="single"/>
        </w:rPr>
      </w:pPr>
    </w:p>
    <w:p w14:paraId="17A3FA39" w14:textId="77777777" w:rsidR="00160B59" w:rsidRPr="004F7F40" w:rsidRDefault="00160B59" w:rsidP="00672B8B">
      <w:pPr>
        <w:jc w:val="center"/>
        <w:rPr>
          <w:rFonts w:ascii="Arial" w:hAnsi="Arial" w:cs="Arial"/>
          <w:b/>
          <w:bCs/>
          <w:sz w:val="26"/>
          <w:szCs w:val="26"/>
          <w:u w:val="single"/>
        </w:rPr>
      </w:pPr>
      <w:r w:rsidRPr="004F7F40">
        <w:rPr>
          <w:rFonts w:ascii="Arial" w:hAnsi="Arial" w:cs="Arial"/>
          <w:b/>
          <w:bCs/>
          <w:sz w:val="26"/>
          <w:szCs w:val="26"/>
          <w:u w:val="single"/>
        </w:rPr>
        <w:t>PREFACE</w:t>
      </w:r>
    </w:p>
    <w:p w14:paraId="08C32803" w14:textId="77777777" w:rsidR="00160B59" w:rsidRPr="004F7F40" w:rsidRDefault="00160B59" w:rsidP="00160B59">
      <w:pPr>
        <w:rPr>
          <w:rFonts w:ascii="Arial" w:hAnsi="Arial" w:cs="Arial"/>
          <w:sz w:val="26"/>
          <w:szCs w:val="26"/>
        </w:rPr>
      </w:pPr>
    </w:p>
    <w:p w14:paraId="41E2C39F" w14:textId="77777777" w:rsidR="00160B59" w:rsidRPr="00DF0EAF" w:rsidRDefault="00160B59" w:rsidP="00160B59">
      <w:pPr>
        <w:rPr>
          <w:rFonts w:ascii="Arial" w:hAnsi="Arial" w:cs="Arial"/>
          <w:szCs w:val="24"/>
        </w:rPr>
      </w:pPr>
      <w:r w:rsidRPr="00DF0EAF">
        <w:rPr>
          <w:rFonts w:ascii="Arial" w:hAnsi="Arial" w:cs="Arial"/>
          <w:szCs w:val="24"/>
        </w:rPr>
        <w:t xml:space="preserve">This ANZSOG Research Insights paper is one of a series of eight case studies which summarise how senior executive arrangements in the public service have evolved since the 1980s in Australia. The series includes the Commonwealth, all six states and the Northern Territory. The papers cover the legislative and policy changes that have influenced the work of each public service over recent </w:t>
      </w:r>
      <w:proofErr w:type="gramStart"/>
      <w:r w:rsidRPr="00DF0EAF">
        <w:rPr>
          <w:rFonts w:ascii="Arial" w:hAnsi="Arial" w:cs="Arial"/>
          <w:szCs w:val="24"/>
        </w:rPr>
        <w:t>decades, and</w:t>
      </w:r>
      <w:proofErr w:type="gramEnd"/>
      <w:r w:rsidRPr="00DF0EAF">
        <w:rPr>
          <w:rFonts w:ascii="Arial" w:hAnsi="Arial" w:cs="Arial"/>
          <w:szCs w:val="24"/>
        </w:rPr>
        <w:t xml:space="preserve"> provide a snapshot of recent arrangements for senior public servants in each jurisdiction through to around 2021.</w:t>
      </w:r>
    </w:p>
    <w:p w14:paraId="33777E02" w14:textId="77777777" w:rsidR="00160B59" w:rsidRPr="00DF0EAF" w:rsidRDefault="00160B59" w:rsidP="00160B59">
      <w:pPr>
        <w:rPr>
          <w:rFonts w:ascii="Arial" w:hAnsi="Arial" w:cs="Arial"/>
          <w:szCs w:val="24"/>
        </w:rPr>
      </w:pPr>
    </w:p>
    <w:p w14:paraId="0A29E500" w14:textId="77777777" w:rsidR="00160B59" w:rsidRPr="00DF0EAF" w:rsidRDefault="00160B59" w:rsidP="00160B59">
      <w:pPr>
        <w:rPr>
          <w:rFonts w:ascii="Arial" w:hAnsi="Arial" w:cs="Arial"/>
          <w:szCs w:val="24"/>
        </w:rPr>
      </w:pPr>
      <w:r w:rsidRPr="00DF0EAF">
        <w:rPr>
          <w:rFonts w:ascii="Arial" w:hAnsi="Arial" w:cs="Arial"/>
          <w:szCs w:val="24"/>
        </w:rPr>
        <w:t>The papers are being published as a resource that may assist students and researchers who want to understand more about the comparative arrangements across jurisdictions.  </w:t>
      </w:r>
    </w:p>
    <w:p w14:paraId="0442F56A" w14:textId="77777777" w:rsidR="00160B59" w:rsidRPr="00DF0EAF" w:rsidRDefault="00160B59" w:rsidP="00160B59">
      <w:pPr>
        <w:rPr>
          <w:rFonts w:ascii="Arial" w:hAnsi="Arial" w:cs="Arial"/>
          <w:szCs w:val="24"/>
        </w:rPr>
      </w:pPr>
    </w:p>
    <w:p w14:paraId="17CD90C4" w14:textId="77777777" w:rsidR="00160B59" w:rsidRPr="00DF0EAF" w:rsidRDefault="00160B59" w:rsidP="00160B59">
      <w:pPr>
        <w:rPr>
          <w:rFonts w:ascii="Arial" w:hAnsi="Arial" w:cs="Arial"/>
          <w:szCs w:val="24"/>
        </w:rPr>
      </w:pPr>
      <w:r w:rsidRPr="00DF0EAF">
        <w:rPr>
          <w:rFonts w:ascii="Arial" w:hAnsi="Arial" w:cs="Arial"/>
          <w:szCs w:val="24"/>
        </w:rPr>
        <w:t xml:space="preserve">The papers were compiled by a research team led by Brian Head, Professor of Public Policy at the University of Queensland, and Linda Colley, Professor of Work and Employment at CQUniversity. Valuable research assistance was provided by Shelley Woods, Chris </w:t>
      </w:r>
      <w:proofErr w:type="gramStart"/>
      <w:r w:rsidRPr="00DF0EAF">
        <w:rPr>
          <w:rFonts w:ascii="Arial" w:hAnsi="Arial" w:cs="Arial"/>
          <w:szCs w:val="24"/>
        </w:rPr>
        <w:t>Salisbury</w:t>
      </w:r>
      <w:proofErr w:type="gramEnd"/>
      <w:r w:rsidRPr="00DF0EAF">
        <w:rPr>
          <w:rFonts w:ascii="Arial" w:hAnsi="Arial" w:cs="Arial"/>
          <w:szCs w:val="24"/>
        </w:rPr>
        <w:t xml:space="preserve"> and Prue Brown. The research team is grateful to a network of contact officers in each jurisdiction who assisted in checking the accuracy of the materials. They are not responsible for any errors or oversights that remain.</w:t>
      </w:r>
    </w:p>
    <w:p w14:paraId="44377DF4" w14:textId="77777777" w:rsidR="00160B59" w:rsidRPr="00DF0EAF" w:rsidRDefault="00160B59" w:rsidP="00160B59">
      <w:pPr>
        <w:rPr>
          <w:rFonts w:ascii="Arial" w:hAnsi="Arial" w:cs="Arial"/>
          <w:szCs w:val="24"/>
        </w:rPr>
      </w:pPr>
    </w:p>
    <w:p w14:paraId="1FE7CFCF" w14:textId="77777777" w:rsidR="00160B59" w:rsidRPr="00DF0EAF" w:rsidRDefault="00160B59" w:rsidP="00160B59">
      <w:pPr>
        <w:rPr>
          <w:rFonts w:ascii="Arial" w:hAnsi="Arial" w:cs="Arial"/>
          <w:szCs w:val="24"/>
        </w:rPr>
      </w:pPr>
      <w:r w:rsidRPr="00DF0EAF">
        <w:rPr>
          <w:rFonts w:ascii="Arial" w:hAnsi="Arial" w:cs="Arial"/>
          <w:szCs w:val="24"/>
        </w:rPr>
        <w:t>The production of these reports has been made possible by funding from the Australian Research Council (DP180102592).</w:t>
      </w:r>
    </w:p>
    <w:p w14:paraId="5057F5B7" w14:textId="77777777" w:rsidR="000E0BD6" w:rsidRPr="004F7F40" w:rsidRDefault="000E0BD6" w:rsidP="007E2501">
      <w:pPr>
        <w:jc w:val="center"/>
        <w:rPr>
          <w:rFonts w:ascii="Arial" w:hAnsi="Arial" w:cs="Arial"/>
          <w:b/>
          <w:sz w:val="28"/>
          <w:szCs w:val="28"/>
          <w:u w:val="single"/>
        </w:rPr>
      </w:pPr>
    </w:p>
    <w:p w14:paraId="76C847CA" w14:textId="77777777" w:rsidR="00160B59" w:rsidRPr="004F7F40" w:rsidRDefault="00160B59" w:rsidP="007E2501">
      <w:pPr>
        <w:jc w:val="center"/>
        <w:rPr>
          <w:rFonts w:ascii="Arial" w:hAnsi="Arial" w:cs="Arial"/>
          <w:b/>
          <w:sz w:val="28"/>
          <w:szCs w:val="28"/>
          <w:u w:val="single"/>
        </w:rPr>
      </w:pPr>
    </w:p>
    <w:p w14:paraId="0F95144F" w14:textId="77777777" w:rsidR="00160B59" w:rsidRPr="004F7F40" w:rsidRDefault="00160B59" w:rsidP="007E2501">
      <w:pPr>
        <w:jc w:val="center"/>
        <w:rPr>
          <w:rFonts w:ascii="Arial" w:hAnsi="Arial" w:cs="Arial"/>
          <w:b/>
          <w:sz w:val="28"/>
          <w:szCs w:val="28"/>
          <w:u w:val="single"/>
        </w:rPr>
      </w:pPr>
    </w:p>
    <w:p w14:paraId="50C5D4F3" w14:textId="77777777" w:rsidR="00160B59" w:rsidRPr="004F7F40" w:rsidRDefault="00160B59" w:rsidP="007E2501">
      <w:pPr>
        <w:jc w:val="center"/>
        <w:rPr>
          <w:rFonts w:ascii="Arial" w:hAnsi="Arial" w:cs="Arial"/>
          <w:b/>
          <w:sz w:val="28"/>
          <w:szCs w:val="28"/>
          <w:u w:val="single"/>
        </w:rPr>
      </w:pPr>
    </w:p>
    <w:p w14:paraId="6FCCC53E" w14:textId="77777777" w:rsidR="00160B59" w:rsidRPr="004F7F40" w:rsidRDefault="00160B59" w:rsidP="007E2501">
      <w:pPr>
        <w:jc w:val="center"/>
        <w:rPr>
          <w:rFonts w:ascii="Arial" w:hAnsi="Arial" w:cs="Arial"/>
          <w:b/>
          <w:sz w:val="28"/>
          <w:szCs w:val="28"/>
          <w:u w:val="single"/>
        </w:rPr>
      </w:pPr>
    </w:p>
    <w:p w14:paraId="2EAC6064" w14:textId="77777777" w:rsidR="00160B59" w:rsidRPr="004F7F40" w:rsidRDefault="00160B59" w:rsidP="007E2501">
      <w:pPr>
        <w:jc w:val="center"/>
        <w:rPr>
          <w:rFonts w:ascii="Arial" w:hAnsi="Arial" w:cs="Arial"/>
          <w:b/>
          <w:sz w:val="28"/>
          <w:szCs w:val="28"/>
          <w:u w:val="single"/>
        </w:rPr>
      </w:pPr>
    </w:p>
    <w:p w14:paraId="1D148DD7" w14:textId="77777777" w:rsidR="00160B59" w:rsidRPr="004F7F40" w:rsidRDefault="00160B59" w:rsidP="007E2501">
      <w:pPr>
        <w:jc w:val="center"/>
        <w:rPr>
          <w:rFonts w:ascii="Arial" w:hAnsi="Arial" w:cs="Arial"/>
          <w:b/>
          <w:sz w:val="28"/>
          <w:szCs w:val="28"/>
          <w:u w:val="single"/>
        </w:rPr>
      </w:pPr>
    </w:p>
    <w:p w14:paraId="5BEAFEC5" w14:textId="77777777" w:rsidR="00160B59" w:rsidRPr="004F7F40" w:rsidRDefault="00160B59" w:rsidP="007E2501">
      <w:pPr>
        <w:jc w:val="center"/>
        <w:rPr>
          <w:rFonts w:ascii="Arial" w:hAnsi="Arial" w:cs="Arial"/>
          <w:b/>
          <w:sz w:val="28"/>
          <w:szCs w:val="28"/>
          <w:u w:val="single"/>
        </w:rPr>
      </w:pPr>
    </w:p>
    <w:p w14:paraId="71B8D4E3" w14:textId="77777777" w:rsidR="00160B59" w:rsidRPr="004F7F40" w:rsidRDefault="00160B59" w:rsidP="006560EE">
      <w:pPr>
        <w:jc w:val="right"/>
        <w:rPr>
          <w:rFonts w:ascii="Arial" w:hAnsi="Arial" w:cs="Arial"/>
          <w:b/>
          <w:sz w:val="28"/>
          <w:szCs w:val="28"/>
          <w:u w:val="single"/>
        </w:rPr>
      </w:pPr>
    </w:p>
    <w:p w14:paraId="7C2C1A09" w14:textId="77777777" w:rsidR="00160B59" w:rsidRPr="004F7F40" w:rsidRDefault="00160B59" w:rsidP="007E2501">
      <w:pPr>
        <w:jc w:val="center"/>
        <w:rPr>
          <w:rFonts w:ascii="Arial" w:hAnsi="Arial" w:cs="Arial"/>
          <w:b/>
          <w:sz w:val="28"/>
          <w:szCs w:val="28"/>
          <w:u w:val="single"/>
        </w:rPr>
      </w:pPr>
    </w:p>
    <w:sdt>
      <w:sdtPr>
        <w:rPr>
          <w:rFonts w:ascii="Arial" w:eastAsiaTheme="minorHAnsi" w:hAnsi="Arial" w:cs="Arial"/>
          <w:b w:val="0"/>
          <w:sz w:val="22"/>
          <w:szCs w:val="22"/>
          <w:u w:val="none"/>
          <w:lang w:val="en-AU"/>
        </w:rPr>
        <w:id w:val="-1140266669"/>
        <w:docPartObj>
          <w:docPartGallery w:val="Table of Contents"/>
          <w:docPartUnique/>
        </w:docPartObj>
      </w:sdtPr>
      <w:sdtEndPr>
        <w:rPr>
          <w:bCs/>
          <w:noProof/>
          <w:sz w:val="24"/>
        </w:rPr>
      </w:sdtEndPr>
      <w:sdtContent>
        <w:p w14:paraId="406425CA" w14:textId="77777777" w:rsidR="00F53044" w:rsidRPr="004F7F40" w:rsidRDefault="00F53044">
          <w:pPr>
            <w:pStyle w:val="TOCHeading"/>
            <w:rPr>
              <w:rFonts w:ascii="Arial" w:hAnsi="Arial" w:cs="Arial"/>
            </w:rPr>
          </w:pPr>
          <w:r w:rsidRPr="004F7F40">
            <w:rPr>
              <w:rFonts w:ascii="Arial" w:hAnsi="Arial" w:cs="Arial"/>
            </w:rPr>
            <w:t>Contents</w:t>
          </w:r>
        </w:p>
        <w:p w14:paraId="053B6BF2" w14:textId="1BAE0C46" w:rsidR="00A066F7" w:rsidRPr="004F7F40" w:rsidRDefault="00F53044">
          <w:pPr>
            <w:pStyle w:val="TOC1"/>
            <w:rPr>
              <w:rFonts w:ascii="Arial" w:eastAsiaTheme="minorEastAsia" w:hAnsi="Arial" w:cs="Arial"/>
              <w:noProof/>
              <w:sz w:val="22"/>
              <w:lang w:eastAsia="en-AU"/>
            </w:rPr>
          </w:pPr>
          <w:r w:rsidRPr="004F7F40">
            <w:rPr>
              <w:rFonts w:ascii="Arial" w:hAnsi="Arial" w:cs="Arial"/>
              <w:b/>
              <w:bCs/>
              <w:noProof/>
            </w:rPr>
            <w:fldChar w:fldCharType="begin"/>
          </w:r>
          <w:r w:rsidRPr="004F7F40">
            <w:rPr>
              <w:rFonts w:ascii="Arial" w:hAnsi="Arial" w:cs="Arial"/>
              <w:b/>
              <w:bCs/>
              <w:noProof/>
            </w:rPr>
            <w:instrText xml:space="preserve"> TOC \o "1-3" \h \z \u </w:instrText>
          </w:r>
          <w:r w:rsidRPr="004F7F40">
            <w:rPr>
              <w:rFonts w:ascii="Arial" w:hAnsi="Arial" w:cs="Arial"/>
              <w:b/>
              <w:bCs/>
              <w:noProof/>
            </w:rPr>
            <w:fldChar w:fldCharType="separate"/>
          </w:r>
          <w:hyperlink w:anchor="_Toc77243211" w:history="1">
            <w:r w:rsidR="00A066F7" w:rsidRPr="004F7F40">
              <w:rPr>
                <w:rStyle w:val="Hyperlink"/>
                <w:rFonts w:ascii="Arial" w:hAnsi="Arial" w:cs="Arial"/>
                <w:noProof/>
                <w:lang w:val="en-US"/>
              </w:rPr>
              <w:t>1</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lang w:val="en-US"/>
              </w:rPr>
              <w:t>NT Governments</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_Toc77243211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3</w:t>
            </w:r>
            <w:r w:rsidR="00A066F7" w:rsidRPr="004F7F40">
              <w:rPr>
                <w:rFonts w:ascii="Arial" w:hAnsi="Arial" w:cs="Arial"/>
                <w:noProof/>
                <w:webHidden/>
              </w:rPr>
              <w:fldChar w:fldCharType="end"/>
            </w:r>
          </w:hyperlink>
        </w:p>
        <w:p w14:paraId="53A8DCE8" w14:textId="4C003011" w:rsidR="00A066F7" w:rsidRPr="004F7F40" w:rsidRDefault="008C6EA3">
          <w:pPr>
            <w:pStyle w:val="TOC2"/>
            <w:rPr>
              <w:rFonts w:ascii="Arial" w:eastAsiaTheme="minorEastAsia" w:hAnsi="Arial" w:cs="Arial"/>
              <w:noProof/>
              <w:sz w:val="22"/>
              <w:lang w:eastAsia="en-AU"/>
            </w:rPr>
          </w:pPr>
          <w:hyperlink w:anchor="_Toc77243212" w:history="1">
            <w:r w:rsidR="00A066F7" w:rsidRPr="004F7F40">
              <w:rPr>
                <w:rStyle w:val="Hyperlink"/>
                <w:rFonts w:ascii="Arial" w:hAnsi="Arial" w:cs="Arial"/>
                <w:noProof/>
              </w:rPr>
              <w:t>1.1</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Historical background</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_Toc77243212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3</w:t>
            </w:r>
            <w:r w:rsidR="00A066F7" w:rsidRPr="004F7F40">
              <w:rPr>
                <w:rFonts w:ascii="Arial" w:hAnsi="Arial" w:cs="Arial"/>
                <w:noProof/>
                <w:webHidden/>
              </w:rPr>
              <w:fldChar w:fldCharType="end"/>
            </w:r>
          </w:hyperlink>
        </w:p>
        <w:p w14:paraId="102FA0C0" w14:textId="3FF3F190" w:rsidR="00A066F7" w:rsidRPr="004F7F40" w:rsidRDefault="008C6EA3">
          <w:pPr>
            <w:pStyle w:val="TOC2"/>
            <w:rPr>
              <w:rFonts w:ascii="Arial" w:eastAsiaTheme="minorEastAsia" w:hAnsi="Arial" w:cs="Arial"/>
              <w:noProof/>
              <w:sz w:val="22"/>
              <w:lang w:eastAsia="en-AU"/>
            </w:rPr>
          </w:pPr>
          <w:hyperlink w:anchor="_Toc77243213" w:history="1">
            <w:r w:rsidR="00A066F7" w:rsidRPr="004F7F40">
              <w:rPr>
                <w:rStyle w:val="Hyperlink"/>
                <w:rFonts w:ascii="Arial" w:hAnsi="Arial" w:cs="Arial"/>
                <w:noProof/>
              </w:rPr>
              <w:t>1.2</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Self-government</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_Toc77243213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4</w:t>
            </w:r>
            <w:r w:rsidR="00A066F7" w:rsidRPr="004F7F40">
              <w:rPr>
                <w:rFonts w:ascii="Arial" w:hAnsi="Arial" w:cs="Arial"/>
                <w:noProof/>
                <w:webHidden/>
              </w:rPr>
              <w:fldChar w:fldCharType="end"/>
            </w:r>
          </w:hyperlink>
        </w:p>
        <w:p w14:paraId="0E36B1E1" w14:textId="46D67230" w:rsidR="00A066F7" w:rsidRPr="004F7F40" w:rsidRDefault="008C6EA3">
          <w:pPr>
            <w:pStyle w:val="TOC1"/>
            <w:rPr>
              <w:rFonts w:ascii="Arial" w:eastAsiaTheme="minorEastAsia" w:hAnsi="Arial" w:cs="Arial"/>
              <w:noProof/>
              <w:sz w:val="22"/>
              <w:lang w:eastAsia="en-AU"/>
            </w:rPr>
          </w:pPr>
          <w:hyperlink w:anchor="_Toc77243214" w:history="1">
            <w:r w:rsidR="00A066F7" w:rsidRPr="004F7F40">
              <w:rPr>
                <w:rStyle w:val="Hyperlink"/>
                <w:rFonts w:ascii="Arial" w:hAnsi="Arial" w:cs="Arial"/>
                <w:noProof/>
              </w:rPr>
              <w:t>2</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NT Reform Context</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_Toc77243214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6</w:t>
            </w:r>
            <w:r w:rsidR="00A066F7" w:rsidRPr="004F7F40">
              <w:rPr>
                <w:rFonts w:ascii="Arial" w:hAnsi="Arial" w:cs="Arial"/>
                <w:noProof/>
                <w:webHidden/>
              </w:rPr>
              <w:fldChar w:fldCharType="end"/>
            </w:r>
          </w:hyperlink>
        </w:p>
        <w:p w14:paraId="6352CD31" w14:textId="4A31B303" w:rsidR="00A066F7" w:rsidRPr="004F7F40" w:rsidRDefault="008C6EA3">
          <w:pPr>
            <w:pStyle w:val="TOC2"/>
            <w:rPr>
              <w:rFonts w:ascii="Arial" w:eastAsiaTheme="minorEastAsia" w:hAnsi="Arial" w:cs="Arial"/>
              <w:noProof/>
              <w:sz w:val="22"/>
              <w:lang w:eastAsia="en-AU"/>
            </w:rPr>
          </w:pPr>
          <w:hyperlink w:anchor="_Toc77243215" w:history="1">
            <w:r w:rsidR="00A066F7" w:rsidRPr="004F7F40">
              <w:rPr>
                <w:rStyle w:val="Hyperlink"/>
                <w:rFonts w:ascii="Arial" w:hAnsi="Arial" w:cs="Arial"/>
                <w:noProof/>
              </w:rPr>
              <w:t>2.1</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The public service during global crises</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_Toc77243215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10</w:t>
            </w:r>
            <w:r w:rsidR="00A066F7" w:rsidRPr="004F7F40">
              <w:rPr>
                <w:rFonts w:ascii="Arial" w:hAnsi="Arial" w:cs="Arial"/>
                <w:noProof/>
                <w:webHidden/>
              </w:rPr>
              <w:fldChar w:fldCharType="end"/>
            </w:r>
          </w:hyperlink>
        </w:p>
        <w:p w14:paraId="7A96C370" w14:textId="0F344BA7" w:rsidR="00A066F7" w:rsidRPr="004F7F40" w:rsidRDefault="008C6EA3">
          <w:pPr>
            <w:pStyle w:val="TOC1"/>
            <w:rPr>
              <w:rFonts w:ascii="Arial" w:eastAsiaTheme="minorEastAsia" w:hAnsi="Arial" w:cs="Arial"/>
              <w:noProof/>
              <w:sz w:val="22"/>
              <w:lang w:eastAsia="en-AU"/>
            </w:rPr>
          </w:pPr>
          <w:hyperlink w:anchor="_Toc77243216" w:history="1">
            <w:r w:rsidR="00A066F7" w:rsidRPr="004F7F40">
              <w:rPr>
                <w:rStyle w:val="Hyperlink"/>
                <w:rFonts w:ascii="Arial" w:hAnsi="Arial" w:cs="Arial"/>
                <w:noProof/>
              </w:rPr>
              <w:t>3</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Northern Territory Public Service Legislation</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_Toc77243216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11</w:t>
            </w:r>
            <w:r w:rsidR="00A066F7" w:rsidRPr="004F7F40">
              <w:rPr>
                <w:rFonts w:ascii="Arial" w:hAnsi="Arial" w:cs="Arial"/>
                <w:noProof/>
                <w:webHidden/>
              </w:rPr>
              <w:fldChar w:fldCharType="end"/>
            </w:r>
          </w:hyperlink>
        </w:p>
        <w:p w14:paraId="04D49C72" w14:textId="58380D67" w:rsidR="00A066F7" w:rsidRPr="004F7F40" w:rsidRDefault="008C6EA3">
          <w:pPr>
            <w:pStyle w:val="TOC2"/>
            <w:rPr>
              <w:rFonts w:ascii="Arial" w:eastAsiaTheme="minorEastAsia" w:hAnsi="Arial" w:cs="Arial"/>
              <w:noProof/>
              <w:sz w:val="22"/>
              <w:lang w:eastAsia="en-AU"/>
            </w:rPr>
          </w:pPr>
          <w:hyperlink w:anchor="_Toc77243217" w:history="1">
            <w:r w:rsidR="00A066F7" w:rsidRPr="004F7F40">
              <w:rPr>
                <w:rStyle w:val="Hyperlink"/>
                <w:rFonts w:ascii="Arial" w:hAnsi="Arial" w:cs="Arial"/>
                <w:noProof/>
              </w:rPr>
              <w:t>3.1</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Background</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_Toc77243217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11</w:t>
            </w:r>
            <w:r w:rsidR="00A066F7" w:rsidRPr="004F7F40">
              <w:rPr>
                <w:rFonts w:ascii="Arial" w:hAnsi="Arial" w:cs="Arial"/>
                <w:noProof/>
                <w:webHidden/>
              </w:rPr>
              <w:fldChar w:fldCharType="end"/>
            </w:r>
          </w:hyperlink>
        </w:p>
        <w:p w14:paraId="6B828586" w14:textId="5C3C573B" w:rsidR="00A066F7" w:rsidRPr="004F7F40" w:rsidRDefault="008C6EA3">
          <w:pPr>
            <w:pStyle w:val="TOC1"/>
            <w:rPr>
              <w:rFonts w:ascii="Arial" w:eastAsiaTheme="minorEastAsia" w:hAnsi="Arial" w:cs="Arial"/>
              <w:noProof/>
              <w:sz w:val="22"/>
              <w:lang w:eastAsia="en-AU"/>
            </w:rPr>
          </w:pPr>
          <w:hyperlink w:anchor="_Toc77243218" w:history="1">
            <w:r w:rsidR="00A066F7" w:rsidRPr="004F7F40">
              <w:rPr>
                <w:rStyle w:val="Hyperlink"/>
                <w:rFonts w:ascii="Arial" w:hAnsi="Arial" w:cs="Arial"/>
                <w:noProof/>
              </w:rPr>
              <w:t>4</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SES Policy</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_Toc77243218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14</w:t>
            </w:r>
            <w:r w:rsidR="00A066F7" w:rsidRPr="004F7F40">
              <w:rPr>
                <w:rFonts w:ascii="Arial" w:hAnsi="Arial" w:cs="Arial"/>
                <w:noProof/>
                <w:webHidden/>
              </w:rPr>
              <w:fldChar w:fldCharType="end"/>
            </w:r>
          </w:hyperlink>
        </w:p>
        <w:p w14:paraId="094943CB" w14:textId="02400C55" w:rsidR="00A066F7" w:rsidRPr="004F7F40" w:rsidRDefault="008C6EA3">
          <w:pPr>
            <w:pStyle w:val="TOC1"/>
            <w:rPr>
              <w:rFonts w:ascii="Arial" w:eastAsiaTheme="minorEastAsia" w:hAnsi="Arial" w:cs="Arial"/>
              <w:noProof/>
              <w:sz w:val="22"/>
              <w:lang w:eastAsia="en-AU"/>
            </w:rPr>
          </w:pPr>
          <w:hyperlink w:anchor="_Toc77243219" w:history="1">
            <w:r w:rsidR="00A066F7" w:rsidRPr="004F7F40">
              <w:rPr>
                <w:rStyle w:val="Hyperlink"/>
                <w:rFonts w:ascii="Arial" w:hAnsi="Arial" w:cs="Arial"/>
                <w:noProof/>
              </w:rPr>
              <w:t>5</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Workforce data</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_Toc77243219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23</w:t>
            </w:r>
            <w:r w:rsidR="00A066F7" w:rsidRPr="004F7F40">
              <w:rPr>
                <w:rFonts w:ascii="Arial" w:hAnsi="Arial" w:cs="Arial"/>
                <w:noProof/>
                <w:webHidden/>
              </w:rPr>
              <w:fldChar w:fldCharType="end"/>
            </w:r>
          </w:hyperlink>
        </w:p>
        <w:p w14:paraId="5ABA7B9E" w14:textId="2BAB41C6" w:rsidR="00A066F7" w:rsidRPr="004F7F40" w:rsidRDefault="008C6EA3">
          <w:pPr>
            <w:pStyle w:val="TOC2"/>
            <w:rPr>
              <w:rFonts w:ascii="Arial" w:eastAsiaTheme="minorEastAsia" w:hAnsi="Arial" w:cs="Arial"/>
              <w:noProof/>
              <w:sz w:val="22"/>
              <w:lang w:eastAsia="en-AU"/>
            </w:rPr>
          </w:pPr>
          <w:hyperlink w:anchor="_Toc77243220" w:history="1">
            <w:r w:rsidR="00A066F7" w:rsidRPr="004F7F40">
              <w:rPr>
                <w:rStyle w:val="Hyperlink"/>
                <w:rFonts w:ascii="Arial" w:hAnsi="Arial" w:cs="Arial"/>
                <w:noProof/>
              </w:rPr>
              <w:t>5.1</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Executive Contract Officers</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_Toc77243220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24</w:t>
            </w:r>
            <w:r w:rsidR="00A066F7" w:rsidRPr="004F7F40">
              <w:rPr>
                <w:rFonts w:ascii="Arial" w:hAnsi="Arial" w:cs="Arial"/>
                <w:noProof/>
                <w:webHidden/>
              </w:rPr>
              <w:fldChar w:fldCharType="end"/>
            </w:r>
          </w:hyperlink>
        </w:p>
        <w:p w14:paraId="3F253111" w14:textId="278C496F" w:rsidR="00A066F7" w:rsidRPr="004F7F40" w:rsidRDefault="008C6EA3">
          <w:pPr>
            <w:pStyle w:val="TOC1"/>
            <w:rPr>
              <w:rFonts w:ascii="Arial" w:eastAsiaTheme="minorEastAsia" w:hAnsi="Arial" w:cs="Arial"/>
              <w:noProof/>
              <w:sz w:val="22"/>
              <w:lang w:eastAsia="en-AU"/>
            </w:rPr>
          </w:pPr>
          <w:hyperlink w:anchor="_Toc77243221" w:history="1">
            <w:r w:rsidR="00A066F7" w:rsidRPr="004F7F40">
              <w:rPr>
                <w:rStyle w:val="Hyperlink"/>
                <w:rFonts w:ascii="Arial" w:hAnsi="Arial" w:cs="Arial"/>
                <w:noProof/>
              </w:rPr>
              <w:t>6</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References</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_Toc77243221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26</w:t>
            </w:r>
            <w:r w:rsidR="00A066F7" w:rsidRPr="004F7F40">
              <w:rPr>
                <w:rFonts w:ascii="Arial" w:hAnsi="Arial" w:cs="Arial"/>
                <w:noProof/>
                <w:webHidden/>
              </w:rPr>
              <w:fldChar w:fldCharType="end"/>
            </w:r>
          </w:hyperlink>
        </w:p>
        <w:p w14:paraId="10D83CC2" w14:textId="34A6BA09" w:rsidR="00A066F7" w:rsidRPr="004F7F40" w:rsidRDefault="008C6EA3">
          <w:pPr>
            <w:pStyle w:val="TOC1"/>
            <w:rPr>
              <w:rFonts w:ascii="Arial" w:eastAsiaTheme="minorEastAsia" w:hAnsi="Arial" w:cs="Arial"/>
              <w:noProof/>
              <w:sz w:val="22"/>
              <w:lang w:eastAsia="en-AU"/>
            </w:rPr>
          </w:pPr>
          <w:hyperlink w:anchor="_Toc77243222" w:history="1">
            <w:r w:rsidR="00A066F7" w:rsidRPr="004F7F40">
              <w:rPr>
                <w:rStyle w:val="Hyperlink"/>
                <w:rFonts w:ascii="Arial" w:hAnsi="Arial" w:cs="Arial"/>
                <w:noProof/>
              </w:rPr>
              <w:t>7</w:t>
            </w:r>
            <w:r w:rsidR="00A066F7" w:rsidRPr="004F7F40">
              <w:rPr>
                <w:rFonts w:ascii="Arial" w:eastAsiaTheme="minorEastAsia" w:hAnsi="Arial" w:cs="Arial"/>
                <w:noProof/>
                <w:sz w:val="22"/>
                <w:lang w:eastAsia="en-AU"/>
              </w:rPr>
              <w:tab/>
            </w:r>
            <w:r w:rsidR="00A066F7" w:rsidRPr="004F7F40">
              <w:rPr>
                <w:rStyle w:val="Hyperlink"/>
                <w:rFonts w:ascii="Arial" w:hAnsi="Arial" w:cs="Arial"/>
                <w:noProof/>
              </w:rPr>
              <w:t>SUMMARY TABLE</w:t>
            </w:r>
            <w:r w:rsidR="00A066F7" w:rsidRPr="004F7F40">
              <w:rPr>
                <w:rFonts w:ascii="Arial" w:hAnsi="Arial" w:cs="Arial"/>
                <w:noProof/>
                <w:webHidden/>
              </w:rPr>
              <w:tab/>
            </w:r>
            <w:r w:rsidR="00A066F7" w:rsidRPr="004F7F40">
              <w:rPr>
                <w:rFonts w:ascii="Arial" w:hAnsi="Arial" w:cs="Arial"/>
                <w:noProof/>
                <w:webHidden/>
              </w:rPr>
              <w:fldChar w:fldCharType="begin"/>
            </w:r>
            <w:r w:rsidR="00A066F7" w:rsidRPr="004F7F40">
              <w:rPr>
                <w:rFonts w:ascii="Arial" w:hAnsi="Arial" w:cs="Arial"/>
                <w:noProof/>
                <w:webHidden/>
              </w:rPr>
              <w:instrText xml:space="preserve"> PAGEREF _Toc77243222 \h </w:instrText>
            </w:r>
            <w:r w:rsidR="00A066F7" w:rsidRPr="004F7F40">
              <w:rPr>
                <w:rFonts w:ascii="Arial" w:hAnsi="Arial" w:cs="Arial"/>
                <w:noProof/>
                <w:webHidden/>
              </w:rPr>
            </w:r>
            <w:r w:rsidR="00A066F7" w:rsidRPr="004F7F40">
              <w:rPr>
                <w:rFonts w:ascii="Arial" w:hAnsi="Arial" w:cs="Arial"/>
                <w:noProof/>
                <w:webHidden/>
              </w:rPr>
              <w:fldChar w:fldCharType="separate"/>
            </w:r>
            <w:r w:rsidR="00ED2C0A">
              <w:rPr>
                <w:rFonts w:ascii="Arial" w:hAnsi="Arial" w:cs="Arial"/>
                <w:noProof/>
                <w:webHidden/>
              </w:rPr>
              <w:t>29</w:t>
            </w:r>
            <w:r w:rsidR="00A066F7" w:rsidRPr="004F7F40">
              <w:rPr>
                <w:rFonts w:ascii="Arial" w:hAnsi="Arial" w:cs="Arial"/>
                <w:noProof/>
                <w:webHidden/>
              </w:rPr>
              <w:fldChar w:fldCharType="end"/>
            </w:r>
          </w:hyperlink>
        </w:p>
        <w:p w14:paraId="0A37501D" w14:textId="529FA150" w:rsidR="00F53044" w:rsidRPr="004F7F40" w:rsidRDefault="00F53044">
          <w:pPr>
            <w:rPr>
              <w:rFonts w:ascii="Arial" w:hAnsi="Arial" w:cs="Arial"/>
            </w:rPr>
          </w:pPr>
          <w:r w:rsidRPr="004F7F40">
            <w:rPr>
              <w:rFonts w:ascii="Arial" w:hAnsi="Arial" w:cs="Arial"/>
              <w:b/>
              <w:bCs/>
              <w:noProof/>
            </w:rPr>
            <w:fldChar w:fldCharType="end"/>
          </w:r>
        </w:p>
      </w:sdtContent>
    </w:sdt>
    <w:p w14:paraId="5DAB6C7B" w14:textId="77777777" w:rsidR="00F53044" w:rsidRPr="004F7F40" w:rsidRDefault="00F53044" w:rsidP="007E2501">
      <w:pPr>
        <w:jc w:val="center"/>
        <w:rPr>
          <w:rFonts w:ascii="Arial" w:hAnsi="Arial" w:cs="Arial"/>
          <w:b/>
          <w:sz w:val="28"/>
          <w:szCs w:val="28"/>
          <w:u w:val="single"/>
        </w:rPr>
      </w:pPr>
    </w:p>
    <w:p w14:paraId="02EB378F" w14:textId="45B8677F" w:rsidR="00393653" w:rsidRPr="004F7F40" w:rsidRDefault="00AE3482" w:rsidP="00AE3482">
      <w:pPr>
        <w:rPr>
          <w:rFonts w:ascii="Arial" w:hAnsi="Arial" w:cs="Arial"/>
          <w:b/>
          <w:sz w:val="28"/>
          <w:szCs w:val="28"/>
          <w:u w:val="single"/>
        </w:rPr>
      </w:pPr>
      <w:r w:rsidRPr="004F7F40">
        <w:rPr>
          <w:rFonts w:ascii="Arial" w:hAnsi="Arial" w:cs="Arial"/>
          <w:b/>
          <w:sz w:val="28"/>
          <w:szCs w:val="28"/>
          <w:u w:val="single"/>
        </w:rPr>
        <w:t>Glossary</w:t>
      </w:r>
    </w:p>
    <w:p w14:paraId="505FF7F2" w14:textId="771B6B74" w:rsidR="00AE3482" w:rsidRPr="004F7F40" w:rsidRDefault="00AE3482" w:rsidP="00AE3482">
      <w:pPr>
        <w:rPr>
          <w:rFonts w:ascii="Arial" w:hAnsi="Arial" w:cs="Arial"/>
          <w:bCs/>
          <w:szCs w:val="24"/>
        </w:rPr>
      </w:pPr>
      <w:r w:rsidRPr="004F7F40">
        <w:rPr>
          <w:rFonts w:ascii="Arial" w:hAnsi="Arial" w:cs="Arial"/>
          <w:bCs/>
          <w:szCs w:val="24"/>
        </w:rPr>
        <w:t>CPE – Commissioner for Public Employment</w:t>
      </w:r>
    </w:p>
    <w:p w14:paraId="2517FDC6" w14:textId="1D75EF09" w:rsidR="00AE3482" w:rsidRPr="004F7F40" w:rsidRDefault="00AE3482" w:rsidP="00AE3482">
      <w:pPr>
        <w:rPr>
          <w:rFonts w:ascii="Arial" w:hAnsi="Arial" w:cs="Arial"/>
          <w:bCs/>
          <w:szCs w:val="24"/>
        </w:rPr>
      </w:pPr>
      <w:r w:rsidRPr="004F7F40">
        <w:rPr>
          <w:rFonts w:ascii="Arial" w:hAnsi="Arial" w:cs="Arial"/>
          <w:bCs/>
          <w:szCs w:val="24"/>
        </w:rPr>
        <w:t>NTPS – Northern Territory Public Sector</w:t>
      </w:r>
    </w:p>
    <w:p w14:paraId="3CB73BEB" w14:textId="21B9420D" w:rsidR="00AE3482" w:rsidRPr="004F7F40" w:rsidRDefault="00AE3482" w:rsidP="00AE3482">
      <w:pPr>
        <w:rPr>
          <w:rFonts w:ascii="Arial" w:hAnsi="Arial" w:cs="Arial"/>
          <w:bCs/>
          <w:szCs w:val="24"/>
        </w:rPr>
      </w:pPr>
      <w:r w:rsidRPr="004F7F40">
        <w:rPr>
          <w:rFonts w:ascii="Arial" w:hAnsi="Arial" w:cs="Arial"/>
          <w:bCs/>
          <w:szCs w:val="24"/>
        </w:rPr>
        <w:t>OCPE – Office of the Commissioner for Public Employment</w:t>
      </w:r>
    </w:p>
    <w:p w14:paraId="0805A60A" w14:textId="5BBF7245" w:rsidR="00AE3482" w:rsidRPr="004F7F40" w:rsidRDefault="00AE3482" w:rsidP="007E2501">
      <w:pPr>
        <w:jc w:val="center"/>
        <w:rPr>
          <w:rFonts w:ascii="Arial" w:hAnsi="Arial" w:cs="Arial"/>
          <w:b/>
          <w:sz w:val="28"/>
          <w:szCs w:val="28"/>
          <w:u w:val="single"/>
        </w:rPr>
      </w:pPr>
    </w:p>
    <w:p w14:paraId="5A8FBA73" w14:textId="77777777" w:rsidR="00AE3482" w:rsidRPr="004F7F40" w:rsidRDefault="00AE3482" w:rsidP="007E2501">
      <w:pPr>
        <w:jc w:val="center"/>
        <w:rPr>
          <w:rFonts w:ascii="Arial" w:hAnsi="Arial" w:cs="Arial"/>
          <w:b/>
          <w:sz w:val="28"/>
          <w:szCs w:val="28"/>
          <w:u w:val="single"/>
        </w:rPr>
      </w:pPr>
    </w:p>
    <w:p w14:paraId="4D267F66" w14:textId="77777777" w:rsidR="00160B59" w:rsidRPr="004F7F40" w:rsidRDefault="00160B59" w:rsidP="007E2501">
      <w:pPr>
        <w:jc w:val="center"/>
        <w:rPr>
          <w:rFonts w:ascii="Arial" w:hAnsi="Arial" w:cs="Arial"/>
          <w:b/>
          <w:sz w:val="28"/>
          <w:szCs w:val="28"/>
          <w:u w:val="single"/>
        </w:rPr>
      </w:pPr>
    </w:p>
    <w:p w14:paraId="6105D8A6" w14:textId="77777777" w:rsidR="00160B59" w:rsidRPr="004F7F40" w:rsidRDefault="00160B59" w:rsidP="007E2501">
      <w:pPr>
        <w:jc w:val="center"/>
        <w:rPr>
          <w:rFonts w:ascii="Arial" w:hAnsi="Arial" w:cs="Arial"/>
          <w:b/>
          <w:sz w:val="28"/>
          <w:szCs w:val="28"/>
          <w:u w:val="single"/>
        </w:rPr>
      </w:pPr>
    </w:p>
    <w:p w14:paraId="50D92A78" w14:textId="77777777" w:rsidR="00160B59" w:rsidRPr="004F7F40" w:rsidRDefault="00160B59" w:rsidP="007E2501">
      <w:pPr>
        <w:jc w:val="center"/>
        <w:rPr>
          <w:rFonts w:ascii="Arial" w:hAnsi="Arial" w:cs="Arial"/>
          <w:b/>
          <w:sz w:val="28"/>
          <w:szCs w:val="28"/>
          <w:u w:val="single"/>
        </w:rPr>
      </w:pPr>
    </w:p>
    <w:p w14:paraId="30BCDFE7" w14:textId="77777777" w:rsidR="00160B59" w:rsidRPr="004F7F40" w:rsidRDefault="00160B59" w:rsidP="007E2501">
      <w:pPr>
        <w:jc w:val="center"/>
        <w:rPr>
          <w:rFonts w:ascii="Arial" w:hAnsi="Arial" w:cs="Arial"/>
          <w:b/>
          <w:sz w:val="28"/>
          <w:szCs w:val="28"/>
          <w:u w:val="single"/>
        </w:rPr>
      </w:pPr>
    </w:p>
    <w:p w14:paraId="5AA9B8AB" w14:textId="77777777" w:rsidR="00160B59" w:rsidRPr="004F7F40" w:rsidRDefault="00160B59" w:rsidP="007E2501">
      <w:pPr>
        <w:jc w:val="center"/>
        <w:rPr>
          <w:rFonts w:ascii="Arial" w:hAnsi="Arial" w:cs="Arial"/>
          <w:b/>
          <w:sz w:val="28"/>
          <w:szCs w:val="28"/>
          <w:u w:val="single"/>
        </w:rPr>
      </w:pPr>
    </w:p>
    <w:p w14:paraId="1C1811C7" w14:textId="77777777" w:rsidR="00160B59" w:rsidRPr="004F7F40" w:rsidRDefault="00160B59" w:rsidP="007E2501">
      <w:pPr>
        <w:jc w:val="center"/>
        <w:rPr>
          <w:rFonts w:ascii="Arial" w:hAnsi="Arial" w:cs="Arial"/>
          <w:b/>
          <w:sz w:val="28"/>
          <w:szCs w:val="28"/>
          <w:u w:val="single"/>
        </w:rPr>
      </w:pPr>
    </w:p>
    <w:p w14:paraId="27291D7D" w14:textId="77777777" w:rsidR="00160B59" w:rsidRPr="004F7F40" w:rsidRDefault="00160B59" w:rsidP="007E2501">
      <w:pPr>
        <w:jc w:val="center"/>
        <w:rPr>
          <w:rFonts w:ascii="Arial" w:hAnsi="Arial" w:cs="Arial"/>
          <w:b/>
          <w:sz w:val="28"/>
          <w:szCs w:val="28"/>
          <w:u w:val="single"/>
        </w:rPr>
      </w:pPr>
    </w:p>
    <w:p w14:paraId="79A8D099" w14:textId="77777777" w:rsidR="00160B59" w:rsidRPr="004F7F40" w:rsidRDefault="00160B59" w:rsidP="007E2501">
      <w:pPr>
        <w:jc w:val="center"/>
        <w:rPr>
          <w:rFonts w:ascii="Arial" w:hAnsi="Arial" w:cs="Arial"/>
          <w:b/>
          <w:sz w:val="28"/>
          <w:szCs w:val="28"/>
          <w:u w:val="single"/>
        </w:rPr>
      </w:pPr>
    </w:p>
    <w:p w14:paraId="0FC98399" w14:textId="77777777" w:rsidR="00160B59" w:rsidRPr="004F7F40" w:rsidRDefault="00160B59" w:rsidP="007E2501">
      <w:pPr>
        <w:jc w:val="center"/>
        <w:rPr>
          <w:rFonts w:ascii="Arial" w:hAnsi="Arial" w:cs="Arial"/>
          <w:b/>
          <w:sz w:val="28"/>
          <w:szCs w:val="28"/>
          <w:u w:val="single"/>
        </w:rPr>
      </w:pPr>
    </w:p>
    <w:p w14:paraId="6C3499BC" w14:textId="77777777" w:rsidR="00160B59" w:rsidRPr="004F7F40" w:rsidRDefault="00160B59" w:rsidP="007E2501">
      <w:pPr>
        <w:jc w:val="center"/>
        <w:rPr>
          <w:rFonts w:ascii="Arial" w:hAnsi="Arial" w:cs="Arial"/>
          <w:b/>
          <w:sz w:val="28"/>
          <w:szCs w:val="28"/>
          <w:u w:val="single"/>
        </w:rPr>
      </w:pPr>
    </w:p>
    <w:p w14:paraId="6617FC7C" w14:textId="77777777" w:rsidR="003B2F44" w:rsidRDefault="003B2F44">
      <w:pPr>
        <w:spacing w:before="0" w:after="200" w:line="276" w:lineRule="auto"/>
        <w:rPr>
          <w:rFonts w:ascii="Arial" w:eastAsiaTheme="majorEastAsia" w:hAnsi="Arial" w:cs="Arial"/>
          <w:b/>
          <w:sz w:val="28"/>
          <w:szCs w:val="32"/>
          <w:lang w:val="en-US"/>
        </w:rPr>
      </w:pPr>
      <w:bookmarkStart w:id="0" w:name="_Toc77243211"/>
      <w:bookmarkStart w:id="1" w:name="_Toc506554096"/>
      <w:bookmarkStart w:id="2" w:name="_Hlk508814664"/>
      <w:r>
        <w:rPr>
          <w:rFonts w:ascii="Arial" w:hAnsi="Arial" w:cs="Arial"/>
          <w:lang w:val="en-US"/>
        </w:rPr>
        <w:br w:type="page"/>
      </w:r>
    </w:p>
    <w:p w14:paraId="3DC57F7E" w14:textId="7DB00E0D" w:rsidR="00122660" w:rsidRPr="004F7F40" w:rsidRDefault="0043209D" w:rsidP="00D52E92">
      <w:pPr>
        <w:pStyle w:val="Heading1"/>
        <w:rPr>
          <w:rFonts w:ascii="Arial" w:hAnsi="Arial" w:cs="Arial"/>
          <w:u w:val="none"/>
          <w:lang w:val="en-US"/>
        </w:rPr>
      </w:pPr>
      <w:r w:rsidRPr="004F7F40">
        <w:rPr>
          <w:rFonts w:ascii="Arial" w:hAnsi="Arial" w:cs="Arial"/>
          <w:u w:val="none"/>
          <w:lang w:val="en-US"/>
        </w:rPr>
        <w:lastRenderedPageBreak/>
        <w:t>NT G</w:t>
      </w:r>
      <w:r w:rsidR="00F436D0" w:rsidRPr="004F7F40">
        <w:rPr>
          <w:rFonts w:ascii="Arial" w:hAnsi="Arial" w:cs="Arial"/>
          <w:u w:val="none"/>
          <w:lang w:val="en-US"/>
        </w:rPr>
        <w:t>overnments</w:t>
      </w:r>
      <w:bookmarkEnd w:id="0"/>
    </w:p>
    <w:p w14:paraId="44431E02" w14:textId="1E7C5F5E" w:rsidR="0043209D" w:rsidRPr="004F7F40" w:rsidRDefault="0043209D" w:rsidP="00122660">
      <w:pPr>
        <w:pStyle w:val="Heading2"/>
        <w:rPr>
          <w:rFonts w:cs="Arial"/>
        </w:rPr>
      </w:pPr>
      <w:bookmarkStart w:id="3" w:name="_Toc77243212"/>
      <w:r w:rsidRPr="004F7F40">
        <w:rPr>
          <w:rFonts w:cs="Arial"/>
        </w:rPr>
        <w:t>Historical background</w:t>
      </w:r>
      <w:bookmarkEnd w:id="3"/>
    </w:p>
    <w:p w14:paraId="004BB8D8" w14:textId="77777777" w:rsidR="00467F8B" w:rsidRDefault="00DA6708" w:rsidP="00B35BAE">
      <w:pPr>
        <w:rPr>
          <w:rFonts w:ascii="Arial" w:hAnsi="Arial" w:cs="Arial"/>
        </w:rPr>
      </w:pPr>
      <w:r w:rsidRPr="004F7F40">
        <w:rPr>
          <w:rFonts w:ascii="Arial" w:hAnsi="Arial" w:cs="Arial"/>
        </w:rPr>
        <w:t>The area</w:t>
      </w:r>
      <w:r w:rsidR="0043209D" w:rsidRPr="004F7F40">
        <w:rPr>
          <w:rFonts w:ascii="Arial" w:hAnsi="Arial" w:cs="Arial"/>
        </w:rPr>
        <w:t xml:space="preserve"> now known as the Northern Territory was part of the Colony of New South Wales from 1825–1863, after which it was governed by South Australia until 1911 when it was surrendered to the Commonwealth (Horne, 2007). The Commonwealth established the Office of Administrator to administer the Territory on its behalf, a Council of Advice (with up to six members) to advise the Administrator, and the Northern Territory Supreme Court. The first Northern Territory public service was established in 1913.</w:t>
      </w:r>
    </w:p>
    <w:p w14:paraId="00B7D555" w14:textId="4E071209" w:rsidR="0043209D" w:rsidRPr="004F7F40" w:rsidRDefault="0043209D" w:rsidP="00B35BAE">
      <w:pPr>
        <w:rPr>
          <w:rFonts w:ascii="Arial" w:hAnsi="Arial" w:cs="Arial"/>
        </w:rPr>
      </w:pPr>
      <w:r w:rsidRPr="004F7F40">
        <w:rPr>
          <w:rFonts w:ascii="Arial" w:hAnsi="Arial" w:cs="Arial"/>
        </w:rPr>
        <w:t>In 1922, the Commonwealth provided for one NT member of the House of Representatives, albeit with no voting rights. From 1936, the Member for the Northern Territory was enabled to vote on disallowance motions for Territory Ordinances, with full voting rights granted in 1959 and equal privileges in 1968 (Horne, 2007).</w:t>
      </w:r>
    </w:p>
    <w:p w14:paraId="277FD09B" w14:textId="77E1E702" w:rsidR="0043209D" w:rsidRPr="004F7F40" w:rsidRDefault="0043209D" w:rsidP="00B35BAE">
      <w:pPr>
        <w:rPr>
          <w:rFonts w:ascii="Arial" w:hAnsi="Arial" w:cs="Arial"/>
        </w:rPr>
      </w:pPr>
      <w:r w:rsidRPr="004F7F40">
        <w:rPr>
          <w:rFonts w:ascii="Arial" w:hAnsi="Arial" w:cs="Arial"/>
        </w:rPr>
        <w:t xml:space="preserve">For five years between 1926 and 1931, the NT was divided into North Australia and Central Australia, each with a discrete administration, with a North Australia Commission established to progress development (Horne, 2007). This territorial division was repealed in 1931, the previous </w:t>
      </w:r>
      <w:r w:rsidR="00DA6708" w:rsidRPr="004F7F40">
        <w:rPr>
          <w:rFonts w:ascii="Arial" w:hAnsi="Arial" w:cs="Arial"/>
        </w:rPr>
        <w:t xml:space="preserve">unified </w:t>
      </w:r>
      <w:r w:rsidRPr="004F7F40">
        <w:rPr>
          <w:rFonts w:ascii="Arial" w:hAnsi="Arial" w:cs="Arial"/>
        </w:rPr>
        <w:t xml:space="preserve">system of administration </w:t>
      </w:r>
      <w:r w:rsidR="00553BB9" w:rsidRPr="004F7F40">
        <w:rPr>
          <w:rFonts w:ascii="Arial" w:hAnsi="Arial" w:cs="Arial"/>
        </w:rPr>
        <w:t xml:space="preserve">was </w:t>
      </w:r>
      <w:r w:rsidRPr="004F7F40">
        <w:rPr>
          <w:rFonts w:ascii="Arial" w:hAnsi="Arial" w:cs="Arial"/>
        </w:rPr>
        <w:t>restored</w:t>
      </w:r>
      <w:r w:rsidR="00DA6708" w:rsidRPr="004F7F40">
        <w:rPr>
          <w:rFonts w:ascii="Arial" w:hAnsi="Arial" w:cs="Arial"/>
        </w:rPr>
        <w:t>,</w:t>
      </w:r>
      <w:r w:rsidR="00553BB9" w:rsidRPr="004F7F40">
        <w:rPr>
          <w:rFonts w:ascii="Arial" w:hAnsi="Arial" w:cs="Arial"/>
        </w:rPr>
        <w:t xml:space="preserve"> and</w:t>
      </w:r>
      <w:r w:rsidRPr="004F7F40">
        <w:rPr>
          <w:rFonts w:ascii="Arial" w:hAnsi="Arial" w:cs="Arial"/>
        </w:rPr>
        <w:t xml:space="preserve"> a Deputy Administrator</w:t>
      </w:r>
      <w:r w:rsidR="00553BB9" w:rsidRPr="004F7F40">
        <w:rPr>
          <w:rFonts w:ascii="Arial" w:hAnsi="Arial" w:cs="Arial"/>
        </w:rPr>
        <w:t xml:space="preserve"> </w:t>
      </w:r>
      <w:r w:rsidR="00B72A3C" w:rsidRPr="004F7F40">
        <w:rPr>
          <w:rFonts w:ascii="Arial" w:hAnsi="Arial" w:cs="Arial"/>
        </w:rPr>
        <w:t xml:space="preserve">was </w:t>
      </w:r>
      <w:r w:rsidR="00553BB9" w:rsidRPr="004F7F40">
        <w:rPr>
          <w:rFonts w:ascii="Arial" w:hAnsi="Arial" w:cs="Arial"/>
        </w:rPr>
        <w:t>appointed</w:t>
      </w:r>
      <w:r w:rsidRPr="004F7F40">
        <w:rPr>
          <w:rFonts w:ascii="Arial" w:hAnsi="Arial" w:cs="Arial"/>
        </w:rPr>
        <w:t xml:space="preserve">. After the bombing of Darwin in 1942, the NT was placed under military administration, with civilian administration resuming </w:t>
      </w:r>
      <w:r w:rsidR="00DA6708" w:rsidRPr="004F7F40">
        <w:rPr>
          <w:rFonts w:ascii="Arial" w:hAnsi="Arial" w:cs="Arial"/>
        </w:rPr>
        <w:t>after</w:t>
      </w:r>
      <w:r w:rsidRPr="004F7F40">
        <w:rPr>
          <w:rFonts w:ascii="Arial" w:hAnsi="Arial" w:cs="Arial"/>
        </w:rPr>
        <w:t xml:space="preserve"> the war. </w:t>
      </w:r>
    </w:p>
    <w:p w14:paraId="61E504EB" w14:textId="7E9C479F" w:rsidR="0043209D" w:rsidRPr="004F7F40" w:rsidRDefault="0043209D" w:rsidP="00B35BAE">
      <w:pPr>
        <w:rPr>
          <w:rFonts w:ascii="Arial" w:hAnsi="Arial" w:cs="Arial"/>
        </w:rPr>
      </w:pPr>
      <w:r w:rsidRPr="004F7F40">
        <w:rPr>
          <w:rFonts w:ascii="Arial" w:hAnsi="Arial" w:cs="Arial"/>
        </w:rPr>
        <w:t>A Legislative Council was established in 1947, comprising the Administrator, seven appointed members and six elected members, and was empowered to make ordinances “for the peace, order and good government of the Territory”, subject to some Commonwealth limitations (Horne, 2007). Five electoral districts were established, with Darwin entitled to two seats, with the inaugural general election held in 1947 and the inaugural sitting of the Council in 1948. The number of elected members was increased to eight in 1959,</w:t>
      </w:r>
      <w:r w:rsidR="00B72A3C" w:rsidRPr="004F7F40">
        <w:rPr>
          <w:rFonts w:ascii="Arial" w:hAnsi="Arial" w:cs="Arial"/>
        </w:rPr>
        <w:t xml:space="preserve"> </w:t>
      </w:r>
      <w:r w:rsidRPr="004F7F40">
        <w:rPr>
          <w:rFonts w:ascii="Arial" w:hAnsi="Arial" w:cs="Arial"/>
        </w:rPr>
        <w:t xml:space="preserve">with the final general election for the Legislative Council held in 1971 – at which time the electoral role had tripled to </w:t>
      </w:r>
      <w:r w:rsidR="00553BB9" w:rsidRPr="004F7F40">
        <w:rPr>
          <w:rFonts w:ascii="Arial" w:hAnsi="Arial" w:cs="Arial"/>
        </w:rPr>
        <w:t xml:space="preserve">more than </w:t>
      </w:r>
      <w:r w:rsidRPr="004F7F40">
        <w:rPr>
          <w:rFonts w:ascii="Arial" w:hAnsi="Arial" w:cs="Arial"/>
        </w:rPr>
        <w:t>25,000 since the inaugural 1947 election when enrolment was just 4443 (Horne, 2007).</w:t>
      </w:r>
    </w:p>
    <w:p w14:paraId="546FF972" w14:textId="650C7CCF" w:rsidR="0043209D" w:rsidRPr="004F7F40" w:rsidRDefault="0043209D" w:rsidP="00B35BAE">
      <w:pPr>
        <w:rPr>
          <w:rFonts w:ascii="Arial" w:hAnsi="Arial" w:cs="Arial"/>
        </w:rPr>
      </w:pPr>
      <w:r w:rsidRPr="004F7F40">
        <w:rPr>
          <w:rFonts w:ascii="Arial" w:hAnsi="Arial" w:cs="Arial"/>
        </w:rPr>
        <w:t xml:space="preserve">In 1972, the Commonwealth established </w:t>
      </w:r>
      <w:r w:rsidR="00D30344" w:rsidRPr="004F7F40">
        <w:rPr>
          <w:rFonts w:ascii="Arial" w:hAnsi="Arial" w:cs="Arial"/>
        </w:rPr>
        <w:t>a specific</w:t>
      </w:r>
      <w:r w:rsidRPr="004F7F40">
        <w:rPr>
          <w:rFonts w:ascii="Arial" w:hAnsi="Arial" w:cs="Arial"/>
        </w:rPr>
        <w:t xml:space="preserve"> Department of the Northern Territory. A dedicated parliamentary committee was set up in 1973 to investigate options for the future administration of the Territory. In 1974, the Commonwealth:</w:t>
      </w:r>
    </w:p>
    <w:p w14:paraId="66C17A5B" w14:textId="77777777" w:rsidR="0043209D" w:rsidRPr="004F7F40" w:rsidRDefault="0043209D" w:rsidP="0043209D">
      <w:pPr>
        <w:pStyle w:val="ListParagraph"/>
        <w:numPr>
          <w:ilvl w:val="0"/>
          <w:numId w:val="40"/>
        </w:numPr>
        <w:rPr>
          <w:rFonts w:ascii="Arial" w:hAnsi="Arial" w:cs="Arial"/>
        </w:rPr>
      </w:pPr>
      <w:r w:rsidRPr="004F7F40">
        <w:rPr>
          <w:rFonts w:ascii="Arial" w:hAnsi="Arial" w:cs="Arial"/>
        </w:rPr>
        <w:t>provided for two Senators to represent the NT</w:t>
      </w:r>
    </w:p>
    <w:p w14:paraId="277FDD23" w14:textId="77777777" w:rsidR="0043209D" w:rsidRPr="004F7F40" w:rsidRDefault="0043209D" w:rsidP="0043209D">
      <w:pPr>
        <w:pStyle w:val="ListParagraph"/>
        <w:numPr>
          <w:ilvl w:val="0"/>
          <w:numId w:val="40"/>
        </w:numPr>
        <w:rPr>
          <w:rFonts w:ascii="Arial" w:hAnsi="Arial" w:cs="Arial"/>
        </w:rPr>
      </w:pPr>
      <w:r w:rsidRPr="004F7F40">
        <w:rPr>
          <w:rFonts w:ascii="Arial" w:hAnsi="Arial" w:cs="Arial"/>
        </w:rPr>
        <w:t>undertook an electoral redistribution resulting in 19 electoral districts</w:t>
      </w:r>
    </w:p>
    <w:p w14:paraId="6F5346A7" w14:textId="77777777" w:rsidR="0043209D" w:rsidRPr="004F7F40" w:rsidRDefault="0043209D" w:rsidP="0043209D">
      <w:pPr>
        <w:pStyle w:val="ListParagraph"/>
        <w:numPr>
          <w:ilvl w:val="0"/>
          <w:numId w:val="40"/>
        </w:numPr>
        <w:rPr>
          <w:rFonts w:ascii="Arial" w:hAnsi="Arial" w:cs="Arial"/>
        </w:rPr>
      </w:pPr>
      <w:r w:rsidRPr="004F7F40">
        <w:rPr>
          <w:rFonts w:ascii="Arial" w:hAnsi="Arial" w:cs="Arial"/>
        </w:rPr>
        <w:t>established the Northern Territory Legislative Assembly comprised of 19 elected members</w:t>
      </w:r>
    </w:p>
    <w:p w14:paraId="68CA64AF" w14:textId="77777777" w:rsidR="0043209D" w:rsidRPr="004F7F40" w:rsidRDefault="0043209D" w:rsidP="0043209D">
      <w:pPr>
        <w:pStyle w:val="ListParagraph"/>
        <w:numPr>
          <w:ilvl w:val="0"/>
          <w:numId w:val="40"/>
        </w:numPr>
        <w:rPr>
          <w:rFonts w:ascii="Arial" w:hAnsi="Arial" w:cs="Arial"/>
        </w:rPr>
      </w:pPr>
      <w:r w:rsidRPr="004F7F40">
        <w:rPr>
          <w:rFonts w:ascii="Arial" w:hAnsi="Arial" w:cs="Arial"/>
        </w:rPr>
        <w:t>re-composed the Administrator’s Council to include five members of the Legislative Assembly</w:t>
      </w:r>
    </w:p>
    <w:p w14:paraId="37857CB2" w14:textId="2033FA91" w:rsidR="0043209D" w:rsidRPr="004F7F40" w:rsidRDefault="0043209D" w:rsidP="0043209D">
      <w:pPr>
        <w:pStyle w:val="ListParagraph"/>
        <w:numPr>
          <w:ilvl w:val="0"/>
          <w:numId w:val="40"/>
        </w:numPr>
        <w:rPr>
          <w:rFonts w:ascii="Arial" w:hAnsi="Arial" w:cs="Arial"/>
        </w:rPr>
      </w:pPr>
      <w:r w:rsidRPr="004F7F40">
        <w:rPr>
          <w:rFonts w:ascii="Arial" w:hAnsi="Arial" w:cs="Arial"/>
        </w:rPr>
        <w:t>Held a general election for the Assembly in October</w:t>
      </w:r>
      <w:r w:rsidR="00D30344" w:rsidRPr="004F7F40">
        <w:rPr>
          <w:rFonts w:ascii="Arial" w:hAnsi="Arial" w:cs="Arial"/>
        </w:rPr>
        <w:t xml:space="preserve"> 1974</w:t>
      </w:r>
      <w:r w:rsidRPr="004F7F40">
        <w:rPr>
          <w:rFonts w:ascii="Arial" w:hAnsi="Arial" w:cs="Arial"/>
        </w:rPr>
        <w:t>, with the first sitting held in November (Horne, 2007).</w:t>
      </w:r>
    </w:p>
    <w:p w14:paraId="170D7A74" w14:textId="5EBB9B30" w:rsidR="0043209D" w:rsidRPr="004F7F40" w:rsidRDefault="0043209D" w:rsidP="00B35BAE">
      <w:pPr>
        <w:rPr>
          <w:rFonts w:ascii="Arial" w:hAnsi="Arial" w:cs="Arial"/>
        </w:rPr>
      </w:pPr>
      <w:r w:rsidRPr="004F7F40">
        <w:rPr>
          <w:rFonts w:ascii="Arial" w:hAnsi="Arial" w:cs="Arial"/>
        </w:rPr>
        <w:t>Also in November 1974, the</w:t>
      </w:r>
      <w:r w:rsidR="00D30344" w:rsidRPr="004F7F40">
        <w:rPr>
          <w:rFonts w:ascii="Arial" w:hAnsi="Arial" w:cs="Arial"/>
        </w:rPr>
        <w:t xml:space="preserve"> parliamentary</w:t>
      </w:r>
      <w:r w:rsidRPr="004F7F40">
        <w:rPr>
          <w:rFonts w:ascii="Arial" w:hAnsi="Arial" w:cs="Arial"/>
        </w:rPr>
        <w:t xml:space="preserve"> Joint Committee on the Northern Territory recommended the creation of a new Territory administration comprising the existing NT Public Service, with Commonwealth officers transferred </w:t>
      </w:r>
      <w:r w:rsidR="00D30344" w:rsidRPr="004F7F40">
        <w:rPr>
          <w:rFonts w:ascii="Arial" w:hAnsi="Arial" w:cs="Arial"/>
        </w:rPr>
        <w:t xml:space="preserve">into </w:t>
      </w:r>
      <w:r w:rsidRPr="004F7F40">
        <w:rPr>
          <w:rFonts w:ascii="Arial" w:hAnsi="Arial" w:cs="Arial"/>
        </w:rPr>
        <w:t xml:space="preserve">the Territory </w:t>
      </w:r>
      <w:r w:rsidR="00D30344" w:rsidRPr="004F7F40">
        <w:rPr>
          <w:rFonts w:ascii="Arial" w:hAnsi="Arial" w:cs="Arial"/>
        </w:rPr>
        <w:t>e</w:t>
      </w:r>
      <w:r w:rsidRPr="004F7F40">
        <w:rPr>
          <w:rFonts w:ascii="Arial" w:hAnsi="Arial" w:cs="Arial"/>
        </w:rPr>
        <w:t xml:space="preserve">xecutive (Horne, 2007). The following year, the Whitlam Government abolished the Department of the Northern Territory and the Department of Northern Development, replacing them with a new Department of Northern Australia. Prime Minister Malcolm Fraser announced soon after his election in </w:t>
      </w:r>
      <w:r w:rsidR="00D30344" w:rsidRPr="004F7F40">
        <w:rPr>
          <w:rFonts w:ascii="Arial" w:hAnsi="Arial" w:cs="Arial"/>
        </w:rPr>
        <w:t>Dec</w:t>
      </w:r>
      <w:r w:rsidRPr="004F7F40">
        <w:rPr>
          <w:rFonts w:ascii="Arial" w:hAnsi="Arial" w:cs="Arial"/>
        </w:rPr>
        <w:t xml:space="preserve">ember 1975 that NT statehood would occur within five years. The Department of Northern Australia was </w:t>
      </w:r>
      <w:proofErr w:type="gramStart"/>
      <w:r w:rsidRPr="004F7F40">
        <w:rPr>
          <w:rFonts w:ascii="Arial" w:hAnsi="Arial" w:cs="Arial"/>
        </w:rPr>
        <w:t>abolished</w:t>
      </w:r>
      <w:proofErr w:type="gramEnd"/>
      <w:r w:rsidRPr="004F7F40">
        <w:rPr>
          <w:rFonts w:ascii="Arial" w:hAnsi="Arial" w:cs="Arial"/>
        </w:rPr>
        <w:t xml:space="preserve"> and the Department of the Northern Territory was re-established (Horne, 2007). In 1976, the Commonwealth provided for the transfer of certain responsibilities and functions to the Territory, including administration of the public service </w:t>
      </w:r>
      <w:r w:rsidRPr="004F7F40">
        <w:rPr>
          <w:rFonts w:ascii="Arial" w:hAnsi="Arial" w:cs="Arial"/>
        </w:rPr>
        <w:lastRenderedPageBreak/>
        <w:t xml:space="preserve">and the Department of the Northern Territory from 1 January 1977 (Horne, 2007). A Constitutional amendment (s.128) </w:t>
      </w:r>
      <w:r w:rsidR="00BD2D6E" w:rsidRPr="004F7F40">
        <w:rPr>
          <w:rFonts w:ascii="Arial" w:hAnsi="Arial" w:cs="Arial"/>
        </w:rPr>
        <w:t xml:space="preserve">through a referendum </w:t>
      </w:r>
      <w:r w:rsidRPr="004F7F40">
        <w:rPr>
          <w:rFonts w:ascii="Arial" w:hAnsi="Arial" w:cs="Arial"/>
        </w:rPr>
        <w:t xml:space="preserve">enabled Northern Territory and ACT electors to vote in </w:t>
      </w:r>
      <w:r w:rsidR="00BD2D6E" w:rsidRPr="004F7F40">
        <w:rPr>
          <w:rFonts w:ascii="Arial" w:hAnsi="Arial" w:cs="Arial"/>
        </w:rPr>
        <w:t xml:space="preserve">any </w:t>
      </w:r>
      <w:r w:rsidRPr="004F7F40">
        <w:rPr>
          <w:rFonts w:ascii="Arial" w:hAnsi="Arial" w:cs="Arial"/>
        </w:rPr>
        <w:t>subsequent constitutional referenda.</w:t>
      </w:r>
    </w:p>
    <w:p w14:paraId="7B1F7A0C" w14:textId="77777777" w:rsidR="0043209D" w:rsidRPr="004F7F40" w:rsidRDefault="0043209D" w:rsidP="0043209D">
      <w:pPr>
        <w:pStyle w:val="Heading2"/>
        <w:ind w:left="578" w:hanging="578"/>
        <w:rPr>
          <w:rFonts w:cs="Arial"/>
        </w:rPr>
      </w:pPr>
      <w:bookmarkStart w:id="4" w:name="_Toc77243213"/>
      <w:r w:rsidRPr="004F7F40">
        <w:rPr>
          <w:rFonts w:cs="Arial"/>
        </w:rPr>
        <w:t>Self-government</w:t>
      </w:r>
      <w:bookmarkEnd w:id="4"/>
    </w:p>
    <w:p w14:paraId="019A0A43" w14:textId="27DDED2B" w:rsidR="0043209D" w:rsidRPr="004F7F40" w:rsidRDefault="0043209D" w:rsidP="0043209D">
      <w:pPr>
        <w:rPr>
          <w:rFonts w:ascii="Arial" w:hAnsi="Arial" w:cs="Arial"/>
        </w:rPr>
      </w:pPr>
      <w:r w:rsidRPr="004F7F40">
        <w:rPr>
          <w:rFonts w:ascii="Arial" w:hAnsi="Arial" w:cs="Arial"/>
        </w:rPr>
        <w:t xml:space="preserve">The Government of the Northern Territory was established on 1 July 1978 with the granting of self-government from the Commonwealth, which </w:t>
      </w:r>
      <w:r w:rsidR="00BD2D6E" w:rsidRPr="004F7F40">
        <w:rPr>
          <w:rFonts w:ascii="Arial" w:hAnsi="Arial" w:cs="Arial"/>
        </w:rPr>
        <w:t>retained</w:t>
      </w:r>
      <w:r w:rsidRPr="004F7F40">
        <w:rPr>
          <w:rFonts w:ascii="Arial" w:hAnsi="Arial" w:cs="Arial"/>
        </w:rPr>
        <w:t xml:space="preserve"> the ability to legislate for the Territory under s. 122 of the Australian Constitution (Horne, 2007). Under the </w:t>
      </w:r>
      <w:r w:rsidRPr="004F7F40">
        <w:rPr>
          <w:rFonts w:ascii="Arial" w:hAnsi="Arial" w:cs="Arial"/>
          <w:i/>
          <w:iCs/>
        </w:rPr>
        <w:t xml:space="preserve">Northern Territory (Self-Government) Act 1978 </w:t>
      </w:r>
      <w:r w:rsidRPr="004F7F40">
        <w:rPr>
          <w:rFonts w:ascii="Arial" w:hAnsi="Arial" w:cs="Arial"/>
        </w:rPr>
        <w:t xml:space="preserve">(Cwlth), ministerial offices were established, with an Executive Council to advise the Administrator. </w:t>
      </w:r>
    </w:p>
    <w:p w14:paraId="54614139" w14:textId="3E18EBBA" w:rsidR="00615A03" w:rsidRPr="004F7F40" w:rsidRDefault="5FF71124" w:rsidP="00B35BAE">
      <w:pPr>
        <w:spacing w:before="0" w:after="120"/>
        <w:rPr>
          <w:rFonts w:ascii="Arial" w:hAnsi="Arial" w:cs="Arial"/>
          <w:lang w:val="en-US"/>
        </w:rPr>
      </w:pPr>
      <w:r w:rsidRPr="004F7F40">
        <w:rPr>
          <w:rFonts w:ascii="Arial" w:hAnsi="Arial" w:cs="Arial"/>
          <w:lang w:val="en-US"/>
        </w:rPr>
        <w:t>Following the granting of self-government in 1978, the Northern Territory was governed for 23 years by the Country Liberal Party (CLP)</w:t>
      </w:r>
      <w:r w:rsidR="00037BC6" w:rsidRPr="004F7F40">
        <w:rPr>
          <w:rFonts w:ascii="Arial" w:hAnsi="Arial" w:cs="Arial"/>
          <w:lang w:val="en-US"/>
        </w:rPr>
        <w:t xml:space="preserve"> –</w:t>
      </w:r>
      <w:r w:rsidRPr="004F7F40">
        <w:rPr>
          <w:rFonts w:ascii="Arial" w:hAnsi="Arial" w:cs="Arial"/>
          <w:lang w:val="en-US"/>
        </w:rPr>
        <w:t xml:space="preserve"> formed by merging the Country and Liberal Parties in 1974 for the </w:t>
      </w:r>
      <w:r w:rsidR="00BD2D6E" w:rsidRPr="004F7F40">
        <w:rPr>
          <w:rFonts w:ascii="Arial" w:hAnsi="Arial" w:cs="Arial"/>
          <w:lang w:val="en-US"/>
        </w:rPr>
        <w:t>forthcoming</w:t>
      </w:r>
      <w:r w:rsidRPr="004F7F40">
        <w:rPr>
          <w:rFonts w:ascii="Arial" w:hAnsi="Arial" w:cs="Arial"/>
          <w:lang w:val="en-US"/>
        </w:rPr>
        <w:t xml:space="preserve"> Legislative Assembly elections (</w:t>
      </w:r>
      <w:r w:rsidR="00BD2D6E" w:rsidRPr="004F7F40">
        <w:rPr>
          <w:rFonts w:ascii="Arial" w:hAnsi="Arial" w:cs="Arial"/>
          <w:lang w:val="en-US"/>
        </w:rPr>
        <w:t xml:space="preserve">in </w:t>
      </w:r>
      <w:r w:rsidRPr="004F7F40">
        <w:rPr>
          <w:rFonts w:ascii="Arial" w:hAnsi="Arial" w:cs="Arial"/>
          <w:lang w:val="en-US"/>
        </w:rPr>
        <w:t>which they won</w:t>
      </w:r>
      <w:r w:rsidR="00BD2D6E" w:rsidRPr="004F7F40">
        <w:rPr>
          <w:rFonts w:ascii="Arial" w:hAnsi="Arial" w:cs="Arial"/>
          <w:lang w:val="en-US"/>
        </w:rPr>
        <w:t xml:space="preserve"> a majority</w:t>
      </w:r>
      <w:r w:rsidRPr="004F7F40">
        <w:rPr>
          <w:rFonts w:ascii="Arial" w:hAnsi="Arial" w:cs="Arial"/>
          <w:lang w:val="en-US"/>
        </w:rPr>
        <w:t xml:space="preserve">). </w:t>
      </w:r>
    </w:p>
    <w:p w14:paraId="08DBD4F6" w14:textId="5B489269" w:rsidR="00615A03" w:rsidRPr="004F7F40" w:rsidRDefault="00615A03" w:rsidP="00B35BAE">
      <w:pPr>
        <w:spacing w:before="0" w:after="120"/>
        <w:rPr>
          <w:rFonts w:ascii="Arial" w:hAnsi="Arial" w:cs="Arial"/>
        </w:rPr>
      </w:pPr>
      <w:r w:rsidRPr="004F7F40">
        <w:rPr>
          <w:rFonts w:ascii="Arial" w:hAnsi="Arial" w:cs="Arial"/>
          <w:lang w:val="en-US"/>
        </w:rPr>
        <w:t>The NT Legislative Assembly</w:t>
      </w:r>
      <w:r w:rsidR="00037BC6" w:rsidRPr="004F7F40">
        <w:rPr>
          <w:rFonts w:ascii="Arial" w:hAnsi="Arial" w:cs="Arial"/>
          <w:lang w:val="en-US"/>
        </w:rPr>
        <w:t xml:space="preserve"> has 25 members</w:t>
      </w:r>
      <w:r w:rsidRPr="004F7F40">
        <w:rPr>
          <w:rFonts w:ascii="Arial" w:hAnsi="Arial" w:cs="Arial"/>
          <w:lang w:val="en-US"/>
        </w:rPr>
        <w:t xml:space="preserve">, </w:t>
      </w:r>
      <w:r w:rsidR="00037BC6" w:rsidRPr="004F7F40">
        <w:rPr>
          <w:rFonts w:ascii="Arial" w:hAnsi="Arial" w:cs="Arial"/>
          <w:lang w:val="en-US"/>
        </w:rPr>
        <w:t xml:space="preserve">each representing </w:t>
      </w:r>
      <w:r w:rsidRPr="004F7F40">
        <w:rPr>
          <w:rFonts w:ascii="Arial" w:hAnsi="Arial" w:cs="Arial"/>
          <w:lang w:val="en-US"/>
        </w:rPr>
        <w:t xml:space="preserve">around 3500 electors. This is generally agreed to result in elected members who are focused on local issues and </w:t>
      </w:r>
      <w:r w:rsidR="00037BC6" w:rsidRPr="004F7F40">
        <w:rPr>
          <w:rFonts w:ascii="Arial" w:hAnsi="Arial" w:cs="Arial"/>
          <w:lang w:val="en-US"/>
        </w:rPr>
        <w:t xml:space="preserve">have </w:t>
      </w:r>
      <w:r w:rsidRPr="004F7F40">
        <w:rPr>
          <w:rFonts w:ascii="Arial" w:hAnsi="Arial" w:cs="Arial"/>
          <w:lang w:val="en-US"/>
        </w:rPr>
        <w:t xml:space="preserve">a significant ‘incumbent’ advantage. </w:t>
      </w:r>
    </w:p>
    <w:p w14:paraId="3DAEADF3" w14:textId="6415D28A" w:rsidR="00B32971" w:rsidRPr="004F7F40" w:rsidRDefault="00C8178A" w:rsidP="00B35BAE">
      <w:pPr>
        <w:spacing w:before="0" w:after="120"/>
        <w:rPr>
          <w:rFonts w:ascii="Arial" w:hAnsi="Arial" w:cs="Arial"/>
        </w:rPr>
      </w:pPr>
      <w:r w:rsidRPr="004F7F40">
        <w:rPr>
          <w:rFonts w:ascii="Arial" w:hAnsi="Arial" w:cs="Arial"/>
          <w:lang w:val="en-US"/>
        </w:rPr>
        <w:t xml:space="preserve">From 2001, Labor held government for 11 years, with the last three years as a minority government. Since then, government has switched at each election until 2020, when Labor won a second term. First elected in 2016, </w:t>
      </w:r>
      <w:r w:rsidR="00B32971" w:rsidRPr="004F7F40">
        <w:rPr>
          <w:rFonts w:ascii="Arial" w:hAnsi="Arial" w:cs="Arial"/>
        </w:rPr>
        <w:t xml:space="preserve">Chief Minister Michael Gunner </w:t>
      </w:r>
      <w:r w:rsidRPr="004F7F40">
        <w:rPr>
          <w:rFonts w:ascii="Arial" w:hAnsi="Arial" w:cs="Arial"/>
        </w:rPr>
        <w:t>was</w:t>
      </w:r>
      <w:r w:rsidR="00B32971" w:rsidRPr="004F7F40">
        <w:rPr>
          <w:rFonts w:ascii="Arial" w:hAnsi="Arial" w:cs="Arial"/>
        </w:rPr>
        <w:t xml:space="preserve"> the 11</w:t>
      </w:r>
      <w:r w:rsidR="00B32971" w:rsidRPr="004F7F40">
        <w:rPr>
          <w:rFonts w:ascii="Arial" w:hAnsi="Arial" w:cs="Arial"/>
          <w:vertAlign w:val="superscript"/>
        </w:rPr>
        <w:t>th</w:t>
      </w:r>
      <w:r w:rsidR="00B32971" w:rsidRPr="004F7F40">
        <w:rPr>
          <w:rFonts w:ascii="Arial" w:hAnsi="Arial" w:cs="Arial"/>
        </w:rPr>
        <w:t xml:space="preserve"> in four decades.</w:t>
      </w:r>
      <w:r w:rsidR="001C2B76" w:rsidRPr="004F7F40">
        <w:rPr>
          <w:rFonts w:ascii="Arial" w:hAnsi="Arial" w:cs="Arial"/>
        </w:rPr>
        <w:t xml:space="preserve"> In January 2020, Mr Gunner pledged to take disciplinary action against department heads who failed to run their agencies within budget, citing </w:t>
      </w:r>
      <w:proofErr w:type="gramStart"/>
      <w:r w:rsidR="001C2B76" w:rsidRPr="004F7F40">
        <w:rPr>
          <w:rFonts w:ascii="Arial" w:hAnsi="Arial" w:cs="Arial"/>
        </w:rPr>
        <w:t>a number of</w:t>
      </w:r>
      <w:proofErr w:type="gramEnd"/>
      <w:r w:rsidR="001C2B76" w:rsidRPr="004F7F40">
        <w:rPr>
          <w:rFonts w:ascii="Arial" w:hAnsi="Arial" w:cs="Arial"/>
        </w:rPr>
        <w:t xml:space="preserve"> “serial offenders” in police, corrections and health (Smith, 2019, Jan 16).</w:t>
      </w:r>
      <w:r w:rsidR="00DE693E" w:rsidRPr="004F7F40">
        <w:rPr>
          <w:rFonts w:ascii="Arial" w:hAnsi="Arial" w:cs="Arial"/>
        </w:rPr>
        <w:t xml:space="preserve"> The Gunner government was re-elected in August 2020 with a reduced majority. </w:t>
      </w:r>
      <w:r w:rsidR="003D3EEC" w:rsidRPr="004F7F40">
        <w:rPr>
          <w:rFonts w:ascii="Arial" w:hAnsi="Arial" w:cs="Arial"/>
        </w:rPr>
        <w:t xml:space="preserve">Andrew Kirby was appointed Minister for Public Employment as part of broader portfolio responsibilities. </w:t>
      </w:r>
    </w:p>
    <w:p w14:paraId="365E9F3B" w14:textId="0D971636" w:rsidR="0083659F" w:rsidRPr="004F7F40" w:rsidRDefault="0083659F" w:rsidP="00B35BAE">
      <w:pPr>
        <w:spacing w:before="0" w:after="120"/>
        <w:rPr>
          <w:rFonts w:ascii="Arial" w:hAnsi="Arial" w:cs="Arial"/>
        </w:rPr>
      </w:pPr>
      <w:r w:rsidRPr="004F7F40">
        <w:rPr>
          <w:rFonts w:ascii="Arial" w:hAnsi="Arial" w:cs="Arial"/>
        </w:rPr>
        <w:t xml:space="preserve">In July 2020, the </w:t>
      </w:r>
      <w:r w:rsidR="00310CC9" w:rsidRPr="004F7F40">
        <w:rPr>
          <w:rFonts w:ascii="Arial" w:hAnsi="Arial" w:cs="Arial"/>
        </w:rPr>
        <w:t xml:space="preserve">Australian Electoral Commission (AEC) determined that the NT was only entitled to one Federal </w:t>
      </w:r>
      <w:r w:rsidR="00BD2AEB" w:rsidRPr="004F7F40">
        <w:rPr>
          <w:rFonts w:ascii="Arial" w:hAnsi="Arial" w:cs="Arial"/>
        </w:rPr>
        <w:t xml:space="preserve">Senator </w:t>
      </w:r>
      <w:r w:rsidR="00310CC9" w:rsidRPr="004F7F40">
        <w:rPr>
          <w:rFonts w:ascii="Arial" w:hAnsi="Arial" w:cs="Arial"/>
        </w:rPr>
        <w:t xml:space="preserve">(instead of two). NT </w:t>
      </w:r>
      <w:proofErr w:type="spellStart"/>
      <w:r w:rsidR="00310CC9" w:rsidRPr="004F7F40">
        <w:rPr>
          <w:rFonts w:ascii="Arial" w:hAnsi="Arial" w:cs="Arial"/>
        </w:rPr>
        <w:t>Labor</w:t>
      </w:r>
      <w:proofErr w:type="spellEnd"/>
      <w:r w:rsidR="00310CC9" w:rsidRPr="004F7F40">
        <w:rPr>
          <w:rFonts w:ascii="Arial" w:hAnsi="Arial" w:cs="Arial"/>
        </w:rPr>
        <w:t xml:space="preserve"> Senator </w:t>
      </w:r>
      <w:proofErr w:type="spellStart"/>
      <w:r w:rsidR="00310CC9" w:rsidRPr="004F7F40">
        <w:rPr>
          <w:rFonts w:ascii="Arial" w:hAnsi="Arial" w:cs="Arial"/>
        </w:rPr>
        <w:t>Malarndirri</w:t>
      </w:r>
      <w:proofErr w:type="spellEnd"/>
      <w:r w:rsidR="00310CC9" w:rsidRPr="004F7F40">
        <w:rPr>
          <w:rFonts w:ascii="Arial" w:hAnsi="Arial" w:cs="Arial"/>
        </w:rPr>
        <w:t xml:space="preserve"> McCarthy sought to reverse the decision through a Private Members’ Bill that was passed by the Federal Parliament in December 2020 (ABC News, 2020, Dec 10).</w:t>
      </w:r>
    </w:p>
    <w:p w14:paraId="0CABFD04" w14:textId="3D163029" w:rsidR="0083659F" w:rsidRPr="004F7F40" w:rsidRDefault="0083659F" w:rsidP="00872086">
      <w:pPr>
        <w:spacing w:before="0" w:after="120"/>
        <w:ind w:firstLine="720"/>
        <w:rPr>
          <w:rFonts w:ascii="Arial" w:hAnsi="Arial" w:cs="Arial"/>
        </w:rPr>
      </w:pPr>
    </w:p>
    <w:p w14:paraId="1C71FA05" w14:textId="77777777" w:rsidR="00DA633A" w:rsidRPr="004F7F40" w:rsidRDefault="00DA633A" w:rsidP="0082157A">
      <w:pPr>
        <w:spacing w:before="120" w:after="0" w:line="276" w:lineRule="auto"/>
        <w:rPr>
          <w:rFonts w:ascii="Arial" w:eastAsiaTheme="majorEastAsia" w:hAnsi="Arial" w:cs="Arial"/>
          <w:b/>
          <w:szCs w:val="26"/>
        </w:rPr>
      </w:pPr>
      <w:r w:rsidRPr="004F7F40">
        <w:rPr>
          <w:rFonts w:ascii="Arial" w:hAnsi="Arial" w:cs="Arial"/>
        </w:rPr>
        <w:br w:type="page"/>
      </w:r>
    </w:p>
    <w:p w14:paraId="75181CB4" w14:textId="288451BD" w:rsidR="00886F22" w:rsidRPr="004F7F40" w:rsidRDefault="00122660" w:rsidP="001A1577">
      <w:pPr>
        <w:pStyle w:val="Table"/>
        <w:rPr>
          <w:rFonts w:ascii="Arial" w:hAnsi="Arial" w:cs="Arial"/>
          <w:b/>
          <w:bCs/>
        </w:rPr>
      </w:pPr>
      <w:r w:rsidRPr="004F7F40">
        <w:rPr>
          <w:rFonts w:ascii="Arial" w:hAnsi="Arial" w:cs="Arial"/>
          <w:b/>
          <w:bCs/>
        </w:rPr>
        <w:lastRenderedPageBreak/>
        <w:t>Summary table</w:t>
      </w:r>
      <w:bookmarkEnd w:id="1"/>
      <w:r w:rsidR="009E6E25" w:rsidRPr="004F7F40">
        <w:rPr>
          <w:rFonts w:ascii="Arial" w:hAnsi="Arial" w:cs="Arial"/>
          <w:b/>
          <w:bCs/>
        </w:rPr>
        <w:t xml:space="preserve"> – NT governments, public service institutions and commissioners</w:t>
      </w:r>
    </w:p>
    <w:tbl>
      <w:tblPr>
        <w:tblW w:w="10188" w:type="dxa"/>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1261"/>
        <w:gridCol w:w="1095"/>
        <w:gridCol w:w="1531"/>
        <w:gridCol w:w="986"/>
        <w:gridCol w:w="1760"/>
        <w:gridCol w:w="1848"/>
        <w:gridCol w:w="1707"/>
      </w:tblGrid>
      <w:tr w:rsidR="00780D72" w:rsidRPr="004F7F40" w14:paraId="2C649C00" w14:textId="77777777" w:rsidTr="00B32971">
        <w:trPr>
          <w:tblHeade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762860B4" w14:textId="51148AF1" w:rsidR="00580791" w:rsidRPr="004F7F40" w:rsidRDefault="00580791" w:rsidP="00E6671C">
            <w:pPr>
              <w:rPr>
                <w:rFonts w:ascii="Arial" w:hAnsi="Arial" w:cs="Arial"/>
                <w:b/>
              </w:rPr>
            </w:pPr>
            <w:r w:rsidRPr="004F7F40">
              <w:rPr>
                <w:rFonts w:ascii="Arial" w:hAnsi="Arial" w:cs="Arial"/>
                <w:b/>
              </w:rPr>
              <w:t>Assumed Office</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6C431D5" w14:textId="1C231C3D" w:rsidR="00580791" w:rsidRPr="004F7F40" w:rsidRDefault="00580791" w:rsidP="00E6671C">
            <w:pPr>
              <w:rPr>
                <w:rFonts w:ascii="Arial" w:hAnsi="Arial" w:cs="Arial"/>
                <w:b/>
                <w:lang w:eastAsia="en-AU"/>
              </w:rPr>
            </w:pPr>
            <w:r w:rsidRPr="004F7F40">
              <w:rPr>
                <w:rFonts w:ascii="Arial" w:hAnsi="Arial" w:cs="Arial"/>
                <w:b/>
                <w:lang w:eastAsia="en-AU"/>
              </w:rPr>
              <w:t>Left Office</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33A26D9" w14:textId="77777777" w:rsidR="00580791" w:rsidRPr="004F7F40" w:rsidRDefault="00580791" w:rsidP="00E6671C">
            <w:pPr>
              <w:rPr>
                <w:rFonts w:ascii="Arial" w:hAnsi="Arial" w:cs="Arial"/>
                <w:b/>
                <w:lang w:eastAsia="en-AU"/>
              </w:rPr>
            </w:pPr>
            <w:r w:rsidRPr="004F7F40">
              <w:rPr>
                <w:rFonts w:ascii="Arial" w:hAnsi="Arial" w:cs="Arial"/>
                <w:b/>
                <w:lang w:eastAsia="en-AU"/>
              </w:rPr>
              <w:t>Chief Minister</w:t>
            </w:r>
          </w:p>
        </w:tc>
        <w:tc>
          <w:tcPr>
            <w:tcW w:w="992" w:type="dxa"/>
            <w:tcBorders>
              <w:top w:val="outset" w:sz="6" w:space="0" w:color="auto"/>
              <w:left w:val="outset" w:sz="6" w:space="0" w:color="auto"/>
              <w:bottom w:val="outset" w:sz="6" w:space="0" w:color="auto"/>
              <w:right w:val="outset" w:sz="6" w:space="0" w:color="auto"/>
            </w:tcBorders>
            <w:vAlign w:val="center"/>
            <w:hideMark/>
          </w:tcPr>
          <w:p w14:paraId="5035F31E" w14:textId="77777777" w:rsidR="00580791" w:rsidRPr="004F7F40" w:rsidRDefault="00580791" w:rsidP="00E6671C">
            <w:pPr>
              <w:rPr>
                <w:rFonts w:ascii="Arial" w:hAnsi="Arial" w:cs="Arial"/>
                <w:b/>
                <w:lang w:eastAsia="en-AU"/>
              </w:rPr>
            </w:pPr>
            <w:r w:rsidRPr="004F7F40">
              <w:rPr>
                <w:rFonts w:ascii="Arial" w:hAnsi="Arial" w:cs="Arial"/>
                <w:b/>
                <w:lang w:eastAsia="en-AU"/>
              </w:rPr>
              <w:t>Party</w:t>
            </w:r>
          </w:p>
        </w:tc>
        <w:tc>
          <w:tcPr>
            <w:tcW w:w="1789" w:type="dxa"/>
            <w:tcBorders>
              <w:top w:val="outset" w:sz="6" w:space="0" w:color="auto"/>
              <w:left w:val="outset" w:sz="6" w:space="0" w:color="auto"/>
              <w:bottom w:val="outset" w:sz="6" w:space="0" w:color="auto"/>
              <w:right w:val="outset" w:sz="6" w:space="0" w:color="auto"/>
            </w:tcBorders>
          </w:tcPr>
          <w:p w14:paraId="1B1744DD" w14:textId="12FE39F1" w:rsidR="00580791" w:rsidRPr="004F7F40" w:rsidRDefault="00580791" w:rsidP="00E6671C">
            <w:pPr>
              <w:rPr>
                <w:rFonts w:ascii="Arial" w:hAnsi="Arial" w:cs="Arial"/>
                <w:b/>
                <w:lang w:eastAsia="en-AU"/>
              </w:rPr>
            </w:pPr>
            <w:r w:rsidRPr="004F7F40">
              <w:rPr>
                <w:rFonts w:ascii="Arial" w:hAnsi="Arial" w:cs="Arial"/>
                <w:b/>
                <w:lang w:eastAsia="en-AU"/>
              </w:rPr>
              <w:t>Institution</w:t>
            </w:r>
          </w:p>
        </w:tc>
        <w:tc>
          <w:tcPr>
            <w:tcW w:w="1841" w:type="dxa"/>
            <w:tcBorders>
              <w:top w:val="outset" w:sz="6" w:space="0" w:color="auto"/>
              <w:left w:val="outset" w:sz="6" w:space="0" w:color="auto"/>
              <w:bottom w:val="outset" w:sz="6" w:space="0" w:color="auto"/>
              <w:right w:val="outset" w:sz="6" w:space="0" w:color="auto"/>
            </w:tcBorders>
          </w:tcPr>
          <w:p w14:paraId="4CF31B02" w14:textId="71C7DA86" w:rsidR="00580791" w:rsidRPr="004F7F40" w:rsidRDefault="00580791" w:rsidP="00E6671C">
            <w:pPr>
              <w:rPr>
                <w:rFonts w:ascii="Arial" w:hAnsi="Arial" w:cs="Arial"/>
                <w:b/>
                <w:lang w:eastAsia="en-AU"/>
              </w:rPr>
            </w:pPr>
            <w:r w:rsidRPr="004F7F40">
              <w:rPr>
                <w:rFonts w:ascii="Arial" w:hAnsi="Arial" w:cs="Arial"/>
                <w:b/>
                <w:lang w:eastAsia="en-AU"/>
              </w:rPr>
              <w:t>Public Service Commissioner</w:t>
            </w:r>
          </w:p>
        </w:tc>
        <w:tc>
          <w:tcPr>
            <w:tcW w:w="1746" w:type="dxa"/>
            <w:tcBorders>
              <w:top w:val="outset" w:sz="6" w:space="0" w:color="auto"/>
              <w:left w:val="outset" w:sz="6" w:space="0" w:color="auto"/>
              <w:bottom w:val="outset" w:sz="6" w:space="0" w:color="auto"/>
              <w:right w:val="outset" w:sz="6" w:space="0" w:color="auto"/>
            </w:tcBorders>
          </w:tcPr>
          <w:p w14:paraId="074C8ED7" w14:textId="77777777" w:rsidR="00580791" w:rsidRPr="004F7F40" w:rsidRDefault="00580791" w:rsidP="00E6671C">
            <w:pPr>
              <w:rPr>
                <w:rFonts w:ascii="Arial" w:hAnsi="Arial" w:cs="Arial"/>
                <w:b/>
                <w:lang w:eastAsia="en-AU"/>
              </w:rPr>
            </w:pPr>
            <w:r w:rsidRPr="004F7F40">
              <w:rPr>
                <w:rFonts w:ascii="Arial" w:hAnsi="Arial" w:cs="Arial"/>
                <w:b/>
                <w:lang w:eastAsia="en-AU"/>
              </w:rPr>
              <w:t>Balance of power?</w:t>
            </w:r>
          </w:p>
        </w:tc>
      </w:tr>
      <w:tr w:rsidR="00780D72" w:rsidRPr="004F7F40" w14:paraId="286217B6"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481435E4" w14:textId="343AD2CC" w:rsidR="00AE6B34" w:rsidRPr="004F7F40" w:rsidRDefault="00780D72" w:rsidP="00FA17F2">
            <w:pPr>
              <w:spacing w:after="0"/>
              <w:rPr>
                <w:rFonts w:ascii="Arial" w:hAnsi="Arial" w:cs="Arial"/>
                <w:sz w:val="22"/>
              </w:rPr>
            </w:pPr>
            <w:r w:rsidRPr="004F7F40">
              <w:rPr>
                <w:rFonts w:ascii="Arial" w:hAnsi="Arial" w:cs="Arial"/>
                <w:sz w:val="22"/>
              </w:rPr>
              <w:t xml:space="preserve">7 Sep 2020 (following </w:t>
            </w:r>
            <w:r w:rsidR="00490AB4" w:rsidRPr="004F7F40">
              <w:rPr>
                <w:rFonts w:ascii="Arial" w:hAnsi="Arial" w:cs="Arial"/>
                <w:sz w:val="22"/>
              </w:rPr>
              <w:t xml:space="preserve">election </w:t>
            </w:r>
            <w:r w:rsidRPr="004F7F40">
              <w:rPr>
                <w:rFonts w:ascii="Arial" w:hAnsi="Arial" w:cs="Arial"/>
                <w:sz w:val="22"/>
              </w:rPr>
              <w:t xml:space="preserve">of </w:t>
            </w:r>
            <w:r w:rsidR="00490AB4" w:rsidRPr="004F7F40">
              <w:rPr>
                <w:rFonts w:ascii="Arial" w:hAnsi="Arial" w:cs="Arial"/>
                <w:sz w:val="22"/>
              </w:rPr>
              <w:t>22 Aug 2020</w:t>
            </w:r>
            <w:r w:rsidRPr="004F7F40">
              <w:rPr>
                <w:rFonts w:ascii="Arial" w:hAnsi="Arial" w:cs="Arial"/>
                <w:sz w:val="22"/>
              </w:rPr>
              <w:t>)</w:t>
            </w:r>
          </w:p>
        </w:tc>
        <w:tc>
          <w:tcPr>
            <w:tcW w:w="1134" w:type="dxa"/>
            <w:tcBorders>
              <w:top w:val="outset" w:sz="6" w:space="0" w:color="auto"/>
              <w:left w:val="outset" w:sz="6" w:space="0" w:color="auto"/>
              <w:bottom w:val="outset" w:sz="6" w:space="0" w:color="auto"/>
              <w:right w:val="outset" w:sz="6" w:space="0" w:color="auto"/>
            </w:tcBorders>
            <w:vAlign w:val="center"/>
          </w:tcPr>
          <w:p w14:paraId="4A644E49" w14:textId="77777777" w:rsidR="00AE6B34" w:rsidRPr="004F7F40" w:rsidRDefault="00AE6B34" w:rsidP="00FA17F2">
            <w:pPr>
              <w:spacing w:after="0"/>
              <w:rPr>
                <w:rFonts w:ascii="Arial" w:hAnsi="Arial" w:cs="Arial"/>
                <w:sz w:val="22"/>
                <w:lang w:eastAsia="en-AU"/>
              </w:rPr>
            </w:pPr>
          </w:p>
        </w:tc>
        <w:tc>
          <w:tcPr>
            <w:tcW w:w="1560" w:type="dxa"/>
            <w:tcBorders>
              <w:top w:val="outset" w:sz="6" w:space="0" w:color="auto"/>
              <w:left w:val="outset" w:sz="6" w:space="0" w:color="auto"/>
              <w:bottom w:val="outset" w:sz="6" w:space="0" w:color="auto"/>
              <w:right w:val="outset" w:sz="6" w:space="0" w:color="auto"/>
            </w:tcBorders>
            <w:vAlign w:val="center"/>
          </w:tcPr>
          <w:p w14:paraId="051C13ED" w14:textId="2D87E2C6" w:rsidR="00AE6B34" w:rsidRPr="004F7F40" w:rsidRDefault="00780D72" w:rsidP="00FA17F2">
            <w:pPr>
              <w:spacing w:after="0"/>
              <w:rPr>
                <w:rFonts w:ascii="Arial" w:hAnsi="Arial" w:cs="Arial"/>
                <w:sz w:val="22"/>
                <w:lang w:eastAsia="en-AU"/>
              </w:rPr>
            </w:pPr>
            <w:r w:rsidRPr="004F7F40">
              <w:rPr>
                <w:rFonts w:ascii="Arial" w:hAnsi="Arial" w:cs="Arial"/>
                <w:sz w:val="22"/>
                <w:lang w:eastAsia="en-AU"/>
              </w:rPr>
              <w:t>Michael Gunner</w:t>
            </w:r>
          </w:p>
        </w:tc>
        <w:tc>
          <w:tcPr>
            <w:tcW w:w="992" w:type="dxa"/>
            <w:tcBorders>
              <w:top w:val="outset" w:sz="6" w:space="0" w:color="auto"/>
              <w:left w:val="outset" w:sz="6" w:space="0" w:color="auto"/>
              <w:bottom w:val="outset" w:sz="6" w:space="0" w:color="auto"/>
              <w:right w:val="outset" w:sz="6" w:space="0" w:color="auto"/>
            </w:tcBorders>
            <w:vAlign w:val="center"/>
          </w:tcPr>
          <w:p w14:paraId="21351090" w14:textId="7B237167" w:rsidR="00AE6B34" w:rsidRPr="004F7F40" w:rsidRDefault="00780D72" w:rsidP="00FA17F2">
            <w:pPr>
              <w:spacing w:after="0"/>
              <w:rPr>
                <w:rFonts w:ascii="Arial" w:hAnsi="Arial" w:cs="Arial"/>
                <w:sz w:val="22"/>
                <w:lang w:eastAsia="en-AU"/>
              </w:rPr>
            </w:pPr>
            <w:proofErr w:type="spellStart"/>
            <w:r w:rsidRPr="004F7F40">
              <w:rPr>
                <w:rFonts w:ascii="Arial" w:hAnsi="Arial" w:cs="Arial"/>
                <w:sz w:val="22"/>
                <w:lang w:eastAsia="en-AU"/>
              </w:rPr>
              <w:t>Labor</w:t>
            </w:r>
            <w:proofErr w:type="spellEnd"/>
            <w:r w:rsidRPr="004F7F40">
              <w:rPr>
                <w:rFonts w:ascii="Arial" w:hAnsi="Arial" w:cs="Arial"/>
                <w:sz w:val="22"/>
                <w:lang w:eastAsia="en-AU"/>
              </w:rPr>
              <w:t xml:space="preserve"> </w:t>
            </w:r>
          </w:p>
        </w:tc>
        <w:tc>
          <w:tcPr>
            <w:tcW w:w="1789" w:type="dxa"/>
            <w:tcBorders>
              <w:top w:val="outset" w:sz="6" w:space="0" w:color="auto"/>
              <w:left w:val="outset" w:sz="6" w:space="0" w:color="auto"/>
              <w:bottom w:val="outset" w:sz="6" w:space="0" w:color="auto"/>
              <w:right w:val="outset" w:sz="6" w:space="0" w:color="auto"/>
            </w:tcBorders>
          </w:tcPr>
          <w:p w14:paraId="0BC93743" w14:textId="066F41D6" w:rsidR="00AE6B34" w:rsidRPr="004F7F40" w:rsidRDefault="00704CDF" w:rsidP="00FA17F2">
            <w:pPr>
              <w:spacing w:after="0"/>
              <w:rPr>
                <w:rFonts w:ascii="Arial" w:hAnsi="Arial" w:cs="Arial"/>
                <w:sz w:val="22"/>
                <w:lang w:eastAsia="en-AU"/>
              </w:rPr>
            </w:pPr>
            <w:r w:rsidRPr="004F7F40">
              <w:rPr>
                <w:rFonts w:ascii="Arial" w:hAnsi="Arial" w:cs="Arial"/>
                <w:sz w:val="22"/>
                <w:lang w:eastAsia="en-AU"/>
              </w:rPr>
              <w:t>Office of the Commissioner for Public Employment</w:t>
            </w:r>
            <w:r w:rsidR="00B32971" w:rsidRPr="004F7F40">
              <w:rPr>
                <w:rFonts w:ascii="Arial" w:hAnsi="Arial" w:cs="Arial"/>
                <w:sz w:val="22"/>
                <w:lang w:eastAsia="en-AU"/>
              </w:rPr>
              <w:t xml:space="preserve"> (OCPE)</w:t>
            </w:r>
          </w:p>
        </w:tc>
        <w:tc>
          <w:tcPr>
            <w:tcW w:w="1841" w:type="dxa"/>
            <w:tcBorders>
              <w:top w:val="outset" w:sz="6" w:space="0" w:color="auto"/>
              <w:left w:val="outset" w:sz="6" w:space="0" w:color="auto"/>
              <w:bottom w:val="outset" w:sz="6" w:space="0" w:color="auto"/>
              <w:right w:val="outset" w:sz="6" w:space="0" w:color="auto"/>
            </w:tcBorders>
          </w:tcPr>
          <w:p w14:paraId="5C630D80" w14:textId="77777777" w:rsidR="00D22F07" w:rsidRPr="004F7F40" w:rsidRDefault="00D22F07" w:rsidP="00066A8C">
            <w:pPr>
              <w:spacing w:after="40"/>
              <w:rPr>
                <w:rFonts w:ascii="Arial" w:hAnsi="Arial" w:cs="Arial"/>
                <w:sz w:val="22"/>
                <w:lang w:eastAsia="en-AU"/>
              </w:rPr>
            </w:pPr>
            <w:r w:rsidRPr="004F7F40">
              <w:rPr>
                <w:rFonts w:ascii="Arial" w:hAnsi="Arial" w:cs="Arial"/>
                <w:sz w:val="22"/>
                <w:lang w:eastAsia="en-AU"/>
              </w:rPr>
              <w:t>Vicki Telfer (from Sept 2019)</w:t>
            </w:r>
          </w:p>
          <w:p w14:paraId="7A758991" w14:textId="77777777" w:rsidR="00CC36EA" w:rsidRPr="004F7F40" w:rsidRDefault="00CC36EA" w:rsidP="00066A8C">
            <w:pPr>
              <w:spacing w:after="40"/>
              <w:rPr>
                <w:rFonts w:ascii="Arial" w:hAnsi="Arial" w:cs="Arial"/>
                <w:sz w:val="22"/>
                <w:lang w:eastAsia="en-AU"/>
              </w:rPr>
            </w:pPr>
            <w:r w:rsidRPr="004F7F40">
              <w:rPr>
                <w:rFonts w:ascii="Arial" w:hAnsi="Arial" w:cs="Arial"/>
                <w:sz w:val="22"/>
                <w:lang w:eastAsia="en-AU"/>
              </w:rPr>
              <w:t xml:space="preserve">David </w:t>
            </w:r>
            <w:proofErr w:type="spellStart"/>
            <w:r w:rsidRPr="004F7F40">
              <w:rPr>
                <w:rFonts w:ascii="Arial" w:hAnsi="Arial" w:cs="Arial"/>
                <w:sz w:val="22"/>
                <w:lang w:eastAsia="en-AU"/>
              </w:rPr>
              <w:t>Braines</w:t>
            </w:r>
            <w:proofErr w:type="spellEnd"/>
            <w:r w:rsidRPr="004F7F40">
              <w:rPr>
                <w:rFonts w:ascii="Arial" w:hAnsi="Arial" w:cs="Arial"/>
                <w:sz w:val="22"/>
                <w:lang w:eastAsia="en-AU"/>
              </w:rPr>
              <w:t>-Mead (Acting May to Aug 2019)</w:t>
            </w:r>
          </w:p>
          <w:p w14:paraId="4159BBBD" w14:textId="58ED6CE8" w:rsidR="00AE6B34" w:rsidRPr="004F7F40" w:rsidRDefault="00EE7E06" w:rsidP="00066A8C">
            <w:pPr>
              <w:spacing w:after="40"/>
              <w:rPr>
                <w:rFonts w:ascii="Arial" w:hAnsi="Arial" w:cs="Arial"/>
                <w:sz w:val="22"/>
                <w:lang w:eastAsia="en-AU"/>
              </w:rPr>
            </w:pPr>
            <w:r w:rsidRPr="004F7F40">
              <w:rPr>
                <w:rFonts w:ascii="Arial" w:hAnsi="Arial" w:cs="Arial"/>
                <w:sz w:val="22"/>
                <w:lang w:eastAsia="en-AU"/>
              </w:rPr>
              <w:t>Craig Allen – until May 2019</w:t>
            </w:r>
          </w:p>
        </w:tc>
        <w:tc>
          <w:tcPr>
            <w:tcW w:w="1746" w:type="dxa"/>
            <w:tcBorders>
              <w:top w:val="outset" w:sz="6" w:space="0" w:color="auto"/>
              <w:left w:val="outset" w:sz="6" w:space="0" w:color="auto"/>
              <w:bottom w:val="outset" w:sz="6" w:space="0" w:color="auto"/>
              <w:right w:val="outset" w:sz="6" w:space="0" w:color="auto"/>
            </w:tcBorders>
          </w:tcPr>
          <w:p w14:paraId="2A84168E" w14:textId="69ABB3F3" w:rsidR="00AE6B34" w:rsidRPr="004F7F40" w:rsidRDefault="000019A3" w:rsidP="00FA17F2">
            <w:pPr>
              <w:spacing w:after="0"/>
              <w:rPr>
                <w:rFonts w:ascii="Arial" w:hAnsi="Arial" w:cs="Arial"/>
                <w:sz w:val="22"/>
                <w:lang w:eastAsia="en-AU"/>
              </w:rPr>
            </w:pPr>
            <w:r w:rsidRPr="004F7F40">
              <w:rPr>
                <w:rFonts w:ascii="Arial" w:hAnsi="Arial" w:cs="Arial"/>
                <w:sz w:val="22"/>
                <w:lang w:eastAsia="en-AU"/>
              </w:rPr>
              <w:t>Reduced majority</w:t>
            </w:r>
          </w:p>
        </w:tc>
      </w:tr>
      <w:tr w:rsidR="00780D72" w:rsidRPr="004F7F40" w14:paraId="710751DC"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6BE6CB6A" w14:textId="3237E5CF" w:rsidR="00580791" w:rsidRPr="004F7F40" w:rsidRDefault="00580791" w:rsidP="00FA17F2">
            <w:pPr>
              <w:spacing w:after="0"/>
              <w:rPr>
                <w:rFonts w:ascii="Arial" w:hAnsi="Arial" w:cs="Arial"/>
                <w:sz w:val="22"/>
              </w:rPr>
            </w:pPr>
            <w:r w:rsidRPr="004F7F40">
              <w:rPr>
                <w:rFonts w:ascii="Arial" w:hAnsi="Arial" w:cs="Arial"/>
                <w:sz w:val="22"/>
              </w:rPr>
              <w:t>31 Aug 2016</w:t>
            </w:r>
          </w:p>
        </w:tc>
        <w:tc>
          <w:tcPr>
            <w:tcW w:w="1134" w:type="dxa"/>
            <w:tcBorders>
              <w:top w:val="outset" w:sz="6" w:space="0" w:color="auto"/>
              <w:left w:val="outset" w:sz="6" w:space="0" w:color="auto"/>
              <w:bottom w:val="outset" w:sz="6" w:space="0" w:color="auto"/>
              <w:right w:val="outset" w:sz="6" w:space="0" w:color="auto"/>
            </w:tcBorders>
            <w:vAlign w:val="center"/>
          </w:tcPr>
          <w:p w14:paraId="0D0B940D" w14:textId="77777777" w:rsidR="00580791" w:rsidRPr="004F7F40" w:rsidRDefault="00580791" w:rsidP="00FA17F2">
            <w:pPr>
              <w:spacing w:after="0"/>
              <w:rPr>
                <w:rFonts w:ascii="Arial" w:hAnsi="Arial" w:cs="Arial"/>
                <w:sz w:val="22"/>
                <w:lang w:eastAsia="en-AU"/>
              </w:rPr>
            </w:pPr>
          </w:p>
        </w:tc>
        <w:tc>
          <w:tcPr>
            <w:tcW w:w="1560" w:type="dxa"/>
            <w:tcBorders>
              <w:top w:val="outset" w:sz="6" w:space="0" w:color="auto"/>
              <w:left w:val="outset" w:sz="6" w:space="0" w:color="auto"/>
              <w:bottom w:val="outset" w:sz="6" w:space="0" w:color="auto"/>
              <w:right w:val="outset" w:sz="6" w:space="0" w:color="auto"/>
            </w:tcBorders>
            <w:vAlign w:val="center"/>
          </w:tcPr>
          <w:p w14:paraId="7EC2B68A"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Michael Gunner</w:t>
            </w:r>
          </w:p>
        </w:tc>
        <w:tc>
          <w:tcPr>
            <w:tcW w:w="992" w:type="dxa"/>
            <w:tcBorders>
              <w:top w:val="outset" w:sz="6" w:space="0" w:color="auto"/>
              <w:left w:val="outset" w:sz="6" w:space="0" w:color="auto"/>
              <w:bottom w:val="outset" w:sz="6" w:space="0" w:color="auto"/>
              <w:right w:val="outset" w:sz="6" w:space="0" w:color="auto"/>
            </w:tcBorders>
            <w:vAlign w:val="center"/>
          </w:tcPr>
          <w:p w14:paraId="2F724A59" w14:textId="77777777" w:rsidR="00580791" w:rsidRPr="004F7F40" w:rsidRDefault="00580791" w:rsidP="00FA17F2">
            <w:pPr>
              <w:spacing w:after="0"/>
              <w:rPr>
                <w:rFonts w:ascii="Arial" w:hAnsi="Arial" w:cs="Arial"/>
                <w:sz w:val="22"/>
                <w:lang w:eastAsia="en-AU"/>
              </w:rPr>
            </w:pPr>
            <w:proofErr w:type="spellStart"/>
            <w:r w:rsidRPr="004F7F40">
              <w:rPr>
                <w:rFonts w:ascii="Arial" w:hAnsi="Arial" w:cs="Arial"/>
                <w:sz w:val="22"/>
                <w:lang w:eastAsia="en-AU"/>
              </w:rPr>
              <w:t>Labor</w:t>
            </w:r>
            <w:proofErr w:type="spellEnd"/>
          </w:p>
        </w:tc>
        <w:tc>
          <w:tcPr>
            <w:tcW w:w="1789" w:type="dxa"/>
            <w:tcBorders>
              <w:top w:val="outset" w:sz="6" w:space="0" w:color="auto"/>
              <w:left w:val="outset" w:sz="6" w:space="0" w:color="auto"/>
              <w:bottom w:val="outset" w:sz="6" w:space="0" w:color="auto"/>
              <w:right w:val="outset" w:sz="6" w:space="0" w:color="auto"/>
            </w:tcBorders>
          </w:tcPr>
          <w:p w14:paraId="75A0E345" w14:textId="60350DBD" w:rsidR="00580791" w:rsidRPr="004F7F40" w:rsidRDefault="00B32971" w:rsidP="00FA17F2">
            <w:pPr>
              <w:spacing w:after="0"/>
              <w:rPr>
                <w:rFonts w:ascii="Arial" w:hAnsi="Arial" w:cs="Arial"/>
                <w:sz w:val="22"/>
                <w:lang w:eastAsia="en-AU"/>
              </w:rPr>
            </w:pPr>
            <w:r w:rsidRPr="004F7F40">
              <w:rPr>
                <w:rFonts w:ascii="Arial" w:hAnsi="Arial" w:cs="Arial"/>
                <w:sz w:val="22"/>
                <w:lang w:eastAsia="en-AU"/>
              </w:rPr>
              <w:t>OCPE</w:t>
            </w:r>
          </w:p>
        </w:tc>
        <w:tc>
          <w:tcPr>
            <w:tcW w:w="1841" w:type="dxa"/>
            <w:tcBorders>
              <w:top w:val="outset" w:sz="6" w:space="0" w:color="auto"/>
              <w:left w:val="outset" w:sz="6" w:space="0" w:color="auto"/>
              <w:bottom w:val="outset" w:sz="6" w:space="0" w:color="auto"/>
              <w:right w:val="outset" w:sz="6" w:space="0" w:color="auto"/>
            </w:tcBorders>
          </w:tcPr>
          <w:p w14:paraId="4EE7E41A" w14:textId="66B98143"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Craig Allen</w:t>
            </w:r>
          </w:p>
        </w:tc>
        <w:tc>
          <w:tcPr>
            <w:tcW w:w="1746" w:type="dxa"/>
            <w:tcBorders>
              <w:top w:val="outset" w:sz="6" w:space="0" w:color="auto"/>
              <w:left w:val="outset" w:sz="6" w:space="0" w:color="auto"/>
              <w:bottom w:val="outset" w:sz="6" w:space="0" w:color="auto"/>
              <w:right w:val="outset" w:sz="6" w:space="0" w:color="auto"/>
            </w:tcBorders>
          </w:tcPr>
          <w:p w14:paraId="61D7DBEC"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Majority</w:t>
            </w:r>
          </w:p>
        </w:tc>
      </w:tr>
      <w:tr w:rsidR="00780D72" w:rsidRPr="004F7F40" w14:paraId="6DBB3BDB"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0D0818D3" w14:textId="1268F9DB" w:rsidR="00580791" w:rsidRPr="004F7F40" w:rsidRDefault="00580791" w:rsidP="00FA17F2">
            <w:pPr>
              <w:spacing w:after="0"/>
              <w:rPr>
                <w:rFonts w:ascii="Arial" w:hAnsi="Arial" w:cs="Arial"/>
                <w:sz w:val="22"/>
              </w:rPr>
            </w:pPr>
            <w:r w:rsidRPr="004F7F40">
              <w:rPr>
                <w:rFonts w:ascii="Arial" w:hAnsi="Arial" w:cs="Arial"/>
                <w:sz w:val="22"/>
              </w:rPr>
              <w:t>14 Mar 2013</w:t>
            </w:r>
          </w:p>
        </w:tc>
        <w:tc>
          <w:tcPr>
            <w:tcW w:w="1134" w:type="dxa"/>
            <w:tcBorders>
              <w:top w:val="outset" w:sz="6" w:space="0" w:color="auto"/>
              <w:left w:val="outset" w:sz="6" w:space="0" w:color="auto"/>
              <w:bottom w:val="outset" w:sz="6" w:space="0" w:color="auto"/>
              <w:right w:val="outset" w:sz="6" w:space="0" w:color="auto"/>
            </w:tcBorders>
            <w:vAlign w:val="center"/>
          </w:tcPr>
          <w:p w14:paraId="465E9F21" w14:textId="23AC1E28"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30 Aug</w:t>
            </w:r>
            <w:r w:rsidR="00B32971" w:rsidRPr="004F7F40">
              <w:rPr>
                <w:rFonts w:ascii="Arial" w:hAnsi="Arial" w:cs="Arial"/>
                <w:sz w:val="22"/>
                <w:lang w:eastAsia="en-AU"/>
              </w:rPr>
              <w:t xml:space="preserve"> </w:t>
            </w:r>
            <w:r w:rsidRPr="004F7F40">
              <w:rPr>
                <w:rFonts w:ascii="Arial" w:hAnsi="Arial" w:cs="Arial"/>
                <w:sz w:val="22"/>
                <w:lang w:eastAsia="en-AU"/>
              </w:rPr>
              <w:t>2016</w:t>
            </w:r>
          </w:p>
        </w:tc>
        <w:tc>
          <w:tcPr>
            <w:tcW w:w="1560" w:type="dxa"/>
            <w:tcBorders>
              <w:top w:val="outset" w:sz="6" w:space="0" w:color="auto"/>
              <w:left w:val="outset" w:sz="6" w:space="0" w:color="auto"/>
              <w:bottom w:val="outset" w:sz="6" w:space="0" w:color="auto"/>
              <w:right w:val="outset" w:sz="6" w:space="0" w:color="auto"/>
            </w:tcBorders>
            <w:vAlign w:val="center"/>
          </w:tcPr>
          <w:p w14:paraId="2E4CAA3B"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Adam Giles</w:t>
            </w:r>
          </w:p>
        </w:tc>
        <w:tc>
          <w:tcPr>
            <w:tcW w:w="992" w:type="dxa"/>
            <w:tcBorders>
              <w:top w:val="outset" w:sz="6" w:space="0" w:color="auto"/>
              <w:left w:val="outset" w:sz="6" w:space="0" w:color="auto"/>
              <w:bottom w:val="outset" w:sz="6" w:space="0" w:color="auto"/>
              <w:right w:val="outset" w:sz="6" w:space="0" w:color="auto"/>
            </w:tcBorders>
            <w:vAlign w:val="center"/>
          </w:tcPr>
          <w:p w14:paraId="72FBF1ED"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Country Liberal Party (CLP)</w:t>
            </w:r>
          </w:p>
        </w:tc>
        <w:tc>
          <w:tcPr>
            <w:tcW w:w="1789" w:type="dxa"/>
            <w:tcBorders>
              <w:top w:val="outset" w:sz="6" w:space="0" w:color="auto"/>
              <w:left w:val="outset" w:sz="6" w:space="0" w:color="auto"/>
              <w:bottom w:val="outset" w:sz="6" w:space="0" w:color="auto"/>
              <w:right w:val="outset" w:sz="6" w:space="0" w:color="auto"/>
            </w:tcBorders>
          </w:tcPr>
          <w:p w14:paraId="66236451" w14:textId="2E4CCEC6" w:rsidR="00580791" w:rsidRPr="004F7F40" w:rsidRDefault="00B32971" w:rsidP="00FA17F2">
            <w:pPr>
              <w:spacing w:after="0"/>
              <w:rPr>
                <w:rFonts w:ascii="Arial" w:hAnsi="Arial" w:cs="Arial"/>
                <w:sz w:val="22"/>
                <w:lang w:eastAsia="en-AU"/>
              </w:rPr>
            </w:pPr>
            <w:r w:rsidRPr="004F7F40">
              <w:rPr>
                <w:rFonts w:ascii="Arial" w:hAnsi="Arial" w:cs="Arial"/>
                <w:sz w:val="22"/>
                <w:lang w:eastAsia="en-AU"/>
              </w:rPr>
              <w:t>OCPE</w:t>
            </w:r>
          </w:p>
        </w:tc>
        <w:tc>
          <w:tcPr>
            <w:tcW w:w="1841" w:type="dxa"/>
            <w:tcBorders>
              <w:top w:val="outset" w:sz="6" w:space="0" w:color="auto"/>
              <w:left w:val="outset" w:sz="6" w:space="0" w:color="auto"/>
              <w:bottom w:val="outset" w:sz="6" w:space="0" w:color="auto"/>
              <w:right w:val="outset" w:sz="6" w:space="0" w:color="auto"/>
            </w:tcBorders>
          </w:tcPr>
          <w:p w14:paraId="61CF757F" w14:textId="77777777" w:rsidR="00407866" w:rsidRPr="004F7F40" w:rsidRDefault="00580791" w:rsidP="00FA17F2">
            <w:pPr>
              <w:spacing w:after="0"/>
              <w:rPr>
                <w:rFonts w:ascii="Arial" w:hAnsi="Arial" w:cs="Arial"/>
                <w:sz w:val="22"/>
                <w:lang w:eastAsia="en-AU"/>
              </w:rPr>
            </w:pPr>
            <w:r w:rsidRPr="004F7F40">
              <w:rPr>
                <w:rFonts w:ascii="Arial" w:hAnsi="Arial" w:cs="Arial"/>
                <w:sz w:val="22"/>
                <w:lang w:eastAsia="en-AU"/>
              </w:rPr>
              <w:t>Craig Allen</w:t>
            </w:r>
          </w:p>
          <w:p w14:paraId="689D8DBD" w14:textId="713A44F2"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Ken Simpson</w:t>
            </w:r>
          </w:p>
        </w:tc>
        <w:tc>
          <w:tcPr>
            <w:tcW w:w="1746" w:type="dxa"/>
            <w:tcBorders>
              <w:top w:val="outset" w:sz="6" w:space="0" w:color="auto"/>
              <w:left w:val="outset" w:sz="6" w:space="0" w:color="auto"/>
              <w:bottom w:val="outset" w:sz="6" w:space="0" w:color="auto"/>
              <w:right w:val="outset" w:sz="6" w:space="0" w:color="auto"/>
            </w:tcBorders>
          </w:tcPr>
          <w:p w14:paraId="74132DD4" w14:textId="793D54BA"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Majority,</w:t>
            </w:r>
            <w:r w:rsidRPr="004F7F40">
              <w:rPr>
                <w:rFonts w:ascii="Arial" w:eastAsia="Times New Roman" w:hAnsi="Arial" w:cs="Arial"/>
                <w:sz w:val="22"/>
              </w:rPr>
              <w:t xml:space="preserve"> until July 2015 (after multiple defections)</w:t>
            </w:r>
          </w:p>
        </w:tc>
      </w:tr>
      <w:tr w:rsidR="00780D72" w:rsidRPr="004F7F40" w14:paraId="27E150E5"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243CAA70" w14:textId="4E565494" w:rsidR="00580791" w:rsidRPr="004F7F40" w:rsidRDefault="00580791" w:rsidP="00FA17F2">
            <w:pPr>
              <w:spacing w:after="0"/>
              <w:rPr>
                <w:rFonts w:ascii="Arial" w:hAnsi="Arial" w:cs="Arial"/>
                <w:sz w:val="22"/>
              </w:rPr>
            </w:pPr>
            <w:r w:rsidRPr="004F7F40">
              <w:rPr>
                <w:rFonts w:ascii="Arial" w:hAnsi="Arial" w:cs="Arial"/>
                <w:sz w:val="22"/>
              </w:rPr>
              <w:t>29 Aug 2012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1C679A7" w14:textId="6E7B71EA"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13 Mar 2013</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3F96469"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Terry Mills</w:t>
            </w:r>
          </w:p>
        </w:tc>
        <w:tc>
          <w:tcPr>
            <w:tcW w:w="992" w:type="dxa"/>
            <w:tcBorders>
              <w:top w:val="outset" w:sz="6" w:space="0" w:color="auto"/>
              <w:left w:val="outset" w:sz="6" w:space="0" w:color="auto"/>
              <w:bottom w:val="outset" w:sz="6" w:space="0" w:color="auto"/>
              <w:right w:val="outset" w:sz="6" w:space="0" w:color="auto"/>
            </w:tcBorders>
            <w:vAlign w:val="center"/>
            <w:hideMark/>
          </w:tcPr>
          <w:p w14:paraId="542E2FBD"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CLP</w:t>
            </w:r>
          </w:p>
        </w:tc>
        <w:tc>
          <w:tcPr>
            <w:tcW w:w="1789" w:type="dxa"/>
            <w:tcBorders>
              <w:top w:val="outset" w:sz="6" w:space="0" w:color="auto"/>
              <w:left w:val="outset" w:sz="6" w:space="0" w:color="auto"/>
              <w:bottom w:val="outset" w:sz="6" w:space="0" w:color="auto"/>
              <w:right w:val="outset" w:sz="6" w:space="0" w:color="auto"/>
            </w:tcBorders>
          </w:tcPr>
          <w:p w14:paraId="1930BA0A" w14:textId="53A5540D" w:rsidR="00580791" w:rsidRPr="004F7F40" w:rsidRDefault="00B32971" w:rsidP="00FA17F2">
            <w:pPr>
              <w:spacing w:after="0"/>
              <w:rPr>
                <w:rFonts w:ascii="Arial" w:hAnsi="Arial" w:cs="Arial"/>
                <w:sz w:val="22"/>
                <w:lang w:eastAsia="en-AU"/>
              </w:rPr>
            </w:pPr>
            <w:r w:rsidRPr="004F7F40">
              <w:rPr>
                <w:rFonts w:ascii="Arial" w:hAnsi="Arial" w:cs="Arial"/>
                <w:sz w:val="22"/>
                <w:lang w:eastAsia="en-AU"/>
              </w:rPr>
              <w:t>OCPE</w:t>
            </w:r>
          </w:p>
        </w:tc>
        <w:tc>
          <w:tcPr>
            <w:tcW w:w="1841" w:type="dxa"/>
            <w:tcBorders>
              <w:top w:val="outset" w:sz="6" w:space="0" w:color="auto"/>
              <w:left w:val="outset" w:sz="6" w:space="0" w:color="auto"/>
              <w:bottom w:val="outset" w:sz="6" w:space="0" w:color="auto"/>
              <w:right w:val="outset" w:sz="6" w:space="0" w:color="auto"/>
            </w:tcBorders>
          </w:tcPr>
          <w:p w14:paraId="5D37B50D" w14:textId="76CC5DA0"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Ken Simpson</w:t>
            </w:r>
          </w:p>
        </w:tc>
        <w:tc>
          <w:tcPr>
            <w:tcW w:w="1746" w:type="dxa"/>
            <w:tcBorders>
              <w:top w:val="outset" w:sz="6" w:space="0" w:color="auto"/>
              <w:left w:val="outset" w:sz="6" w:space="0" w:color="auto"/>
              <w:bottom w:val="outset" w:sz="6" w:space="0" w:color="auto"/>
              <w:right w:val="outset" w:sz="6" w:space="0" w:color="auto"/>
            </w:tcBorders>
          </w:tcPr>
          <w:p w14:paraId="776DC8FC"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Majority</w:t>
            </w:r>
          </w:p>
        </w:tc>
      </w:tr>
      <w:tr w:rsidR="00780D72" w:rsidRPr="004F7F40" w14:paraId="513CDAD5"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1893F0A6" w14:textId="30063B4B"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26 Nov 2007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871C4D8" w14:textId="4B7B9131"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28 Aug</w:t>
            </w:r>
            <w:r w:rsidR="00B32971" w:rsidRPr="004F7F40">
              <w:rPr>
                <w:rFonts w:ascii="Arial" w:hAnsi="Arial" w:cs="Arial"/>
                <w:sz w:val="22"/>
                <w:lang w:eastAsia="en-AU"/>
              </w:rPr>
              <w:t xml:space="preserve"> </w:t>
            </w:r>
            <w:r w:rsidRPr="004F7F40">
              <w:rPr>
                <w:rFonts w:ascii="Arial" w:hAnsi="Arial" w:cs="Arial"/>
                <w:sz w:val="22"/>
                <w:lang w:eastAsia="en-AU"/>
              </w:rPr>
              <w:t>2012</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D18120A"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Paul Henderson</w:t>
            </w:r>
          </w:p>
        </w:tc>
        <w:tc>
          <w:tcPr>
            <w:tcW w:w="992" w:type="dxa"/>
            <w:tcBorders>
              <w:top w:val="outset" w:sz="6" w:space="0" w:color="auto"/>
              <w:left w:val="outset" w:sz="6" w:space="0" w:color="auto"/>
              <w:bottom w:val="outset" w:sz="6" w:space="0" w:color="auto"/>
              <w:right w:val="outset" w:sz="6" w:space="0" w:color="auto"/>
            </w:tcBorders>
            <w:vAlign w:val="center"/>
            <w:hideMark/>
          </w:tcPr>
          <w:p w14:paraId="5E982B19" w14:textId="77777777" w:rsidR="00580791" w:rsidRPr="004F7F40" w:rsidRDefault="00580791" w:rsidP="00FA17F2">
            <w:pPr>
              <w:spacing w:after="0"/>
              <w:rPr>
                <w:rFonts w:ascii="Arial" w:hAnsi="Arial" w:cs="Arial"/>
                <w:sz w:val="22"/>
                <w:lang w:eastAsia="en-AU"/>
              </w:rPr>
            </w:pPr>
            <w:proofErr w:type="spellStart"/>
            <w:r w:rsidRPr="004F7F40">
              <w:rPr>
                <w:rFonts w:ascii="Arial" w:hAnsi="Arial" w:cs="Arial"/>
                <w:sz w:val="22"/>
                <w:lang w:eastAsia="en-AU"/>
              </w:rPr>
              <w:t>Labor</w:t>
            </w:r>
            <w:proofErr w:type="spellEnd"/>
          </w:p>
        </w:tc>
        <w:tc>
          <w:tcPr>
            <w:tcW w:w="1789" w:type="dxa"/>
            <w:tcBorders>
              <w:top w:val="outset" w:sz="6" w:space="0" w:color="auto"/>
              <w:left w:val="outset" w:sz="6" w:space="0" w:color="auto"/>
              <w:bottom w:val="outset" w:sz="6" w:space="0" w:color="auto"/>
              <w:right w:val="outset" w:sz="6" w:space="0" w:color="auto"/>
            </w:tcBorders>
          </w:tcPr>
          <w:p w14:paraId="12E68342" w14:textId="08965390" w:rsidR="00580791" w:rsidRPr="004F7F40" w:rsidRDefault="00B32971" w:rsidP="00FA17F2">
            <w:pPr>
              <w:spacing w:after="0"/>
              <w:rPr>
                <w:rFonts w:ascii="Arial" w:hAnsi="Arial" w:cs="Arial"/>
                <w:sz w:val="22"/>
                <w:lang w:eastAsia="en-AU"/>
              </w:rPr>
            </w:pPr>
            <w:r w:rsidRPr="004F7F40">
              <w:rPr>
                <w:rFonts w:ascii="Arial" w:hAnsi="Arial" w:cs="Arial"/>
                <w:sz w:val="22"/>
                <w:lang w:eastAsia="en-AU"/>
              </w:rPr>
              <w:t>OCPE</w:t>
            </w:r>
          </w:p>
        </w:tc>
        <w:tc>
          <w:tcPr>
            <w:tcW w:w="1841" w:type="dxa"/>
            <w:tcBorders>
              <w:top w:val="outset" w:sz="6" w:space="0" w:color="auto"/>
              <w:left w:val="outset" w:sz="6" w:space="0" w:color="auto"/>
              <w:bottom w:val="outset" w:sz="6" w:space="0" w:color="auto"/>
              <w:right w:val="outset" w:sz="6" w:space="0" w:color="auto"/>
            </w:tcBorders>
          </w:tcPr>
          <w:p w14:paraId="202BEB6C" w14:textId="7D5DCF4C"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Ken Simpson</w:t>
            </w:r>
          </w:p>
        </w:tc>
        <w:tc>
          <w:tcPr>
            <w:tcW w:w="1746" w:type="dxa"/>
            <w:tcBorders>
              <w:top w:val="outset" w:sz="6" w:space="0" w:color="auto"/>
              <w:left w:val="outset" w:sz="6" w:space="0" w:color="auto"/>
              <w:bottom w:val="outset" w:sz="6" w:space="0" w:color="auto"/>
              <w:right w:val="outset" w:sz="6" w:space="0" w:color="auto"/>
            </w:tcBorders>
          </w:tcPr>
          <w:p w14:paraId="026AD18D"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Majority (minority from Aug 2009 – Aug 2012 with support of Independent)</w:t>
            </w:r>
          </w:p>
        </w:tc>
      </w:tr>
      <w:tr w:rsidR="00780D72" w:rsidRPr="004F7F40" w14:paraId="6C505AFE"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175DFC45" w14:textId="02EABC8E"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18 Aug 2001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2808A6A" w14:textId="5E7DED8D"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26 Nov 2007</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548DB0A"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Clare Martin </w:t>
            </w:r>
          </w:p>
        </w:tc>
        <w:tc>
          <w:tcPr>
            <w:tcW w:w="992" w:type="dxa"/>
            <w:tcBorders>
              <w:top w:val="outset" w:sz="6" w:space="0" w:color="auto"/>
              <w:left w:val="outset" w:sz="6" w:space="0" w:color="auto"/>
              <w:bottom w:val="outset" w:sz="6" w:space="0" w:color="auto"/>
              <w:right w:val="outset" w:sz="6" w:space="0" w:color="auto"/>
            </w:tcBorders>
            <w:vAlign w:val="center"/>
            <w:hideMark/>
          </w:tcPr>
          <w:p w14:paraId="6FA64E9D" w14:textId="77777777" w:rsidR="00580791" w:rsidRPr="004F7F40" w:rsidRDefault="00580791" w:rsidP="00FA17F2">
            <w:pPr>
              <w:spacing w:after="0"/>
              <w:rPr>
                <w:rFonts w:ascii="Arial" w:hAnsi="Arial" w:cs="Arial"/>
                <w:sz w:val="22"/>
                <w:lang w:eastAsia="en-AU"/>
              </w:rPr>
            </w:pPr>
            <w:proofErr w:type="spellStart"/>
            <w:r w:rsidRPr="004F7F40">
              <w:rPr>
                <w:rFonts w:ascii="Arial" w:hAnsi="Arial" w:cs="Arial"/>
                <w:sz w:val="22"/>
                <w:lang w:eastAsia="en-AU"/>
              </w:rPr>
              <w:t>Labor</w:t>
            </w:r>
            <w:proofErr w:type="spellEnd"/>
          </w:p>
        </w:tc>
        <w:tc>
          <w:tcPr>
            <w:tcW w:w="1789" w:type="dxa"/>
            <w:tcBorders>
              <w:top w:val="outset" w:sz="6" w:space="0" w:color="auto"/>
              <w:left w:val="outset" w:sz="6" w:space="0" w:color="auto"/>
              <w:bottom w:val="outset" w:sz="6" w:space="0" w:color="auto"/>
              <w:right w:val="outset" w:sz="6" w:space="0" w:color="auto"/>
            </w:tcBorders>
          </w:tcPr>
          <w:p w14:paraId="11A45078" w14:textId="0A1070D1" w:rsidR="00580791" w:rsidRPr="004F7F40" w:rsidRDefault="00B32971" w:rsidP="00FA17F2">
            <w:pPr>
              <w:spacing w:after="0"/>
              <w:rPr>
                <w:rFonts w:ascii="Arial" w:hAnsi="Arial" w:cs="Arial"/>
                <w:sz w:val="22"/>
                <w:lang w:eastAsia="en-AU"/>
              </w:rPr>
            </w:pPr>
            <w:r w:rsidRPr="004F7F40">
              <w:rPr>
                <w:rFonts w:ascii="Arial" w:hAnsi="Arial" w:cs="Arial"/>
                <w:sz w:val="22"/>
                <w:lang w:eastAsia="en-AU"/>
              </w:rPr>
              <w:t>OCPE</w:t>
            </w:r>
          </w:p>
        </w:tc>
        <w:tc>
          <w:tcPr>
            <w:tcW w:w="1841" w:type="dxa"/>
            <w:tcBorders>
              <w:top w:val="outset" w:sz="6" w:space="0" w:color="auto"/>
              <w:left w:val="outset" w:sz="6" w:space="0" w:color="auto"/>
              <w:bottom w:val="outset" w:sz="6" w:space="0" w:color="auto"/>
              <w:right w:val="outset" w:sz="6" w:space="0" w:color="auto"/>
            </w:tcBorders>
          </w:tcPr>
          <w:p w14:paraId="276026C0" w14:textId="0B43CD34"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Ken Simpson John Kirwan Graham Symons</w:t>
            </w:r>
            <w:r w:rsidR="00B32971" w:rsidRPr="004F7F40">
              <w:rPr>
                <w:rFonts w:ascii="Arial" w:hAnsi="Arial" w:cs="Arial"/>
                <w:sz w:val="22"/>
                <w:lang w:eastAsia="en-AU"/>
              </w:rPr>
              <w:br/>
            </w:r>
            <w:r w:rsidRPr="004F7F40">
              <w:rPr>
                <w:rFonts w:ascii="Arial" w:hAnsi="Arial" w:cs="Arial"/>
                <w:sz w:val="22"/>
                <w:lang w:eastAsia="en-AU"/>
              </w:rPr>
              <w:t>David Hawkes</w:t>
            </w:r>
          </w:p>
        </w:tc>
        <w:tc>
          <w:tcPr>
            <w:tcW w:w="1746" w:type="dxa"/>
            <w:tcBorders>
              <w:top w:val="outset" w:sz="6" w:space="0" w:color="auto"/>
              <w:left w:val="outset" w:sz="6" w:space="0" w:color="auto"/>
              <w:bottom w:val="outset" w:sz="6" w:space="0" w:color="auto"/>
              <w:right w:val="outset" w:sz="6" w:space="0" w:color="auto"/>
            </w:tcBorders>
          </w:tcPr>
          <w:p w14:paraId="02F782DE"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Majority</w:t>
            </w:r>
          </w:p>
        </w:tc>
      </w:tr>
      <w:tr w:rsidR="00780D72" w:rsidRPr="004F7F40" w14:paraId="50E43138"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6438B902" w14:textId="1345EE08"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8 Feb 1999</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5ADC3EB" w14:textId="200F1184"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17 Aug 2001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1B7A86F"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Denis Burke</w:t>
            </w:r>
          </w:p>
        </w:tc>
        <w:tc>
          <w:tcPr>
            <w:tcW w:w="992" w:type="dxa"/>
            <w:tcBorders>
              <w:top w:val="outset" w:sz="6" w:space="0" w:color="auto"/>
              <w:left w:val="outset" w:sz="6" w:space="0" w:color="auto"/>
              <w:bottom w:val="outset" w:sz="6" w:space="0" w:color="auto"/>
              <w:right w:val="outset" w:sz="6" w:space="0" w:color="auto"/>
            </w:tcBorders>
            <w:vAlign w:val="center"/>
            <w:hideMark/>
          </w:tcPr>
          <w:p w14:paraId="46FBA3C5"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CLP</w:t>
            </w:r>
          </w:p>
        </w:tc>
        <w:tc>
          <w:tcPr>
            <w:tcW w:w="1789" w:type="dxa"/>
            <w:tcBorders>
              <w:top w:val="outset" w:sz="6" w:space="0" w:color="auto"/>
              <w:left w:val="outset" w:sz="6" w:space="0" w:color="auto"/>
              <w:bottom w:val="outset" w:sz="6" w:space="0" w:color="auto"/>
              <w:right w:val="outset" w:sz="6" w:space="0" w:color="auto"/>
            </w:tcBorders>
          </w:tcPr>
          <w:p w14:paraId="5BE02B9B" w14:textId="33C4A990" w:rsidR="00580791" w:rsidRPr="004F7F40" w:rsidRDefault="00B32971" w:rsidP="00FA17F2">
            <w:pPr>
              <w:spacing w:after="0"/>
              <w:rPr>
                <w:rFonts w:ascii="Arial" w:hAnsi="Arial" w:cs="Arial"/>
                <w:sz w:val="22"/>
                <w:lang w:eastAsia="en-AU"/>
              </w:rPr>
            </w:pPr>
            <w:r w:rsidRPr="004F7F40">
              <w:rPr>
                <w:rFonts w:ascii="Arial" w:hAnsi="Arial" w:cs="Arial"/>
                <w:sz w:val="22"/>
                <w:lang w:eastAsia="en-AU"/>
              </w:rPr>
              <w:t>OCPE</w:t>
            </w:r>
          </w:p>
        </w:tc>
        <w:tc>
          <w:tcPr>
            <w:tcW w:w="1841" w:type="dxa"/>
            <w:tcBorders>
              <w:top w:val="outset" w:sz="6" w:space="0" w:color="auto"/>
              <w:left w:val="outset" w:sz="6" w:space="0" w:color="auto"/>
              <w:bottom w:val="outset" w:sz="6" w:space="0" w:color="auto"/>
              <w:right w:val="outset" w:sz="6" w:space="0" w:color="auto"/>
            </w:tcBorders>
          </w:tcPr>
          <w:p w14:paraId="6E58414A" w14:textId="67AFBC85"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David Hawkes</w:t>
            </w:r>
          </w:p>
        </w:tc>
        <w:tc>
          <w:tcPr>
            <w:tcW w:w="1746" w:type="dxa"/>
            <w:tcBorders>
              <w:top w:val="outset" w:sz="6" w:space="0" w:color="auto"/>
              <w:left w:val="outset" w:sz="6" w:space="0" w:color="auto"/>
              <w:bottom w:val="outset" w:sz="6" w:space="0" w:color="auto"/>
              <w:right w:val="outset" w:sz="6" w:space="0" w:color="auto"/>
            </w:tcBorders>
          </w:tcPr>
          <w:p w14:paraId="55097851"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Majority</w:t>
            </w:r>
          </w:p>
        </w:tc>
      </w:tr>
      <w:tr w:rsidR="00780D72" w:rsidRPr="004F7F40" w14:paraId="7A1E0695"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3FF638DA"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25 May 1995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2174E05" w14:textId="1D0DACB1"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7 Feb</w:t>
            </w:r>
            <w:r w:rsidR="00B32971" w:rsidRPr="004F7F40">
              <w:rPr>
                <w:rFonts w:ascii="Arial" w:hAnsi="Arial" w:cs="Arial"/>
                <w:sz w:val="22"/>
                <w:lang w:eastAsia="en-AU"/>
              </w:rPr>
              <w:t xml:space="preserve"> </w:t>
            </w:r>
            <w:r w:rsidRPr="004F7F40">
              <w:rPr>
                <w:rFonts w:ascii="Arial" w:hAnsi="Arial" w:cs="Arial"/>
                <w:sz w:val="22"/>
                <w:lang w:eastAsia="en-AU"/>
              </w:rPr>
              <w:t>1999</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527EF7E"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Shane Stone</w:t>
            </w:r>
          </w:p>
        </w:tc>
        <w:tc>
          <w:tcPr>
            <w:tcW w:w="992" w:type="dxa"/>
            <w:tcBorders>
              <w:top w:val="outset" w:sz="6" w:space="0" w:color="auto"/>
              <w:left w:val="outset" w:sz="6" w:space="0" w:color="auto"/>
              <w:bottom w:val="outset" w:sz="6" w:space="0" w:color="auto"/>
              <w:right w:val="outset" w:sz="6" w:space="0" w:color="auto"/>
            </w:tcBorders>
            <w:vAlign w:val="center"/>
            <w:hideMark/>
          </w:tcPr>
          <w:p w14:paraId="12058DA4"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CLP</w:t>
            </w:r>
          </w:p>
        </w:tc>
        <w:tc>
          <w:tcPr>
            <w:tcW w:w="1789" w:type="dxa"/>
            <w:tcBorders>
              <w:top w:val="outset" w:sz="6" w:space="0" w:color="auto"/>
              <w:left w:val="outset" w:sz="6" w:space="0" w:color="auto"/>
              <w:bottom w:val="outset" w:sz="6" w:space="0" w:color="auto"/>
              <w:right w:val="outset" w:sz="6" w:space="0" w:color="auto"/>
            </w:tcBorders>
          </w:tcPr>
          <w:p w14:paraId="0D956010" w14:textId="206B7392" w:rsidR="00580791" w:rsidRPr="004F7F40" w:rsidRDefault="00B32971" w:rsidP="00FA17F2">
            <w:pPr>
              <w:spacing w:after="0"/>
              <w:rPr>
                <w:rFonts w:ascii="Arial" w:hAnsi="Arial" w:cs="Arial"/>
                <w:sz w:val="22"/>
                <w:lang w:eastAsia="en-AU"/>
              </w:rPr>
            </w:pPr>
            <w:r w:rsidRPr="004F7F40">
              <w:rPr>
                <w:rFonts w:ascii="Arial" w:hAnsi="Arial" w:cs="Arial"/>
                <w:sz w:val="22"/>
                <w:lang w:eastAsia="en-AU"/>
              </w:rPr>
              <w:t>Office of the Commissioner for Public Employment</w:t>
            </w:r>
          </w:p>
        </w:tc>
        <w:tc>
          <w:tcPr>
            <w:tcW w:w="1841" w:type="dxa"/>
            <w:tcBorders>
              <w:top w:val="outset" w:sz="6" w:space="0" w:color="auto"/>
              <w:left w:val="outset" w:sz="6" w:space="0" w:color="auto"/>
              <w:bottom w:val="outset" w:sz="6" w:space="0" w:color="auto"/>
              <w:right w:val="outset" w:sz="6" w:space="0" w:color="auto"/>
            </w:tcBorders>
          </w:tcPr>
          <w:p w14:paraId="120AB74B" w14:textId="22DC008D" w:rsidR="00580791" w:rsidRPr="004F7F40" w:rsidRDefault="00580791" w:rsidP="00FA17F2">
            <w:pPr>
              <w:spacing w:after="0"/>
              <w:rPr>
                <w:rFonts w:ascii="Arial" w:hAnsi="Arial" w:cs="Arial"/>
                <w:sz w:val="22"/>
              </w:rPr>
            </w:pPr>
            <w:r w:rsidRPr="004F7F40">
              <w:rPr>
                <w:rFonts w:ascii="Arial" w:hAnsi="Arial" w:cs="Arial"/>
                <w:sz w:val="22"/>
                <w:lang w:eastAsia="en-AU"/>
              </w:rPr>
              <w:t>David Hawkes</w:t>
            </w:r>
            <w:r w:rsidR="00B32971" w:rsidRPr="004F7F40">
              <w:rPr>
                <w:rFonts w:ascii="Arial" w:hAnsi="Arial" w:cs="Arial"/>
                <w:sz w:val="22"/>
                <w:lang w:eastAsia="en-AU"/>
              </w:rPr>
              <w:t xml:space="preserve"> </w:t>
            </w:r>
            <w:r w:rsidR="00407866" w:rsidRPr="004F7F40">
              <w:rPr>
                <w:rFonts w:ascii="Arial" w:hAnsi="Arial" w:cs="Arial"/>
                <w:sz w:val="22"/>
                <w:lang w:eastAsia="en-AU"/>
              </w:rPr>
              <w:t>(</w:t>
            </w:r>
            <w:r w:rsidR="00B32971" w:rsidRPr="004F7F40">
              <w:rPr>
                <w:rFonts w:ascii="Arial" w:hAnsi="Arial" w:cs="Arial"/>
                <w:sz w:val="22"/>
                <w:lang w:eastAsia="en-AU"/>
              </w:rPr>
              <w:t>Commissioner for Public Employment</w:t>
            </w:r>
            <w:r w:rsidR="00407866" w:rsidRPr="004F7F40">
              <w:rPr>
                <w:rFonts w:ascii="Arial" w:hAnsi="Arial" w:cs="Arial"/>
                <w:sz w:val="22"/>
                <w:lang w:eastAsia="en-AU"/>
              </w:rPr>
              <w:t>)</w:t>
            </w:r>
          </w:p>
        </w:tc>
        <w:tc>
          <w:tcPr>
            <w:tcW w:w="1746" w:type="dxa"/>
            <w:tcBorders>
              <w:top w:val="outset" w:sz="6" w:space="0" w:color="auto"/>
              <w:left w:val="outset" w:sz="6" w:space="0" w:color="auto"/>
              <w:bottom w:val="outset" w:sz="6" w:space="0" w:color="auto"/>
              <w:right w:val="outset" w:sz="6" w:space="0" w:color="auto"/>
            </w:tcBorders>
          </w:tcPr>
          <w:p w14:paraId="6DBABDA8" w14:textId="77777777" w:rsidR="00580791" w:rsidRPr="004F7F40" w:rsidRDefault="00580791" w:rsidP="00FA17F2">
            <w:pPr>
              <w:spacing w:after="0"/>
              <w:rPr>
                <w:rFonts w:ascii="Arial" w:hAnsi="Arial" w:cs="Arial"/>
                <w:sz w:val="22"/>
              </w:rPr>
            </w:pPr>
            <w:r w:rsidRPr="004F7F40">
              <w:rPr>
                <w:rFonts w:ascii="Arial" w:hAnsi="Arial" w:cs="Arial"/>
                <w:sz w:val="22"/>
              </w:rPr>
              <w:t>Majority</w:t>
            </w:r>
          </w:p>
        </w:tc>
      </w:tr>
      <w:tr w:rsidR="00780D72" w:rsidRPr="004F7F40" w14:paraId="73790CC0"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45D2199F" w14:textId="48E9A2B4"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13 Jul 1988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619196E"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24 May 1995</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0C00123"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 xml:space="preserve">Marshall Perron </w:t>
            </w:r>
          </w:p>
        </w:tc>
        <w:tc>
          <w:tcPr>
            <w:tcW w:w="992" w:type="dxa"/>
            <w:tcBorders>
              <w:top w:val="outset" w:sz="6" w:space="0" w:color="auto"/>
              <w:left w:val="outset" w:sz="6" w:space="0" w:color="auto"/>
              <w:bottom w:val="outset" w:sz="6" w:space="0" w:color="auto"/>
              <w:right w:val="outset" w:sz="6" w:space="0" w:color="auto"/>
            </w:tcBorders>
            <w:vAlign w:val="center"/>
            <w:hideMark/>
          </w:tcPr>
          <w:p w14:paraId="7AC221A0"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CLP</w:t>
            </w:r>
          </w:p>
        </w:tc>
        <w:tc>
          <w:tcPr>
            <w:tcW w:w="1789" w:type="dxa"/>
            <w:tcBorders>
              <w:top w:val="outset" w:sz="6" w:space="0" w:color="auto"/>
              <w:left w:val="outset" w:sz="6" w:space="0" w:color="auto"/>
              <w:bottom w:val="outset" w:sz="6" w:space="0" w:color="auto"/>
              <w:right w:val="outset" w:sz="6" w:space="0" w:color="auto"/>
            </w:tcBorders>
          </w:tcPr>
          <w:p w14:paraId="3E082DDA" w14:textId="2D1B6620" w:rsidR="00580791" w:rsidRPr="004F7F40" w:rsidRDefault="00B32971" w:rsidP="00FA17F2">
            <w:pPr>
              <w:spacing w:after="0"/>
              <w:rPr>
                <w:rFonts w:ascii="Arial" w:hAnsi="Arial" w:cs="Arial"/>
                <w:sz w:val="22"/>
                <w:lang w:eastAsia="en-AU"/>
              </w:rPr>
            </w:pPr>
            <w:r w:rsidRPr="004F7F40">
              <w:rPr>
                <w:rFonts w:ascii="Arial" w:hAnsi="Arial" w:cs="Arial"/>
                <w:sz w:val="22"/>
                <w:lang w:eastAsia="en-AU"/>
              </w:rPr>
              <w:t>Public Service Commissioner (until 1993)</w:t>
            </w:r>
          </w:p>
        </w:tc>
        <w:tc>
          <w:tcPr>
            <w:tcW w:w="1841" w:type="dxa"/>
            <w:tcBorders>
              <w:top w:val="outset" w:sz="6" w:space="0" w:color="auto"/>
              <w:left w:val="outset" w:sz="6" w:space="0" w:color="auto"/>
              <w:bottom w:val="outset" w:sz="6" w:space="0" w:color="auto"/>
              <w:right w:val="outset" w:sz="6" w:space="0" w:color="auto"/>
            </w:tcBorders>
          </w:tcPr>
          <w:p w14:paraId="5FB87213" w14:textId="4323F7AB" w:rsidR="00580791" w:rsidRPr="004F7F40" w:rsidRDefault="00580791" w:rsidP="00FA17F2">
            <w:pPr>
              <w:spacing w:after="0"/>
              <w:rPr>
                <w:rFonts w:ascii="Arial" w:hAnsi="Arial" w:cs="Arial"/>
                <w:sz w:val="22"/>
              </w:rPr>
            </w:pPr>
            <w:r w:rsidRPr="004F7F40">
              <w:rPr>
                <w:rFonts w:ascii="Arial" w:hAnsi="Arial" w:cs="Arial"/>
                <w:sz w:val="22"/>
                <w:lang w:eastAsia="en-AU"/>
              </w:rPr>
              <w:t xml:space="preserve">David Hawkes </w:t>
            </w:r>
            <w:r w:rsidRPr="004F7F40">
              <w:rPr>
                <w:rFonts w:ascii="Arial" w:hAnsi="Arial" w:cs="Arial"/>
                <w:sz w:val="22"/>
              </w:rPr>
              <w:t>Syd Saville</w:t>
            </w:r>
          </w:p>
        </w:tc>
        <w:tc>
          <w:tcPr>
            <w:tcW w:w="1746" w:type="dxa"/>
            <w:tcBorders>
              <w:top w:val="outset" w:sz="6" w:space="0" w:color="auto"/>
              <w:left w:val="outset" w:sz="6" w:space="0" w:color="auto"/>
              <w:bottom w:val="outset" w:sz="6" w:space="0" w:color="auto"/>
              <w:right w:val="outset" w:sz="6" w:space="0" w:color="auto"/>
            </w:tcBorders>
          </w:tcPr>
          <w:p w14:paraId="0B71879A" w14:textId="77777777" w:rsidR="00580791" w:rsidRPr="004F7F40" w:rsidRDefault="00580791" w:rsidP="00FA17F2">
            <w:pPr>
              <w:spacing w:after="0"/>
              <w:rPr>
                <w:rFonts w:ascii="Arial" w:hAnsi="Arial" w:cs="Arial"/>
                <w:sz w:val="22"/>
              </w:rPr>
            </w:pPr>
            <w:r w:rsidRPr="004F7F40">
              <w:rPr>
                <w:rFonts w:ascii="Arial" w:hAnsi="Arial" w:cs="Arial"/>
                <w:sz w:val="22"/>
              </w:rPr>
              <w:t>Majority</w:t>
            </w:r>
          </w:p>
        </w:tc>
      </w:tr>
      <w:tr w:rsidR="00780D72" w:rsidRPr="004F7F40" w14:paraId="015FCAB4"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0164C1A0"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14 May 1986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EA21C95" w14:textId="46110D2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12 Jul 1988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6B713F5"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 xml:space="preserve">Stephen Hatton </w:t>
            </w:r>
          </w:p>
        </w:tc>
        <w:tc>
          <w:tcPr>
            <w:tcW w:w="992" w:type="dxa"/>
            <w:tcBorders>
              <w:top w:val="outset" w:sz="6" w:space="0" w:color="auto"/>
              <w:left w:val="outset" w:sz="6" w:space="0" w:color="auto"/>
              <w:bottom w:val="outset" w:sz="6" w:space="0" w:color="auto"/>
              <w:right w:val="outset" w:sz="6" w:space="0" w:color="auto"/>
            </w:tcBorders>
            <w:vAlign w:val="center"/>
            <w:hideMark/>
          </w:tcPr>
          <w:p w14:paraId="17BEC359"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CLP</w:t>
            </w:r>
          </w:p>
        </w:tc>
        <w:tc>
          <w:tcPr>
            <w:tcW w:w="1789" w:type="dxa"/>
            <w:tcBorders>
              <w:top w:val="outset" w:sz="6" w:space="0" w:color="auto"/>
              <w:left w:val="outset" w:sz="6" w:space="0" w:color="auto"/>
              <w:bottom w:val="outset" w:sz="6" w:space="0" w:color="auto"/>
              <w:right w:val="outset" w:sz="6" w:space="0" w:color="auto"/>
            </w:tcBorders>
          </w:tcPr>
          <w:p w14:paraId="0A3C7080" w14:textId="1843463C" w:rsidR="00580791" w:rsidRPr="004F7F40" w:rsidRDefault="00B32971" w:rsidP="00FA17F2">
            <w:pPr>
              <w:spacing w:after="0"/>
              <w:rPr>
                <w:rFonts w:ascii="Arial" w:hAnsi="Arial" w:cs="Arial"/>
                <w:sz w:val="22"/>
              </w:rPr>
            </w:pPr>
            <w:r w:rsidRPr="004F7F40">
              <w:rPr>
                <w:rFonts w:ascii="Arial" w:hAnsi="Arial" w:cs="Arial"/>
                <w:sz w:val="22"/>
                <w:lang w:eastAsia="en-AU"/>
              </w:rPr>
              <w:t>Public Service Commissioner</w:t>
            </w:r>
          </w:p>
        </w:tc>
        <w:tc>
          <w:tcPr>
            <w:tcW w:w="1841" w:type="dxa"/>
            <w:tcBorders>
              <w:top w:val="outset" w:sz="6" w:space="0" w:color="auto"/>
              <w:left w:val="outset" w:sz="6" w:space="0" w:color="auto"/>
              <w:bottom w:val="outset" w:sz="6" w:space="0" w:color="auto"/>
              <w:right w:val="outset" w:sz="6" w:space="0" w:color="auto"/>
            </w:tcBorders>
          </w:tcPr>
          <w:p w14:paraId="5828A55C" w14:textId="55E1224D" w:rsidR="00580791" w:rsidRPr="004F7F40" w:rsidRDefault="00580791" w:rsidP="00FA17F2">
            <w:pPr>
              <w:spacing w:after="0"/>
              <w:rPr>
                <w:rFonts w:ascii="Arial" w:hAnsi="Arial" w:cs="Arial"/>
                <w:sz w:val="22"/>
              </w:rPr>
            </w:pPr>
            <w:r w:rsidRPr="004F7F40">
              <w:rPr>
                <w:rFonts w:ascii="Arial" w:hAnsi="Arial" w:cs="Arial"/>
                <w:sz w:val="22"/>
              </w:rPr>
              <w:t xml:space="preserve">Syd Saville </w:t>
            </w:r>
            <w:r w:rsidRPr="004F7F40">
              <w:rPr>
                <w:rFonts w:ascii="Arial" w:hAnsi="Arial" w:cs="Arial"/>
                <w:sz w:val="22"/>
                <w:lang w:eastAsia="en-AU"/>
              </w:rPr>
              <w:t>Keith Fleming</w:t>
            </w:r>
          </w:p>
        </w:tc>
        <w:tc>
          <w:tcPr>
            <w:tcW w:w="1746" w:type="dxa"/>
            <w:tcBorders>
              <w:top w:val="outset" w:sz="6" w:space="0" w:color="auto"/>
              <w:left w:val="outset" w:sz="6" w:space="0" w:color="auto"/>
              <w:bottom w:val="outset" w:sz="6" w:space="0" w:color="auto"/>
              <w:right w:val="outset" w:sz="6" w:space="0" w:color="auto"/>
            </w:tcBorders>
          </w:tcPr>
          <w:p w14:paraId="403B2C7B" w14:textId="77777777" w:rsidR="00580791" w:rsidRPr="004F7F40" w:rsidRDefault="00580791" w:rsidP="00FA17F2">
            <w:pPr>
              <w:spacing w:after="0"/>
              <w:rPr>
                <w:rFonts w:ascii="Arial" w:hAnsi="Arial" w:cs="Arial"/>
                <w:sz w:val="22"/>
              </w:rPr>
            </w:pPr>
            <w:r w:rsidRPr="004F7F40">
              <w:rPr>
                <w:rFonts w:ascii="Arial" w:hAnsi="Arial" w:cs="Arial"/>
                <w:sz w:val="22"/>
              </w:rPr>
              <w:t>Majority</w:t>
            </w:r>
          </w:p>
        </w:tc>
      </w:tr>
      <w:tr w:rsidR="00780D72" w:rsidRPr="004F7F40" w14:paraId="02B32B9E"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032DAE69" w14:textId="6473C8C2"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lastRenderedPageBreak/>
              <w:t>16 Oct</w:t>
            </w:r>
            <w:r w:rsidR="00B32971" w:rsidRPr="004F7F40">
              <w:rPr>
                <w:rFonts w:ascii="Arial" w:hAnsi="Arial" w:cs="Arial"/>
                <w:sz w:val="22"/>
                <w:lang w:eastAsia="en-AU"/>
              </w:rPr>
              <w:t xml:space="preserve"> </w:t>
            </w:r>
            <w:r w:rsidRPr="004F7F40">
              <w:rPr>
                <w:rFonts w:ascii="Arial" w:hAnsi="Arial" w:cs="Arial"/>
                <w:sz w:val="22"/>
                <w:lang w:eastAsia="en-AU"/>
              </w:rPr>
              <w:t>1984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8DC1929"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13 May 1986</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BE2F18D"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 xml:space="preserve">Ian </w:t>
            </w:r>
            <w:proofErr w:type="spellStart"/>
            <w:r w:rsidRPr="004F7F40">
              <w:rPr>
                <w:rFonts w:ascii="Arial" w:hAnsi="Arial" w:cs="Arial"/>
                <w:sz w:val="22"/>
                <w:lang w:eastAsia="en-AU"/>
              </w:rPr>
              <w:t>Tuxworth</w:t>
            </w:r>
            <w:proofErr w:type="spellEnd"/>
          </w:p>
        </w:tc>
        <w:tc>
          <w:tcPr>
            <w:tcW w:w="992" w:type="dxa"/>
            <w:tcBorders>
              <w:top w:val="outset" w:sz="6" w:space="0" w:color="auto"/>
              <w:left w:val="outset" w:sz="6" w:space="0" w:color="auto"/>
              <w:bottom w:val="outset" w:sz="6" w:space="0" w:color="auto"/>
              <w:right w:val="outset" w:sz="6" w:space="0" w:color="auto"/>
            </w:tcBorders>
            <w:vAlign w:val="center"/>
            <w:hideMark/>
          </w:tcPr>
          <w:p w14:paraId="6FCF2019"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CLP</w:t>
            </w:r>
          </w:p>
        </w:tc>
        <w:tc>
          <w:tcPr>
            <w:tcW w:w="1789" w:type="dxa"/>
            <w:tcBorders>
              <w:top w:val="outset" w:sz="6" w:space="0" w:color="auto"/>
              <w:left w:val="outset" w:sz="6" w:space="0" w:color="auto"/>
              <w:bottom w:val="outset" w:sz="6" w:space="0" w:color="auto"/>
              <w:right w:val="outset" w:sz="6" w:space="0" w:color="auto"/>
            </w:tcBorders>
          </w:tcPr>
          <w:p w14:paraId="6A76284C" w14:textId="180BD050" w:rsidR="00580791" w:rsidRPr="004F7F40" w:rsidRDefault="00B32971" w:rsidP="00FA17F2">
            <w:pPr>
              <w:spacing w:after="0"/>
              <w:rPr>
                <w:rFonts w:ascii="Arial" w:hAnsi="Arial" w:cs="Arial"/>
                <w:sz w:val="22"/>
                <w:lang w:eastAsia="en-AU"/>
              </w:rPr>
            </w:pPr>
            <w:r w:rsidRPr="004F7F40">
              <w:rPr>
                <w:rFonts w:ascii="Arial" w:hAnsi="Arial" w:cs="Arial"/>
                <w:sz w:val="22"/>
                <w:lang w:eastAsia="en-AU"/>
              </w:rPr>
              <w:t>Public Service Commissioner</w:t>
            </w:r>
          </w:p>
        </w:tc>
        <w:tc>
          <w:tcPr>
            <w:tcW w:w="1841" w:type="dxa"/>
            <w:tcBorders>
              <w:top w:val="outset" w:sz="6" w:space="0" w:color="auto"/>
              <w:left w:val="outset" w:sz="6" w:space="0" w:color="auto"/>
              <w:bottom w:val="outset" w:sz="6" w:space="0" w:color="auto"/>
              <w:right w:val="outset" w:sz="6" w:space="0" w:color="auto"/>
            </w:tcBorders>
          </w:tcPr>
          <w:p w14:paraId="6D7FD011" w14:textId="38EDD33E"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Keith Fleming Ken Pope</w:t>
            </w:r>
          </w:p>
        </w:tc>
        <w:tc>
          <w:tcPr>
            <w:tcW w:w="1746" w:type="dxa"/>
            <w:tcBorders>
              <w:top w:val="outset" w:sz="6" w:space="0" w:color="auto"/>
              <w:left w:val="outset" w:sz="6" w:space="0" w:color="auto"/>
              <w:bottom w:val="outset" w:sz="6" w:space="0" w:color="auto"/>
              <w:right w:val="outset" w:sz="6" w:space="0" w:color="auto"/>
            </w:tcBorders>
          </w:tcPr>
          <w:p w14:paraId="188D9953"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Majority</w:t>
            </w:r>
          </w:p>
        </w:tc>
      </w:tr>
      <w:tr w:rsidR="00780D72" w:rsidRPr="004F7F40" w14:paraId="3BC1F9F3" w14:textId="77777777" w:rsidTr="00B32971">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375E768E" w14:textId="065C651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1 Jul 1978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A6EE305" w14:textId="17327919"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15 Oct 1984</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A9F31E0"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 xml:space="preserve">Paul Everingham </w:t>
            </w:r>
          </w:p>
        </w:tc>
        <w:tc>
          <w:tcPr>
            <w:tcW w:w="992" w:type="dxa"/>
            <w:tcBorders>
              <w:top w:val="outset" w:sz="6" w:space="0" w:color="auto"/>
              <w:left w:val="outset" w:sz="6" w:space="0" w:color="auto"/>
              <w:bottom w:val="outset" w:sz="6" w:space="0" w:color="auto"/>
              <w:right w:val="outset" w:sz="6" w:space="0" w:color="auto"/>
            </w:tcBorders>
            <w:vAlign w:val="center"/>
            <w:hideMark/>
          </w:tcPr>
          <w:p w14:paraId="6C5046A9"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CLP</w:t>
            </w:r>
          </w:p>
        </w:tc>
        <w:tc>
          <w:tcPr>
            <w:tcW w:w="1789" w:type="dxa"/>
            <w:tcBorders>
              <w:top w:val="outset" w:sz="6" w:space="0" w:color="auto"/>
              <w:left w:val="outset" w:sz="6" w:space="0" w:color="auto"/>
              <w:bottom w:val="outset" w:sz="6" w:space="0" w:color="auto"/>
              <w:right w:val="outset" w:sz="6" w:space="0" w:color="auto"/>
            </w:tcBorders>
          </w:tcPr>
          <w:p w14:paraId="3C355A2A" w14:textId="6263D927" w:rsidR="00580791" w:rsidRPr="004F7F40" w:rsidRDefault="00B32971" w:rsidP="00FA17F2">
            <w:pPr>
              <w:spacing w:after="0"/>
              <w:rPr>
                <w:rFonts w:ascii="Arial" w:hAnsi="Arial" w:cs="Arial"/>
                <w:sz w:val="22"/>
                <w:lang w:eastAsia="en-AU"/>
              </w:rPr>
            </w:pPr>
            <w:r w:rsidRPr="004F7F40">
              <w:rPr>
                <w:rFonts w:ascii="Arial" w:hAnsi="Arial" w:cs="Arial"/>
                <w:sz w:val="22"/>
                <w:lang w:eastAsia="en-AU"/>
              </w:rPr>
              <w:t>Public Service Commissioner</w:t>
            </w:r>
          </w:p>
        </w:tc>
        <w:tc>
          <w:tcPr>
            <w:tcW w:w="1841" w:type="dxa"/>
            <w:tcBorders>
              <w:top w:val="outset" w:sz="6" w:space="0" w:color="auto"/>
              <w:left w:val="outset" w:sz="6" w:space="0" w:color="auto"/>
              <w:bottom w:val="outset" w:sz="6" w:space="0" w:color="auto"/>
              <w:right w:val="outset" w:sz="6" w:space="0" w:color="auto"/>
            </w:tcBorders>
          </w:tcPr>
          <w:p w14:paraId="1DFD0E81" w14:textId="60BBABFC"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Ken Pope (inaugural, from Jul</w:t>
            </w:r>
            <w:r w:rsidR="00A55C6C" w:rsidRPr="004F7F40">
              <w:rPr>
                <w:rFonts w:ascii="Arial" w:hAnsi="Arial" w:cs="Arial"/>
                <w:sz w:val="22"/>
                <w:lang w:eastAsia="en-AU"/>
              </w:rPr>
              <w:t>y</w:t>
            </w:r>
            <w:r w:rsidRPr="004F7F40">
              <w:rPr>
                <w:rFonts w:ascii="Arial" w:hAnsi="Arial" w:cs="Arial"/>
                <w:sz w:val="22"/>
                <w:lang w:eastAsia="en-AU"/>
              </w:rPr>
              <w:t xml:space="preserve"> 1978)</w:t>
            </w:r>
          </w:p>
        </w:tc>
        <w:tc>
          <w:tcPr>
            <w:tcW w:w="1746" w:type="dxa"/>
            <w:tcBorders>
              <w:top w:val="outset" w:sz="6" w:space="0" w:color="auto"/>
              <w:left w:val="outset" w:sz="6" w:space="0" w:color="auto"/>
              <w:bottom w:val="outset" w:sz="6" w:space="0" w:color="auto"/>
              <w:right w:val="outset" w:sz="6" w:space="0" w:color="auto"/>
            </w:tcBorders>
          </w:tcPr>
          <w:p w14:paraId="7852F373" w14:textId="77777777" w:rsidR="00580791" w:rsidRPr="004F7F40" w:rsidRDefault="00580791" w:rsidP="00FA17F2">
            <w:pPr>
              <w:spacing w:after="0"/>
              <w:rPr>
                <w:rFonts w:ascii="Arial" w:hAnsi="Arial" w:cs="Arial"/>
                <w:sz w:val="22"/>
                <w:lang w:eastAsia="en-AU"/>
              </w:rPr>
            </w:pPr>
            <w:r w:rsidRPr="004F7F40">
              <w:rPr>
                <w:rFonts w:ascii="Arial" w:hAnsi="Arial" w:cs="Arial"/>
                <w:sz w:val="22"/>
                <w:lang w:eastAsia="en-AU"/>
              </w:rPr>
              <w:t>Majority</w:t>
            </w:r>
          </w:p>
        </w:tc>
      </w:tr>
    </w:tbl>
    <w:p w14:paraId="668AF092" w14:textId="6694D8FE" w:rsidR="00DA633A" w:rsidRPr="004F7F40" w:rsidRDefault="00DA633A">
      <w:pPr>
        <w:spacing w:before="0" w:after="200" w:line="276" w:lineRule="auto"/>
        <w:rPr>
          <w:rFonts w:ascii="Arial" w:eastAsiaTheme="majorEastAsia" w:hAnsi="Arial" w:cs="Arial"/>
          <w:b/>
          <w:sz w:val="28"/>
          <w:szCs w:val="32"/>
          <w:u w:val="single"/>
          <w:lang w:val="en-US"/>
        </w:rPr>
      </w:pPr>
      <w:bookmarkStart w:id="5" w:name="_Toc506554097"/>
    </w:p>
    <w:p w14:paraId="64AF7340" w14:textId="7F23BA03" w:rsidR="00886F22" w:rsidRPr="004F7F40" w:rsidRDefault="00F436D0" w:rsidP="007B6FFF">
      <w:pPr>
        <w:pStyle w:val="Heading1"/>
        <w:rPr>
          <w:rFonts w:ascii="Arial" w:hAnsi="Arial" w:cs="Arial"/>
          <w:szCs w:val="28"/>
          <w:u w:val="none"/>
        </w:rPr>
      </w:pPr>
      <w:bookmarkStart w:id="6" w:name="_Toc77243214"/>
      <w:r w:rsidRPr="004F7F40">
        <w:rPr>
          <w:rFonts w:ascii="Arial" w:hAnsi="Arial" w:cs="Arial"/>
          <w:szCs w:val="28"/>
          <w:u w:val="none"/>
        </w:rPr>
        <w:t>NT Reform Context</w:t>
      </w:r>
      <w:bookmarkEnd w:id="5"/>
      <w:bookmarkEnd w:id="6"/>
    </w:p>
    <w:p w14:paraId="44EAFD9C" w14:textId="77777777" w:rsidR="00886F22" w:rsidRPr="004F7F40" w:rsidRDefault="00886F22" w:rsidP="00886F22">
      <w:pPr>
        <w:rPr>
          <w:rFonts w:ascii="Arial" w:hAnsi="Arial" w:cs="Arial"/>
        </w:rPr>
      </w:pPr>
    </w:p>
    <w:p w14:paraId="30B9D8EA" w14:textId="7C7BDD21" w:rsidR="0043209D" w:rsidRPr="004F7F40" w:rsidRDefault="0043209D" w:rsidP="0043209D">
      <w:pPr>
        <w:spacing w:before="0" w:after="120"/>
        <w:rPr>
          <w:rFonts w:ascii="Arial" w:hAnsi="Arial" w:cs="Arial"/>
          <w:lang w:val="en-US"/>
        </w:rPr>
      </w:pPr>
      <w:r w:rsidRPr="004F7F40">
        <w:rPr>
          <w:rFonts w:ascii="Arial" w:hAnsi="Arial" w:cs="Arial"/>
          <w:lang w:val="en-US"/>
        </w:rPr>
        <w:t xml:space="preserve">The NT </w:t>
      </w:r>
      <w:r w:rsidR="00084EFF" w:rsidRPr="004F7F40">
        <w:rPr>
          <w:rFonts w:ascii="Arial" w:hAnsi="Arial" w:cs="Arial"/>
          <w:lang w:val="en-US"/>
        </w:rPr>
        <w:t>has a uniquely short public service history with new arrangements established</w:t>
      </w:r>
      <w:r w:rsidRPr="004F7F40">
        <w:rPr>
          <w:rFonts w:ascii="Arial" w:hAnsi="Arial" w:cs="Arial"/>
          <w:lang w:val="en-US"/>
        </w:rPr>
        <w:t xml:space="preserve"> in 1974. </w:t>
      </w:r>
      <w:r w:rsidR="00084EFF" w:rsidRPr="004F7F40">
        <w:rPr>
          <w:rFonts w:ascii="Arial" w:hAnsi="Arial" w:cs="Arial"/>
          <w:lang w:val="en-US"/>
        </w:rPr>
        <w:t>The role of Public Service Commissioner was established in 1978 as a</w:t>
      </w:r>
      <w:r w:rsidRPr="004F7F40">
        <w:rPr>
          <w:rFonts w:ascii="Arial" w:hAnsi="Arial" w:cs="Arial"/>
          <w:lang w:val="en-US"/>
        </w:rPr>
        <w:t xml:space="preserve"> dedicated, independent statutory </w:t>
      </w:r>
      <w:r w:rsidR="00084EFF" w:rsidRPr="004F7F40">
        <w:rPr>
          <w:rFonts w:ascii="Arial" w:hAnsi="Arial" w:cs="Arial"/>
          <w:lang w:val="en-US"/>
        </w:rPr>
        <w:t>role</w:t>
      </w:r>
      <w:r w:rsidRPr="004F7F40">
        <w:rPr>
          <w:rFonts w:ascii="Arial" w:hAnsi="Arial" w:cs="Arial"/>
          <w:lang w:val="en-US"/>
        </w:rPr>
        <w:t xml:space="preserve"> under the </w:t>
      </w:r>
      <w:r w:rsidRPr="004F7F40">
        <w:rPr>
          <w:rFonts w:ascii="Arial" w:hAnsi="Arial" w:cs="Arial"/>
          <w:i/>
          <w:iCs/>
          <w:lang w:val="en-US"/>
        </w:rPr>
        <w:t>Public Service Act</w:t>
      </w:r>
      <w:r w:rsidRPr="004F7F40">
        <w:rPr>
          <w:rFonts w:ascii="Arial" w:hAnsi="Arial" w:cs="Arial"/>
          <w:lang w:val="en-US"/>
        </w:rPr>
        <w:t xml:space="preserve">. Following the </w:t>
      </w:r>
      <w:r w:rsidRPr="004F7F40">
        <w:rPr>
          <w:rFonts w:ascii="Arial" w:hAnsi="Arial" w:cs="Arial"/>
          <w:i/>
          <w:iCs/>
          <w:lang w:val="en-US"/>
        </w:rPr>
        <w:t>Public Sector Employment and Management Act</w:t>
      </w:r>
      <w:r w:rsidRPr="004F7F40">
        <w:rPr>
          <w:rFonts w:ascii="Arial" w:hAnsi="Arial" w:cs="Arial"/>
          <w:lang w:val="en-US"/>
        </w:rPr>
        <w:t xml:space="preserve"> in 1993, the position was renamed </w:t>
      </w:r>
      <w:r w:rsidR="00084EFF" w:rsidRPr="004F7F40">
        <w:rPr>
          <w:rFonts w:ascii="Arial" w:hAnsi="Arial" w:cs="Arial"/>
          <w:lang w:val="en-US"/>
        </w:rPr>
        <w:t xml:space="preserve">as </w:t>
      </w:r>
      <w:r w:rsidRPr="004F7F40">
        <w:rPr>
          <w:rFonts w:ascii="Arial" w:hAnsi="Arial" w:cs="Arial"/>
          <w:lang w:val="en-US"/>
        </w:rPr>
        <w:t xml:space="preserve">the Commissioner for Public Employment. </w:t>
      </w:r>
      <w:r w:rsidR="00B934A1" w:rsidRPr="004F7F40">
        <w:rPr>
          <w:rFonts w:ascii="Arial" w:hAnsi="Arial" w:cs="Arial"/>
          <w:lang w:val="en-US"/>
        </w:rPr>
        <w:t>While t</w:t>
      </w:r>
      <w:r w:rsidRPr="004F7F40">
        <w:rPr>
          <w:rFonts w:ascii="Arial" w:hAnsi="Arial" w:cs="Arial"/>
          <w:lang w:val="en-US"/>
        </w:rPr>
        <w:t xml:space="preserve">he Commonwealth did not grant the NT industrial relations power </w:t>
      </w:r>
      <w:r w:rsidR="00B934A1" w:rsidRPr="004F7F40">
        <w:rPr>
          <w:rFonts w:ascii="Arial" w:hAnsi="Arial" w:cs="Arial"/>
          <w:lang w:val="en-US"/>
        </w:rPr>
        <w:t xml:space="preserve">under </w:t>
      </w:r>
      <w:r w:rsidRPr="004F7F40">
        <w:rPr>
          <w:rFonts w:ascii="Arial" w:hAnsi="Arial" w:cs="Arial"/>
          <w:lang w:val="en-US"/>
        </w:rPr>
        <w:t xml:space="preserve">the </w:t>
      </w:r>
      <w:r w:rsidR="00B934A1" w:rsidRPr="004F7F40">
        <w:rPr>
          <w:rFonts w:ascii="Arial" w:hAnsi="Arial" w:cs="Arial"/>
          <w:lang w:val="en-US"/>
        </w:rPr>
        <w:t>Northern Territory (</w:t>
      </w:r>
      <w:r w:rsidRPr="004F7F40">
        <w:rPr>
          <w:rFonts w:ascii="Arial" w:hAnsi="Arial" w:cs="Arial"/>
          <w:lang w:val="en-US"/>
        </w:rPr>
        <w:t>Self Government</w:t>
      </w:r>
      <w:r w:rsidR="00B934A1" w:rsidRPr="004F7F40">
        <w:rPr>
          <w:rFonts w:ascii="Arial" w:hAnsi="Arial" w:cs="Arial"/>
          <w:lang w:val="en-US"/>
        </w:rPr>
        <w:t xml:space="preserve">) </w:t>
      </w:r>
      <w:r w:rsidRPr="004F7F40">
        <w:rPr>
          <w:rFonts w:ascii="Arial" w:hAnsi="Arial" w:cs="Arial"/>
          <w:lang w:val="en-US"/>
        </w:rPr>
        <w:t>Act</w:t>
      </w:r>
      <w:r w:rsidR="00084EFF" w:rsidRPr="004F7F40">
        <w:rPr>
          <w:rFonts w:ascii="Arial" w:hAnsi="Arial" w:cs="Arial"/>
          <w:lang w:val="en-US"/>
        </w:rPr>
        <w:t xml:space="preserve"> </w:t>
      </w:r>
      <w:r w:rsidR="00B934A1" w:rsidRPr="004F7F40">
        <w:rPr>
          <w:rFonts w:ascii="Arial" w:hAnsi="Arial" w:cs="Arial"/>
          <w:lang w:val="en-US"/>
        </w:rPr>
        <w:t xml:space="preserve">1978, it </w:t>
      </w:r>
      <w:r w:rsidRPr="004F7F40">
        <w:rPr>
          <w:rFonts w:ascii="Arial" w:hAnsi="Arial" w:cs="Arial"/>
          <w:lang w:val="en-US"/>
        </w:rPr>
        <w:t>did provide for the NT Government to pass laws with respect to employment in the public sector (see section below).</w:t>
      </w:r>
    </w:p>
    <w:p w14:paraId="64C35728" w14:textId="1BE6E5AB" w:rsidR="0043209D" w:rsidRPr="004F7F40" w:rsidRDefault="0043209D" w:rsidP="00191170">
      <w:pPr>
        <w:spacing w:before="0" w:after="120"/>
        <w:rPr>
          <w:rFonts w:ascii="Arial" w:hAnsi="Arial" w:cs="Arial"/>
        </w:rPr>
      </w:pPr>
      <w:r w:rsidRPr="004F7F40">
        <w:rPr>
          <w:rFonts w:ascii="Arial" w:hAnsi="Arial" w:cs="Arial"/>
          <w:lang w:val="en-US"/>
        </w:rPr>
        <w:t xml:space="preserve">At self-government, many </w:t>
      </w:r>
      <w:r w:rsidR="00B934A1" w:rsidRPr="004F7F40">
        <w:rPr>
          <w:rFonts w:ascii="Arial" w:hAnsi="Arial" w:cs="Arial"/>
          <w:lang w:val="en-US"/>
        </w:rPr>
        <w:t>public sector</w:t>
      </w:r>
      <w:r w:rsidRPr="004F7F40">
        <w:rPr>
          <w:rFonts w:ascii="Arial" w:hAnsi="Arial" w:cs="Arial"/>
          <w:lang w:val="en-US"/>
        </w:rPr>
        <w:t xml:space="preserve"> employees were compulsor</w:t>
      </w:r>
      <w:r w:rsidR="00423C92" w:rsidRPr="004F7F40">
        <w:rPr>
          <w:rFonts w:ascii="Arial" w:hAnsi="Arial" w:cs="Arial"/>
          <w:lang w:val="en-US"/>
        </w:rPr>
        <w:t>il</w:t>
      </w:r>
      <w:r w:rsidRPr="004F7F40">
        <w:rPr>
          <w:rFonts w:ascii="Arial" w:hAnsi="Arial" w:cs="Arial"/>
          <w:lang w:val="en-US"/>
        </w:rPr>
        <w:t xml:space="preserve">y </w:t>
      </w:r>
      <w:r w:rsidR="00423C92" w:rsidRPr="004F7F40">
        <w:rPr>
          <w:rFonts w:ascii="Arial" w:hAnsi="Arial" w:cs="Arial"/>
          <w:lang w:val="en-US"/>
        </w:rPr>
        <w:t>transferred</w:t>
      </w:r>
      <w:r w:rsidRPr="004F7F40">
        <w:rPr>
          <w:rFonts w:ascii="Arial" w:hAnsi="Arial" w:cs="Arial"/>
          <w:lang w:val="en-US"/>
        </w:rPr>
        <w:t xml:space="preserve"> from the Commonwealth Government. </w:t>
      </w:r>
      <w:r w:rsidR="00423C92" w:rsidRPr="004F7F40">
        <w:rPr>
          <w:rFonts w:ascii="Arial" w:hAnsi="Arial" w:cs="Arial"/>
          <w:lang w:val="en-US"/>
        </w:rPr>
        <w:t>Twenty years later,</w:t>
      </w:r>
      <w:r w:rsidRPr="004F7F40">
        <w:rPr>
          <w:rFonts w:ascii="Arial" w:hAnsi="Arial" w:cs="Arial"/>
          <w:lang w:val="en-US"/>
        </w:rPr>
        <w:t xml:space="preserve"> the</w:t>
      </w:r>
      <w:r w:rsidR="00423C92" w:rsidRPr="004F7F40">
        <w:rPr>
          <w:rFonts w:ascii="Arial" w:hAnsi="Arial" w:cs="Arial"/>
          <w:lang w:val="en-US"/>
        </w:rPr>
        <w:t>se officers</w:t>
      </w:r>
      <w:r w:rsidRPr="004F7F40">
        <w:rPr>
          <w:rFonts w:ascii="Arial" w:hAnsi="Arial" w:cs="Arial"/>
          <w:lang w:val="en-US"/>
        </w:rPr>
        <w:t xml:space="preserve"> still comprised </w:t>
      </w:r>
      <w:r w:rsidR="00423C92" w:rsidRPr="004F7F40">
        <w:rPr>
          <w:rFonts w:ascii="Arial" w:hAnsi="Arial" w:cs="Arial"/>
          <w:lang w:val="en-US"/>
        </w:rPr>
        <w:t>a quarter</w:t>
      </w:r>
      <w:r w:rsidRPr="004F7F40">
        <w:rPr>
          <w:rFonts w:ascii="Arial" w:hAnsi="Arial" w:cs="Arial"/>
          <w:lang w:val="en-US"/>
        </w:rPr>
        <w:t xml:space="preserve"> of all </w:t>
      </w:r>
      <w:r w:rsidR="00423C92" w:rsidRPr="004F7F40">
        <w:rPr>
          <w:rFonts w:ascii="Arial" w:hAnsi="Arial" w:cs="Arial"/>
          <w:lang w:val="en-US"/>
        </w:rPr>
        <w:t xml:space="preserve">NT public service </w:t>
      </w:r>
      <w:r w:rsidRPr="004F7F40">
        <w:rPr>
          <w:rFonts w:ascii="Arial" w:hAnsi="Arial" w:cs="Arial"/>
          <w:lang w:val="en-US"/>
        </w:rPr>
        <w:t>employees. According to Hawkes</w:t>
      </w:r>
      <w:r w:rsidR="00B934A1" w:rsidRPr="004F7F40">
        <w:rPr>
          <w:rFonts w:ascii="Arial" w:hAnsi="Arial" w:cs="Arial"/>
          <w:lang w:val="en-US"/>
        </w:rPr>
        <w:t xml:space="preserve"> (1999)</w:t>
      </w:r>
      <w:r w:rsidRPr="004F7F40">
        <w:rPr>
          <w:rFonts w:ascii="Arial" w:hAnsi="Arial" w:cs="Arial"/>
          <w:lang w:val="en-US"/>
        </w:rPr>
        <w:t xml:space="preserve">, this </w:t>
      </w:r>
      <w:r w:rsidR="00423C92" w:rsidRPr="004F7F40">
        <w:rPr>
          <w:rFonts w:ascii="Arial" w:hAnsi="Arial" w:cs="Arial"/>
          <w:lang w:val="en-US"/>
        </w:rPr>
        <w:t xml:space="preserve">had </w:t>
      </w:r>
      <w:r w:rsidRPr="004F7F40">
        <w:rPr>
          <w:rFonts w:ascii="Arial" w:hAnsi="Arial" w:cs="Arial"/>
          <w:lang w:val="en-US"/>
        </w:rPr>
        <w:t xml:space="preserve">led to a lack of trust by Ministers, resulting in a more hands-on </w:t>
      </w:r>
      <w:r w:rsidR="00423C92" w:rsidRPr="004F7F40">
        <w:rPr>
          <w:rFonts w:ascii="Arial" w:hAnsi="Arial" w:cs="Arial"/>
          <w:lang w:val="en-US"/>
        </w:rPr>
        <w:t xml:space="preserve">ministerial </w:t>
      </w:r>
      <w:r w:rsidRPr="004F7F40">
        <w:rPr>
          <w:rFonts w:ascii="Arial" w:hAnsi="Arial" w:cs="Arial"/>
          <w:lang w:val="en-US"/>
        </w:rPr>
        <w:t xml:space="preserve">approach. </w:t>
      </w:r>
      <w:r w:rsidR="0048608B" w:rsidRPr="004F7F40">
        <w:rPr>
          <w:rFonts w:ascii="Arial" w:hAnsi="Arial" w:cs="Arial"/>
          <w:lang w:val="en-US"/>
        </w:rPr>
        <w:t xml:space="preserve">Some </w:t>
      </w:r>
      <w:r w:rsidR="00085D18" w:rsidRPr="004F7F40">
        <w:rPr>
          <w:rFonts w:ascii="Arial" w:hAnsi="Arial" w:cs="Arial"/>
          <w:lang w:val="en-US"/>
        </w:rPr>
        <w:t>suggested that</w:t>
      </w:r>
      <w:r w:rsidR="0048608B" w:rsidRPr="004F7F40">
        <w:rPr>
          <w:rFonts w:ascii="Arial" w:hAnsi="Arial" w:cs="Arial"/>
          <w:lang w:val="en-US"/>
        </w:rPr>
        <w:t xml:space="preserve"> </w:t>
      </w:r>
      <w:r w:rsidRPr="004F7F40">
        <w:rPr>
          <w:rFonts w:ascii="Arial" w:hAnsi="Arial" w:cs="Arial"/>
          <w:lang w:val="en-US"/>
        </w:rPr>
        <w:t>the decision to delineat</w:t>
      </w:r>
      <w:r w:rsidR="00423C92" w:rsidRPr="004F7F40">
        <w:rPr>
          <w:rFonts w:ascii="Arial" w:hAnsi="Arial" w:cs="Arial"/>
          <w:lang w:val="en-US"/>
        </w:rPr>
        <w:t>e</w:t>
      </w:r>
      <w:r w:rsidRPr="004F7F40">
        <w:rPr>
          <w:rFonts w:ascii="Arial" w:hAnsi="Arial" w:cs="Arial"/>
          <w:lang w:val="en-US"/>
        </w:rPr>
        <w:t xml:space="preserve"> roles and responsibilities in the PSEM</w:t>
      </w:r>
      <w:r w:rsidR="00423C92" w:rsidRPr="004F7F40">
        <w:rPr>
          <w:rFonts w:ascii="Arial" w:hAnsi="Arial" w:cs="Arial"/>
          <w:lang w:val="en-US"/>
        </w:rPr>
        <w:t xml:space="preserve"> Act in 1993</w:t>
      </w:r>
      <w:r w:rsidRPr="004F7F40">
        <w:rPr>
          <w:rFonts w:ascii="Arial" w:hAnsi="Arial" w:cs="Arial"/>
          <w:lang w:val="en-US"/>
        </w:rPr>
        <w:t xml:space="preserve"> stem</w:t>
      </w:r>
      <w:r w:rsidR="00423C92" w:rsidRPr="004F7F40">
        <w:rPr>
          <w:rFonts w:ascii="Arial" w:hAnsi="Arial" w:cs="Arial"/>
          <w:lang w:val="en-US"/>
        </w:rPr>
        <w:t>med from</w:t>
      </w:r>
      <w:r w:rsidRPr="004F7F40">
        <w:rPr>
          <w:rFonts w:ascii="Arial" w:hAnsi="Arial" w:cs="Arial"/>
          <w:lang w:val="en-US"/>
        </w:rPr>
        <w:t xml:space="preserve"> this</w:t>
      </w:r>
      <w:r w:rsidR="00423C92" w:rsidRPr="004F7F40">
        <w:rPr>
          <w:rFonts w:ascii="Arial" w:hAnsi="Arial" w:cs="Arial"/>
          <w:lang w:val="en-US"/>
        </w:rPr>
        <w:t xml:space="preserve"> background</w:t>
      </w:r>
      <w:r w:rsidRPr="004F7F40">
        <w:rPr>
          <w:rFonts w:ascii="Arial" w:hAnsi="Arial" w:cs="Arial"/>
          <w:lang w:val="en-US"/>
        </w:rPr>
        <w:t xml:space="preserve">. </w:t>
      </w:r>
      <w:r w:rsidRPr="004F7F40">
        <w:rPr>
          <w:rFonts w:ascii="Arial" w:eastAsia="Calibri" w:hAnsi="Arial" w:cs="Arial"/>
          <w:lang w:val="en-US"/>
        </w:rPr>
        <w:t>Since self-government, t</w:t>
      </w:r>
      <w:r w:rsidRPr="004F7F40">
        <w:rPr>
          <w:rFonts w:ascii="Arial" w:hAnsi="Arial" w:cs="Arial"/>
        </w:rPr>
        <w:t>he NT government has been the largest single employer in the NT (up to 25% of the workforce).</w:t>
      </w:r>
    </w:p>
    <w:p w14:paraId="701C0771" w14:textId="1DC577BD" w:rsidR="0080144E" w:rsidRPr="004F7F40" w:rsidRDefault="00615A03" w:rsidP="00191170">
      <w:pPr>
        <w:rPr>
          <w:rFonts w:ascii="Arial" w:hAnsi="Arial" w:cs="Arial"/>
        </w:rPr>
      </w:pPr>
      <w:r w:rsidRPr="004F7F40">
        <w:rPr>
          <w:rFonts w:ascii="Arial" w:hAnsi="Arial" w:cs="Arial"/>
        </w:rPr>
        <w:t xml:space="preserve">Following the establishment of the </w:t>
      </w:r>
      <w:r w:rsidR="005C76C5" w:rsidRPr="004F7F40">
        <w:rPr>
          <w:rFonts w:ascii="Arial" w:hAnsi="Arial" w:cs="Arial"/>
        </w:rPr>
        <w:t>NT</w:t>
      </w:r>
      <w:r w:rsidR="00E756EB" w:rsidRPr="004F7F40">
        <w:rPr>
          <w:rFonts w:ascii="Arial" w:hAnsi="Arial" w:cs="Arial"/>
        </w:rPr>
        <w:t>PS</w:t>
      </w:r>
      <w:r w:rsidRPr="004F7F40">
        <w:rPr>
          <w:rFonts w:ascii="Arial" w:hAnsi="Arial" w:cs="Arial"/>
        </w:rPr>
        <w:t xml:space="preserve"> in 1978, t</w:t>
      </w:r>
      <w:r w:rsidR="0080144E" w:rsidRPr="004F7F40">
        <w:rPr>
          <w:rFonts w:ascii="Arial" w:hAnsi="Arial" w:cs="Arial"/>
        </w:rPr>
        <w:t xml:space="preserve">here </w:t>
      </w:r>
      <w:r w:rsidR="005C76C5" w:rsidRPr="004F7F40">
        <w:rPr>
          <w:rFonts w:ascii="Arial" w:hAnsi="Arial" w:cs="Arial"/>
        </w:rPr>
        <w:t xml:space="preserve">were </w:t>
      </w:r>
      <w:r w:rsidR="0080144E" w:rsidRPr="004F7F40">
        <w:rPr>
          <w:rFonts w:ascii="Arial" w:hAnsi="Arial" w:cs="Arial"/>
        </w:rPr>
        <w:t>two major periods of reform</w:t>
      </w:r>
      <w:r w:rsidR="00375B43" w:rsidRPr="004F7F40">
        <w:rPr>
          <w:rFonts w:ascii="Arial" w:hAnsi="Arial" w:cs="Arial"/>
        </w:rPr>
        <w:t xml:space="preserve"> </w:t>
      </w:r>
      <w:r w:rsidR="0080144E" w:rsidRPr="004F7F40">
        <w:rPr>
          <w:rFonts w:ascii="Arial" w:hAnsi="Arial" w:cs="Arial"/>
        </w:rPr>
        <w:t>– 1991</w:t>
      </w:r>
      <w:r w:rsidR="0050422D" w:rsidRPr="004F7F40">
        <w:rPr>
          <w:rFonts w:ascii="Arial" w:hAnsi="Arial" w:cs="Arial"/>
        </w:rPr>
        <w:t xml:space="preserve"> to 19</w:t>
      </w:r>
      <w:r w:rsidR="0080144E" w:rsidRPr="004F7F40">
        <w:rPr>
          <w:rFonts w:ascii="Arial" w:hAnsi="Arial" w:cs="Arial"/>
        </w:rPr>
        <w:t xml:space="preserve">93, when the Public Service Act was changed to the </w:t>
      </w:r>
      <w:r w:rsidR="0080144E" w:rsidRPr="004F7F40">
        <w:rPr>
          <w:rFonts w:ascii="Arial" w:hAnsi="Arial" w:cs="Arial"/>
          <w:i/>
          <w:iCs/>
        </w:rPr>
        <w:t xml:space="preserve">Public Sector Employment and Management Act </w:t>
      </w:r>
      <w:r w:rsidR="0080144E" w:rsidRPr="004F7F40">
        <w:rPr>
          <w:rFonts w:ascii="Arial" w:hAnsi="Arial" w:cs="Arial"/>
        </w:rPr>
        <w:t xml:space="preserve">(PSEMA), </w:t>
      </w:r>
      <w:r w:rsidR="00085D18" w:rsidRPr="004F7F40">
        <w:rPr>
          <w:rFonts w:ascii="Arial" w:hAnsi="Arial" w:cs="Arial"/>
        </w:rPr>
        <w:t xml:space="preserve">and </w:t>
      </w:r>
      <w:r w:rsidR="00B20BBC" w:rsidRPr="004F7F40">
        <w:rPr>
          <w:rFonts w:ascii="Arial" w:hAnsi="Arial" w:cs="Arial"/>
        </w:rPr>
        <w:t xml:space="preserve">then </w:t>
      </w:r>
      <w:r w:rsidR="0080144E" w:rsidRPr="004F7F40">
        <w:rPr>
          <w:rFonts w:ascii="Arial" w:hAnsi="Arial" w:cs="Arial"/>
        </w:rPr>
        <w:t>in 2011 following a review of the PSEMA.</w:t>
      </w:r>
      <w:r w:rsidR="00B20BBC" w:rsidRPr="004F7F40">
        <w:rPr>
          <w:rFonts w:ascii="Arial" w:hAnsi="Arial" w:cs="Arial"/>
        </w:rPr>
        <w:t xml:space="preserve"> </w:t>
      </w:r>
    </w:p>
    <w:p w14:paraId="5D4BFDD9" w14:textId="69318313" w:rsidR="0099427F" w:rsidRPr="004F7F40" w:rsidRDefault="0099427F" w:rsidP="00872086">
      <w:pPr>
        <w:spacing w:before="0" w:after="120"/>
        <w:ind w:left="720"/>
        <w:rPr>
          <w:rFonts w:ascii="Arial" w:hAnsi="Arial" w:cs="Arial"/>
          <w:szCs w:val="24"/>
        </w:rPr>
      </w:pPr>
      <w:r w:rsidRPr="004F7F40">
        <w:rPr>
          <w:rFonts w:ascii="Arial" w:hAnsi="Arial" w:cs="Arial"/>
          <w:i/>
          <w:iCs/>
        </w:rPr>
        <w:t xml:space="preserve">The development and enactment of new public sector employment and management legislation is without doubt the most important issue for 1991/92. There is a need to clarify the Commissioner's role and the role of Chief Executive Officers and their respective relationships. There is a need to define accountability in more specific terms and there is an equally urgent need to reform some key areas of personnel practice such as tenure, </w:t>
      </w:r>
      <w:proofErr w:type="gramStart"/>
      <w:r w:rsidRPr="004F7F40">
        <w:rPr>
          <w:rFonts w:ascii="Arial" w:hAnsi="Arial" w:cs="Arial"/>
          <w:i/>
          <w:iCs/>
        </w:rPr>
        <w:t>discipline</w:t>
      </w:r>
      <w:proofErr w:type="gramEnd"/>
      <w:r w:rsidRPr="004F7F40">
        <w:rPr>
          <w:rFonts w:ascii="Arial" w:hAnsi="Arial" w:cs="Arial"/>
          <w:i/>
          <w:iCs/>
        </w:rPr>
        <w:t xml:space="preserve"> and poor performance</w:t>
      </w:r>
      <w:r w:rsidR="00872086" w:rsidRPr="004F7F40">
        <w:rPr>
          <w:rFonts w:ascii="Arial" w:hAnsi="Arial" w:cs="Arial"/>
        </w:rPr>
        <w:t xml:space="preserve"> (</w:t>
      </w:r>
      <w:r w:rsidR="00B6344B" w:rsidRPr="004F7F40">
        <w:rPr>
          <w:rFonts w:ascii="Arial" w:hAnsi="Arial" w:cs="Arial"/>
        </w:rPr>
        <w:t>PSC</w:t>
      </w:r>
      <w:r w:rsidR="00872086" w:rsidRPr="004F7F40">
        <w:rPr>
          <w:rFonts w:ascii="Arial" w:hAnsi="Arial" w:cs="Arial"/>
        </w:rPr>
        <w:t>,</w:t>
      </w:r>
      <w:r w:rsidR="00B6344B" w:rsidRPr="004F7F40">
        <w:rPr>
          <w:rFonts w:ascii="Arial" w:hAnsi="Arial" w:cs="Arial"/>
        </w:rPr>
        <w:t>1991, p. 5)</w:t>
      </w:r>
      <w:r w:rsidR="00872086" w:rsidRPr="004F7F40">
        <w:rPr>
          <w:rFonts w:ascii="Arial" w:hAnsi="Arial" w:cs="Arial"/>
        </w:rPr>
        <w:t>.</w:t>
      </w:r>
    </w:p>
    <w:p w14:paraId="7B9300FB" w14:textId="1C60CC32" w:rsidR="0080144E" w:rsidRPr="004F7F40" w:rsidRDefault="0080144E" w:rsidP="00191170">
      <w:pPr>
        <w:spacing w:before="0" w:after="120"/>
        <w:rPr>
          <w:rFonts w:ascii="Arial" w:hAnsi="Arial" w:cs="Arial"/>
        </w:rPr>
      </w:pPr>
      <w:r w:rsidRPr="004F7F40">
        <w:rPr>
          <w:rFonts w:ascii="Arial" w:hAnsi="Arial" w:cs="Arial"/>
        </w:rPr>
        <w:t>Following an extensive and contentious Estimates Review Process from 1990</w:t>
      </w:r>
      <w:r w:rsidR="0043209D" w:rsidRPr="004F7F40">
        <w:rPr>
          <w:rFonts w:ascii="Arial" w:hAnsi="Arial" w:cs="Arial"/>
        </w:rPr>
        <w:t>–1</w:t>
      </w:r>
      <w:r w:rsidRPr="004F7F40">
        <w:rPr>
          <w:rFonts w:ascii="Arial" w:hAnsi="Arial" w:cs="Arial"/>
        </w:rPr>
        <w:t xml:space="preserve">991, work commenced on developing a new approach to public sector employment in the NT. According to a speech by </w:t>
      </w:r>
      <w:r w:rsidR="00067815" w:rsidRPr="004F7F40">
        <w:rPr>
          <w:rFonts w:ascii="Arial" w:hAnsi="Arial" w:cs="Arial"/>
        </w:rPr>
        <w:t xml:space="preserve">then Public Service Commissioner David </w:t>
      </w:r>
      <w:r w:rsidRPr="004F7F40">
        <w:rPr>
          <w:rFonts w:ascii="Arial" w:hAnsi="Arial" w:cs="Arial"/>
        </w:rPr>
        <w:t>Hawkes in 1991, there were two main motivat</w:t>
      </w:r>
      <w:r w:rsidR="00085D18" w:rsidRPr="004F7F40">
        <w:rPr>
          <w:rFonts w:ascii="Arial" w:hAnsi="Arial" w:cs="Arial"/>
        </w:rPr>
        <w:t>ion</w:t>
      </w:r>
      <w:r w:rsidRPr="004F7F40">
        <w:rPr>
          <w:rFonts w:ascii="Arial" w:hAnsi="Arial" w:cs="Arial"/>
        </w:rPr>
        <w:t>s:</w:t>
      </w:r>
    </w:p>
    <w:p w14:paraId="37BBCCE1" w14:textId="65B97736" w:rsidR="0080144E" w:rsidRPr="004F7F40" w:rsidRDefault="0080144E" w:rsidP="00AB299F">
      <w:pPr>
        <w:pStyle w:val="ListParagraph"/>
        <w:numPr>
          <w:ilvl w:val="0"/>
          <w:numId w:val="4"/>
        </w:numPr>
        <w:rPr>
          <w:rFonts w:ascii="Arial" w:hAnsi="Arial" w:cs="Arial"/>
        </w:rPr>
      </w:pPr>
      <w:r w:rsidRPr="004F7F40">
        <w:rPr>
          <w:rFonts w:ascii="Arial" w:hAnsi="Arial" w:cs="Arial"/>
        </w:rPr>
        <w:t xml:space="preserve">The need to remove the “fragmenting of employing power” </w:t>
      </w:r>
      <w:r w:rsidR="00085D18" w:rsidRPr="004F7F40">
        <w:rPr>
          <w:rFonts w:ascii="Arial" w:hAnsi="Arial" w:cs="Arial"/>
        </w:rPr>
        <w:t>while still</w:t>
      </w:r>
      <w:r w:rsidRPr="004F7F40">
        <w:rPr>
          <w:rFonts w:ascii="Arial" w:hAnsi="Arial" w:cs="Arial"/>
        </w:rPr>
        <w:t xml:space="preserve"> retain</w:t>
      </w:r>
      <w:r w:rsidR="00085D18" w:rsidRPr="004F7F40">
        <w:rPr>
          <w:rFonts w:ascii="Arial" w:hAnsi="Arial" w:cs="Arial"/>
        </w:rPr>
        <w:t>ing</w:t>
      </w:r>
      <w:r w:rsidRPr="004F7F40">
        <w:rPr>
          <w:rFonts w:ascii="Arial" w:hAnsi="Arial" w:cs="Arial"/>
        </w:rPr>
        <w:t xml:space="preserve"> flexibility for individual organisations within the public sector (p</w:t>
      </w:r>
      <w:r w:rsidR="00872086" w:rsidRPr="004F7F40">
        <w:rPr>
          <w:rFonts w:ascii="Arial" w:hAnsi="Arial" w:cs="Arial"/>
        </w:rPr>
        <w:t>.</w:t>
      </w:r>
      <w:r w:rsidRPr="004F7F40">
        <w:rPr>
          <w:rFonts w:ascii="Arial" w:hAnsi="Arial" w:cs="Arial"/>
        </w:rPr>
        <w:t>74)</w:t>
      </w:r>
      <w:r w:rsidR="00872086" w:rsidRPr="004F7F40">
        <w:rPr>
          <w:rFonts w:ascii="Arial" w:hAnsi="Arial" w:cs="Arial"/>
        </w:rPr>
        <w:t>.</w:t>
      </w:r>
    </w:p>
    <w:p w14:paraId="0B3A06E9" w14:textId="616759D8" w:rsidR="0080144E" w:rsidRPr="004F7F40" w:rsidRDefault="00085D18" w:rsidP="00AB299F">
      <w:pPr>
        <w:pStyle w:val="ListParagraph"/>
        <w:numPr>
          <w:ilvl w:val="0"/>
          <w:numId w:val="4"/>
        </w:numPr>
        <w:rPr>
          <w:rFonts w:ascii="Arial" w:hAnsi="Arial" w:cs="Arial"/>
        </w:rPr>
      </w:pPr>
      <w:r w:rsidRPr="004F7F40">
        <w:rPr>
          <w:rFonts w:ascii="Arial" w:hAnsi="Arial" w:cs="Arial"/>
        </w:rPr>
        <w:t>The n</w:t>
      </w:r>
      <w:r w:rsidR="0080144E" w:rsidRPr="004F7F40">
        <w:rPr>
          <w:rFonts w:ascii="Arial" w:hAnsi="Arial" w:cs="Arial"/>
        </w:rPr>
        <w:t>eed for clear delineation of the roles, responsibilities and accountabilities between government, Ministers, the Commissioner for Public Employment</w:t>
      </w:r>
      <w:r w:rsidRPr="004F7F40">
        <w:rPr>
          <w:rFonts w:ascii="Arial" w:hAnsi="Arial" w:cs="Arial"/>
        </w:rPr>
        <w:t>,</w:t>
      </w:r>
      <w:r w:rsidR="0080144E" w:rsidRPr="004F7F40">
        <w:rPr>
          <w:rFonts w:ascii="Arial" w:hAnsi="Arial" w:cs="Arial"/>
        </w:rPr>
        <w:t xml:space="preserve"> and CEOs (as heads of agencies were </w:t>
      </w:r>
      <w:r w:rsidRPr="004F7F40">
        <w:rPr>
          <w:rFonts w:ascii="Arial" w:hAnsi="Arial" w:cs="Arial"/>
        </w:rPr>
        <w:t xml:space="preserve">then </w:t>
      </w:r>
      <w:r w:rsidR="0080144E" w:rsidRPr="004F7F40">
        <w:rPr>
          <w:rFonts w:ascii="Arial" w:hAnsi="Arial" w:cs="Arial"/>
        </w:rPr>
        <w:t>known) (</w:t>
      </w:r>
      <w:r w:rsidR="00D3656A" w:rsidRPr="004F7F40">
        <w:rPr>
          <w:rFonts w:ascii="Arial" w:hAnsi="Arial" w:cs="Arial"/>
        </w:rPr>
        <w:t xml:space="preserve">Hawkes, 1991, </w:t>
      </w:r>
      <w:r w:rsidR="0080144E" w:rsidRPr="004F7F40">
        <w:rPr>
          <w:rFonts w:ascii="Arial" w:hAnsi="Arial" w:cs="Arial"/>
        </w:rPr>
        <w:t>p</w:t>
      </w:r>
      <w:r w:rsidR="00872086" w:rsidRPr="004F7F40">
        <w:rPr>
          <w:rFonts w:ascii="Arial" w:hAnsi="Arial" w:cs="Arial"/>
        </w:rPr>
        <w:t>.</w:t>
      </w:r>
      <w:r w:rsidR="0080144E" w:rsidRPr="004F7F40">
        <w:rPr>
          <w:rFonts w:ascii="Arial" w:hAnsi="Arial" w:cs="Arial"/>
        </w:rPr>
        <w:t>75)</w:t>
      </w:r>
      <w:r w:rsidR="00872086" w:rsidRPr="004F7F40">
        <w:rPr>
          <w:rFonts w:ascii="Arial" w:hAnsi="Arial" w:cs="Arial"/>
        </w:rPr>
        <w:t>.</w:t>
      </w:r>
    </w:p>
    <w:p w14:paraId="7755A138" w14:textId="731B5452" w:rsidR="0080144E" w:rsidRPr="004F7F40" w:rsidRDefault="00085D18" w:rsidP="00085D18">
      <w:pPr>
        <w:spacing w:before="0" w:after="120"/>
        <w:rPr>
          <w:rFonts w:ascii="Arial" w:hAnsi="Arial" w:cs="Arial"/>
        </w:rPr>
      </w:pPr>
      <w:r w:rsidRPr="004F7F40">
        <w:rPr>
          <w:rFonts w:ascii="Arial" w:hAnsi="Arial" w:cs="Arial"/>
        </w:rPr>
        <w:t>The review process</w:t>
      </w:r>
      <w:r w:rsidR="0080144E" w:rsidRPr="004F7F40">
        <w:rPr>
          <w:rFonts w:ascii="Arial" w:hAnsi="Arial" w:cs="Arial"/>
        </w:rPr>
        <w:t xml:space="preserve"> was also motivated by the Structural Efficiency Principle, enunciated by the Industrial Relations Commission </w:t>
      </w:r>
      <w:r w:rsidR="00DE4D44" w:rsidRPr="004F7F40">
        <w:rPr>
          <w:rFonts w:ascii="Arial" w:hAnsi="Arial" w:cs="Arial"/>
        </w:rPr>
        <w:t>in 1988 (as part of the 19</w:t>
      </w:r>
      <w:r w:rsidR="00066A8C" w:rsidRPr="004F7F40">
        <w:rPr>
          <w:rFonts w:ascii="Arial" w:hAnsi="Arial" w:cs="Arial"/>
        </w:rPr>
        <w:t>8</w:t>
      </w:r>
      <w:r w:rsidR="00DE4D44" w:rsidRPr="004F7F40">
        <w:rPr>
          <w:rFonts w:ascii="Arial" w:hAnsi="Arial" w:cs="Arial"/>
        </w:rPr>
        <w:t>8 National Wages Case).</w:t>
      </w:r>
    </w:p>
    <w:p w14:paraId="2FC31828" w14:textId="7C0738CC" w:rsidR="009C70E6" w:rsidRPr="004F7F40" w:rsidRDefault="0080144E" w:rsidP="00191170">
      <w:pPr>
        <w:spacing w:before="0" w:after="120"/>
        <w:rPr>
          <w:rFonts w:ascii="Arial" w:hAnsi="Arial" w:cs="Arial"/>
        </w:rPr>
      </w:pPr>
      <w:r w:rsidRPr="004F7F40">
        <w:rPr>
          <w:rFonts w:ascii="Arial" w:hAnsi="Arial" w:cs="Arial"/>
        </w:rPr>
        <w:lastRenderedPageBreak/>
        <w:t xml:space="preserve">According to </w:t>
      </w:r>
      <w:r w:rsidR="000672BC" w:rsidRPr="004F7F40">
        <w:rPr>
          <w:rFonts w:ascii="Arial" w:hAnsi="Arial" w:cs="Arial"/>
        </w:rPr>
        <w:t>Hawkes (1991)</w:t>
      </w:r>
      <w:r w:rsidR="00D3656A" w:rsidRPr="004F7F40">
        <w:rPr>
          <w:rFonts w:ascii="Arial" w:hAnsi="Arial" w:cs="Arial"/>
        </w:rPr>
        <w:t xml:space="preserve">, </w:t>
      </w:r>
      <w:r w:rsidRPr="004F7F40">
        <w:rPr>
          <w:rFonts w:ascii="Arial" w:hAnsi="Arial" w:cs="Arial"/>
        </w:rPr>
        <w:t>there were 12 major featu</w:t>
      </w:r>
      <w:r w:rsidR="004B7EC2" w:rsidRPr="004F7F40">
        <w:rPr>
          <w:rFonts w:ascii="Arial" w:hAnsi="Arial" w:cs="Arial"/>
        </w:rPr>
        <w:t>res of the proposed legislation:</w:t>
      </w:r>
    </w:p>
    <w:p w14:paraId="3EA6B21D" w14:textId="18C95FF9" w:rsidR="004B7EC2" w:rsidRPr="004F7F40" w:rsidRDefault="004B7EC2" w:rsidP="00AB299F">
      <w:pPr>
        <w:pStyle w:val="ListParagraph"/>
        <w:numPr>
          <w:ilvl w:val="0"/>
          <w:numId w:val="5"/>
        </w:numPr>
        <w:rPr>
          <w:rFonts w:ascii="Arial" w:hAnsi="Arial" w:cs="Arial"/>
        </w:rPr>
      </w:pPr>
      <w:r w:rsidRPr="004F7F40">
        <w:rPr>
          <w:rFonts w:ascii="Arial" w:hAnsi="Arial" w:cs="Arial"/>
        </w:rPr>
        <w:t>The Act applies to all public sector employees (as far as practical). As it turned out, the final legislation only omitted police, tourism and two small statutory authorities (Ombudsman and Auditor General)</w:t>
      </w:r>
      <w:r w:rsidR="00872086" w:rsidRPr="004F7F40">
        <w:rPr>
          <w:rFonts w:ascii="Arial" w:hAnsi="Arial" w:cs="Arial"/>
        </w:rPr>
        <w:t>.</w:t>
      </w:r>
    </w:p>
    <w:p w14:paraId="5725B0E6" w14:textId="00739DA4" w:rsidR="004B7EC2" w:rsidRPr="004F7F40" w:rsidRDefault="004B7EC2" w:rsidP="00AB299F">
      <w:pPr>
        <w:pStyle w:val="ListParagraph"/>
        <w:numPr>
          <w:ilvl w:val="0"/>
          <w:numId w:val="5"/>
        </w:numPr>
        <w:rPr>
          <w:rFonts w:ascii="Arial" w:hAnsi="Arial" w:cs="Arial"/>
        </w:rPr>
      </w:pPr>
      <w:r w:rsidRPr="004F7F40">
        <w:rPr>
          <w:rFonts w:ascii="Arial" w:hAnsi="Arial" w:cs="Arial"/>
        </w:rPr>
        <w:t xml:space="preserve">Includes a set of objectives and principles about general personnel management, ethical </w:t>
      </w:r>
      <w:proofErr w:type="gramStart"/>
      <w:r w:rsidRPr="004F7F40">
        <w:rPr>
          <w:rFonts w:ascii="Arial" w:hAnsi="Arial" w:cs="Arial"/>
        </w:rPr>
        <w:t>issues</w:t>
      </w:r>
      <w:proofErr w:type="gramEnd"/>
      <w:r w:rsidRPr="004F7F40">
        <w:rPr>
          <w:rFonts w:ascii="Arial" w:hAnsi="Arial" w:cs="Arial"/>
        </w:rPr>
        <w:t xml:space="preserve"> and a code of behaviour (final Act included the Principles of Public Administration and Management, Principles for Human Resource Management and Principles of Conduct – in the regulations)</w:t>
      </w:r>
      <w:r w:rsidR="00872086" w:rsidRPr="004F7F40">
        <w:rPr>
          <w:rFonts w:ascii="Arial" w:hAnsi="Arial" w:cs="Arial"/>
        </w:rPr>
        <w:t>.</w:t>
      </w:r>
    </w:p>
    <w:p w14:paraId="55F3C01A" w14:textId="6E9388F3" w:rsidR="004B7EC2" w:rsidRPr="004F7F40" w:rsidRDefault="004B7EC2" w:rsidP="00AB299F">
      <w:pPr>
        <w:pStyle w:val="ListParagraph"/>
        <w:numPr>
          <w:ilvl w:val="0"/>
          <w:numId w:val="5"/>
        </w:numPr>
        <w:rPr>
          <w:rFonts w:ascii="Arial" w:hAnsi="Arial" w:cs="Arial"/>
        </w:rPr>
      </w:pPr>
      <w:r w:rsidRPr="004F7F40">
        <w:rPr>
          <w:rFonts w:ascii="Arial" w:hAnsi="Arial" w:cs="Arial"/>
        </w:rPr>
        <w:t>Replace the Office of the Public Service Commissioner with the Commissioner for Public Employment (CPE) with functions more concerned with principle</w:t>
      </w:r>
      <w:r w:rsidR="00085D18" w:rsidRPr="004F7F40">
        <w:rPr>
          <w:rFonts w:ascii="Arial" w:hAnsi="Arial" w:cs="Arial"/>
        </w:rPr>
        <w:t>s</w:t>
      </w:r>
      <w:r w:rsidRPr="004F7F40">
        <w:rPr>
          <w:rFonts w:ascii="Arial" w:hAnsi="Arial" w:cs="Arial"/>
        </w:rPr>
        <w:t xml:space="preserve"> than </w:t>
      </w:r>
      <w:r w:rsidR="00085D18" w:rsidRPr="004F7F40">
        <w:rPr>
          <w:rFonts w:ascii="Arial" w:hAnsi="Arial" w:cs="Arial"/>
        </w:rPr>
        <w:t xml:space="preserve">with </w:t>
      </w:r>
      <w:r w:rsidRPr="004F7F40">
        <w:rPr>
          <w:rFonts w:ascii="Arial" w:hAnsi="Arial" w:cs="Arial"/>
        </w:rPr>
        <w:t xml:space="preserve">operational matters. The final legislation had the CPE responsible for determining terms and conditions of service and as respondent to all awards, with all other functions as advisory, </w:t>
      </w:r>
      <w:proofErr w:type="gramStart"/>
      <w:r w:rsidRPr="004F7F40">
        <w:rPr>
          <w:rFonts w:ascii="Arial" w:hAnsi="Arial" w:cs="Arial"/>
        </w:rPr>
        <w:t>consultative</w:t>
      </w:r>
      <w:proofErr w:type="gramEnd"/>
      <w:r w:rsidRPr="004F7F40">
        <w:rPr>
          <w:rFonts w:ascii="Arial" w:hAnsi="Arial" w:cs="Arial"/>
        </w:rPr>
        <w:t xml:space="preserve"> and assisting. CEOs were responsible and accountable for management of their agencies</w:t>
      </w:r>
      <w:r w:rsidR="00872086" w:rsidRPr="004F7F40">
        <w:rPr>
          <w:rFonts w:ascii="Arial" w:hAnsi="Arial" w:cs="Arial"/>
        </w:rPr>
        <w:t>.</w:t>
      </w:r>
    </w:p>
    <w:p w14:paraId="21A3990D" w14:textId="57D04666" w:rsidR="004B7EC2" w:rsidRPr="004F7F40" w:rsidRDefault="004B7EC2" w:rsidP="00AB299F">
      <w:pPr>
        <w:pStyle w:val="ListParagraph"/>
        <w:numPr>
          <w:ilvl w:val="0"/>
          <w:numId w:val="5"/>
        </w:numPr>
        <w:rPr>
          <w:rFonts w:ascii="Arial" w:hAnsi="Arial" w:cs="Arial"/>
        </w:rPr>
      </w:pPr>
      <w:r w:rsidRPr="004F7F40">
        <w:rPr>
          <w:rFonts w:ascii="Arial" w:hAnsi="Arial" w:cs="Arial"/>
        </w:rPr>
        <w:t>The CPE’s powers are only to be exercised after consultation with CEOs</w:t>
      </w:r>
      <w:r w:rsidR="00872086" w:rsidRPr="004F7F40">
        <w:rPr>
          <w:rFonts w:ascii="Arial" w:hAnsi="Arial" w:cs="Arial"/>
        </w:rPr>
        <w:t>.</w:t>
      </w:r>
    </w:p>
    <w:p w14:paraId="03E7F16D" w14:textId="6C298F3E" w:rsidR="004B7EC2" w:rsidRPr="004F7F40" w:rsidRDefault="004B7EC2" w:rsidP="00AB299F">
      <w:pPr>
        <w:pStyle w:val="ListParagraph"/>
        <w:numPr>
          <w:ilvl w:val="0"/>
          <w:numId w:val="5"/>
        </w:numPr>
        <w:rPr>
          <w:rFonts w:ascii="Arial" w:hAnsi="Arial" w:cs="Arial"/>
        </w:rPr>
      </w:pPr>
      <w:r w:rsidRPr="004F7F40">
        <w:rPr>
          <w:rFonts w:ascii="Arial" w:hAnsi="Arial" w:cs="Arial"/>
        </w:rPr>
        <w:t>Clear delineation of the functions, responsibilities, accountabilities of CEOs</w:t>
      </w:r>
      <w:r w:rsidR="00872086" w:rsidRPr="004F7F40">
        <w:rPr>
          <w:rFonts w:ascii="Arial" w:hAnsi="Arial" w:cs="Arial"/>
        </w:rPr>
        <w:t>.</w:t>
      </w:r>
    </w:p>
    <w:p w14:paraId="3C2CE82D" w14:textId="116935B6" w:rsidR="004B7EC2" w:rsidRPr="004F7F40" w:rsidRDefault="004B7EC2" w:rsidP="00AB299F">
      <w:pPr>
        <w:pStyle w:val="ListParagraph"/>
        <w:numPr>
          <w:ilvl w:val="0"/>
          <w:numId w:val="5"/>
        </w:numPr>
        <w:rPr>
          <w:rFonts w:ascii="Arial" w:hAnsi="Arial" w:cs="Arial"/>
        </w:rPr>
      </w:pPr>
      <w:r w:rsidRPr="004F7F40">
        <w:rPr>
          <w:rFonts w:ascii="Arial" w:hAnsi="Arial" w:cs="Arial"/>
        </w:rPr>
        <w:t>Devolution of management responsibilities wherever possible from CPE to CEOs</w:t>
      </w:r>
      <w:r w:rsidR="00872086" w:rsidRPr="004F7F40">
        <w:rPr>
          <w:rFonts w:ascii="Arial" w:hAnsi="Arial" w:cs="Arial"/>
        </w:rPr>
        <w:t>.</w:t>
      </w:r>
    </w:p>
    <w:p w14:paraId="6795E5F7" w14:textId="14FB2F8B" w:rsidR="004B7EC2" w:rsidRPr="004F7F40" w:rsidRDefault="004B7EC2" w:rsidP="00AB299F">
      <w:pPr>
        <w:pStyle w:val="ListParagraph"/>
        <w:numPr>
          <w:ilvl w:val="0"/>
          <w:numId w:val="5"/>
        </w:numPr>
        <w:rPr>
          <w:rFonts w:ascii="Arial" w:hAnsi="Arial" w:cs="Arial"/>
        </w:rPr>
      </w:pPr>
      <w:r w:rsidRPr="004F7F40">
        <w:rPr>
          <w:rFonts w:ascii="Arial" w:hAnsi="Arial" w:cs="Arial"/>
        </w:rPr>
        <w:t>Integration of staff number control with budget system (</w:t>
      </w:r>
      <w:proofErr w:type="gramStart"/>
      <w:r w:rsidR="00872086" w:rsidRPr="004F7F40">
        <w:rPr>
          <w:rFonts w:ascii="Arial" w:hAnsi="Arial" w:cs="Arial"/>
        </w:rPr>
        <w:t>i.e.</w:t>
      </w:r>
      <w:proofErr w:type="gramEnd"/>
      <w:r w:rsidRPr="004F7F40">
        <w:rPr>
          <w:rFonts w:ascii="Arial" w:hAnsi="Arial" w:cs="Arial"/>
        </w:rPr>
        <w:t xml:space="preserve"> no numbers of positions but dollars for staffing)</w:t>
      </w:r>
      <w:r w:rsidR="00872086" w:rsidRPr="004F7F40">
        <w:rPr>
          <w:rFonts w:ascii="Arial" w:hAnsi="Arial" w:cs="Arial"/>
        </w:rPr>
        <w:t>.</w:t>
      </w:r>
    </w:p>
    <w:p w14:paraId="5036CC22" w14:textId="2AF7390E" w:rsidR="004B7EC2" w:rsidRPr="004F7F40" w:rsidRDefault="0073269E" w:rsidP="00AB299F">
      <w:pPr>
        <w:pStyle w:val="ListParagraph"/>
        <w:numPr>
          <w:ilvl w:val="0"/>
          <w:numId w:val="5"/>
        </w:numPr>
        <w:rPr>
          <w:rFonts w:ascii="Arial" w:hAnsi="Arial" w:cs="Arial"/>
        </w:rPr>
      </w:pPr>
      <w:r w:rsidRPr="004F7F40">
        <w:rPr>
          <w:rFonts w:ascii="Arial" w:hAnsi="Arial" w:cs="Arial"/>
        </w:rPr>
        <w:t>Established a management review function which provided the basis for KPIs and performance management. This comprised the CPE and the CEOs of the Department of the Chief Minister (DCM) and Treasury.</w:t>
      </w:r>
    </w:p>
    <w:p w14:paraId="69549557" w14:textId="43A975B4" w:rsidR="0073269E" w:rsidRPr="004F7F40" w:rsidRDefault="0073269E" w:rsidP="00AB299F">
      <w:pPr>
        <w:pStyle w:val="ListParagraph"/>
        <w:numPr>
          <w:ilvl w:val="0"/>
          <w:numId w:val="5"/>
        </w:numPr>
        <w:rPr>
          <w:rFonts w:ascii="Arial" w:hAnsi="Arial" w:cs="Arial"/>
        </w:rPr>
      </w:pPr>
      <w:r w:rsidRPr="004F7F40">
        <w:rPr>
          <w:rFonts w:ascii="Arial" w:hAnsi="Arial" w:cs="Arial"/>
        </w:rPr>
        <w:t>More flexible employment and tenure arrangements (</w:t>
      </w:r>
      <w:proofErr w:type="gramStart"/>
      <w:r w:rsidRPr="004F7F40">
        <w:rPr>
          <w:rFonts w:ascii="Arial" w:hAnsi="Arial" w:cs="Arial"/>
        </w:rPr>
        <w:t>i</w:t>
      </w:r>
      <w:r w:rsidR="00872086" w:rsidRPr="004F7F40">
        <w:rPr>
          <w:rFonts w:ascii="Arial" w:hAnsi="Arial" w:cs="Arial"/>
        </w:rPr>
        <w:t>.</w:t>
      </w:r>
      <w:r w:rsidRPr="004F7F40">
        <w:rPr>
          <w:rFonts w:ascii="Arial" w:hAnsi="Arial" w:cs="Arial"/>
        </w:rPr>
        <w:t>e</w:t>
      </w:r>
      <w:r w:rsidR="00872086" w:rsidRPr="004F7F40">
        <w:rPr>
          <w:rFonts w:ascii="Arial" w:hAnsi="Arial" w:cs="Arial"/>
        </w:rPr>
        <w:t>.</w:t>
      </w:r>
      <w:proofErr w:type="gramEnd"/>
      <w:r w:rsidRPr="004F7F40">
        <w:rPr>
          <w:rFonts w:ascii="Arial" w:hAnsi="Arial" w:cs="Arial"/>
        </w:rPr>
        <w:t xml:space="preserve"> contracts)</w:t>
      </w:r>
      <w:r w:rsidR="00872086" w:rsidRPr="004F7F40">
        <w:rPr>
          <w:rFonts w:ascii="Arial" w:hAnsi="Arial" w:cs="Arial"/>
        </w:rPr>
        <w:t>.</w:t>
      </w:r>
    </w:p>
    <w:p w14:paraId="7FF44B37" w14:textId="571548FD" w:rsidR="0073269E" w:rsidRPr="004F7F40" w:rsidRDefault="0073269E" w:rsidP="00AB299F">
      <w:pPr>
        <w:pStyle w:val="ListParagraph"/>
        <w:numPr>
          <w:ilvl w:val="0"/>
          <w:numId w:val="5"/>
        </w:numPr>
        <w:rPr>
          <w:rFonts w:ascii="Arial" w:hAnsi="Arial" w:cs="Arial"/>
        </w:rPr>
      </w:pPr>
      <w:r w:rsidRPr="004F7F40">
        <w:rPr>
          <w:rFonts w:ascii="Arial" w:hAnsi="Arial" w:cs="Arial"/>
        </w:rPr>
        <w:t>Specific provisions to cover inability and poor performance</w:t>
      </w:r>
      <w:r w:rsidR="00872086" w:rsidRPr="004F7F40">
        <w:rPr>
          <w:rFonts w:ascii="Arial" w:hAnsi="Arial" w:cs="Arial"/>
        </w:rPr>
        <w:t>.</w:t>
      </w:r>
    </w:p>
    <w:p w14:paraId="6D97DAFB" w14:textId="669E0081" w:rsidR="0073269E" w:rsidRPr="004F7F40" w:rsidRDefault="0073269E" w:rsidP="00AB299F">
      <w:pPr>
        <w:pStyle w:val="ListParagraph"/>
        <w:numPr>
          <w:ilvl w:val="0"/>
          <w:numId w:val="5"/>
        </w:numPr>
        <w:rPr>
          <w:rFonts w:ascii="Arial" w:hAnsi="Arial" w:cs="Arial"/>
        </w:rPr>
      </w:pPr>
      <w:r w:rsidRPr="004F7F40">
        <w:rPr>
          <w:rFonts w:ascii="Arial" w:hAnsi="Arial" w:cs="Arial"/>
        </w:rPr>
        <w:t>Streamlining disciplinary provisions</w:t>
      </w:r>
      <w:r w:rsidR="00872086" w:rsidRPr="004F7F40">
        <w:rPr>
          <w:rFonts w:ascii="Arial" w:hAnsi="Arial" w:cs="Arial"/>
        </w:rPr>
        <w:t>.</w:t>
      </w:r>
    </w:p>
    <w:p w14:paraId="1E5F3B38" w14:textId="754FFA56" w:rsidR="0073269E" w:rsidRPr="004F7F40" w:rsidRDefault="0073269E" w:rsidP="00881CBE">
      <w:pPr>
        <w:pStyle w:val="ListParagraph"/>
        <w:numPr>
          <w:ilvl w:val="0"/>
          <w:numId w:val="5"/>
        </w:numPr>
        <w:spacing w:before="0" w:after="120"/>
        <w:rPr>
          <w:rFonts w:ascii="Arial" w:hAnsi="Arial" w:cs="Arial"/>
        </w:rPr>
      </w:pPr>
      <w:r w:rsidRPr="004F7F40">
        <w:rPr>
          <w:rFonts w:ascii="Arial" w:hAnsi="Arial" w:cs="Arial"/>
        </w:rPr>
        <w:t>Less cumbersome appeal provisions</w:t>
      </w:r>
      <w:r w:rsidR="00D3656A" w:rsidRPr="004F7F40">
        <w:rPr>
          <w:rFonts w:ascii="Arial" w:hAnsi="Arial" w:cs="Arial"/>
        </w:rPr>
        <w:t xml:space="preserve"> (Hawkes, 1991, pp</w:t>
      </w:r>
      <w:r w:rsidR="00872086" w:rsidRPr="004F7F40">
        <w:rPr>
          <w:rFonts w:ascii="Arial" w:hAnsi="Arial" w:cs="Arial"/>
        </w:rPr>
        <w:t xml:space="preserve"> </w:t>
      </w:r>
      <w:r w:rsidR="00D3656A" w:rsidRPr="004F7F40">
        <w:rPr>
          <w:rFonts w:ascii="Arial" w:hAnsi="Arial" w:cs="Arial"/>
        </w:rPr>
        <w:t>76-80)</w:t>
      </w:r>
      <w:r w:rsidR="00872086" w:rsidRPr="004F7F40">
        <w:rPr>
          <w:rFonts w:ascii="Arial" w:hAnsi="Arial" w:cs="Arial"/>
        </w:rPr>
        <w:t>.</w:t>
      </w:r>
    </w:p>
    <w:p w14:paraId="023AB5E8" w14:textId="3DC394AE" w:rsidR="0099427F" w:rsidRPr="004F7F40" w:rsidRDefault="00983D4F" w:rsidP="00191170">
      <w:pPr>
        <w:spacing w:before="0" w:after="120"/>
        <w:rPr>
          <w:rFonts w:ascii="Arial" w:hAnsi="Arial" w:cs="Arial"/>
          <w:highlight w:val="cyan"/>
        </w:rPr>
      </w:pPr>
      <w:r w:rsidRPr="004F7F40">
        <w:rPr>
          <w:rFonts w:ascii="Arial" w:hAnsi="Arial" w:cs="Arial"/>
          <w:i/>
          <w:iCs/>
        </w:rPr>
        <w:t>The Public Sector Management and Employment Act 1993</w:t>
      </w:r>
      <w:r w:rsidRPr="004F7F40">
        <w:rPr>
          <w:rFonts w:ascii="Arial" w:hAnsi="Arial" w:cs="Arial"/>
        </w:rPr>
        <w:t xml:space="preserve"> </w:t>
      </w:r>
      <w:r w:rsidR="00067815" w:rsidRPr="004F7F40">
        <w:rPr>
          <w:rFonts w:ascii="Arial" w:hAnsi="Arial" w:cs="Arial"/>
        </w:rPr>
        <w:t xml:space="preserve">(PSEMA) </w:t>
      </w:r>
      <w:r w:rsidRPr="004F7F40">
        <w:rPr>
          <w:rFonts w:ascii="Arial" w:hAnsi="Arial" w:cs="Arial"/>
        </w:rPr>
        <w:t xml:space="preserve">established general principles relating to the public sector and its administration and established the role of Commissioner for Public Employment. </w:t>
      </w:r>
    </w:p>
    <w:p w14:paraId="28BF175E" w14:textId="496C3A76" w:rsidR="0073269E" w:rsidRPr="004F7F40" w:rsidRDefault="0073269E" w:rsidP="00191170">
      <w:pPr>
        <w:spacing w:before="0" w:after="120"/>
        <w:rPr>
          <w:rFonts w:ascii="Arial" w:hAnsi="Arial" w:cs="Arial"/>
        </w:rPr>
      </w:pPr>
      <w:r w:rsidRPr="004F7F40">
        <w:rPr>
          <w:rFonts w:ascii="Arial" w:hAnsi="Arial" w:cs="Arial"/>
        </w:rPr>
        <w:t xml:space="preserve">Some </w:t>
      </w:r>
      <w:r w:rsidR="00904340" w:rsidRPr="004F7F40">
        <w:rPr>
          <w:rFonts w:ascii="Arial" w:hAnsi="Arial" w:cs="Arial"/>
        </w:rPr>
        <w:t>policies</w:t>
      </w:r>
      <w:r w:rsidRPr="004F7F40">
        <w:rPr>
          <w:rFonts w:ascii="Arial" w:hAnsi="Arial" w:cs="Arial"/>
        </w:rPr>
        <w:t xml:space="preserve"> that had impacts on public sector employment</w:t>
      </w:r>
      <w:r w:rsidR="00904340" w:rsidRPr="004F7F40">
        <w:rPr>
          <w:rFonts w:ascii="Arial" w:hAnsi="Arial" w:cs="Arial"/>
        </w:rPr>
        <w:t xml:space="preserve"> between 1993 and 2010</w:t>
      </w:r>
      <w:r w:rsidR="00085D18" w:rsidRPr="004F7F40">
        <w:rPr>
          <w:rFonts w:ascii="Arial" w:hAnsi="Arial" w:cs="Arial"/>
        </w:rPr>
        <w:t xml:space="preserve"> included</w:t>
      </w:r>
      <w:r w:rsidRPr="004F7F40">
        <w:rPr>
          <w:rFonts w:ascii="Arial" w:hAnsi="Arial" w:cs="Arial"/>
        </w:rPr>
        <w:t>:</w:t>
      </w:r>
    </w:p>
    <w:p w14:paraId="089DD697" w14:textId="64050346" w:rsidR="0073269E" w:rsidRPr="004F7F40" w:rsidRDefault="0073269E" w:rsidP="00881CBE">
      <w:pPr>
        <w:pStyle w:val="ListParagraph"/>
        <w:numPr>
          <w:ilvl w:val="0"/>
          <w:numId w:val="7"/>
        </w:numPr>
        <w:spacing w:before="0" w:after="120"/>
        <w:rPr>
          <w:rFonts w:ascii="Arial" w:hAnsi="Arial" w:cs="Arial"/>
        </w:rPr>
      </w:pPr>
      <w:r w:rsidRPr="004F7F40">
        <w:rPr>
          <w:rFonts w:ascii="Arial" w:hAnsi="Arial" w:cs="Arial"/>
        </w:rPr>
        <w:t xml:space="preserve">NTPS21 (1997) – </w:t>
      </w:r>
      <w:r w:rsidR="00E756EB" w:rsidRPr="004F7F40">
        <w:rPr>
          <w:rFonts w:ascii="Arial" w:hAnsi="Arial" w:cs="Arial"/>
        </w:rPr>
        <w:t>a strategy for</w:t>
      </w:r>
      <w:r w:rsidRPr="004F7F40">
        <w:rPr>
          <w:rFonts w:ascii="Arial" w:hAnsi="Arial" w:cs="Arial"/>
        </w:rPr>
        <w:t xml:space="preserve"> managing change and the enterprise bargaining process</w:t>
      </w:r>
    </w:p>
    <w:p w14:paraId="3C280A57" w14:textId="2F44C34D" w:rsidR="0073269E" w:rsidRPr="004F7F40" w:rsidRDefault="0073269E" w:rsidP="00881CBE">
      <w:pPr>
        <w:pStyle w:val="ListParagraph"/>
        <w:numPr>
          <w:ilvl w:val="0"/>
          <w:numId w:val="7"/>
        </w:numPr>
        <w:spacing w:before="0" w:after="120"/>
        <w:rPr>
          <w:rFonts w:ascii="Arial" w:hAnsi="Arial" w:cs="Arial"/>
        </w:rPr>
      </w:pPr>
      <w:r w:rsidRPr="004F7F40">
        <w:rPr>
          <w:rFonts w:ascii="Arial" w:hAnsi="Arial" w:cs="Arial"/>
        </w:rPr>
        <w:t>Building our Future (2001) – “to ensure the NTPS is capable of delivering the Government’s strategic objectives in an environment of continuous change”</w:t>
      </w:r>
    </w:p>
    <w:p w14:paraId="3E41F094" w14:textId="41933239" w:rsidR="0073269E" w:rsidRPr="004F7F40" w:rsidRDefault="0073269E" w:rsidP="00881CBE">
      <w:pPr>
        <w:pStyle w:val="ListParagraph"/>
        <w:numPr>
          <w:ilvl w:val="0"/>
          <w:numId w:val="7"/>
        </w:numPr>
        <w:spacing w:before="0" w:after="120"/>
        <w:rPr>
          <w:rFonts w:ascii="Arial" w:hAnsi="Arial" w:cs="Arial"/>
        </w:rPr>
      </w:pPr>
      <w:r w:rsidRPr="004F7F40">
        <w:rPr>
          <w:rFonts w:ascii="Arial" w:hAnsi="Arial" w:cs="Arial"/>
        </w:rPr>
        <w:t>Working for Outcomes (2001) – new financial and performance management system with a focus on measuring outputs and performance</w:t>
      </w:r>
      <w:r w:rsidR="00872086" w:rsidRPr="004F7F40">
        <w:rPr>
          <w:rFonts w:ascii="Arial" w:hAnsi="Arial" w:cs="Arial"/>
        </w:rPr>
        <w:t>.</w:t>
      </w:r>
    </w:p>
    <w:p w14:paraId="4F1973B7" w14:textId="45792E18" w:rsidR="00A31E8A" w:rsidRPr="004F7F40" w:rsidRDefault="00407866" w:rsidP="00191170">
      <w:pPr>
        <w:spacing w:before="0" w:after="120"/>
        <w:rPr>
          <w:rFonts w:ascii="Arial" w:hAnsi="Arial" w:cs="Arial"/>
        </w:rPr>
      </w:pPr>
      <w:r w:rsidRPr="004F7F40">
        <w:rPr>
          <w:rFonts w:ascii="Arial" w:hAnsi="Arial" w:cs="Arial"/>
        </w:rPr>
        <w:t>In 2014–15, t</w:t>
      </w:r>
      <w:r w:rsidR="00A31E8A" w:rsidRPr="004F7F40">
        <w:rPr>
          <w:rFonts w:ascii="Arial" w:hAnsi="Arial" w:cs="Arial"/>
        </w:rPr>
        <w:t>he Northern Territory saw an increase in complaints made by public servants against their employer</w:t>
      </w:r>
      <w:r w:rsidR="001F73FC" w:rsidRPr="004F7F40">
        <w:rPr>
          <w:rFonts w:ascii="Arial" w:hAnsi="Arial" w:cs="Arial"/>
        </w:rPr>
        <w:t xml:space="preserve">, with </w:t>
      </w:r>
      <w:r w:rsidR="00E756EB" w:rsidRPr="004F7F40">
        <w:rPr>
          <w:rFonts w:ascii="Arial" w:hAnsi="Arial" w:cs="Arial"/>
        </w:rPr>
        <w:t>a significant</w:t>
      </w:r>
      <w:r w:rsidR="00A31E8A" w:rsidRPr="004F7F40">
        <w:rPr>
          <w:rFonts w:ascii="Arial" w:hAnsi="Arial" w:cs="Arial"/>
        </w:rPr>
        <w:t xml:space="preserve"> increase in appeals against recruitment selection decisions – which almost doubled (Donaldson, 2016, Jan 20). In response, recruitment and selection processes were reviewed and streamlined, with a </w:t>
      </w:r>
      <w:r w:rsidR="00E756EB" w:rsidRPr="004F7F40">
        <w:rPr>
          <w:rFonts w:ascii="Arial" w:hAnsi="Arial" w:cs="Arial"/>
        </w:rPr>
        <w:t xml:space="preserve">new </w:t>
      </w:r>
      <w:r w:rsidR="00A31E8A" w:rsidRPr="004F7F40">
        <w:rPr>
          <w:rFonts w:ascii="Arial" w:hAnsi="Arial" w:cs="Arial"/>
        </w:rPr>
        <w:t xml:space="preserve">Determination limiting job descriptions to one page and setting clear instructions for selection criteria to make them more open to outside applicants (Allen, 2016, Mar 7). The one-page job descriptions were introduced ahead of a similar </w:t>
      </w:r>
      <w:r w:rsidR="00E756EB" w:rsidRPr="004F7F40">
        <w:rPr>
          <w:rFonts w:ascii="Arial" w:hAnsi="Arial" w:cs="Arial"/>
        </w:rPr>
        <w:t xml:space="preserve">federal </w:t>
      </w:r>
      <w:r w:rsidR="00A31E8A" w:rsidRPr="004F7F40">
        <w:rPr>
          <w:rFonts w:ascii="Arial" w:hAnsi="Arial" w:cs="Arial"/>
        </w:rPr>
        <w:t xml:space="preserve">policy in the Department of Prime Minister and Cabinet (PM&amp;C) which adopted a ‘one-page pitch’ approach to recruitment (Donaldson, 2016, Jan 22). </w:t>
      </w:r>
    </w:p>
    <w:p w14:paraId="5F853F7C" w14:textId="58EA4378" w:rsidR="001F73FC" w:rsidRPr="004F7F40" w:rsidRDefault="001F73FC" w:rsidP="00191170">
      <w:pPr>
        <w:spacing w:before="0" w:after="120"/>
        <w:rPr>
          <w:rFonts w:ascii="Arial" w:hAnsi="Arial" w:cs="Arial"/>
          <w:szCs w:val="24"/>
        </w:rPr>
      </w:pPr>
      <w:r w:rsidRPr="004F7F40">
        <w:rPr>
          <w:rFonts w:ascii="Arial" w:hAnsi="Arial" w:cs="Arial"/>
        </w:rPr>
        <w:t xml:space="preserve">In 2016, the government of Chief Minister Adam Giles announced two new agencies – a Chief Scientist and a Remote Housing Development Authority (Easton, 2016, May 26). </w:t>
      </w:r>
      <w:r w:rsidR="00F21A62" w:rsidRPr="004F7F40">
        <w:rPr>
          <w:rFonts w:ascii="Arial" w:hAnsi="Arial" w:cs="Arial"/>
        </w:rPr>
        <w:t xml:space="preserve">A dedicated </w:t>
      </w:r>
      <w:r w:rsidR="00F21A62" w:rsidRPr="004F7F40">
        <w:rPr>
          <w:rFonts w:ascii="Arial" w:hAnsi="Arial" w:cs="Arial"/>
        </w:rPr>
        <w:lastRenderedPageBreak/>
        <w:t xml:space="preserve">Minister for Public Employment (Gerry McCarthy) joined the Cabinet table. </w:t>
      </w:r>
      <w:r w:rsidRPr="004F7F40">
        <w:rPr>
          <w:rFonts w:ascii="Arial" w:hAnsi="Arial" w:cs="Arial"/>
        </w:rPr>
        <w:t xml:space="preserve">The same year, the NT public service was on track to meet its target of 16% Indigenous employment by 2020 </w:t>
      </w:r>
      <w:r w:rsidRPr="004F7F40">
        <w:rPr>
          <w:rFonts w:ascii="Arial" w:hAnsi="Arial" w:cs="Arial"/>
          <w:szCs w:val="24"/>
        </w:rPr>
        <w:t>(Easton, 2016, May 26).</w:t>
      </w:r>
    </w:p>
    <w:p w14:paraId="08020282" w14:textId="33CF7FCF" w:rsidR="009F210D" w:rsidRPr="004F7F40" w:rsidRDefault="00060182" w:rsidP="00191170">
      <w:pPr>
        <w:spacing w:before="0" w:after="120"/>
        <w:rPr>
          <w:rFonts w:ascii="Arial" w:hAnsi="Arial" w:cs="Arial"/>
        </w:rPr>
      </w:pPr>
      <w:r w:rsidRPr="004F7F40">
        <w:rPr>
          <w:rFonts w:ascii="Arial" w:hAnsi="Arial" w:cs="Arial"/>
          <w:szCs w:val="24"/>
        </w:rPr>
        <w:t xml:space="preserve">In December 2018, NT Treasurer Nicole </w:t>
      </w:r>
      <w:proofErr w:type="spellStart"/>
      <w:r w:rsidRPr="004F7F40">
        <w:rPr>
          <w:rFonts w:ascii="Arial" w:hAnsi="Arial" w:cs="Arial"/>
          <w:szCs w:val="24"/>
        </w:rPr>
        <w:t>Manison</w:t>
      </w:r>
      <w:proofErr w:type="spellEnd"/>
      <w:r w:rsidRPr="004F7F40">
        <w:rPr>
          <w:rFonts w:ascii="Arial" w:hAnsi="Arial" w:cs="Arial"/>
          <w:szCs w:val="24"/>
        </w:rPr>
        <w:t xml:space="preserve"> revealed that, without </w:t>
      </w:r>
      <w:r w:rsidR="00375B43" w:rsidRPr="004F7F40">
        <w:rPr>
          <w:rFonts w:ascii="Arial" w:hAnsi="Arial" w:cs="Arial"/>
          <w:szCs w:val="24"/>
        </w:rPr>
        <w:t>fiscal reform</w:t>
      </w:r>
      <w:r w:rsidRPr="004F7F40">
        <w:rPr>
          <w:rFonts w:ascii="Arial" w:hAnsi="Arial" w:cs="Arial"/>
          <w:szCs w:val="24"/>
        </w:rPr>
        <w:t xml:space="preserve">, the NT was </w:t>
      </w:r>
      <w:r w:rsidR="00E756EB" w:rsidRPr="004F7F40">
        <w:rPr>
          <w:rFonts w:ascii="Arial" w:hAnsi="Arial" w:cs="Arial"/>
          <w:szCs w:val="24"/>
        </w:rPr>
        <w:t>likely</w:t>
      </w:r>
      <w:r w:rsidRPr="004F7F40">
        <w:rPr>
          <w:rFonts w:ascii="Arial" w:hAnsi="Arial" w:cs="Arial"/>
          <w:szCs w:val="24"/>
        </w:rPr>
        <w:t xml:space="preserve"> to be $35 billion in debt within a decade – with $4 million in borrowing a day already needed to cover public sector wages (Smith, 2019, Jun 16). </w:t>
      </w:r>
      <w:r w:rsidR="000F5BA6" w:rsidRPr="004F7F40">
        <w:rPr>
          <w:rFonts w:ascii="Arial" w:hAnsi="Arial" w:cs="Arial"/>
        </w:rPr>
        <w:t xml:space="preserve">In November 2018, the </w:t>
      </w:r>
      <w:r w:rsidRPr="004F7F40">
        <w:rPr>
          <w:rFonts w:ascii="Arial" w:hAnsi="Arial" w:cs="Arial"/>
        </w:rPr>
        <w:t xml:space="preserve">Gunner Government </w:t>
      </w:r>
      <w:r w:rsidR="000F5BA6" w:rsidRPr="004F7F40">
        <w:rPr>
          <w:rFonts w:ascii="Arial" w:hAnsi="Arial" w:cs="Arial"/>
        </w:rPr>
        <w:t xml:space="preserve">established </w:t>
      </w:r>
      <w:r w:rsidRPr="004F7F40">
        <w:rPr>
          <w:rFonts w:ascii="Arial" w:hAnsi="Arial" w:cs="Arial"/>
        </w:rPr>
        <w:t>a</w:t>
      </w:r>
      <w:r w:rsidR="000F5BA6" w:rsidRPr="004F7F40">
        <w:rPr>
          <w:rFonts w:ascii="Arial" w:hAnsi="Arial" w:cs="Arial"/>
        </w:rPr>
        <w:t xml:space="preserve"> Fiscal Strategy Panel, chaired by </w:t>
      </w:r>
      <w:r w:rsidRPr="004F7F40">
        <w:rPr>
          <w:rFonts w:ascii="Arial" w:hAnsi="Arial" w:cs="Arial"/>
        </w:rPr>
        <w:t xml:space="preserve">former WA Under-Treasurer </w:t>
      </w:r>
      <w:r w:rsidR="000F5BA6" w:rsidRPr="004F7F40">
        <w:rPr>
          <w:rFonts w:ascii="Arial" w:hAnsi="Arial" w:cs="Arial"/>
        </w:rPr>
        <w:t>John</w:t>
      </w:r>
      <w:r w:rsidR="00573AC4" w:rsidRPr="004F7F40">
        <w:rPr>
          <w:rFonts w:ascii="Arial" w:hAnsi="Arial" w:cs="Arial"/>
        </w:rPr>
        <w:t xml:space="preserve"> </w:t>
      </w:r>
      <w:proofErr w:type="spellStart"/>
      <w:r w:rsidR="000F5BA6" w:rsidRPr="004F7F40">
        <w:rPr>
          <w:rFonts w:ascii="Arial" w:hAnsi="Arial" w:cs="Arial"/>
        </w:rPr>
        <w:t>Langoulant</w:t>
      </w:r>
      <w:proofErr w:type="spellEnd"/>
      <w:r w:rsidR="000F5BA6" w:rsidRPr="004F7F40">
        <w:rPr>
          <w:rFonts w:ascii="Arial" w:hAnsi="Arial" w:cs="Arial"/>
        </w:rPr>
        <w:t>, to provide an independent assessment of the NT’s fiscal outlook and develop a plan for budget repair. The final report, released in April 2019</w:t>
      </w:r>
      <w:r w:rsidR="00511B36" w:rsidRPr="004F7F40">
        <w:rPr>
          <w:rFonts w:ascii="Arial" w:hAnsi="Arial" w:cs="Arial"/>
        </w:rPr>
        <w:t>,</w:t>
      </w:r>
      <w:r w:rsidR="000F5BA6" w:rsidRPr="004F7F40">
        <w:rPr>
          <w:rFonts w:ascii="Arial" w:hAnsi="Arial" w:cs="Arial"/>
        </w:rPr>
        <w:t xml:space="preserve"> included recommendations </w:t>
      </w:r>
      <w:r w:rsidR="00F728C6" w:rsidRPr="004F7F40">
        <w:rPr>
          <w:rFonts w:ascii="Arial" w:hAnsi="Arial" w:cs="Arial"/>
        </w:rPr>
        <w:t>for “</w:t>
      </w:r>
      <w:r w:rsidR="000F5BA6" w:rsidRPr="004F7F40">
        <w:rPr>
          <w:rFonts w:ascii="Arial" w:hAnsi="Arial" w:cs="Arial"/>
        </w:rPr>
        <w:t>reform</w:t>
      </w:r>
      <w:r w:rsidR="00F728C6" w:rsidRPr="004F7F40">
        <w:rPr>
          <w:rFonts w:ascii="Arial" w:hAnsi="Arial" w:cs="Arial"/>
        </w:rPr>
        <w:t>ing the NTPS</w:t>
      </w:r>
      <w:r w:rsidR="000F5BA6" w:rsidRPr="004F7F40">
        <w:rPr>
          <w:rFonts w:ascii="Arial" w:hAnsi="Arial" w:cs="Arial"/>
        </w:rPr>
        <w:t xml:space="preserve"> to deliver a sustainable workforce</w:t>
      </w:r>
      <w:r w:rsidR="00F728C6" w:rsidRPr="004F7F40">
        <w:rPr>
          <w:rFonts w:ascii="Arial" w:hAnsi="Arial" w:cs="Arial"/>
        </w:rPr>
        <w:t>” (</w:t>
      </w:r>
      <w:proofErr w:type="spellStart"/>
      <w:r w:rsidR="00F728C6" w:rsidRPr="004F7F40">
        <w:rPr>
          <w:rFonts w:ascii="Arial" w:hAnsi="Arial" w:cs="Arial"/>
        </w:rPr>
        <w:t>Langoulant</w:t>
      </w:r>
      <w:proofErr w:type="spellEnd"/>
      <w:r w:rsidR="00F728C6" w:rsidRPr="004F7F40">
        <w:rPr>
          <w:rFonts w:ascii="Arial" w:hAnsi="Arial" w:cs="Arial"/>
        </w:rPr>
        <w:t xml:space="preserve"> et al., 2019)</w:t>
      </w:r>
      <w:r w:rsidR="000F5BA6" w:rsidRPr="004F7F40">
        <w:rPr>
          <w:rFonts w:ascii="Arial" w:hAnsi="Arial" w:cs="Arial"/>
        </w:rPr>
        <w:t>.</w:t>
      </w:r>
      <w:r w:rsidR="00B56B3B" w:rsidRPr="004F7F40">
        <w:rPr>
          <w:rFonts w:ascii="Arial" w:hAnsi="Arial" w:cs="Arial"/>
        </w:rPr>
        <w:t xml:space="preserve"> </w:t>
      </w:r>
      <w:r w:rsidR="00511B36" w:rsidRPr="004F7F40">
        <w:rPr>
          <w:rFonts w:ascii="Arial" w:hAnsi="Arial" w:cs="Arial"/>
        </w:rPr>
        <w:t>While recognising that</w:t>
      </w:r>
      <w:r w:rsidR="00B56B3B" w:rsidRPr="004F7F40">
        <w:rPr>
          <w:rFonts w:ascii="Arial" w:hAnsi="Arial" w:cs="Arial"/>
        </w:rPr>
        <w:t xml:space="preserve"> the NTPS </w:t>
      </w:r>
      <w:r w:rsidR="00407866" w:rsidRPr="004F7F40">
        <w:rPr>
          <w:rFonts w:ascii="Arial" w:hAnsi="Arial" w:cs="Arial"/>
        </w:rPr>
        <w:t>was</w:t>
      </w:r>
      <w:r w:rsidR="00B56B3B" w:rsidRPr="004F7F40">
        <w:rPr>
          <w:rFonts w:ascii="Arial" w:hAnsi="Arial" w:cs="Arial"/>
        </w:rPr>
        <w:t xml:space="preserve"> the Territory Government’s largest asset, </w:t>
      </w:r>
      <w:r w:rsidR="00407866" w:rsidRPr="004F7F40">
        <w:rPr>
          <w:rFonts w:ascii="Arial" w:hAnsi="Arial" w:cs="Arial"/>
        </w:rPr>
        <w:t xml:space="preserve">it was </w:t>
      </w:r>
      <w:r w:rsidR="00B56B3B" w:rsidRPr="004F7F40">
        <w:rPr>
          <w:rFonts w:ascii="Arial" w:hAnsi="Arial" w:cs="Arial"/>
        </w:rPr>
        <w:t>also its greatest expenditure</w:t>
      </w:r>
      <w:r w:rsidR="00511B36" w:rsidRPr="004F7F40">
        <w:rPr>
          <w:rFonts w:ascii="Arial" w:hAnsi="Arial" w:cs="Arial"/>
        </w:rPr>
        <w:t>. T</w:t>
      </w:r>
      <w:r w:rsidR="00B56B3B" w:rsidRPr="004F7F40">
        <w:rPr>
          <w:rFonts w:ascii="Arial" w:hAnsi="Arial" w:cs="Arial"/>
        </w:rPr>
        <w:t xml:space="preserve">he </w:t>
      </w:r>
      <w:proofErr w:type="spellStart"/>
      <w:r w:rsidR="00B56B3B" w:rsidRPr="004F7F40">
        <w:rPr>
          <w:rFonts w:ascii="Arial" w:hAnsi="Arial" w:cs="Arial"/>
        </w:rPr>
        <w:t>Langoulant</w:t>
      </w:r>
      <w:proofErr w:type="spellEnd"/>
      <w:r w:rsidR="00B56B3B" w:rsidRPr="004F7F40">
        <w:rPr>
          <w:rFonts w:ascii="Arial" w:hAnsi="Arial" w:cs="Arial"/>
        </w:rPr>
        <w:t xml:space="preserve"> Review </w:t>
      </w:r>
      <w:r w:rsidR="00511B36" w:rsidRPr="004F7F40">
        <w:rPr>
          <w:rFonts w:ascii="Arial" w:hAnsi="Arial" w:cs="Arial"/>
        </w:rPr>
        <w:t xml:space="preserve">therefore </w:t>
      </w:r>
      <w:r w:rsidR="00FA4BD4" w:rsidRPr="004F7F40">
        <w:rPr>
          <w:rFonts w:ascii="Arial" w:hAnsi="Arial" w:cs="Arial"/>
        </w:rPr>
        <w:t>proposed</w:t>
      </w:r>
      <w:r w:rsidR="00B56B3B" w:rsidRPr="004F7F40">
        <w:rPr>
          <w:rFonts w:ascii="Arial" w:hAnsi="Arial" w:cs="Arial"/>
        </w:rPr>
        <w:t xml:space="preserve"> strategies </w:t>
      </w:r>
      <w:r w:rsidR="00511B36" w:rsidRPr="004F7F40">
        <w:rPr>
          <w:rFonts w:ascii="Arial" w:hAnsi="Arial" w:cs="Arial"/>
        </w:rPr>
        <w:t>for</w:t>
      </w:r>
      <w:r w:rsidR="00B56B3B" w:rsidRPr="004F7F40">
        <w:rPr>
          <w:rFonts w:ascii="Arial" w:hAnsi="Arial" w:cs="Arial"/>
        </w:rPr>
        <w:t xml:space="preserve"> reduc</w:t>
      </w:r>
      <w:r w:rsidR="00511B36" w:rsidRPr="004F7F40">
        <w:rPr>
          <w:rFonts w:ascii="Arial" w:hAnsi="Arial" w:cs="Arial"/>
        </w:rPr>
        <w:t>ing</w:t>
      </w:r>
      <w:r w:rsidR="00B56B3B" w:rsidRPr="004F7F40">
        <w:rPr>
          <w:rFonts w:ascii="Arial" w:hAnsi="Arial" w:cs="Arial"/>
        </w:rPr>
        <w:t xml:space="preserve"> employee costs:</w:t>
      </w:r>
    </w:p>
    <w:p w14:paraId="28A480C6" w14:textId="518A0B42" w:rsidR="00B56B3B" w:rsidRPr="004F7F40" w:rsidRDefault="00B56B3B" w:rsidP="00B56B3B">
      <w:pPr>
        <w:pStyle w:val="ListParagraph"/>
        <w:numPr>
          <w:ilvl w:val="0"/>
          <w:numId w:val="44"/>
        </w:numPr>
        <w:spacing w:before="0" w:after="120"/>
        <w:rPr>
          <w:rFonts w:ascii="Arial" w:hAnsi="Arial" w:cs="Arial"/>
        </w:rPr>
      </w:pPr>
      <w:r w:rsidRPr="004F7F40">
        <w:rPr>
          <w:rFonts w:ascii="Arial" w:hAnsi="Arial" w:cs="Arial"/>
        </w:rPr>
        <w:t>Halt the growth in the NTPS</w:t>
      </w:r>
    </w:p>
    <w:p w14:paraId="374F543C" w14:textId="408498DD" w:rsidR="00B56B3B" w:rsidRPr="004F7F40" w:rsidRDefault="00B56B3B" w:rsidP="00B56B3B">
      <w:pPr>
        <w:pStyle w:val="ListParagraph"/>
        <w:numPr>
          <w:ilvl w:val="0"/>
          <w:numId w:val="44"/>
        </w:numPr>
        <w:spacing w:before="0" w:after="120"/>
        <w:rPr>
          <w:rFonts w:ascii="Arial" w:hAnsi="Arial" w:cs="Arial"/>
        </w:rPr>
      </w:pPr>
      <w:r w:rsidRPr="004F7F40">
        <w:rPr>
          <w:rFonts w:ascii="Arial" w:hAnsi="Arial" w:cs="Arial"/>
        </w:rPr>
        <w:t xml:space="preserve">Implement staffing cuts </w:t>
      </w:r>
    </w:p>
    <w:p w14:paraId="7FB9A743" w14:textId="3C817B78" w:rsidR="00B56B3B" w:rsidRPr="004F7F40" w:rsidRDefault="00B56B3B" w:rsidP="00B56B3B">
      <w:pPr>
        <w:pStyle w:val="ListParagraph"/>
        <w:numPr>
          <w:ilvl w:val="0"/>
          <w:numId w:val="44"/>
        </w:numPr>
        <w:spacing w:before="0" w:after="120"/>
        <w:rPr>
          <w:rFonts w:ascii="Arial" w:hAnsi="Arial" w:cs="Arial"/>
        </w:rPr>
      </w:pPr>
      <w:r w:rsidRPr="004F7F40">
        <w:rPr>
          <w:rFonts w:ascii="Arial" w:hAnsi="Arial" w:cs="Arial"/>
        </w:rPr>
        <w:t xml:space="preserve">Introduce a hiring freeze for agencies that exceed their </w:t>
      </w:r>
      <w:r w:rsidR="004C5F82" w:rsidRPr="004F7F40">
        <w:rPr>
          <w:rFonts w:ascii="Arial" w:hAnsi="Arial" w:cs="Arial"/>
        </w:rPr>
        <w:t>cap/budget</w:t>
      </w:r>
    </w:p>
    <w:p w14:paraId="1932E113" w14:textId="471F74FA" w:rsidR="00B56B3B" w:rsidRPr="004F7F40" w:rsidRDefault="00B56B3B" w:rsidP="00B56B3B">
      <w:pPr>
        <w:pStyle w:val="ListParagraph"/>
        <w:numPr>
          <w:ilvl w:val="0"/>
          <w:numId w:val="44"/>
        </w:numPr>
        <w:spacing w:before="0" w:after="120"/>
        <w:rPr>
          <w:rFonts w:ascii="Arial" w:hAnsi="Arial" w:cs="Arial"/>
        </w:rPr>
      </w:pPr>
      <w:r w:rsidRPr="004F7F40">
        <w:rPr>
          <w:rFonts w:ascii="Arial" w:hAnsi="Arial" w:cs="Arial"/>
        </w:rPr>
        <w:t>A</w:t>
      </w:r>
      <w:r w:rsidR="004C5F82" w:rsidRPr="004F7F40">
        <w:rPr>
          <w:rFonts w:ascii="Arial" w:hAnsi="Arial" w:cs="Arial"/>
        </w:rPr>
        <w:t>dopt a new wages policy</w:t>
      </w:r>
    </w:p>
    <w:p w14:paraId="1CD7732A" w14:textId="6F902C09" w:rsidR="004C5F82" w:rsidRPr="004F7F40" w:rsidRDefault="004C5F82" w:rsidP="00B56B3B">
      <w:pPr>
        <w:pStyle w:val="ListParagraph"/>
        <w:numPr>
          <w:ilvl w:val="0"/>
          <w:numId w:val="44"/>
        </w:numPr>
        <w:spacing w:before="0" w:after="120"/>
        <w:rPr>
          <w:rFonts w:ascii="Arial" w:hAnsi="Arial" w:cs="Arial"/>
        </w:rPr>
      </w:pPr>
      <w:r w:rsidRPr="004F7F40">
        <w:rPr>
          <w:rFonts w:ascii="Arial" w:hAnsi="Arial" w:cs="Arial"/>
        </w:rPr>
        <w:t>Review the industrial relations framework</w:t>
      </w:r>
    </w:p>
    <w:p w14:paraId="08F63F39" w14:textId="4642BF75" w:rsidR="004C5F82" w:rsidRPr="004F7F40" w:rsidRDefault="004C5F82" w:rsidP="00B56B3B">
      <w:pPr>
        <w:pStyle w:val="ListParagraph"/>
        <w:numPr>
          <w:ilvl w:val="0"/>
          <w:numId w:val="44"/>
        </w:numPr>
        <w:spacing w:before="0" w:after="120"/>
        <w:rPr>
          <w:rFonts w:ascii="Arial" w:hAnsi="Arial" w:cs="Arial"/>
        </w:rPr>
      </w:pPr>
      <w:r w:rsidRPr="004F7F40">
        <w:rPr>
          <w:rFonts w:ascii="Arial" w:hAnsi="Arial" w:cs="Arial"/>
        </w:rPr>
        <w:t>Establish a whole-of-government strategic workforce board (</w:t>
      </w:r>
      <w:proofErr w:type="spellStart"/>
      <w:r w:rsidRPr="004F7F40">
        <w:rPr>
          <w:rFonts w:ascii="Arial" w:hAnsi="Arial" w:cs="Arial"/>
        </w:rPr>
        <w:t>Langoulant</w:t>
      </w:r>
      <w:proofErr w:type="spellEnd"/>
      <w:r w:rsidRPr="004F7F40">
        <w:rPr>
          <w:rFonts w:ascii="Arial" w:hAnsi="Arial" w:cs="Arial"/>
        </w:rPr>
        <w:t xml:space="preserve"> et al., 2019, p. 91).</w:t>
      </w:r>
    </w:p>
    <w:p w14:paraId="5DAC5560" w14:textId="2C1A87F4" w:rsidR="004026A2" w:rsidRPr="004F7F40" w:rsidRDefault="004C5F82" w:rsidP="00191170">
      <w:pPr>
        <w:spacing w:before="0" w:after="120"/>
        <w:rPr>
          <w:rFonts w:ascii="Arial" w:hAnsi="Arial" w:cs="Arial"/>
        </w:rPr>
      </w:pPr>
      <w:r w:rsidRPr="004F7F40">
        <w:rPr>
          <w:rFonts w:ascii="Arial" w:hAnsi="Arial" w:cs="Arial"/>
        </w:rPr>
        <w:t>If these strategies were unsuccessful, then staff reductions would be</w:t>
      </w:r>
      <w:r w:rsidR="00511B36" w:rsidRPr="004F7F40">
        <w:rPr>
          <w:rFonts w:ascii="Arial" w:hAnsi="Arial" w:cs="Arial"/>
        </w:rPr>
        <w:t>come</w:t>
      </w:r>
      <w:r w:rsidRPr="004F7F40">
        <w:rPr>
          <w:rFonts w:ascii="Arial" w:hAnsi="Arial" w:cs="Arial"/>
        </w:rPr>
        <w:t xml:space="preserve"> necessary.</w:t>
      </w:r>
      <w:r w:rsidR="004026A2" w:rsidRPr="004F7F40">
        <w:rPr>
          <w:rFonts w:ascii="Arial" w:hAnsi="Arial" w:cs="Arial"/>
        </w:rPr>
        <w:t xml:space="preserve"> Recommendations to avoid staff cuts were:</w:t>
      </w:r>
    </w:p>
    <w:p w14:paraId="2205C5DE" w14:textId="48559CA3" w:rsidR="004026A2" w:rsidRPr="004F7F40" w:rsidRDefault="004026A2" w:rsidP="004026A2">
      <w:pPr>
        <w:pStyle w:val="ListParagraph"/>
        <w:numPr>
          <w:ilvl w:val="0"/>
          <w:numId w:val="45"/>
        </w:numPr>
        <w:spacing w:before="0" w:after="120"/>
        <w:rPr>
          <w:rFonts w:ascii="Arial" w:hAnsi="Arial" w:cs="Arial"/>
        </w:rPr>
      </w:pPr>
      <w:r w:rsidRPr="004F7F40">
        <w:rPr>
          <w:rFonts w:ascii="Arial" w:hAnsi="Arial" w:cs="Arial"/>
        </w:rPr>
        <w:t>Implement a cap on Territory-funded FTE positions for the next three years, with growth in the cap thereafter limited to population growth.</w:t>
      </w:r>
    </w:p>
    <w:p w14:paraId="1766E319" w14:textId="73F6BD28" w:rsidR="004026A2" w:rsidRPr="004F7F40" w:rsidRDefault="004026A2" w:rsidP="004026A2">
      <w:pPr>
        <w:pStyle w:val="ListParagraph"/>
        <w:numPr>
          <w:ilvl w:val="0"/>
          <w:numId w:val="45"/>
        </w:numPr>
        <w:spacing w:before="0" w:after="120"/>
        <w:rPr>
          <w:rFonts w:ascii="Arial" w:hAnsi="Arial" w:cs="Arial"/>
        </w:rPr>
      </w:pPr>
      <w:r w:rsidRPr="004F7F40">
        <w:rPr>
          <w:rFonts w:ascii="Arial" w:hAnsi="Arial" w:cs="Arial"/>
        </w:rPr>
        <w:t>Implement an immediate recruitment freeze for agencies currently exceeding their expenditure budget.</w:t>
      </w:r>
    </w:p>
    <w:p w14:paraId="5BC395F9" w14:textId="7AE5C149" w:rsidR="004026A2" w:rsidRPr="004F7F40" w:rsidRDefault="004026A2" w:rsidP="004026A2">
      <w:pPr>
        <w:pStyle w:val="ListParagraph"/>
        <w:numPr>
          <w:ilvl w:val="0"/>
          <w:numId w:val="45"/>
        </w:numPr>
        <w:spacing w:before="0" w:after="120"/>
        <w:rPr>
          <w:rFonts w:ascii="Arial" w:hAnsi="Arial" w:cs="Arial"/>
        </w:rPr>
      </w:pPr>
      <w:r w:rsidRPr="004F7F40">
        <w:rPr>
          <w:rFonts w:ascii="Arial" w:hAnsi="Arial" w:cs="Arial"/>
        </w:rPr>
        <w:t>Incorporate staffing KPIs into chief executive performance agreements (</w:t>
      </w:r>
      <w:proofErr w:type="spellStart"/>
      <w:r w:rsidRPr="004F7F40">
        <w:rPr>
          <w:rFonts w:ascii="Arial" w:hAnsi="Arial" w:cs="Arial"/>
        </w:rPr>
        <w:t>Langoulant</w:t>
      </w:r>
      <w:proofErr w:type="spellEnd"/>
      <w:r w:rsidRPr="004F7F40">
        <w:rPr>
          <w:rFonts w:ascii="Arial" w:hAnsi="Arial" w:cs="Arial"/>
        </w:rPr>
        <w:t xml:space="preserve"> et al., 2019, p. 95).</w:t>
      </w:r>
    </w:p>
    <w:p w14:paraId="21F5E7D6" w14:textId="1BE6299C" w:rsidR="00A6006D" w:rsidRPr="004F7F40" w:rsidRDefault="00A6006D" w:rsidP="00191170">
      <w:pPr>
        <w:spacing w:before="0" w:after="120"/>
        <w:rPr>
          <w:rFonts w:ascii="Arial" w:hAnsi="Arial" w:cs="Arial"/>
        </w:rPr>
      </w:pPr>
      <w:proofErr w:type="spellStart"/>
      <w:r w:rsidRPr="004F7F40">
        <w:rPr>
          <w:rFonts w:ascii="Arial" w:hAnsi="Arial" w:cs="Arial"/>
        </w:rPr>
        <w:t>Langoulant</w:t>
      </w:r>
      <w:proofErr w:type="spellEnd"/>
      <w:r w:rsidRPr="004F7F40">
        <w:rPr>
          <w:rFonts w:ascii="Arial" w:hAnsi="Arial" w:cs="Arial"/>
        </w:rPr>
        <w:t xml:space="preserve"> suggested that the 17% of NTPS positions that were externally funded, mainly by the Commonwealth, should be excluded from the cap given they were budget-neutral (p. 16).</w:t>
      </w:r>
      <w:r w:rsidR="00511B36" w:rsidRPr="004F7F40">
        <w:rPr>
          <w:rFonts w:ascii="Arial" w:hAnsi="Arial" w:cs="Arial"/>
        </w:rPr>
        <w:t xml:space="preserve"> These positions were spread unevenly across agencies, ranging from 0% to 50% of agency staff.</w:t>
      </w:r>
    </w:p>
    <w:p w14:paraId="6AEDF23F" w14:textId="1B4DD7C3" w:rsidR="00CC6FC2" w:rsidRPr="004F7F40" w:rsidRDefault="001C2B76" w:rsidP="00191170">
      <w:pPr>
        <w:spacing w:before="0" w:after="120"/>
        <w:rPr>
          <w:rFonts w:ascii="Arial" w:hAnsi="Arial" w:cs="Arial"/>
        </w:rPr>
      </w:pPr>
      <w:r w:rsidRPr="004F7F40">
        <w:rPr>
          <w:rFonts w:ascii="Arial" w:hAnsi="Arial" w:cs="Arial"/>
        </w:rPr>
        <w:t xml:space="preserve">In April 2019, </w:t>
      </w:r>
      <w:r w:rsidR="005B7A6E" w:rsidRPr="004F7F40">
        <w:rPr>
          <w:rFonts w:ascii="Arial" w:hAnsi="Arial" w:cs="Arial"/>
        </w:rPr>
        <w:t>the Gunner Government announced plans to cut spending by $11 billion</w:t>
      </w:r>
      <w:r w:rsidR="0046527F" w:rsidRPr="004F7F40">
        <w:rPr>
          <w:rFonts w:ascii="Arial" w:hAnsi="Arial" w:cs="Arial"/>
        </w:rPr>
        <w:t>. Savings measures included</w:t>
      </w:r>
      <w:r w:rsidR="005B7A6E" w:rsidRPr="004F7F40">
        <w:rPr>
          <w:rFonts w:ascii="Arial" w:hAnsi="Arial" w:cs="Arial"/>
        </w:rPr>
        <w:t xml:space="preserve"> axing 52 of the highest-paid public service positions and several hundred other full-time positions, freezing the pay of politicians and public sector executives for three years, and capping public service pay increases at $1000 per year until the next Enterprise Bargaining Agreement (Roberts, 2019, Apr 16).</w:t>
      </w:r>
      <w:r w:rsidR="002830B1" w:rsidRPr="004F7F40">
        <w:rPr>
          <w:rFonts w:ascii="Arial" w:hAnsi="Arial" w:cs="Arial"/>
        </w:rPr>
        <w:t xml:space="preserve"> Treasurer Nicole </w:t>
      </w:r>
      <w:proofErr w:type="spellStart"/>
      <w:r w:rsidR="002830B1" w:rsidRPr="004F7F40">
        <w:rPr>
          <w:rFonts w:ascii="Arial" w:hAnsi="Arial" w:cs="Arial"/>
        </w:rPr>
        <w:t>Manison</w:t>
      </w:r>
      <w:proofErr w:type="spellEnd"/>
      <w:r w:rsidR="002830B1" w:rsidRPr="004F7F40">
        <w:rPr>
          <w:rFonts w:ascii="Arial" w:hAnsi="Arial" w:cs="Arial"/>
        </w:rPr>
        <w:t xml:space="preserve"> said the public sector reforms were the most significant since the Territory was granted self-government in 1978 (quoted by Roberts, 2019, Apr 16).</w:t>
      </w:r>
    </w:p>
    <w:p w14:paraId="4D637EBB" w14:textId="16B59145" w:rsidR="00F523A0" w:rsidRPr="004F7F40" w:rsidRDefault="00F523A0" w:rsidP="00191170">
      <w:pPr>
        <w:pStyle w:val="NoSpacing"/>
        <w:ind w:firstLine="0"/>
        <w:rPr>
          <w:rFonts w:ascii="Arial" w:hAnsi="Arial" w:cs="Arial"/>
        </w:rPr>
      </w:pPr>
      <w:r w:rsidRPr="004F7F40">
        <w:rPr>
          <w:rFonts w:ascii="Arial" w:hAnsi="Arial" w:cs="Arial"/>
        </w:rPr>
        <w:t xml:space="preserve">In June 2019, the Treasurer announced a three-year freeze on the salaries of public sector executives and politicians </w:t>
      </w:r>
      <w:r w:rsidR="0046527F" w:rsidRPr="004F7F40">
        <w:rPr>
          <w:rFonts w:ascii="Arial" w:hAnsi="Arial" w:cs="Arial"/>
        </w:rPr>
        <w:t xml:space="preserve">that </w:t>
      </w:r>
      <w:r w:rsidRPr="004F7F40">
        <w:rPr>
          <w:rFonts w:ascii="Arial" w:hAnsi="Arial" w:cs="Arial"/>
        </w:rPr>
        <w:t>would save the Territory $25 million (</w:t>
      </w:r>
      <w:proofErr w:type="spellStart"/>
      <w:r w:rsidRPr="004F7F40">
        <w:rPr>
          <w:rFonts w:ascii="Arial" w:hAnsi="Arial" w:cs="Arial"/>
        </w:rPr>
        <w:t>Manison</w:t>
      </w:r>
      <w:proofErr w:type="spellEnd"/>
      <w:r w:rsidRPr="004F7F40">
        <w:rPr>
          <w:rFonts w:ascii="Arial" w:hAnsi="Arial" w:cs="Arial"/>
        </w:rPr>
        <w:t>, 2019). The NTPS Bargaining Policy 2021–2024, released in March 2021, propose</w:t>
      </w:r>
      <w:r w:rsidR="0046527F" w:rsidRPr="004F7F40">
        <w:rPr>
          <w:rFonts w:ascii="Arial" w:hAnsi="Arial" w:cs="Arial"/>
        </w:rPr>
        <w:t>d</w:t>
      </w:r>
      <w:r w:rsidRPr="004F7F40">
        <w:rPr>
          <w:rFonts w:ascii="Arial" w:hAnsi="Arial" w:cs="Arial"/>
        </w:rPr>
        <w:t xml:space="preserve"> a $1000 “lump sum payment per year for term of agreement” (OCPE, 2021). An NTPS Strategic Workforce Board was established in late 2019 “to drive actions and initiative that maximise NTPS workforce investments as a means to improve workforce sustainability and capability” (OCPE, 2020</w:t>
      </w:r>
      <w:r w:rsidR="00B63D00" w:rsidRPr="004F7F40">
        <w:rPr>
          <w:rFonts w:ascii="Arial" w:hAnsi="Arial" w:cs="Arial"/>
        </w:rPr>
        <w:t>b</w:t>
      </w:r>
      <w:r w:rsidRPr="004F7F40">
        <w:rPr>
          <w:rFonts w:ascii="Arial" w:hAnsi="Arial" w:cs="Arial"/>
        </w:rPr>
        <w:t>: 6)</w:t>
      </w:r>
    </w:p>
    <w:p w14:paraId="45735B2A" w14:textId="0A93ACA8" w:rsidR="00CC6FC2" w:rsidRPr="004F7F40" w:rsidRDefault="00CC6FC2" w:rsidP="00191170">
      <w:pPr>
        <w:pStyle w:val="NoSpacing"/>
        <w:ind w:firstLine="0"/>
        <w:rPr>
          <w:rFonts w:ascii="Arial" w:hAnsi="Arial" w:cs="Arial"/>
        </w:rPr>
      </w:pPr>
      <w:r w:rsidRPr="004F7F40">
        <w:rPr>
          <w:rFonts w:ascii="Arial" w:hAnsi="Arial" w:cs="Arial"/>
        </w:rPr>
        <w:lastRenderedPageBreak/>
        <w:t xml:space="preserve">In November 2020, the Territory Economic Reconstruction Commission, led by former NT Chief Minister Paul Henderson, presented its Final Report (TERC, 2020). The Commission argued that public service capacity was integral to attracting investment to the NT, suggesting that the government engage “a strategic advisor … to support the cultural shift, to help build capability in the public service” (TERC, 2020: 33). It recommended support for </w:t>
      </w:r>
    </w:p>
    <w:p w14:paraId="757D32E5" w14:textId="77777777" w:rsidR="00CC6FC2" w:rsidRPr="004F7F40" w:rsidRDefault="00CC6FC2" w:rsidP="001D77F5">
      <w:pPr>
        <w:spacing w:before="120" w:after="120"/>
        <w:ind w:left="720"/>
        <w:rPr>
          <w:rFonts w:ascii="Arial" w:hAnsi="Arial" w:cs="Arial"/>
          <w:szCs w:val="24"/>
        </w:rPr>
      </w:pPr>
      <w:r w:rsidRPr="004F7F40">
        <w:rPr>
          <w:rFonts w:ascii="Arial" w:hAnsi="Arial" w:cs="Arial"/>
          <w:i/>
          <w:iCs/>
        </w:rPr>
        <w:t xml:space="preserve">…rapid public service capability uplift and/or assessing and developing wide-scale commercial understanding, economic and policy analysis and development, up-to-date knowledge of industry and global trends, project management, and agile and active cross-agency collaboration (not only cooperation) </w:t>
      </w:r>
      <w:r w:rsidRPr="004F7F40">
        <w:rPr>
          <w:rFonts w:ascii="Arial" w:hAnsi="Arial" w:cs="Arial"/>
        </w:rPr>
        <w:t>(Rec. B1, p. 39).</w:t>
      </w:r>
    </w:p>
    <w:p w14:paraId="17B73624" w14:textId="27B9CF45" w:rsidR="000126A6" w:rsidRPr="004F7F40" w:rsidRDefault="000126A6" w:rsidP="009637DE">
      <w:pPr>
        <w:spacing w:before="0" w:after="120"/>
        <w:ind w:firstLine="720"/>
        <w:rPr>
          <w:rFonts w:ascii="Arial" w:hAnsi="Arial" w:cs="Arial"/>
        </w:rPr>
      </w:pPr>
    </w:p>
    <w:p w14:paraId="189694DF" w14:textId="77777777" w:rsidR="00172FB6" w:rsidRPr="004F7F40" w:rsidRDefault="00172FB6">
      <w:pPr>
        <w:spacing w:before="0" w:after="200" w:line="276" w:lineRule="auto"/>
        <w:rPr>
          <w:rFonts w:ascii="Arial" w:eastAsiaTheme="majorEastAsia" w:hAnsi="Arial" w:cs="Arial"/>
          <w:b/>
          <w:sz w:val="28"/>
          <w:szCs w:val="32"/>
          <w:u w:val="single"/>
        </w:rPr>
      </w:pPr>
      <w:bookmarkStart w:id="7" w:name="_Toc77151712"/>
      <w:bookmarkStart w:id="8" w:name="_Toc77243215"/>
      <w:r w:rsidRPr="004F7F40">
        <w:rPr>
          <w:rFonts w:ascii="Arial" w:hAnsi="Arial" w:cs="Arial"/>
        </w:rPr>
        <w:br w:type="page"/>
      </w:r>
    </w:p>
    <w:p w14:paraId="6AA4BE92" w14:textId="2762E922" w:rsidR="000126A6" w:rsidRPr="00ED2C0A" w:rsidRDefault="000126A6" w:rsidP="00172FB6">
      <w:pPr>
        <w:pStyle w:val="Heading1"/>
        <w:rPr>
          <w:rFonts w:ascii="Arial" w:hAnsi="Arial" w:cs="Arial"/>
          <w:u w:val="none"/>
        </w:rPr>
      </w:pPr>
      <w:r w:rsidRPr="00ED2C0A">
        <w:rPr>
          <w:rFonts w:ascii="Arial" w:hAnsi="Arial" w:cs="Arial"/>
          <w:u w:val="none"/>
        </w:rPr>
        <w:lastRenderedPageBreak/>
        <w:t>The public service during global crises</w:t>
      </w:r>
      <w:bookmarkEnd w:id="7"/>
      <w:bookmarkEnd w:id="8"/>
    </w:p>
    <w:p w14:paraId="4B8AF9A7" w14:textId="77777777" w:rsidR="000126A6" w:rsidRPr="004F7F40" w:rsidRDefault="000126A6" w:rsidP="000126A6">
      <w:pPr>
        <w:rPr>
          <w:rFonts w:ascii="Arial" w:hAnsi="Arial" w:cs="Arial"/>
          <w:szCs w:val="24"/>
        </w:rPr>
      </w:pPr>
      <w:r w:rsidRPr="004F7F40">
        <w:rPr>
          <w:rFonts w:ascii="Arial" w:hAnsi="Arial" w:cs="Arial"/>
          <w:szCs w:val="24"/>
        </w:rPr>
        <w:t>This section outlines public service measures in response to the Global Financial Crisis (GFC) and the COVID-19 pandemic.</w:t>
      </w:r>
    </w:p>
    <w:p w14:paraId="2D9863F8" w14:textId="3E5E0EDD" w:rsidR="000126A6" w:rsidRPr="004F7F40" w:rsidRDefault="000126A6" w:rsidP="000126A6">
      <w:pPr>
        <w:pStyle w:val="reference"/>
        <w:rPr>
          <w:rFonts w:ascii="Arial" w:hAnsi="Arial" w:cs="Arial"/>
          <w:b/>
          <w:bCs/>
          <w:sz w:val="24"/>
          <w:szCs w:val="24"/>
        </w:rPr>
      </w:pPr>
      <w:r w:rsidRPr="004F7F40">
        <w:rPr>
          <w:rFonts w:ascii="Arial" w:hAnsi="Arial" w:cs="Arial"/>
          <w:b/>
          <w:bCs/>
          <w:sz w:val="24"/>
          <w:szCs w:val="24"/>
        </w:rPr>
        <w:t>GFC</w:t>
      </w:r>
    </w:p>
    <w:p w14:paraId="0AE5110E" w14:textId="62095A91" w:rsidR="00ED1B1C" w:rsidRPr="004F7F40" w:rsidRDefault="00ED1B1C" w:rsidP="00ED1B1C">
      <w:pPr>
        <w:rPr>
          <w:rFonts w:ascii="Arial" w:hAnsi="Arial" w:cs="Arial"/>
        </w:rPr>
      </w:pPr>
      <w:r w:rsidRPr="004F7F40">
        <w:rPr>
          <w:rFonts w:ascii="Arial" w:hAnsi="Arial" w:cs="Arial"/>
        </w:rPr>
        <w:t>The Northern Territory was initially less impacted by the GFC than other jurisdictions, largely attributed to its investment in strategic infrastructure prior to the economic crisis, delaying much of the impact (House of Reps, 2009, p. 73; Treasury, 2011).</w:t>
      </w:r>
    </w:p>
    <w:p w14:paraId="396D06DB" w14:textId="25FA358C" w:rsidR="000126A6" w:rsidRPr="004F7F40" w:rsidRDefault="000126A6" w:rsidP="00191170">
      <w:pPr>
        <w:pStyle w:val="NoSpacing"/>
        <w:ind w:firstLine="0"/>
        <w:rPr>
          <w:rFonts w:ascii="Arial" w:hAnsi="Arial" w:cs="Arial"/>
        </w:rPr>
      </w:pPr>
      <w:r w:rsidRPr="004F7F40">
        <w:rPr>
          <w:rFonts w:ascii="Arial" w:hAnsi="Arial" w:cs="Arial"/>
        </w:rPr>
        <w:t xml:space="preserve">In the five years before the onset of the GFC, the Territory had recorded average annual economic growth above other Australian jurisdictions (5.2% compared to the national average of 3%). While economic growth slowed nationally in 2008-09 to 1.4%, the NT maintained growth at 5.1%, slowing to 1.3% in 2009-10 then recovering to 3.2% </w:t>
      </w:r>
      <w:r w:rsidR="00FF2E02" w:rsidRPr="004F7F40">
        <w:rPr>
          <w:rFonts w:ascii="Arial" w:hAnsi="Arial" w:cs="Arial"/>
        </w:rPr>
        <w:t>by</w:t>
      </w:r>
      <w:r w:rsidRPr="004F7F40">
        <w:rPr>
          <w:rFonts w:ascii="Arial" w:hAnsi="Arial" w:cs="Arial"/>
        </w:rPr>
        <w:t xml:space="preserve"> 2011–12 (Treasury, 2011, p. 15).</w:t>
      </w:r>
      <w:r w:rsidR="00BB4D75" w:rsidRPr="004F7F40">
        <w:rPr>
          <w:rFonts w:ascii="Arial" w:hAnsi="Arial" w:cs="Arial"/>
        </w:rPr>
        <w:t xml:space="preserve"> Public sector wage growth in 2010 (3.8%) was slightly higher than the private sector (3.4%) following a restructuring of NTPS classifications and the introduction of a new enterprise bargaining agreement (Treasury, 2011, p. 3).</w:t>
      </w:r>
    </w:p>
    <w:p w14:paraId="5114249B" w14:textId="57577C1B" w:rsidR="000126A6" w:rsidRPr="004F7F40" w:rsidRDefault="000126A6" w:rsidP="000126A6">
      <w:pPr>
        <w:pStyle w:val="reference"/>
        <w:rPr>
          <w:rFonts w:ascii="Arial" w:hAnsi="Arial" w:cs="Arial"/>
          <w:b/>
          <w:bCs/>
          <w:sz w:val="24"/>
          <w:szCs w:val="24"/>
        </w:rPr>
      </w:pPr>
      <w:r w:rsidRPr="004F7F40">
        <w:rPr>
          <w:rFonts w:ascii="Arial" w:hAnsi="Arial" w:cs="Arial"/>
          <w:b/>
          <w:bCs/>
          <w:sz w:val="24"/>
          <w:szCs w:val="24"/>
        </w:rPr>
        <w:t>COVID-19</w:t>
      </w:r>
    </w:p>
    <w:p w14:paraId="0D3C5FF3" w14:textId="651CC1C6" w:rsidR="00301FA5" w:rsidRPr="004F7F40" w:rsidRDefault="00E86B1D" w:rsidP="00ED1B1C">
      <w:pPr>
        <w:rPr>
          <w:rFonts w:ascii="Arial" w:hAnsi="Arial" w:cs="Arial"/>
        </w:rPr>
      </w:pPr>
      <w:r w:rsidRPr="004F7F40">
        <w:rPr>
          <w:rFonts w:ascii="Arial" w:hAnsi="Arial" w:cs="Arial"/>
        </w:rPr>
        <w:t>Public sector debt in Australia increased significantly i</w:t>
      </w:r>
      <w:r w:rsidR="006B6E69" w:rsidRPr="004F7F40">
        <w:rPr>
          <w:rFonts w:ascii="Arial" w:hAnsi="Arial" w:cs="Arial"/>
        </w:rPr>
        <w:t>n 2019–20</w:t>
      </w:r>
      <w:r w:rsidRPr="004F7F40">
        <w:rPr>
          <w:rFonts w:ascii="Arial" w:hAnsi="Arial" w:cs="Arial"/>
        </w:rPr>
        <w:t xml:space="preserve"> due to the economic impacts of the pandemic</w:t>
      </w:r>
      <w:r w:rsidR="00301FA5" w:rsidRPr="004F7F40">
        <w:rPr>
          <w:rFonts w:ascii="Arial" w:hAnsi="Arial" w:cs="Arial"/>
        </w:rPr>
        <w:t xml:space="preserve">, </w:t>
      </w:r>
      <w:r w:rsidRPr="004F7F40">
        <w:rPr>
          <w:rFonts w:ascii="Arial" w:hAnsi="Arial" w:cs="Arial"/>
        </w:rPr>
        <w:t xml:space="preserve">with </w:t>
      </w:r>
      <w:r w:rsidR="00301FA5" w:rsidRPr="004F7F40">
        <w:rPr>
          <w:rFonts w:ascii="Arial" w:hAnsi="Arial" w:cs="Arial"/>
        </w:rPr>
        <w:t xml:space="preserve">the NT </w:t>
      </w:r>
      <w:r w:rsidR="00CB083C" w:rsidRPr="004F7F40">
        <w:rPr>
          <w:rFonts w:ascii="Arial" w:hAnsi="Arial" w:cs="Arial"/>
        </w:rPr>
        <w:t xml:space="preserve">becoming </w:t>
      </w:r>
      <w:r w:rsidRPr="004F7F40">
        <w:rPr>
          <w:rFonts w:ascii="Arial" w:hAnsi="Arial" w:cs="Arial"/>
        </w:rPr>
        <w:t xml:space="preserve">burdened with </w:t>
      </w:r>
      <w:r w:rsidR="00301FA5" w:rsidRPr="004F7F40">
        <w:rPr>
          <w:rFonts w:ascii="Arial" w:hAnsi="Arial" w:cs="Arial"/>
        </w:rPr>
        <w:t xml:space="preserve">the highest net public sector debt </w:t>
      </w:r>
      <w:r w:rsidR="006B6E69" w:rsidRPr="004F7F40">
        <w:rPr>
          <w:rFonts w:ascii="Arial" w:hAnsi="Arial" w:cs="Arial"/>
        </w:rPr>
        <w:t xml:space="preserve">to Gross State Product ratio of </w:t>
      </w:r>
      <w:r w:rsidRPr="004F7F40">
        <w:rPr>
          <w:rFonts w:ascii="Arial" w:hAnsi="Arial" w:cs="Arial"/>
        </w:rPr>
        <w:t>Australian</w:t>
      </w:r>
      <w:r w:rsidR="006B6E69" w:rsidRPr="004F7F40">
        <w:rPr>
          <w:rFonts w:ascii="Arial" w:hAnsi="Arial" w:cs="Arial"/>
        </w:rPr>
        <w:t xml:space="preserve"> jurisdictions</w:t>
      </w:r>
      <w:r w:rsidR="00301FA5" w:rsidRPr="004F7F40">
        <w:rPr>
          <w:rFonts w:ascii="Arial" w:hAnsi="Arial" w:cs="Arial"/>
        </w:rPr>
        <w:t xml:space="preserve"> (ABS, 2021).</w:t>
      </w:r>
    </w:p>
    <w:p w14:paraId="0395FD10" w14:textId="4BEE9F05" w:rsidR="00F13F2B" w:rsidRPr="004F7F40" w:rsidRDefault="00E7282C" w:rsidP="00191170">
      <w:pPr>
        <w:spacing w:before="0" w:after="120"/>
        <w:rPr>
          <w:rFonts w:ascii="Arial" w:hAnsi="Arial" w:cs="Arial"/>
        </w:rPr>
      </w:pPr>
      <w:r w:rsidRPr="004F7F40">
        <w:rPr>
          <w:rFonts w:ascii="Arial" w:hAnsi="Arial" w:cs="Arial"/>
        </w:rPr>
        <w:t xml:space="preserve">The NT has the highest proportion of public servants of any Australian jurisdiction. </w:t>
      </w:r>
      <w:r w:rsidR="00F13F2B" w:rsidRPr="004F7F40">
        <w:rPr>
          <w:rFonts w:ascii="Arial" w:hAnsi="Arial" w:cs="Arial"/>
        </w:rPr>
        <w:t xml:space="preserve">A public service staffing cap, introduced in 2019 as a budget repair measure, was lifted twice in 2020 to enable extra frontline staff to deal with the pandemic, with a new cap of 21,437 FTE positions (James, 2020). </w:t>
      </w:r>
    </w:p>
    <w:p w14:paraId="74142525" w14:textId="1B42B79A" w:rsidR="000126A6" w:rsidRPr="004F7F40" w:rsidRDefault="000126A6" w:rsidP="00191170">
      <w:pPr>
        <w:spacing w:before="0" w:after="120"/>
        <w:rPr>
          <w:rFonts w:ascii="Arial" w:hAnsi="Arial" w:cs="Arial"/>
        </w:rPr>
      </w:pPr>
      <w:r w:rsidRPr="004F7F40">
        <w:rPr>
          <w:rFonts w:ascii="Arial" w:hAnsi="Arial" w:cs="Arial"/>
        </w:rPr>
        <w:t>In November 2020, in the context of the delayed Territory Budget, the government announced a four-year freeze on public service wage growth, with a $1000 per annum “retention bonus” for eligible employees – a policy the public service union argued would slow post-pandemic growth (CPSU, 2021).</w:t>
      </w:r>
      <w:r w:rsidR="00E7282C" w:rsidRPr="004F7F40">
        <w:rPr>
          <w:rFonts w:ascii="Arial" w:hAnsi="Arial" w:cs="Arial"/>
        </w:rPr>
        <w:t xml:space="preserve"> However, the plan to replace the previous 2% annual wages increase had already been flagged pre-pandemic as part of the raft of measures to tackle the Territory’s budget crisis</w:t>
      </w:r>
      <w:r w:rsidR="00CB083C" w:rsidRPr="004F7F40">
        <w:rPr>
          <w:rFonts w:ascii="Arial" w:hAnsi="Arial" w:cs="Arial"/>
        </w:rPr>
        <w:t>,</w:t>
      </w:r>
      <w:r w:rsidR="00E7282C" w:rsidRPr="004F7F40">
        <w:rPr>
          <w:rFonts w:ascii="Arial" w:hAnsi="Arial" w:cs="Arial"/>
        </w:rPr>
        <w:t xml:space="preserve"> recommended in 2019 by the </w:t>
      </w:r>
      <w:proofErr w:type="spellStart"/>
      <w:r w:rsidR="00E7282C" w:rsidRPr="004F7F40">
        <w:rPr>
          <w:rFonts w:ascii="Arial" w:hAnsi="Arial" w:cs="Arial"/>
        </w:rPr>
        <w:t>Langoulant</w:t>
      </w:r>
      <w:proofErr w:type="spellEnd"/>
      <w:r w:rsidR="00E7282C" w:rsidRPr="004F7F40">
        <w:rPr>
          <w:rFonts w:ascii="Arial" w:hAnsi="Arial" w:cs="Arial"/>
        </w:rPr>
        <w:t xml:space="preserve"> review. </w:t>
      </w:r>
    </w:p>
    <w:p w14:paraId="0C2F2717" w14:textId="340B2AC9" w:rsidR="00A6006D" w:rsidRPr="004F7F40" w:rsidRDefault="00A6006D" w:rsidP="009637DE">
      <w:pPr>
        <w:spacing w:before="0" w:after="120"/>
        <w:ind w:firstLine="720"/>
        <w:rPr>
          <w:rFonts w:ascii="Arial" w:hAnsi="Arial" w:cs="Arial"/>
          <w:color w:val="FF0000"/>
        </w:rPr>
      </w:pPr>
      <w:r w:rsidRPr="004F7F40">
        <w:rPr>
          <w:rFonts w:ascii="Arial" w:hAnsi="Arial" w:cs="Arial"/>
          <w:color w:val="FF0000"/>
        </w:rPr>
        <w:br w:type="page"/>
      </w:r>
    </w:p>
    <w:p w14:paraId="4D96E83D" w14:textId="7D6BD12D" w:rsidR="00F605AD" w:rsidRPr="004F7F40" w:rsidRDefault="00F436D0" w:rsidP="00F605AD">
      <w:pPr>
        <w:pStyle w:val="Heading1"/>
        <w:rPr>
          <w:rFonts w:ascii="Arial" w:hAnsi="Arial" w:cs="Arial"/>
          <w:szCs w:val="28"/>
          <w:u w:val="none"/>
        </w:rPr>
      </w:pPr>
      <w:bookmarkStart w:id="9" w:name="_Toc77243216"/>
      <w:bookmarkEnd w:id="2"/>
      <w:r w:rsidRPr="004F7F40">
        <w:rPr>
          <w:rFonts w:ascii="Arial" w:hAnsi="Arial" w:cs="Arial"/>
          <w:szCs w:val="28"/>
          <w:u w:val="none"/>
        </w:rPr>
        <w:lastRenderedPageBreak/>
        <w:t>Northern Territory Public Service Legislation</w:t>
      </w:r>
      <w:bookmarkEnd w:id="9"/>
    </w:p>
    <w:p w14:paraId="1D4B2B5F" w14:textId="5B7E3874" w:rsidR="00817BB4" w:rsidRPr="004F7F40" w:rsidRDefault="00817BB4" w:rsidP="009C70E6">
      <w:pPr>
        <w:rPr>
          <w:rFonts w:ascii="Arial" w:hAnsi="Arial" w:cs="Arial"/>
        </w:rPr>
      </w:pPr>
    </w:p>
    <w:p w14:paraId="14489AF3" w14:textId="1DE43639" w:rsidR="00817BB4" w:rsidRPr="004F7F40" w:rsidRDefault="006025DA" w:rsidP="00817BB4">
      <w:pPr>
        <w:pStyle w:val="Heading2"/>
        <w:ind w:left="578" w:hanging="578"/>
        <w:rPr>
          <w:rFonts w:cs="Arial"/>
        </w:rPr>
      </w:pPr>
      <w:bookmarkStart w:id="10" w:name="_Toc77243217"/>
      <w:r w:rsidRPr="004F7F40">
        <w:rPr>
          <w:rFonts w:cs="Arial"/>
        </w:rPr>
        <w:t>B</w:t>
      </w:r>
      <w:r w:rsidR="00817BB4" w:rsidRPr="004F7F40">
        <w:rPr>
          <w:rFonts w:cs="Arial"/>
        </w:rPr>
        <w:t>ackground</w:t>
      </w:r>
      <w:bookmarkEnd w:id="10"/>
    </w:p>
    <w:p w14:paraId="5E291E61" w14:textId="62B0DC0F" w:rsidR="00817BB4" w:rsidRPr="004F7F40" w:rsidRDefault="00422FAE" w:rsidP="003010FE">
      <w:pPr>
        <w:spacing w:before="0" w:after="120"/>
        <w:rPr>
          <w:rFonts w:ascii="Arial" w:hAnsi="Arial" w:cs="Arial"/>
        </w:rPr>
      </w:pPr>
      <w:r w:rsidRPr="004F7F40">
        <w:rPr>
          <w:rFonts w:ascii="Arial" w:hAnsi="Arial" w:cs="Arial"/>
        </w:rPr>
        <w:t xml:space="preserve">Under the </w:t>
      </w:r>
      <w:r w:rsidR="00817BB4" w:rsidRPr="004F7F40">
        <w:rPr>
          <w:rFonts w:ascii="Arial" w:hAnsi="Arial" w:cs="Arial"/>
          <w:i/>
          <w:iCs/>
        </w:rPr>
        <w:t>Northern Territory (Self-Government) Act 1978</w:t>
      </w:r>
      <w:r w:rsidRPr="004F7F40">
        <w:rPr>
          <w:rFonts w:ascii="Arial" w:hAnsi="Arial" w:cs="Arial"/>
        </w:rPr>
        <w:t xml:space="preserve"> (NTSGA)</w:t>
      </w:r>
      <w:r w:rsidRPr="004F7F40">
        <w:rPr>
          <w:rFonts w:ascii="Arial" w:hAnsi="Arial" w:cs="Arial"/>
          <w:i/>
          <w:iCs/>
        </w:rPr>
        <w:t xml:space="preserve">, </w:t>
      </w:r>
      <w:r w:rsidRPr="004F7F40">
        <w:rPr>
          <w:rFonts w:ascii="Arial" w:hAnsi="Arial" w:cs="Arial"/>
        </w:rPr>
        <w:t xml:space="preserve">the Federal Government retained the power “to deal with matters pertaining to the relationship between employers and employees” under the Workplace Relations Act (OCPE, 2009a, p. 3). </w:t>
      </w:r>
      <w:r w:rsidR="005C1FEE" w:rsidRPr="004F7F40">
        <w:rPr>
          <w:rFonts w:ascii="Arial" w:hAnsi="Arial" w:cs="Arial"/>
          <w:i/>
          <w:iCs/>
        </w:rPr>
        <w:t xml:space="preserve"> </w:t>
      </w:r>
      <w:r w:rsidRPr="004F7F40">
        <w:rPr>
          <w:rFonts w:ascii="Arial" w:hAnsi="Arial" w:cs="Arial"/>
        </w:rPr>
        <w:t>Under the Act, regulation of Federal Industrial Relations was divided between the following bodies:</w:t>
      </w:r>
    </w:p>
    <w:p w14:paraId="2B7364EA" w14:textId="28363DAC" w:rsidR="00422FAE" w:rsidRPr="004F7F40" w:rsidRDefault="00422FAE" w:rsidP="003010FE">
      <w:pPr>
        <w:pStyle w:val="ListParagraph"/>
        <w:numPr>
          <w:ilvl w:val="0"/>
          <w:numId w:val="8"/>
        </w:numPr>
        <w:spacing w:before="0" w:after="120"/>
        <w:ind w:left="1080"/>
        <w:rPr>
          <w:rFonts w:ascii="Arial" w:hAnsi="Arial" w:cs="Arial"/>
        </w:rPr>
      </w:pPr>
      <w:r w:rsidRPr="004F7F40">
        <w:rPr>
          <w:rFonts w:ascii="Arial" w:hAnsi="Arial" w:cs="Arial"/>
        </w:rPr>
        <w:t xml:space="preserve">the Australian Industrial Relations Commission (AIRC) – essentially disputes and unfair </w:t>
      </w:r>
      <w:proofErr w:type="gramStart"/>
      <w:r w:rsidRPr="004F7F40">
        <w:rPr>
          <w:rFonts w:ascii="Arial" w:hAnsi="Arial" w:cs="Arial"/>
        </w:rPr>
        <w:t>dismissals;</w:t>
      </w:r>
      <w:proofErr w:type="gramEnd"/>
    </w:p>
    <w:p w14:paraId="04F33496" w14:textId="43E8C354" w:rsidR="00422FAE" w:rsidRPr="004F7F40" w:rsidRDefault="00422FAE" w:rsidP="003010FE">
      <w:pPr>
        <w:pStyle w:val="ListParagraph"/>
        <w:numPr>
          <w:ilvl w:val="0"/>
          <w:numId w:val="8"/>
        </w:numPr>
        <w:spacing w:before="0" w:after="120"/>
        <w:ind w:left="1080"/>
        <w:rPr>
          <w:rFonts w:ascii="Arial" w:hAnsi="Arial" w:cs="Arial"/>
        </w:rPr>
      </w:pPr>
      <w:r w:rsidRPr="004F7F40">
        <w:rPr>
          <w:rFonts w:ascii="Arial" w:hAnsi="Arial" w:cs="Arial"/>
        </w:rPr>
        <w:t xml:space="preserve">the Workplace Authority – registration of agreements and checking them for compliance with the no-disadvantage test, recording of transmission of business arrangements and publication of pay </w:t>
      </w:r>
      <w:proofErr w:type="gramStart"/>
      <w:r w:rsidRPr="004F7F40">
        <w:rPr>
          <w:rFonts w:ascii="Arial" w:hAnsi="Arial" w:cs="Arial"/>
        </w:rPr>
        <w:t>scales;</w:t>
      </w:r>
      <w:proofErr w:type="gramEnd"/>
    </w:p>
    <w:p w14:paraId="01350E3A" w14:textId="77777777" w:rsidR="00422FAE" w:rsidRPr="004F7F40" w:rsidRDefault="00422FAE" w:rsidP="003010FE">
      <w:pPr>
        <w:pStyle w:val="ListParagraph"/>
        <w:numPr>
          <w:ilvl w:val="0"/>
          <w:numId w:val="8"/>
        </w:numPr>
        <w:spacing w:before="0" w:after="120"/>
        <w:ind w:left="1080"/>
        <w:rPr>
          <w:rFonts w:ascii="Arial" w:hAnsi="Arial" w:cs="Arial"/>
        </w:rPr>
      </w:pPr>
      <w:r w:rsidRPr="004F7F40">
        <w:rPr>
          <w:rFonts w:ascii="Arial" w:hAnsi="Arial" w:cs="Arial"/>
        </w:rPr>
        <w:t>the Workplace Ombudsman – inspectoral and prosecutorial services; and</w:t>
      </w:r>
    </w:p>
    <w:p w14:paraId="6B6F6F3B" w14:textId="621D2454" w:rsidR="00422FAE" w:rsidRPr="004F7F40" w:rsidRDefault="00422FAE" w:rsidP="003010FE">
      <w:pPr>
        <w:pStyle w:val="ListParagraph"/>
        <w:numPr>
          <w:ilvl w:val="0"/>
          <w:numId w:val="8"/>
        </w:numPr>
        <w:spacing w:before="0" w:after="120"/>
        <w:ind w:left="1080"/>
        <w:rPr>
          <w:rFonts w:ascii="Arial" w:hAnsi="Arial" w:cs="Arial"/>
        </w:rPr>
      </w:pPr>
      <w:r w:rsidRPr="004F7F40">
        <w:rPr>
          <w:rFonts w:ascii="Arial" w:hAnsi="Arial" w:cs="Arial"/>
        </w:rPr>
        <w:t>the Australian Fair Pay Commission – periodic adjustment of the Federal minimum wage.</w:t>
      </w:r>
    </w:p>
    <w:p w14:paraId="50429331" w14:textId="77777777" w:rsidR="00422FAE" w:rsidRPr="004F7F40" w:rsidRDefault="00422FAE" w:rsidP="003010FE">
      <w:pPr>
        <w:pStyle w:val="ListParagraph"/>
        <w:spacing w:before="0" w:after="120"/>
        <w:rPr>
          <w:rFonts w:ascii="Arial" w:hAnsi="Arial" w:cs="Arial"/>
        </w:rPr>
      </w:pPr>
    </w:p>
    <w:p w14:paraId="4EA6B40F" w14:textId="77777777" w:rsidR="00422FAE" w:rsidRPr="004F7F40" w:rsidRDefault="00422FAE" w:rsidP="00191170">
      <w:pPr>
        <w:pStyle w:val="ListParagraph"/>
        <w:spacing w:before="0" w:after="120"/>
        <w:ind w:left="0"/>
        <w:rPr>
          <w:rFonts w:ascii="Arial" w:hAnsi="Arial" w:cs="Arial"/>
        </w:rPr>
      </w:pPr>
      <w:r w:rsidRPr="004F7F40">
        <w:rPr>
          <w:rFonts w:ascii="Arial" w:hAnsi="Arial" w:cs="Arial"/>
        </w:rPr>
        <w:t>The NTSGA did however grant the NT Legislative Assembly “powers to make laws in respect to public sector employment, and to the Commissioner for Public Employment to make determinations for establishing terms and conditions of employment for NTPS employees” (OPSCE, 2009a). To address inconsistencies between NT laws and Federal awards, the Act prescribes that the latter shall prevail. It should be noted that successive NT Governments have made policy decisions to pursue collective rather than individual bargaining agreements.</w:t>
      </w:r>
    </w:p>
    <w:p w14:paraId="1FBA4CB2" w14:textId="35F70EBB" w:rsidR="00422FAE" w:rsidRPr="004F7F40" w:rsidRDefault="00422FAE" w:rsidP="003010FE">
      <w:pPr>
        <w:pStyle w:val="ListParagraph"/>
        <w:spacing w:before="0" w:after="120"/>
        <w:ind w:left="0"/>
        <w:rPr>
          <w:rFonts w:ascii="Arial" w:hAnsi="Arial" w:cs="Arial"/>
          <w:i/>
          <w:iCs/>
        </w:rPr>
      </w:pPr>
    </w:p>
    <w:p w14:paraId="3331DC16" w14:textId="29A7D47A" w:rsidR="00910465" w:rsidRPr="004F7F40" w:rsidRDefault="00345B54" w:rsidP="00191170">
      <w:pPr>
        <w:pStyle w:val="ListParagraph"/>
        <w:spacing w:before="0" w:after="120"/>
        <w:ind w:left="0"/>
        <w:rPr>
          <w:rFonts w:ascii="Arial" w:hAnsi="Arial" w:cs="Arial"/>
        </w:rPr>
      </w:pPr>
      <w:r w:rsidRPr="004F7F40">
        <w:rPr>
          <w:rFonts w:ascii="Arial" w:hAnsi="Arial" w:cs="Arial"/>
        </w:rPr>
        <w:t xml:space="preserve">The </w:t>
      </w:r>
      <w:r w:rsidR="00422FAE" w:rsidRPr="004F7F40">
        <w:rPr>
          <w:rFonts w:ascii="Arial" w:hAnsi="Arial" w:cs="Arial"/>
          <w:i/>
          <w:iCs/>
        </w:rPr>
        <w:t xml:space="preserve">Public Sector Employment and Management Act </w:t>
      </w:r>
      <w:r w:rsidR="00D76D9D" w:rsidRPr="004F7F40">
        <w:rPr>
          <w:rFonts w:ascii="Arial" w:hAnsi="Arial" w:cs="Arial"/>
          <w:i/>
          <w:iCs/>
        </w:rPr>
        <w:t xml:space="preserve">1993 </w:t>
      </w:r>
      <w:r w:rsidRPr="004F7F40">
        <w:rPr>
          <w:rFonts w:ascii="Arial" w:hAnsi="Arial" w:cs="Arial"/>
        </w:rPr>
        <w:t xml:space="preserve">(PSEMA) established the Commissioner for Public Employment as the statutory employer of NT public servants. Governing the employment, </w:t>
      </w:r>
      <w:proofErr w:type="gramStart"/>
      <w:r w:rsidRPr="004F7F40">
        <w:rPr>
          <w:rFonts w:ascii="Arial" w:hAnsi="Arial" w:cs="Arial"/>
        </w:rPr>
        <w:t>management</w:t>
      </w:r>
      <w:proofErr w:type="gramEnd"/>
      <w:r w:rsidRPr="004F7F40">
        <w:rPr>
          <w:rFonts w:ascii="Arial" w:hAnsi="Arial" w:cs="Arial"/>
        </w:rPr>
        <w:t xml:space="preserve"> and administration of NTPS employees, </w:t>
      </w:r>
      <w:r w:rsidR="00D76D9D" w:rsidRPr="004F7F40">
        <w:rPr>
          <w:rFonts w:ascii="Arial" w:hAnsi="Arial" w:cs="Arial"/>
        </w:rPr>
        <w:t>t</w:t>
      </w:r>
      <w:r w:rsidRPr="004F7F40">
        <w:rPr>
          <w:rFonts w:ascii="Arial" w:hAnsi="Arial" w:cs="Arial"/>
        </w:rPr>
        <w:t>he Act clarified the roles and responsibilities of the Minister for Public Employment, the Commissioner and Chief Executive Officers (OCPE, 2020</w:t>
      </w:r>
      <w:r w:rsidR="00B63D00" w:rsidRPr="004F7F40">
        <w:rPr>
          <w:rFonts w:ascii="Arial" w:hAnsi="Arial" w:cs="Arial"/>
        </w:rPr>
        <w:t>a</w:t>
      </w:r>
      <w:r w:rsidRPr="004F7F40">
        <w:rPr>
          <w:rFonts w:ascii="Arial" w:hAnsi="Arial" w:cs="Arial"/>
        </w:rPr>
        <w:t>).</w:t>
      </w:r>
      <w:r w:rsidR="00910465" w:rsidRPr="004F7F40">
        <w:rPr>
          <w:rFonts w:ascii="Arial" w:hAnsi="Arial" w:cs="Arial"/>
        </w:rPr>
        <w:t xml:space="preserve"> The PSEMA Regulations established the Public Sector Consultative Council and regulates matters such as employee records, </w:t>
      </w:r>
      <w:proofErr w:type="gramStart"/>
      <w:r w:rsidR="00910465" w:rsidRPr="004F7F40">
        <w:rPr>
          <w:rFonts w:ascii="Arial" w:hAnsi="Arial" w:cs="Arial"/>
        </w:rPr>
        <w:t>resignations</w:t>
      </w:r>
      <w:proofErr w:type="gramEnd"/>
      <w:r w:rsidR="00910465" w:rsidRPr="004F7F40">
        <w:rPr>
          <w:rFonts w:ascii="Arial" w:hAnsi="Arial" w:cs="Arial"/>
        </w:rPr>
        <w:t xml:space="preserve"> and appeals.</w:t>
      </w:r>
    </w:p>
    <w:p w14:paraId="29941168" w14:textId="728C24BE" w:rsidR="003B7CD3" w:rsidRPr="004F7F40" w:rsidRDefault="003B7CD3" w:rsidP="00191170">
      <w:pPr>
        <w:spacing w:before="0" w:after="120"/>
        <w:rPr>
          <w:rFonts w:ascii="Arial" w:hAnsi="Arial" w:cs="Arial"/>
        </w:rPr>
      </w:pPr>
      <w:r w:rsidRPr="004F7F40">
        <w:rPr>
          <w:rFonts w:ascii="Arial" w:hAnsi="Arial" w:cs="Arial"/>
        </w:rPr>
        <w:t xml:space="preserve">The </w:t>
      </w:r>
      <w:r w:rsidR="00E11702" w:rsidRPr="004F7F40">
        <w:rPr>
          <w:rFonts w:ascii="Arial" w:hAnsi="Arial" w:cs="Arial"/>
        </w:rPr>
        <w:t>‘</w:t>
      </w:r>
      <w:r w:rsidRPr="004F7F40">
        <w:rPr>
          <w:rFonts w:ascii="Arial" w:hAnsi="Arial" w:cs="Arial"/>
        </w:rPr>
        <w:t>separation of powers</w:t>
      </w:r>
      <w:r w:rsidR="00E11702" w:rsidRPr="004F7F40">
        <w:rPr>
          <w:rFonts w:ascii="Arial" w:hAnsi="Arial" w:cs="Arial"/>
        </w:rPr>
        <w:t>’ philosophy</w:t>
      </w:r>
      <w:r w:rsidRPr="004F7F40">
        <w:rPr>
          <w:rFonts w:ascii="Arial" w:hAnsi="Arial" w:cs="Arial"/>
        </w:rPr>
        <w:t xml:space="preserve"> is also reflected in the PSEMA, which outlined the obligations of public servants to the government of the day, the requirement for them to be politically neutral, and placed restrictions on the directions </w:t>
      </w:r>
      <w:r w:rsidR="00E11702" w:rsidRPr="004F7F40">
        <w:rPr>
          <w:rFonts w:ascii="Arial" w:hAnsi="Arial" w:cs="Arial"/>
        </w:rPr>
        <w:t>that</w:t>
      </w:r>
      <w:r w:rsidRPr="004F7F40">
        <w:rPr>
          <w:rFonts w:ascii="Arial" w:hAnsi="Arial" w:cs="Arial"/>
        </w:rPr>
        <w:t xml:space="preserve"> Ministers and their staff </w:t>
      </w:r>
      <w:r w:rsidR="00E11702" w:rsidRPr="004F7F40">
        <w:rPr>
          <w:rFonts w:ascii="Arial" w:hAnsi="Arial" w:cs="Arial"/>
        </w:rPr>
        <w:t xml:space="preserve">may convey </w:t>
      </w:r>
      <w:r w:rsidRPr="004F7F40">
        <w:rPr>
          <w:rFonts w:ascii="Arial" w:hAnsi="Arial" w:cs="Arial"/>
        </w:rPr>
        <w:t xml:space="preserve">to </w:t>
      </w:r>
      <w:r w:rsidR="00E11702" w:rsidRPr="004F7F40">
        <w:rPr>
          <w:rFonts w:ascii="Arial" w:hAnsi="Arial" w:cs="Arial"/>
        </w:rPr>
        <w:t xml:space="preserve">agency </w:t>
      </w:r>
      <w:r w:rsidRPr="004F7F40">
        <w:rPr>
          <w:rFonts w:ascii="Arial" w:hAnsi="Arial" w:cs="Arial"/>
        </w:rPr>
        <w:t>CEOs (OCPE, 2009a, pp 5</w:t>
      </w:r>
      <w:r w:rsidR="00B20BBC" w:rsidRPr="004F7F40">
        <w:rPr>
          <w:rFonts w:ascii="Arial" w:hAnsi="Arial" w:cs="Arial"/>
        </w:rPr>
        <w:t>–</w:t>
      </w:r>
      <w:r w:rsidRPr="004F7F40">
        <w:rPr>
          <w:rFonts w:ascii="Arial" w:hAnsi="Arial" w:cs="Arial"/>
        </w:rPr>
        <w:t>6):</w:t>
      </w:r>
    </w:p>
    <w:p w14:paraId="1BDA34D9" w14:textId="6C2DE4C1" w:rsidR="003B7CD3" w:rsidRPr="004F7F40" w:rsidRDefault="006025DA" w:rsidP="006025DA">
      <w:pPr>
        <w:spacing w:before="0" w:after="120"/>
        <w:ind w:left="720"/>
        <w:rPr>
          <w:rFonts w:ascii="Arial" w:hAnsi="Arial" w:cs="Arial"/>
          <w:i/>
          <w:iCs/>
        </w:rPr>
      </w:pPr>
      <w:r w:rsidRPr="004F7F40">
        <w:rPr>
          <w:rFonts w:ascii="Arial" w:hAnsi="Arial" w:cs="Arial"/>
        </w:rPr>
        <w:t>“</w:t>
      </w:r>
      <w:r w:rsidR="003B7CD3" w:rsidRPr="004F7F40">
        <w:rPr>
          <w:rFonts w:ascii="Arial" w:hAnsi="Arial" w:cs="Arial"/>
        </w:rPr>
        <w:t xml:space="preserve">• </w:t>
      </w:r>
      <w:r w:rsidR="003B7CD3" w:rsidRPr="004F7F40">
        <w:rPr>
          <w:rFonts w:ascii="Arial" w:hAnsi="Arial" w:cs="Arial"/>
          <w:i/>
          <w:iCs/>
        </w:rPr>
        <w:t>Obligation to the Government of the Day</w:t>
      </w:r>
    </w:p>
    <w:p w14:paraId="1D2A32F0" w14:textId="77777777" w:rsidR="003B7CD3" w:rsidRPr="004F7F40" w:rsidRDefault="003B7CD3" w:rsidP="006025DA">
      <w:pPr>
        <w:spacing w:before="0" w:after="120"/>
        <w:ind w:left="720"/>
        <w:rPr>
          <w:rFonts w:ascii="Arial" w:hAnsi="Arial" w:cs="Arial"/>
        </w:rPr>
      </w:pPr>
      <w:r w:rsidRPr="004F7F40">
        <w:rPr>
          <w:rFonts w:ascii="Arial" w:hAnsi="Arial" w:cs="Arial"/>
        </w:rPr>
        <w:t xml:space="preserve">The Principles of Public Administration and Management (Regulation 2) and the Principles of Conduct (Regulation 4), together with the Code of Conduct (Employment Instruction No 13), clearly set out a range of matters concerned with NTPS employees’ obligations to the government of the day. In broad terms, the </w:t>
      </w:r>
      <w:proofErr w:type="gramStart"/>
      <w:r w:rsidRPr="004F7F40">
        <w:rPr>
          <w:rFonts w:ascii="Arial" w:hAnsi="Arial" w:cs="Arial"/>
        </w:rPr>
        <w:t>first priority</w:t>
      </w:r>
      <w:proofErr w:type="gramEnd"/>
      <w:r w:rsidRPr="004F7F40">
        <w:rPr>
          <w:rFonts w:ascii="Arial" w:hAnsi="Arial" w:cs="Arial"/>
        </w:rPr>
        <w:t xml:space="preserve"> of employees is to carry out government policy in a manner that withstands the closest public scrutiny. Public sector employees are therefore obliged to serve their Ministers, within the law, with skill, impartiality, </w:t>
      </w:r>
      <w:proofErr w:type="gramStart"/>
      <w:r w:rsidRPr="004F7F40">
        <w:rPr>
          <w:rFonts w:ascii="Arial" w:hAnsi="Arial" w:cs="Arial"/>
        </w:rPr>
        <w:t>professionalism</w:t>
      </w:r>
      <w:proofErr w:type="gramEnd"/>
      <w:r w:rsidRPr="004F7F40">
        <w:rPr>
          <w:rFonts w:ascii="Arial" w:hAnsi="Arial" w:cs="Arial"/>
        </w:rPr>
        <w:t xml:space="preserve"> and integrity.</w:t>
      </w:r>
    </w:p>
    <w:p w14:paraId="76F0ED50" w14:textId="5D2448F9" w:rsidR="003B7CD3" w:rsidRPr="004F7F40" w:rsidRDefault="00874B97" w:rsidP="006025DA">
      <w:pPr>
        <w:spacing w:before="0" w:after="120"/>
        <w:ind w:left="720"/>
        <w:rPr>
          <w:rFonts w:ascii="Arial" w:hAnsi="Arial" w:cs="Arial"/>
          <w:i/>
          <w:iCs/>
        </w:rPr>
      </w:pPr>
      <w:r w:rsidRPr="004F7F40">
        <w:rPr>
          <w:rFonts w:ascii="Arial" w:hAnsi="Arial" w:cs="Arial"/>
        </w:rPr>
        <w:t>“</w:t>
      </w:r>
      <w:r w:rsidR="003B7CD3" w:rsidRPr="004F7F40">
        <w:rPr>
          <w:rFonts w:ascii="Arial" w:hAnsi="Arial" w:cs="Arial"/>
        </w:rPr>
        <w:t xml:space="preserve">• </w:t>
      </w:r>
      <w:r w:rsidR="003B7CD3" w:rsidRPr="004F7F40">
        <w:rPr>
          <w:rFonts w:ascii="Arial" w:hAnsi="Arial" w:cs="Arial"/>
          <w:i/>
          <w:iCs/>
        </w:rPr>
        <w:t>Political Neutrality</w:t>
      </w:r>
    </w:p>
    <w:p w14:paraId="13CD04E2" w14:textId="119E2E68" w:rsidR="003B7CD3" w:rsidRPr="004F7F40" w:rsidRDefault="003B7CD3" w:rsidP="006025DA">
      <w:pPr>
        <w:spacing w:before="0" w:after="120"/>
        <w:ind w:left="720"/>
        <w:rPr>
          <w:rFonts w:ascii="Arial" w:hAnsi="Arial" w:cs="Arial"/>
        </w:rPr>
      </w:pPr>
      <w:r w:rsidRPr="004F7F40">
        <w:rPr>
          <w:rFonts w:ascii="Arial" w:hAnsi="Arial" w:cs="Arial"/>
        </w:rPr>
        <w:t xml:space="preserve">The Regulations require NTPS employees to serve whatever government is in power in the same professional and impartial way. This convention of political neutrality is designed to ensure that NTPS employees provide strong support for the good government of the Northern Territory regardless of the political party in power. NTPS </w:t>
      </w:r>
      <w:r w:rsidRPr="004F7F40">
        <w:rPr>
          <w:rFonts w:ascii="Arial" w:hAnsi="Arial" w:cs="Arial"/>
        </w:rPr>
        <w:lastRenderedPageBreak/>
        <w:t>employees are therefore responsible for providing advice to Ministers that is frank, independent, based on an accurate representation of the facts and which is as comprehensive as possible. However, final decisions on policy are the prerogative of Ministers. Public servants must not withhold relevant information, nor seek to obstruct or delay a decision, nor attempt to undermine, nor improperly influence government policy.</w:t>
      </w:r>
    </w:p>
    <w:p w14:paraId="3B411E74" w14:textId="42282E78" w:rsidR="003B7CD3" w:rsidRPr="004F7F40" w:rsidRDefault="006025DA" w:rsidP="006025DA">
      <w:pPr>
        <w:spacing w:before="0" w:after="120"/>
        <w:ind w:left="720"/>
        <w:rPr>
          <w:rFonts w:ascii="Arial" w:hAnsi="Arial" w:cs="Arial"/>
        </w:rPr>
      </w:pPr>
      <w:r w:rsidRPr="004F7F40">
        <w:rPr>
          <w:rFonts w:ascii="Arial" w:hAnsi="Arial" w:cs="Arial"/>
        </w:rPr>
        <w:t>“</w:t>
      </w:r>
      <w:r w:rsidR="003B7CD3" w:rsidRPr="004F7F40">
        <w:rPr>
          <w:rFonts w:ascii="Arial" w:hAnsi="Arial" w:cs="Arial"/>
        </w:rPr>
        <w:t xml:space="preserve">• </w:t>
      </w:r>
      <w:r w:rsidR="003B7CD3" w:rsidRPr="004F7F40">
        <w:rPr>
          <w:rFonts w:ascii="Arial" w:hAnsi="Arial" w:cs="Arial"/>
          <w:i/>
          <w:iCs/>
        </w:rPr>
        <w:t>Restriction on Ministerial / Ministerial staff Direction to CEOs</w:t>
      </w:r>
    </w:p>
    <w:p w14:paraId="4C3A2580" w14:textId="77777777" w:rsidR="003B7CD3" w:rsidRPr="004F7F40" w:rsidRDefault="003B7CD3" w:rsidP="006025DA">
      <w:pPr>
        <w:spacing w:before="0" w:after="120"/>
        <w:ind w:left="720"/>
        <w:rPr>
          <w:rFonts w:ascii="Arial" w:hAnsi="Arial" w:cs="Arial"/>
        </w:rPr>
      </w:pPr>
      <w:r w:rsidRPr="004F7F40">
        <w:rPr>
          <w:rFonts w:ascii="Arial" w:hAnsi="Arial" w:cs="Arial"/>
        </w:rPr>
        <w:t xml:space="preserve">The PSEMA sets out the functions of CEOs and states that they are subject to the direction of the </w:t>
      </w:r>
      <w:proofErr w:type="gramStart"/>
      <w:r w:rsidRPr="004F7F40">
        <w:rPr>
          <w:rFonts w:ascii="Arial" w:hAnsi="Arial" w:cs="Arial"/>
        </w:rPr>
        <w:t>portfolio Minister</w:t>
      </w:r>
      <w:proofErr w:type="gramEnd"/>
      <w:r w:rsidRPr="004F7F40">
        <w:rPr>
          <w:rFonts w:ascii="Arial" w:hAnsi="Arial" w:cs="Arial"/>
        </w:rPr>
        <w:t xml:space="preserve">. It must be emphasised this direction is not absolute and there are </w:t>
      </w:r>
      <w:proofErr w:type="gramStart"/>
      <w:r w:rsidRPr="004F7F40">
        <w:rPr>
          <w:rFonts w:ascii="Arial" w:hAnsi="Arial" w:cs="Arial"/>
        </w:rPr>
        <w:t>a number of</w:t>
      </w:r>
      <w:proofErr w:type="gramEnd"/>
      <w:r w:rsidRPr="004F7F40">
        <w:rPr>
          <w:rFonts w:ascii="Arial" w:hAnsi="Arial" w:cs="Arial"/>
        </w:rPr>
        <w:t xml:space="preserve"> crucial restrictions on the extent to which a Minister may direct a CEO. While these restrictions are discussed in greater detail below, </w:t>
      </w:r>
      <w:proofErr w:type="gramStart"/>
      <w:r w:rsidRPr="004F7F40">
        <w:rPr>
          <w:rFonts w:ascii="Arial" w:hAnsi="Arial" w:cs="Arial"/>
        </w:rPr>
        <w:t>it is clear that Ministers</w:t>
      </w:r>
      <w:proofErr w:type="gramEnd"/>
      <w:r w:rsidRPr="004F7F40">
        <w:rPr>
          <w:rFonts w:ascii="Arial" w:hAnsi="Arial" w:cs="Arial"/>
        </w:rPr>
        <w:t xml:space="preserve"> and their staff are not able to direct CEOs in respect of public employment matters.”</w:t>
      </w:r>
    </w:p>
    <w:p w14:paraId="6DBD85C6" w14:textId="0A959D0A" w:rsidR="003B7CD3" w:rsidRPr="004F7F40" w:rsidRDefault="003B7CD3" w:rsidP="003B7CD3">
      <w:pPr>
        <w:rPr>
          <w:rFonts w:ascii="Arial" w:hAnsi="Arial" w:cs="Arial"/>
        </w:rPr>
      </w:pPr>
      <w:r w:rsidRPr="004F7F40">
        <w:rPr>
          <w:rFonts w:ascii="Arial" w:hAnsi="Arial" w:cs="Arial"/>
        </w:rPr>
        <w:t>The subordinate legislation under the PSEMA comprises:</w:t>
      </w:r>
    </w:p>
    <w:p w14:paraId="1AC1FAD0" w14:textId="77777777" w:rsidR="003B7CD3" w:rsidRPr="004F7F40" w:rsidRDefault="003B7CD3" w:rsidP="003B7CD3">
      <w:pPr>
        <w:pStyle w:val="ListParagraph"/>
        <w:numPr>
          <w:ilvl w:val="0"/>
          <w:numId w:val="6"/>
        </w:numPr>
        <w:rPr>
          <w:rFonts w:ascii="Arial" w:hAnsi="Arial" w:cs="Arial"/>
        </w:rPr>
      </w:pPr>
      <w:r w:rsidRPr="004F7F40">
        <w:rPr>
          <w:rFonts w:ascii="Arial" w:hAnsi="Arial" w:cs="Arial"/>
        </w:rPr>
        <w:t>Regulations (principles and machinery matters)</w:t>
      </w:r>
    </w:p>
    <w:p w14:paraId="1EBFB709" w14:textId="77777777" w:rsidR="003B7CD3" w:rsidRPr="004F7F40" w:rsidRDefault="003B7CD3" w:rsidP="003B7CD3">
      <w:pPr>
        <w:pStyle w:val="ListParagraph"/>
        <w:numPr>
          <w:ilvl w:val="0"/>
          <w:numId w:val="6"/>
        </w:numPr>
        <w:rPr>
          <w:rFonts w:ascii="Arial" w:hAnsi="Arial" w:cs="Arial"/>
        </w:rPr>
      </w:pPr>
      <w:r w:rsidRPr="004F7F40">
        <w:rPr>
          <w:rFonts w:ascii="Arial" w:hAnsi="Arial" w:cs="Arial"/>
        </w:rPr>
        <w:t>By-laws to over conditions of service</w:t>
      </w:r>
    </w:p>
    <w:p w14:paraId="3BDD93F6" w14:textId="407EA14D" w:rsidR="003B7CD3" w:rsidRPr="004F7F40" w:rsidRDefault="003B7CD3" w:rsidP="003B7CD3">
      <w:pPr>
        <w:pStyle w:val="ListParagraph"/>
        <w:numPr>
          <w:ilvl w:val="0"/>
          <w:numId w:val="6"/>
        </w:numPr>
        <w:rPr>
          <w:rFonts w:ascii="Arial" w:hAnsi="Arial" w:cs="Arial"/>
        </w:rPr>
      </w:pPr>
      <w:r w:rsidRPr="004F7F40">
        <w:rPr>
          <w:rFonts w:ascii="Arial" w:hAnsi="Arial" w:cs="Arial"/>
        </w:rPr>
        <w:t>Employment instructions (</w:t>
      </w:r>
      <w:r w:rsidR="00874B97" w:rsidRPr="004F7F40">
        <w:rPr>
          <w:rFonts w:ascii="Arial" w:hAnsi="Arial" w:cs="Arial"/>
        </w:rPr>
        <w:t>listed</w:t>
      </w:r>
      <w:r w:rsidRPr="004F7F40">
        <w:rPr>
          <w:rFonts w:ascii="Arial" w:hAnsi="Arial" w:cs="Arial"/>
        </w:rPr>
        <w:t xml:space="preserve"> below)</w:t>
      </w:r>
    </w:p>
    <w:p w14:paraId="3E8206FB" w14:textId="77777777" w:rsidR="003B7CD3" w:rsidRPr="004F7F40" w:rsidRDefault="003B7CD3" w:rsidP="006025DA">
      <w:pPr>
        <w:pStyle w:val="ListParagraph"/>
        <w:numPr>
          <w:ilvl w:val="0"/>
          <w:numId w:val="6"/>
        </w:numPr>
        <w:spacing w:before="0" w:after="120"/>
        <w:ind w:left="714" w:hanging="357"/>
        <w:rPr>
          <w:rFonts w:ascii="Arial" w:hAnsi="Arial" w:cs="Arial"/>
        </w:rPr>
      </w:pPr>
      <w:r w:rsidRPr="004F7F40">
        <w:rPr>
          <w:rFonts w:ascii="Arial" w:hAnsi="Arial" w:cs="Arial"/>
        </w:rPr>
        <w:t>Determinations</w:t>
      </w:r>
    </w:p>
    <w:p w14:paraId="1D529105" w14:textId="77777777" w:rsidR="003B7CD3" w:rsidRPr="004F7F40" w:rsidRDefault="003B7CD3" w:rsidP="003B7CD3">
      <w:pPr>
        <w:rPr>
          <w:rFonts w:ascii="Arial" w:hAnsi="Arial" w:cs="Arial"/>
        </w:rPr>
      </w:pPr>
      <w:r w:rsidRPr="004F7F40">
        <w:rPr>
          <w:rFonts w:ascii="Arial" w:hAnsi="Arial" w:cs="Arial"/>
        </w:rPr>
        <w:t>The Employment Instructions are:</w:t>
      </w:r>
    </w:p>
    <w:p w14:paraId="03922B63"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Advertising, Selection, Appointment, Transfer and Promotion</w:t>
      </w:r>
    </w:p>
    <w:p w14:paraId="19971BC8"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Probation</w:t>
      </w:r>
    </w:p>
    <w:p w14:paraId="55117E94"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Natural Justice</w:t>
      </w:r>
    </w:p>
    <w:p w14:paraId="1B31D314"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Performance Management</w:t>
      </w:r>
    </w:p>
    <w:p w14:paraId="617B5B8A"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Medical Incapacity</w:t>
      </w:r>
    </w:p>
    <w:p w14:paraId="54739C97"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Inability to Discharge Duties</w:t>
      </w:r>
    </w:p>
    <w:p w14:paraId="724B366D"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Discipline</w:t>
      </w:r>
    </w:p>
    <w:p w14:paraId="4A73F12D"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Management of Grievances</w:t>
      </w:r>
    </w:p>
    <w:p w14:paraId="5CF835AB"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Omitted</w:t>
      </w:r>
    </w:p>
    <w:p w14:paraId="392FD7A9"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Employee Records</w:t>
      </w:r>
    </w:p>
    <w:p w14:paraId="7B712F81"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Equal Employment Opportunity Management Programs</w:t>
      </w:r>
    </w:p>
    <w:p w14:paraId="40386226"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Occupational Health and Safety Programs</w:t>
      </w:r>
    </w:p>
    <w:p w14:paraId="4E1A1010" w14:textId="77777777" w:rsidR="003B7CD3" w:rsidRPr="004F7F40" w:rsidRDefault="003B7CD3" w:rsidP="003B7CD3">
      <w:pPr>
        <w:pStyle w:val="ListParagraph"/>
        <w:numPr>
          <w:ilvl w:val="0"/>
          <w:numId w:val="10"/>
        </w:numPr>
        <w:rPr>
          <w:rFonts w:ascii="Arial" w:hAnsi="Arial" w:cs="Arial"/>
        </w:rPr>
      </w:pPr>
      <w:r w:rsidRPr="004F7F40">
        <w:rPr>
          <w:rFonts w:ascii="Arial" w:hAnsi="Arial" w:cs="Arial"/>
        </w:rPr>
        <w:t>Code of Conduct</w:t>
      </w:r>
    </w:p>
    <w:p w14:paraId="58E721DC" w14:textId="77777777" w:rsidR="003B7CD3" w:rsidRPr="004F7F40" w:rsidRDefault="003B7CD3" w:rsidP="006025DA">
      <w:pPr>
        <w:pStyle w:val="ListParagraph"/>
        <w:numPr>
          <w:ilvl w:val="0"/>
          <w:numId w:val="10"/>
        </w:numPr>
        <w:spacing w:before="0" w:after="120"/>
        <w:rPr>
          <w:rFonts w:ascii="Arial" w:hAnsi="Arial" w:cs="Arial"/>
        </w:rPr>
      </w:pPr>
      <w:r w:rsidRPr="004F7F40">
        <w:rPr>
          <w:rFonts w:ascii="Arial" w:hAnsi="Arial" w:cs="Arial"/>
        </w:rPr>
        <w:t>Part-Time Employment</w:t>
      </w:r>
    </w:p>
    <w:p w14:paraId="573DA56D" w14:textId="77777777" w:rsidR="003B7CD3" w:rsidRPr="004F7F40" w:rsidRDefault="003B7CD3" w:rsidP="006025DA">
      <w:pPr>
        <w:spacing w:before="0" w:after="120"/>
        <w:rPr>
          <w:rFonts w:ascii="Arial" w:hAnsi="Arial" w:cs="Arial"/>
        </w:rPr>
      </w:pPr>
      <w:r w:rsidRPr="004F7F40">
        <w:rPr>
          <w:rFonts w:ascii="Arial" w:hAnsi="Arial" w:cs="Arial"/>
        </w:rPr>
        <w:t>The By-Laws relate to:</w:t>
      </w:r>
    </w:p>
    <w:p w14:paraId="73002322" w14:textId="77777777" w:rsidR="003B7CD3" w:rsidRPr="004F7F40" w:rsidRDefault="003B7CD3" w:rsidP="003B7CD3">
      <w:pPr>
        <w:pStyle w:val="ListParagraph"/>
        <w:numPr>
          <w:ilvl w:val="0"/>
          <w:numId w:val="11"/>
        </w:numPr>
        <w:rPr>
          <w:rFonts w:ascii="Arial" w:hAnsi="Arial" w:cs="Arial"/>
        </w:rPr>
      </w:pPr>
      <w:r w:rsidRPr="004F7F40">
        <w:rPr>
          <w:rFonts w:ascii="Arial" w:hAnsi="Arial" w:cs="Arial"/>
        </w:rPr>
        <w:t>leave</w:t>
      </w:r>
    </w:p>
    <w:p w14:paraId="6750B5B4" w14:textId="77777777" w:rsidR="003B7CD3" w:rsidRPr="004F7F40" w:rsidRDefault="003B7CD3" w:rsidP="003B7CD3">
      <w:pPr>
        <w:pStyle w:val="ListParagraph"/>
        <w:numPr>
          <w:ilvl w:val="0"/>
          <w:numId w:val="11"/>
        </w:numPr>
        <w:rPr>
          <w:rFonts w:ascii="Arial" w:hAnsi="Arial" w:cs="Arial"/>
        </w:rPr>
      </w:pPr>
      <w:r w:rsidRPr="004F7F40">
        <w:rPr>
          <w:rFonts w:ascii="Arial" w:hAnsi="Arial" w:cs="Arial"/>
        </w:rPr>
        <w:t>entitlement to and payment of allowances</w:t>
      </w:r>
    </w:p>
    <w:p w14:paraId="1E579907" w14:textId="77777777" w:rsidR="003B7CD3" w:rsidRPr="004F7F40" w:rsidRDefault="003B7CD3" w:rsidP="003B7CD3">
      <w:pPr>
        <w:pStyle w:val="ListParagraph"/>
        <w:numPr>
          <w:ilvl w:val="0"/>
          <w:numId w:val="11"/>
        </w:numPr>
        <w:rPr>
          <w:rFonts w:ascii="Arial" w:hAnsi="Arial" w:cs="Arial"/>
        </w:rPr>
      </w:pPr>
      <w:r w:rsidRPr="004F7F40">
        <w:rPr>
          <w:rFonts w:ascii="Arial" w:hAnsi="Arial" w:cs="Arial"/>
        </w:rPr>
        <w:t>recruitment and transfer expenses</w:t>
      </w:r>
    </w:p>
    <w:p w14:paraId="219664D5" w14:textId="77777777" w:rsidR="003B7CD3" w:rsidRPr="004F7F40" w:rsidRDefault="003B7CD3" w:rsidP="003B7CD3">
      <w:pPr>
        <w:pStyle w:val="ListParagraph"/>
        <w:numPr>
          <w:ilvl w:val="0"/>
          <w:numId w:val="11"/>
        </w:numPr>
        <w:rPr>
          <w:rFonts w:ascii="Arial" w:hAnsi="Arial" w:cs="Arial"/>
        </w:rPr>
      </w:pPr>
      <w:r w:rsidRPr="004F7F40">
        <w:rPr>
          <w:rFonts w:ascii="Arial" w:hAnsi="Arial" w:cs="Arial"/>
        </w:rPr>
        <w:t>conditions applying to employees transferred to the Public Service or a statutory corporation</w:t>
      </w:r>
    </w:p>
    <w:p w14:paraId="21A6F734" w14:textId="77777777" w:rsidR="003B7CD3" w:rsidRPr="004F7F40" w:rsidRDefault="003B7CD3" w:rsidP="003B7CD3">
      <w:pPr>
        <w:pStyle w:val="ListParagraph"/>
        <w:numPr>
          <w:ilvl w:val="0"/>
          <w:numId w:val="11"/>
        </w:numPr>
        <w:rPr>
          <w:rFonts w:ascii="Arial" w:hAnsi="Arial" w:cs="Arial"/>
        </w:rPr>
      </w:pPr>
      <w:r w:rsidRPr="004F7F40">
        <w:rPr>
          <w:rFonts w:ascii="Arial" w:hAnsi="Arial" w:cs="Arial"/>
        </w:rPr>
        <w:t>conditions applying to employees in remote localities</w:t>
      </w:r>
    </w:p>
    <w:p w14:paraId="1D6645BB" w14:textId="77777777" w:rsidR="003B7CD3" w:rsidRPr="004F7F40" w:rsidRDefault="003B7CD3" w:rsidP="003B7CD3">
      <w:pPr>
        <w:pStyle w:val="ListParagraph"/>
        <w:numPr>
          <w:ilvl w:val="0"/>
          <w:numId w:val="11"/>
        </w:numPr>
        <w:rPr>
          <w:rFonts w:ascii="Arial" w:hAnsi="Arial" w:cs="Arial"/>
        </w:rPr>
      </w:pPr>
      <w:r w:rsidRPr="004F7F40">
        <w:rPr>
          <w:rFonts w:ascii="Arial" w:hAnsi="Arial" w:cs="Arial"/>
        </w:rPr>
        <w:t>leave and other fares, and</w:t>
      </w:r>
    </w:p>
    <w:p w14:paraId="778DE77A" w14:textId="77777777" w:rsidR="003B7CD3" w:rsidRPr="004F7F40" w:rsidRDefault="003B7CD3" w:rsidP="003B7CD3">
      <w:pPr>
        <w:pStyle w:val="ListParagraph"/>
        <w:numPr>
          <w:ilvl w:val="0"/>
          <w:numId w:val="11"/>
        </w:numPr>
        <w:rPr>
          <w:rFonts w:ascii="Arial" w:hAnsi="Arial" w:cs="Arial"/>
        </w:rPr>
      </w:pPr>
      <w:r w:rsidRPr="004F7F40">
        <w:rPr>
          <w:rFonts w:ascii="Arial" w:hAnsi="Arial" w:cs="Arial"/>
        </w:rPr>
        <w:t>other terms and conditions of employment.</w:t>
      </w:r>
    </w:p>
    <w:p w14:paraId="61FCE942" w14:textId="1AD50326" w:rsidR="00422FAE" w:rsidRPr="004F7F40" w:rsidRDefault="00422FAE" w:rsidP="00422FAE">
      <w:pPr>
        <w:pStyle w:val="ListParagraph"/>
        <w:ind w:left="0"/>
        <w:rPr>
          <w:rFonts w:ascii="Arial" w:hAnsi="Arial" w:cs="Arial"/>
          <w:color w:val="FF0000"/>
        </w:rPr>
      </w:pPr>
    </w:p>
    <w:p w14:paraId="06ED195A" w14:textId="2E79974B" w:rsidR="00345B54" w:rsidRPr="004F7F40" w:rsidRDefault="00983D4F" w:rsidP="00191170">
      <w:pPr>
        <w:pStyle w:val="ListParagraph"/>
        <w:spacing w:before="0" w:after="120"/>
        <w:ind w:left="0"/>
        <w:rPr>
          <w:rFonts w:ascii="Arial" w:hAnsi="Arial" w:cs="Arial"/>
        </w:rPr>
      </w:pPr>
      <w:r w:rsidRPr="004F7F40">
        <w:rPr>
          <w:rFonts w:ascii="Arial" w:hAnsi="Arial" w:cs="Arial"/>
        </w:rPr>
        <w:t>The Anti-Discrimination Act was also passed in 1993, but the CPE retained some responsibility for EEO matters. The Financial Management Act was also amended in 1993 to provide for agency efficiency reviews.</w:t>
      </w:r>
    </w:p>
    <w:p w14:paraId="4EC1EA8F" w14:textId="2A46B0B6" w:rsidR="00983D4F" w:rsidRPr="004F7F40" w:rsidRDefault="00983D4F" w:rsidP="00191170">
      <w:pPr>
        <w:spacing w:before="0" w:after="120"/>
        <w:rPr>
          <w:rFonts w:ascii="Arial" w:hAnsi="Arial" w:cs="Arial"/>
        </w:rPr>
      </w:pPr>
      <w:r w:rsidRPr="004F7F40">
        <w:rPr>
          <w:rFonts w:ascii="Arial" w:hAnsi="Arial" w:cs="Arial"/>
        </w:rPr>
        <w:lastRenderedPageBreak/>
        <w:t xml:space="preserve">There was a major review of the PSEMA in 2008/09 which resulted in </w:t>
      </w:r>
      <w:r w:rsidR="000C1E89" w:rsidRPr="004F7F40">
        <w:rPr>
          <w:rFonts w:ascii="Arial" w:hAnsi="Arial" w:cs="Arial"/>
        </w:rPr>
        <w:t xml:space="preserve">legislative </w:t>
      </w:r>
      <w:r w:rsidRPr="004F7F40">
        <w:rPr>
          <w:rFonts w:ascii="Arial" w:hAnsi="Arial" w:cs="Arial"/>
        </w:rPr>
        <w:t>amendments</w:t>
      </w:r>
      <w:r w:rsidR="000C1E89" w:rsidRPr="004F7F40">
        <w:rPr>
          <w:rFonts w:ascii="Arial" w:hAnsi="Arial" w:cs="Arial"/>
        </w:rPr>
        <w:t xml:space="preserve"> in 2011</w:t>
      </w:r>
      <w:r w:rsidRPr="004F7F40">
        <w:rPr>
          <w:rFonts w:ascii="Arial" w:hAnsi="Arial" w:cs="Arial"/>
        </w:rPr>
        <w:t xml:space="preserve">. </w:t>
      </w:r>
      <w:r w:rsidR="00D76D9D" w:rsidRPr="004F7F40">
        <w:rPr>
          <w:rFonts w:ascii="Arial" w:hAnsi="Arial" w:cs="Arial"/>
        </w:rPr>
        <w:t xml:space="preserve">The review was in response to a package </w:t>
      </w:r>
      <w:r w:rsidR="006025DA" w:rsidRPr="004F7F40">
        <w:rPr>
          <w:rFonts w:ascii="Arial" w:hAnsi="Arial" w:cs="Arial"/>
        </w:rPr>
        <w:t>a</w:t>
      </w:r>
      <w:r w:rsidRPr="004F7F40">
        <w:rPr>
          <w:rFonts w:ascii="Arial" w:hAnsi="Arial" w:cs="Arial"/>
        </w:rPr>
        <w:t xml:space="preserve">imed at reform and revitalisation of the NTPS, </w:t>
      </w:r>
      <w:r w:rsidR="00D76D9D" w:rsidRPr="004F7F40">
        <w:rPr>
          <w:rFonts w:ascii="Arial" w:hAnsi="Arial" w:cs="Arial"/>
        </w:rPr>
        <w:t>including:</w:t>
      </w:r>
    </w:p>
    <w:p w14:paraId="005046DF" w14:textId="77777777" w:rsidR="00983D4F" w:rsidRPr="004F7F40" w:rsidRDefault="00983D4F" w:rsidP="00983D4F">
      <w:pPr>
        <w:pStyle w:val="ListParagraph"/>
        <w:numPr>
          <w:ilvl w:val="0"/>
          <w:numId w:val="8"/>
        </w:numPr>
        <w:rPr>
          <w:rFonts w:ascii="Arial" w:hAnsi="Arial" w:cs="Arial"/>
        </w:rPr>
      </w:pPr>
      <w:r w:rsidRPr="004F7F40">
        <w:rPr>
          <w:rFonts w:ascii="Arial" w:hAnsi="Arial" w:cs="Arial"/>
        </w:rPr>
        <w:t>review of the Public Sector Employment and Management Act</w:t>
      </w:r>
    </w:p>
    <w:p w14:paraId="22BB811A" w14:textId="77777777" w:rsidR="00983D4F" w:rsidRPr="004F7F40" w:rsidRDefault="00983D4F" w:rsidP="00983D4F">
      <w:pPr>
        <w:pStyle w:val="ListParagraph"/>
        <w:numPr>
          <w:ilvl w:val="0"/>
          <w:numId w:val="8"/>
        </w:numPr>
        <w:rPr>
          <w:rFonts w:ascii="Arial" w:hAnsi="Arial" w:cs="Arial"/>
        </w:rPr>
      </w:pPr>
      <w:r w:rsidRPr="004F7F40">
        <w:rPr>
          <w:rFonts w:ascii="Arial" w:hAnsi="Arial" w:cs="Arial"/>
        </w:rPr>
        <w:t>redefinition of ‘merit’ in the Act to value diversity</w:t>
      </w:r>
    </w:p>
    <w:p w14:paraId="0E547CBF" w14:textId="77777777" w:rsidR="00983D4F" w:rsidRPr="004F7F40" w:rsidRDefault="00983D4F" w:rsidP="00983D4F">
      <w:pPr>
        <w:pStyle w:val="ListParagraph"/>
        <w:numPr>
          <w:ilvl w:val="0"/>
          <w:numId w:val="8"/>
        </w:numPr>
        <w:rPr>
          <w:rFonts w:ascii="Arial" w:hAnsi="Arial" w:cs="Arial"/>
        </w:rPr>
      </w:pPr>
      <w:r w:rsidRPr="004F7F40">
        <w:rPr>
          <w:rFonts w:ascii="Arial" w:hAnsi="Arial" w:cs="Arial"/>
        </w:rPr>
        <w:t>development of a sector-wide HR Strategic Plan and workforce planning framework</w:t>
      </w:r>
    </w:p>
    <w:p w14:paraId="5A425306" w14:textId="77777777" w:rsidR="00983D4F" w:rsidRPr="004F7F40" w:rsidRDefault="00983D4F" w:rsidP="00983D4F">
      <w:pPr>
        <w:pStyle w:val="ListParagraph"/>
        <w:numPr>
          <w:ilvl w:val="0"/>
          <w:numId w:val="8"/>
        </w:numPr>
        <w:rPr>
          <w:rFonts w:ascii="Arial" w:hAnsi="Arial" w:cs="Arial"/>
        </w:rPr>
      </w:pPr>
      <w:r w:rsidRPr="004F7F40">
        <w:rPr>
          <w:rFonts w:ascii="Arial" w:hAnsi="Arial" w:cs="Arial"/>
        </w:rPr>
        <w:t>a new Leadership Development Framework</w:t>
      </w:r>
    </w:p>
    <w:p w14:paraId="3D77EA64" w14:textId="77777777" w:rsidR="00983D4F" w:rsidRPr="004F7F40" w:rsidRDefault="00983D4F" w:rsidP="00983D4F">
      <w:pPr>
        <w:pStyle w:val="ListParagraph"/>
        <w:numPr>
          <w:ilvl w:val="0"/>
          <w:numId w:val="8"/>
        </w:numPr>
        <w:rPr>
          <w:rFonts w:ascii="Arial" w:hAnsi="Arial" w:cs="Arial"/>
        </w:rPr>
      </w:pPr>
      <w:r w:rsidRPr="004F7F40">
        <w:rPr>
          <w:rFonts w:ascii="Arial" w:hAnsi="Arial" w:cs="Arial"/>
        </w:rPr>
        <w:t>the Northern Territory Government becoming a financial member of the Australian and New Zealand School of Government (ANZSOG)</w:t>
      </w:r>
    </w:p>
    <w:p w14:paraId="3C67D6AB" w14:textId="77777777" w:rsidR="00983D4F" w:rsidRPr="004F7F40" w:rsidRDefault="00983D4F" w:rsidP="00983D4F">
      <w:pPr>
        <w:pStyle w:val="ListParagraph"/>
        <w:numPr>
          <w:ilvl w:val="0"/>
          <w:numId w:val="8"/>
        </w:numPr>
        <w:rPr>
          <w:rFonts w:ascii="Arial" w:hAnsi="Arial" w:cs="Arial"/>
        </w:rPr>
      </w:pPr>
      <w:r w:rsidRPr="004F7F40">
        <w:rPr>
          <w:rFonts w:ascii="Arial" w:hAnsi="Arial" w:cs="Arial"/>
        </w:rPr>
        <w:t>the Department of the Chief Minister establishing and managing a ‘think tank’ with membership drawn from participants in the NTPS Leadership Program, to consider strategic issues facing the Northern Territory</w:t>
      </w:r>
    </w:p>
    <w:p w14:paraId="76A33DE0" w14:textId="77777777" w:rsidR="00983D4F" w:rsidRPr="004F7F40" w:rsidRDefault="00983D4F" w:rsidP="00983D4F">
      <w:pPr>
        <w:pStyle w:val="ListParagraph"/>
        <w:numPr>
          <w:ilvl w:val="0"/>
          <w:numId w:val="8"/>
        </w:numPr>
        <w:rPr>
          <w:rFonts w:ascii="Arial" w:hAnsi="Arial" w:cs="Arial"/>
        </w:rPr>
      </w:pPr>
      <w:r w:rsidRPr="004F7F40">
        <w:rPr>
          <w:rFonts w:ascii="Arial" w:hAnsi="Arial" w:cs="Arial"/>
        </w:rPr>
        <w:t>reviewing current policies including the Work Life Balance Strategy, Willing and Able Strategy and the Indigenous Employment and Career Development Strategy with the aim of increasing the employment of people with disabilities, Indigenous people and other disadvantaged groups in the community and achieving work life balance for all NTPS employees</w:t>
      </w:r>
    </w:p>
    <w:p w14:paraId="6F89BFD2" w14:textId="77777777" w:rsidR="00983D4F" w:rsidRPr="004F7F40" w:rsidRDefault="00983D4F" w:rsidP="00983D4F">
      <w:pPr>
        <w:pStyle w:val="ListParagraph"/>
        <w:numPr>
          <w:ilvl w:val="0"/>
          <w:numId w:val="8"/>
        </w:numPr>
        <w:rPr>
          <w:rFonts w:ascii="Arial" w:hAnsi="Arial" w:cs="Arial"/>
        </w:rPr>
      </w:pPr>
      <w:r w:rsidRPr="004F7F40">
        <w:rPr>
          <w:rFonts w:ascii="Arial" w:hAnsi="Arial" w:cs="Arial"/>
        </w:rPr>
        <w:t>development of a sector-wide Innovation/Recognition and Reward program, and</w:t>
      </w:r>
    </w:p>
    <w:p w14:paraId="1290C876" w14:textId="4745F633" w:rsidR="00983D4F" w:rsidRPr="004F7F40" w:rsidRDefault="00983D4F" w:rsidP="00983D4F">
      <w:pPr>
        <w:pStyle w:val="ListParagraph"/>
        <w:numPr>
          <w:ilvl w:val="0"/>
          <w:numId w:val="8"/>
        </w:numPr>
        <w:rPr>
          <w:rFonts w:ascii="Arial" w:hAnsi="Arial" w:cs="Arial"/>
        </w:rPr>
      </w:pPr>
      <w:r w:rsidRPr="004F7F40">
        <w:rPr>
          <w:rFonts w:ascii="Arial" w:hAnsi="Arial" w:cs="Arial"/>
        </w:rPr>
        <w:t>undertaking biennial NTPS staff surveys relating to staff satisfaction, agency performance and issues of concern</w:t>
      </w:r>
      <w:r w:rsidR="003B7CD3" w:rsidRPr="004F7F40">
        <w:rPr>
          <w:rFonts w:ascii="Arial" w:hAnsi="Arial" w:cs="Arial"/>
        </w:rPr>
        <w:t xml:space="preserve"> (OCPE, 2009a)</w:t>
      </w:r>
      <w:r w:rsidRPr="004F7F40">
        <w:rPr>
          <w:rFonts w:ascii="Arial" w:hAnsi="Arial" w:cs="Arial"/>
        </w:rPr>
        <w:t>.</w:t>
      </w:r>
    </w:p>
    <w:p w14:paraId="5767235E" w14:textId="77777777" w:rsidR="00983D4F" w:rsidRPr="004F7F40" w:rsidRDefault="00983D4F" w:rsidP="003010FE">
      <w:pPr>
        <w:spacing w:before="0" w:after="120"/>
        <w:ind w:firstLine="720"/>
        <w:rPr>
          <w:rFonts w:ascii="Arial" w:hAnsi="Arial" w:cs="Arial"/>
        </w:rPr>
      </w:pPr>
      <w:r w:rsidRPr="004F7F40">
        <w:rPr>
          <w:rFonts w:ascii="Arial" w:hAnsi="Arial" w:cs="Arial"/>
        </w:rPr>
        <w:t xml:space="preserve">It also appears to be in response to the passage of the Federal Fair Work Act. </w:t>
      </w:r>
    </w:p>
    <w:p w14:paraId="2AC4B873" w14:textId="54EB4E1F" w:rsidR="00983D4F" w:rsidRPr="004F7F40" w:rsidRDefault="00983D4F" w:rsidP="0022758A">
      <w:pPr>
        <w:spacing w:before="0" w:after="120"/>
        <w:rPr>
          <w:rFonts w:ascii="Arial" w:hAnsi="Arial" w:cs="Arial"/>
        </w:rPr>
      </w:pPr>
      <w:r w:rsidRPr="004F7F40">
        <w:rPr>
          <w:rFonts w:ascii="Arial" w:hAnsi="Arial" w:cs="Arial"/>
        </w:rPr>
        <w:t>Following the review, changes were recommended for:</w:t>
      </w:r>
    </w:p>
    <w:p w14:paraId="57E4CB73" w14:textId="77777777" w:rsidR="00983D4F" w:rsidRPr="004F7F40" w:rsidRDefault="00983D4F" w:rsidP="00983D4F">
      <w:pPr>
        <w:pStyle w:val="ListParagraph"/>
        <w:numPr>
          <w:ilvl w:val="0"/>
          <w:numId w:val="9"/>
        </w:numPr>
        <w:spacing w:before="0" w:after="120"/>
        <w:rPr>
          <w:rFonts w:ascii="Arial" w:hAnsi="Arial" w:cs="Arial"/>
        </w:rPr>
      </w:pPr>
      <w:r w:rsidRPr="004F7F40">
        <w:rPr>
          <w:rFonts w:ascii="Arial" w:hAnsi="Arial" w:cs="Arial"/>
        </w:rPr>
        <w:t>moving the principles from regulations into the Act</w:t>
      </w:r>
    </w:p>
    <w:p w14:paraId="7F5DD30A" w14:textId="77777777" w:rsidR="00983D4F" w:rsidRPr="004F7F40" w:rsidRDefault="00983D4F" w:rsidP="00983D4F">
      <w:pPr>
        <w:pStyle w:val="ListParagraph"/>
        <w:numPr>
          <w:ilvl w:val="0"/>
          <w:numId w:val="9"/>
        </w:numPr>
        <w:spacing w:before="0" w:after="120"/>
        <w:rPr>
          <w:rFonts w:ascii="Arial" w:hAnsi="Arial" w:cs="Arial"/>
        </w:rPr>
      </w:pPr>
      <w:r w:rsidRPr="004F7F40">
        <w:rPr>
          <w:rFonts w:ascii="Arial" w:hAnsi="Arial" w:cs="Arial"/>
        </w:rPr>
        <w:t>defining casual and temporary employment</w:t>
      </w:r>
    </w:p>
    <w:p w14:paraId="4D7625C9" w14:textId="77777777" w:rsidR="00983D4F" w:rsidRPr="004F7F40" w:rsidRDefault="00983D4F" w:rsidP="00983D4F">
      <w:pPr>
        <w:pStyle w:val="ListParagraph"/>
        <w:numPr>
          <w:ilvl w:val="0"/>
          <w:numId w:val="9"/>
        </w:numPr>
        <w:spacing w:before="0" w:after="120"/>
        <w:rPr>
          <w:rFonts w:ascii="Arial" w:hAnsi="Arial" w:cs="Arial"/>
        </w:rPr>
      </w:pPr>
      <w:r w:rsidRPr="004F7F40">
        <w:rPr>
          <w:rFonts w:ascii="Arial" w:hAnsi="Arial" w:cs="Arial"/>
        </w:rPr>
        <w:t>amending the definition of merit in PSEMA to include ‘the diversity that a person from an EEO target group brings to the workplace’ as one further aspect of merit-based selection</w:t>
      </w:r>
    </w:p>
    <w:p w14:paraId="4894734D" w14:textId="77777777" w:rsidR="00983D4F" w:rsidRPr="004F7F40" w:rsidRDefault="00983D4F" w:rsidP="00983D4F">
      <w:pPr>
        <w:pStyle w:val="ListParagraph"/>
        <w:numPr>
          <w:ilvl w:val="0"/>
          <w:numId w:val="9"/>
        </w:numPr>
        <w:spacing w:before="0" w:after="120"/>
        <w:rPr>
          <w:rFonts w:ascii="Arial" w:hAnsi="Arial" w:cs="Arial"/>
        </w:rPr>
      </w:pPr>
      <w:r w:rsidRPr="004F7F40">
        <w:rPr>
          <w:rFonts w:ascii="Arial" w:hAnsi="Arial" w:cs="Arial"/>
        </w:rPr>
        <w:t xml:space="preserve">procedures for filling vacancies and making appointments </w:t>
      </w:r>
    </w:p>
    <w:p w14:paraId="02181E4E" w14:textId="77777777" w:rsidR="00983D4F" w:rsidRPr="004F7F40" w:rsidRDefault="00983D4F" w:rsidP="00983D4F">
      <w:pPr>
        <w:pStyle w:val="ListParagraph"/>
        <w:numPr>
          <w:ilvl w:val="0"/>
          <w:numId w:val="9"/>
        </w:numPr>
        <w:spacing w:before="0" w:after="120"/>
        <w:rPr>
          <w:rFonts w:ascii="Arial" w:hAnsi="Arial" w:cs="Arial"/>
        </w:rPr>
      </w:pPr>
      <w:r w:rsidRPr="004F7F40">
        <w:rPr>
          <w:rFonts w:ascii="Arial" w:hAnsi="Arial" w:cs="Arial"/>
        </w:rPr>
        <w:t>delegation by CEOs to ‘a person’, not just ‘an employee’</w:t>
      </w:r>
    </w:p>
    <w:p w14:paraId="724F34D4" w14:textId="77777777" w:rsidR="00983D4F" w:rsidRPr="004F7F40" w:rsidRDefault="00983D4F" w:rsidP="00983D4F">
      <w:pPr>
        <w:pStyle w:val="ListParagraph"/>
        <w:numPr>
          <w:ilvl w:val="0"/>
          <w:numId w:val="9"/>
        </w:numPr>
        <w:spacing w:before="0" w:after="120"/>
        <w:rPr>
          <w:rFonts w:ascii="Arial" w:hAnsi="Arial" w:cs="Arial"/>
        </w:rPr>
      </w:pPr>
      <w:r w:rsidRPr="004F7F40">
        <w:rPr>
          <w:rFonts w:ascii="Arial" w:hAnsi="Arial" w:cs="Arial"/>
        </w:rPr>
        <w:t>procedures for dealing with poor performance and discipline</w:t>
      </w:r>
    </w:p>
    <w:p w14:paraId="63AAA672" w14:textId="77777777" w:rsidR="00983D4F" w:rsidRPr="004F7F40" w:rsidRDefault="00983D4F" w:rsidP="00983D4F">
      <w:pPr>
        <w:pStyle w:val="ListParagraph"/>
        <w:numPr>
          <w:ilvl w:val="0"/>
          <w:numId w:val="9"/>
        </w:numPr>
        <w:spacing w:before="0" w:after="120"/>
        <w:rPr>
          <w:rFonts w:ascii="Arial" w:hAnsi="Arial" w:cs="Arial"/>
        </w:rPr>
      </w:pPr>
      <w:r w:rsidRPr="004F7F40">
        <w:rPr>
          <w:rFonts w:ascii="Arial" w:hAnsi="Arial" w:cs="Arial"/>
        </w:rPr>
        <w:t>major review of the subordinate legislation, particularly the Employment Instructions.</w:t>
      </w:r>
    </w:p>
    <w:p w14:paraId="24C056E1" w14:textId="77777777" w:rsidR="00983D4F" w:rsidRPr="004F7F40" w:rsidRDefault="00983D4F" w:rsidP="00983D4F">
      <w:pPr>
        <w:spacing w:before="0" w:after="120"/>
        <w:ind w:firstLine="720"/>
        <w:rPr>
          <w:rFonts w:ascii="Arial" w:hAnsi="Arial" w:cs="Arial"/>
        </w:rPr>
      </w:pPr>
      <w:r w:rsidRPr="004F7F40">
        <w:rPr>
          <w:rFonts w:ascii="Arial" w:hAnsi="Arial" w:cs="Arial"/>
        </w:rPr>
        <w:t>The main thrust of the changes was to:</w:t>
      </w:r>
    </w:p>
    <w:p w14:paraId="01D1CC0F" w14:textId="77777777" w:rsidR="00983D4F" w:rsidRPr="004F7F40" w:rsidRDefault="00983D4F" w:rsidP="00983D4F">
      <w:pPr>
        <w:pStyle w:val="ListParagraph"/>
        <w:numPr>
          <w:ilvl w:val="0"/>
          <w:numId w:val="12"/>
        </w:numPr>
        <w:spacing w:before="0" w:after="120"/>
        <w:rPr>
          <w:rFonts w:ascii="Arial" w:hAnsi="Arial" w:cs="Arial"/>
        </w:rPr>
      </w:pPr>
      <w:r w:rsidRPr="004F7F40">
        <w:rPr>
          <w:rFonts w:ascii="Arial" w:hAnsi="Arial" w:cs="Arial"/>
        </w:rPr>
        <w:t>ensure the PSEMA is “more explicit on the performance obligations and career development of employees”</w:t>
      </w:r>
    </w:p>
    <w:p w14:paraId="688E1883" w14:textId="42B2DBD2" w:rsidR="00983D4F" w:rsidRPr="004F7F40" w:rsidRDefault="00983D4F" w:rsidP="00983D4F">
      <w:pPr>
        <w:pStyle w:val="ListParagraph"/>
        <w:numPr>
          <w:ilvl w:val="0"/>
          <w:numId w:val="12"/>
        </w:numPr>
        <w:spacing w:before="0" w:after="120"/>
        <w:rPr>
          <w:rFonts w:ascii="Arial" w:hAnsi="Arial" w:cs="Arial"/>
        </w:rPr>
      </w:pPr>
      <w:r w:rsidRPr="004F7F40">
        <w:rPr>
          <w:rFonts w:ascii="Arial" w:hAnsi="Arial" w:cs="Arial"/>
        </w:rPr>
        <w:t>provide less prescriptive and complex means for dealing with inability and disciplinary matters (</w:t>
      </w:r>
      <w:r w:rsidR="003B7CD3" w:rsidRPr="004F7F40">
        <w:rPr>
          <w:rFonts w:ascii="Arial" w:hAnsi="Arial" w:cs="Arial"/>
        </w:rPr>
        <w:t>OCPE, 2009</w:t>
      </w:r>
      <w:r w:rsidRPr="004F7F40">
        <w:rPr>
          <w:rFonts w:ascii="Arial" w:hAnsi="Arial" w:cs="Arial"/>
        </w:rPr>
        <w:t>, p.4).</w:t>
      </w:r>
    </w:p>
    <w:p w14:paraId="225FE685" w14:textId="304D7ED3" w:rsidR="009D414B" w:rsidRPr="004F7F40" w:rsidRDefault="009D414B" w:rsidP="00191170">
      <w:pPr>
        <w:spacing w:before="0" w:after="120"/>
        <w:rPr>
          <w:rFonts w:ascii="Arial" w:hAnsi="Arial" w:cs="Arial"/>
        </w:rPr>
      </w:pPr>
      <w:r w:rsidRPr="004F7F40">
        <w:rPr>
          <w:rFonts w:ascii="Arial" w:hAnsi="Arial" w:cs="Arial"/>
        </w:rPr>
        <w:t xml:space="preserve">The </w:t>
      </w:r>
      <w:r w:rsidRPr="004F7F40">
        <w:rPr>
          <w:rFonts w:ascii="Arial" w:hAnsi="Arial" w:cs="Arial"/>
          <w:i/>
          <w:iCs/>
        </w:rPr>
        <w:t>Public Sector Employment and Management Amendment Act 2011</w:t>
      </w:r>
      <w:r w:rsidRPr="004F7F40">
        <w:rPr>
          <w:rFonts w:ascii="Arial" w:hAnsi="Arial" w:cs="Arial"/>
        </w:rPr>
        <w:t xml:space="preserve"> also provided for the appointment and termination of Chief Executives by the Chief Minister (s. 23(1)). </w:t>
      </w:r>
    </w:p>
    <w:p w14:paraId="28073367" w14:textId="134A7B69" w:rsidR="009D414B" w:rsidRPr="004F7F40" w:rsidRDefault="009D414B" w:rsidP="00191170">
      <w:pPr>
        <w:spacing w:before="0" w:after="120"/>
        <w:rPr>
          <w:rFonts w:ascii="Arial" w:hAnsi="Arial" w:cs="Arial"/>
        </w:rPr>
      </w:pPr>
      <w:r w:rsidRPr="004F7F40">
        <w:rPr>
          <w:rFonts w:ascii="Arial" w:hAnsi="Arial" w:cs="Arial"/>
        </w:rPr>
        <w:t xml:space="preserve">The </w:t>
      </w:r>
      <w:r w:rsidRPr="004F7F40">
        <w:rPr>
          <w:rFonts w:ascii="Arial" w:hAnsi="Arial" w:cs="Arial"/>
          <w:i/>
          <w:iCs/>
        </w:rPr>
        <w:t>Independent Commissioner Against Corruption Act 2017</w:t>
      </w:r>
      <w:r w:rsidRPr="004F7F40">
        <w:rPr>
          <w:rFonts w:ascii="Arial" w:hAnsi="Arial" w:cs="Arial"/>
        </w:rPr>
        <w:t>, which commenced on 30 November 2018</w:t>
      </w:r>
      <w:r w:rsidR="003010FE" w:rsidRPr="004F7F40">
        <w:rPr>
          <w:rFonts w:ascii="Arial" w:hAnsi="Arial" w:cs="Arial"/>
        </w:rPr>
        <w:t>, established the Office of the Independent Commission Against Corruption (ICAC) and an Independent Commissioner to address wrongdoing in public administration.</w:t>
      </w:r>
      <w:r w:rsidRPr="004F7F40">
        <w:rPr>
          <w:rFonts w:ascii="Arial" w:hAnsi="Arial" w:cs="Arial"/>
        </w:rPr>
        <w:t xml:space="preserve"> </w:t>
      </w:r>
    </w:p>
    <w:p w14:paraId="4BD25C19" w14:textId="77777777" w:rsidR="009D414B" w:rsidRPr="004F7F40" w:rsidRDefault="009D414B" w:rsidP="00983D4F">
      <w:pPr>
        <w:spacing w:before="0" w:after="120"/>
        <w:ind w:firstLine="720"/>
        <w:rPr>
          <w:rFonts w:ascii="Arial" w:hAnsi="Arial" w:cs="Arial"/>
        </w:rPr>
      </w:pPr>
    </w:p>
    <w:p w14:paraId="42E7B971" w14:textId="290E9DF8" w:rsidR="00983D4F" w:rsidRPr="004F7F40" w:rsidRDefault="00983D4F" w:rsidP="00422FAE">
      <w:pPr>
        <w:pStyle w:val="ListParagraph"/>
        <w:ind w:left="0"/>
        <w:rPr>
          <w:rFonts w:ascii="Arial" w:hAnsi="Arial" w:cs="Arial"/>
        </w:rPr>
      </w:pPr>
    </w:p>
    <w:p w14:paraId="338177FF" w14:textId="77777777" w:rsidR="000672BC" w:rsidRPr="004F7F40" w:rsidRDefault="000672BC" w:rsidP="0099427F">
      <w:pPr>
        <w:ind w:left="360"/>
        <w:rPr>
          <w:rFonts w:ascii="Arial" w:hAnsi="Arial" w:cs="Arial"/>
        </w:rPr>
      </w:pPr>
    </w:p>
    <w:p w14:paraId="10FA0253" w14:textId="7A11D426" w:rsidR="00AF5F8C" w:rsidRPr="004F7F40" w:rsidRDefault="00AF5F8C" w:rsidP="009C70E6">
      <w:pPr>
        <w:rPr>
          <w:rFonts w:ascii="Arial" w:hAnsi="Arial" w:cs="Arial"/>
        </w:rPr>
      </w:pPr>
    </w:p>
    <w:p w14:paraId="27962F53" w14:textId="376019F9" w:rsidR="008C2997" w:rsidRPr="004F7F40" w:rsidRDefault="00805AC0" w:rsidP="008C2997">
      <w:pPr>
        <w:pStyle w:val="Heading1"/>
        <w:rPr>
          <w:rFonts w:ascii="Arial" w:hAnsi="Arial" w:cs="Arial"/>
          <w:u w:val="none"/>
        </w:rPr>
      </w:pPr>
      <w:bookmarkStart w:id="11" w:name="_Toc77243218"/>
      <w:r w:rsidRPr="004F7F40">
        <w:rPr>
          <w:rFonts w:ascii="Arial" w:hAnsi="Arial" w:cs="Arial"/>
          <w:u w:val="none"/>
        </w:rPr>
        <w:lastRenderedPageBreak/>
        <w:t>SES P</w:t>
      </w:r>
      <w:r w:rsidR="00060182" w:rsidRPr="004F7F40">
        <w:rPr>
          <w:rFonts w:ascii="Arial" w:hAnsi="Arial" w:cs="Arial"/>
          <w:u w:val="none"/>
        </w:rPr>
        <w:t>olicy</w:t>
      </w:r>
      <w:bookmarkEnd w:id="11"/>
    </w:p>
    <w:p w14:paraId="3AC788FE" w14:textId="38E8F03E" w:rsidR="00DE4D44" w:rsidRPr="004F7F40" w:rsidRDefault="00DE4D44" w:rsidP="00DE4D44">
      <w:pPr>
        <w:rPr>
          <w:rFonts w:ascii="Arial" w:hAnsi="Arial" w:cs="Arial"/>
        </w:rPr>
      </w:pPr>
    </w:p>
    <w:p w14:paraId="202A45FE" w14:textId="7E732070" w:rsidR="00E2260E" w:rsidRPr="004F7F40" w:rsidRDefault="00DE4D44" w:rsidP="00874B97">
      <w:pPr>
        <w:spacing w:before="0" w:after="120"/>
        <w:rPr>
          <w:rFonts w:ascii="Arial" w:hAnsi="Arial" w:cs="Arial"/>
        </w:rPr>
      </w:pPr>
      <w:r w:rsidRPr="004F7F40">
        <w:rPr>
          <w:rFonts w:ascii="Arial" w:hAnsi="Arial" w:cs="Arial"/>
        </w:rPr>
        <w:t xml:space="preserve">According to </w:t>
      </w:r>
      <w:r w:rsidR="00874B97" w:rsidRPr="004F7F40">
        <w:rPr>
          <w:rFonts w:ascii="Arial" w:hAnsi="Arial" w:cs="Arial"/>
        </w:rPr>
        <w:t xml:space="preserve">former Commission </w:t>
      </w:r>
      <w:r w:rsidRPr="004F7F40">
        <w:rPr>
          <w:rFonts w:ascii="Arial" w:hAnsi="Arial" w:cs="Arial"/>
        </w:rPr>
        <w:t>Hawkes, executive contracts for senior officers and CEOs came into play in 1992. They allowed for specific performance reviews</w:t>
      </w:r>
      <w:r w:rsidR="00874B97" w:rsidRPr="004F7F40">
        <w:rPr>
          <w:rFonts w:ascii="Arial" w:hAnsi="Arial" w:cs="Arial"/>
        </w:rPr>
        <w:t xml:space="preserve">, </w:t>
      </w:r>
      <w:r w:rsidRPr="004F7F40">
        <w:rPr>
          <w:rFonts w:ascii="Arial" w:hAnsi="Arial" w:cs="Arial"/>
        </w:rPr>
        <w:t>but not performance pay</w:t>
      </w:r>
      <w:r w:rsidR="00874B97" w:rsidRPr="004F7F40">
        <w:rPr>
          <w:rFonts w:ascii="Arial" w:hAnsi="Arial" w:cs="Arial"/>
        </w:rPr>
        <w:t xml:space="preserve"> (Hawkes, 1999</w:t>
      </w:r>
      <w:r w:rsidRPr="004F7F40">
        <w:rPr>
          <w:rFonts w:ascii="Arial" w:hAnsi="Arial" w:cs="Arial"/>
        </w:rPr>
        <w:t xml:space="preserve">). </w:t>
      </w:r>
      <w:r w:rsidR="00430392" w:rsidRPr="004F7F40">
        <w:rPr>
          <w:rFonts w:ascii="Arial" w:hAnsi="Arial" w:cs="Arial"/>
          <w:bCs/>
          <w:szCs w:val="24"/>
        </w:rPr>
        <w:t>Executive Contract Officer (ECO) classifications were developed and implemented in 1992 “predominantly to move more senior/higher paid workers onto fixed term appointments to place the emphasis on performance” (</w:t>
      </w:r>
      <w:proofErr w:type="spellStart"/>
      <w:r w:rsidR="00430392" w:rsidRPr="004F7F40">
        <w:rPr>
          <w:rFonts w:ascii="Arial" w:hAnsi="Arial" w:cs="Arial"/>
          <w:bCs/>
          <w:szCs w:val="24"/>
        </w:rPr>
        <w:t>Langoulant</w:t>
      </w:r>
      <w:proofErr w:type="spellEnd"/>
      <w:r w:rsidR="00430392" w:rsidRPr="004F7F40">
        <w:rPr>
          <w:rFonts w:ascii="Arial" w:hAnsi="Arial" w:cs="Arial"/>
          <w:bCs/>
          <w:szCs w:val="24"/>
        </w:rPr>
        <w:t xml:space="preserve"> et al., 2019, p. 96). The previous permanent executive officer designations (EO1 to EO3) were retained to enable ongoing employees to backfill </w:t>
      </w:r>
      <w:r w:rsidR="00C209EE" w:rsidRPr="004F7F40">
        <w:rPr>
          <w:rFonts w:ascii="Arial" w:hAnsi="Arial" w:cs="Arial"/>
          <w:bCs/>
          <w:szCs w:val="24"/>
        </w:rPr>
        <w:t xml:space="preserve">or act in </w:t>
      </w:r>
      <w:r w:rsidR="00430392" w:rsidRPr="004F7F40">
        <w:rPr>
          <w:rFonts w:ascii="Arial" w:hAnsi="Arial" w:cs="Arial"/>
          <w:bCs/>
          <w:szCs w:val="24"/>
        </w:rPr>
        <w:t>contract roles</w:t>
      </w:r>
      <w:r w:rsidR="00B922A0" w:rsidRPr="004F7F40">
        <w:rPr>
          <w:rFonts w:ascii="Arial" w:hAnsi="Arial" w:cs="Arial"/>
          <w:bCs/>
          <w:szCs w:val="24"/>
        </w:rPr>
        <w:t xml:space="preserve"> (p</w:t>
      </w:r>
      <w:r w:rsidR="00CC575C" w:rsidRPr="004F7F40">
        <w:rPr>
          <w:rFonts w:ascii="Arial" w:hAnsi="Arial" w:cs="Arial"/>
          <w:bCs/>
          <w:szCs w:val="24"/>
        </w:rPr>
        <w:t>. 97)</w:t>
      </w:r>
      <w:r w:rsidR="00E2260E" w:rsidRPr="004F7F40">
        <w:rPr>
          <w:rFonts w:ascii="Arial" w:hAnsi="Arial" w:cs="Arial"/>
          <w:bCs/>
          <w:szCs w:val="24"/>
        </w:rPr>
        <w:t>.</w:t>
      </w:r>
    </w:p>
    <w:p w14:paraId="2119E317" w14:textId="073F7FDE" w:rsidR="00A6006D" w:rsidRPr="004F7F40" w:rsidRDefault="00A6006D" w:rsidP="00191170">
      <w:pPr>
        <w:spacing w:before="0" w:after="120"/>
        <w:rPr>
          <w:rFonts w:ascii="Arial" w:hAnsi="Arial" w:cs="Arial"/>
          <w:bCs/>
          <w:szCs w:val="24"/>
        </w:rPr>
      </w:pPr>
      <w:r w:rsidRPr="004F7F40">
        <w:rPr>
          <w:rFonts w:ascii="Arial" w:hAnsi="Arial" w:cs="Arial"/>
          <w:bCs/>
          <w:szCs w:val="24"/>
        </w:rPr>
        <w:t xml:space="preserve">The </w:t>
      </w:r>
      <w:proofErr w:type="spellStart"/>
      <w:r w:rsidRPr="004F7F40">
        <w:rPr>
          <w:rFonts w:ascii="Arial" w:hAnsi="Arial" w:cs="Arial"/>
          <w:bCs/>
          <w:szCs w:val="24"/>
        </w:rPr>
        <w:t>Langoulant</w:t>
      </w:r>
      <w:proofErr w:type="spellEnd"/>
      <w:r w:rsidRPr="004F7F40">
        <w:rPr>
          <w:rFonts w:ascii="Arial" w:hAnsi="Arial" w:cs="Arial"/>
          <w:bCs/>
          <w:szCs w:val="24"/>
        </w:rPr>
        <w:t xml:space="preserve"> Review </w:t>
      </w:r>
      <w:r w:rsidR="0039033B" w:rsidRPr="004F7F40">
        <w:rPr>
          <w:rFonts w:ascii="Arial" w:hAnsi="Arial" w:cs="Arial"/>
          <w:bCs/>
          <w:szCs w:val="24"/>
        </w:rPr>
        <w:t xml:space="preserve">(2019, p. 16) </w:t>
      </w:r>
      <w:r w:rsidRPr="004F7F40">
        <w:rPr>
          <w:rFonts w:ascii="Arial" w:hAnsi="Arial" w:cs="Arial"/>
          <w:bCs/>
          <w:szCs w:val="24"/>
        </w:rPr>
        <w:t>identified</w:t>
      </w:r>
      <w:r w:rsidR="0039033B" w:rsidRPr="004F7F40">
        <w:rPr>
          <w:rFonts w:ascii="Arial" w:hAnsi="Arial" w:cs="Arial"/>
          <w:bCs/>
          <w:szCs w:val="24"/>
        </w:rPr>
        <w:t xml:space="preserve"> “clear opportunities to reduce the number of ECOs and associated costs”, recommending:</w:t>
      </w:r>
    </w:p>
    <w:p w14:paraId="75D8A837" w14:textId="7109CC3C" w:rsidR="0039033B" w:rsidRPr="004F7F40" w:rsidRDefault="0039033B" w:rsidP="0039033B">
      <w:pPr>
        <w:pStyle w:val="ListParagraph"/>
        <w:numPr>
          <w:ilvl w:val="0"/>
          <w:numId w:val="48"/>
        </w:numPr>
        <w:spacing w:before="0" w:after="120"/>
        <w:rPr>
          <w:rFonts w:ascii="Arial" w:hAnsi="Arial" w:cs="Arial"/>
          <w:bCs/>
          <w:szCs w:val="24"/>
        </w:rPr>
      </w:pPr>
      <w:r w:rsidRPr="004F7F40">
        <w:rPr>
          <w:rFonts w:ascii="Arial" w:hAnsi="Arial" w:cs="Arial"/>
          <w:bCs/>
          <w:szCs w:val="24"/>
        </w:rPr>
        <w:t>A review of ECO classification levels and remuneration structures</w:t>
      </w:r>
    </w:p>
    <w:p w14:paraId="1FED10A3" w14:textId="531BD474" w:rsidR="0039033B" w:rsidRPr="004F7F40" w:rsidRDefault="0039033B" w:rsidP="0039033B">
      <w:pPr>
        <w:pStyle w:val="ListParagraph"/>
        <w:numPr>
          <w:ilvl w:val="0"/>
          <w:numId w:val="48"/>
        </w:numPr>
        <w:spacing w:before="0" w:after="120"/>
        <w:rPr>
          <w:rFonts w:ascii="Arial" w:hAnsi="Arial" w:cs="Arial"/>
          <w:bCs/>
          <w:szCs w:val="24"/>
        </w:rPr>
      </w:pPr>
      <w:r w:rsidRPr="004F7F40">
        <w:rPr>
          <w:rFonts w:ascii="Arial" w:hAnsi="Arial" w:cs="Arial"/>
          <w:bCs/>
          <w:szCs w:val="24"/>
        </w:rPr>
        <w:t>An immediate cap on executive staffing pending the outcome of the review</w:t>
      </w:r>
    </w:p>
    <w:p w14:paraId="6DB238C9" w14:textId="1F2E6DB7" w:rsidR="0039033B" w:rsidRPr="004F7F40" w:rsidRDefault="0039033B" w:rsidP="0039033B">
      <w:pPr>
        <w:pStyle w:val="ListParagraph"/>
        <w:numPr>
          <w:ilvl w:val="0"/>
          <w:numId w:val="48"/>
        </w:numPr>
        <w:spacing w:before="0" w:after="120"/>
        <w:rPr>
          <w:rFonts w:ascii="Arial" w:hAnsi="Arial" w:cs="Arial"/>
          <w:bCs/>
          <w:szCs w:val="24"/>
        </w:rPr>
      </w:pPr>
      <w:r w:rsidRPr="004F7F40">
        <w:rPr>
          <w:rFonts w:ascii="Arial" w:hAnsi="Arial" w:cs="Arial"/>
          <w:bCs/>
          <w:szCs w:val="24"/>
        </w:rPr>
        <w:t>Conversion of ECO1 positions to SAO2/SPs positions.</w:t>
      </w:r>
    </w:p>
    <w:p w14:paraId="5333D102" w14:textId="37E93A22" w:rsidR="0039033B" w:rsidRPr="004F7F40" w:rsidRDefault="00C07A15" w:rsidP="00191170">
      <w:pPr>
        <w:spacing w:before="0" w:after="120"/>
        <w:rPr>
          <w:rFonts w:ascii="Arial" w:hAnsi="Arial" w:cs="Arial"/>
          <w:bCs/>
          <w:szCs w:val="24"/>
        </w:rPr>
      </w:pPr>
      <w:r w:rsidRPr="004F7F40">
        <w:rPr>
          <w:rFonts w:ascii="Arial" w:hAnsi="Arial" w:cs="Arial"/>
          <w:bCs/>
          <w:szCs w:val="24"/>
        </w:rPr>
        <w:t>It was reported that salaries for NT executive off</w:t>
      </w:r>
      <w:r w:rsidR="00BD657C">
        <w:rPr>
          <w:rFonts w:ascii="Arial" w:hAnsi="Arial" w:cs="Arial"/>
          <w:bCs/>
          <w:szCs w:val="24"/>
        </w:rPr>
        <w:t>ic</w:t>
      </w:r>
      <w:r w:rsidRPr="004F7F40">
        <w:rPr>
          <w:rFonts w:ascii="Arial" w:hAnsi="Arial" w:cs="Arial"/>
          <w:bCs/>
          <w:szCs w:val="24"/>
        </w:rPr>
        <w:t xml:space="preserve">ers were greater than </w:t>
      </w:r>
      <w:r w:rsidR="00884B6D" w:rsidRPr="004F7F40">
        <w:rPr>
          <w:rFonts w:ascii="Arial" w:hAnsi="Arial" w:cs="Arial"/>
          <w:bCs/>
          <w:szCs w:val="24"/>
        </w:rPr>
        <w:t xml:space="preserve">for similar positions in </w:t>
      </w:r>
      <w:r w:rsidRPr="004F7F40">
        <w:rPr>
          <w:rFonts w:ascii="Arial" w:hAnsi="Arial" w:cs="Arial"/>
          <w:bCs/>
          <w:szCs w:val="24"/>
        </w:rPr>
        <w:t xml:space="preserve">either New South Wales or Victoria (Roberts, 2019, Apr 16). </w:t>
      </w:r>
      <w:proofErr w:type="spellStart"/>
      <w:r w:rsidR="0039033B" w:rsidRPr="004F7F40">
        <w:rPr>
          <w:rFonts w:ascii="Arial" w:hAnsi="Arial" w:cs="Arial"/>
          <w:bCs/>
          <w:szCs w:val="24"/>
        </w:rPr>
        <w:t>Langoulant</w:t>
      </w:r>
      <w:proofErr w:type="spellEnd"/>
      <w:r w:rsidR="0039033B" w:rsidRPr="004F7F40">
        <w:rPr>
          <w:rFonts w:ascii="Arial" w:hAnsi="Arial" w:cs="Arial"/>
          <w:bCs/>
          <w:szCs w:val="24"/>
        </w:rPr>
        <w:t xml:space="preserve"> considered that the relationship between the SAO2/SP2 and ECO1 classifications was an “anomaly”, with these roles having “the same work value but substantially different rates of pay” (p. 17). </w:t>
      </w:r>
      <w:r w:rsidRPr="004F7F40">
        <w:rPr>
          <w:rFonts w:ascii="Arial" w:hAnsi="Arial" w:cs="Arial"/>
          <w:bCs/>
          <w:szCs w:val="24"/>
        </w:rPr>
        <w:t xml:space="preserve">The Budget Repair Advisory Panel suggested demoting more </w:t>
      </w:r>
      <w:r w:rsidR="003209AA" w:rsidRPr="004F7F40">
        <w:rPr>
          <w:rFonts w:ascii="Arial" w:hAnsi="Arial" w:cs="Arial"/>
          <w:bCs/>
          <w:szCs w:val="24"/>
        </w:rPr>
        <w:t xml:space="preserve">than </w:t>
      </w:r>
      <w:r w:rsidRPr="004F7F40">
        <w:rPr>
          <w:rFonts w:ascii="Arial" w:hAnsi="Arial" w:cs="Arial"/>
          <w:bCs/>
          <w:szCs w:val="24"/>
        </w:rPr>
        <w:t>300 ECO1 executives down to the highest administrative level</w:t>
      </w:r>
      <w:r w:rsidR="003209AA" w:rsidRPr="004F7F40">
        <w:rPr>
          <w:rFonts w:ascii="Arial" w:hAnsi="Arial" w:cs="Arial"/>
          <w:bCs/>
          <w:szCs w:val="24"/>
        </w:rPr>
        <w:t xml:space="preserve">, resulting in </w:t>
      </w:r>
      <w:r w:rsidRPr="004F7F40">
        <w:rPr>
          <w:rFonts w:ascii="Arial" w:hAnsi="Arial" w:cs="Arial"/>
          <w:bCs/>
          <w:szCs w:val="24"/>
        </w:rPr>
        <w:t>salary cuts of around $50,000 a year (Smith, 2019, Jun 16).</w:t>
      </w:r>
      <w:r w:rsidR="003209AA" w:rsidRPr="004F7F40">
        <w:rPr>
          <w:rFonts w:ascii="Arial" w:hAnsi="Arial" w:cs="Arial"/>
          <w:bCs/>
          <w:szCs w:val="24"/>
        </w:rPr>
        <w:t xml:space="preserve"> </w:t>
      </w:r>
      <w:r w:rsidR="0039033B" w:rsidRPr="004F7F40">
        <w:rPr>
          <w:rFonts w:ascii="Arial" w:hAnsi="Arial" w:cs="Arial"/>
          <w:bCs/>
          <w:szCs w:val="24"/>
        </w:rPr>
        <w:t xml:space="preserve">Implementation of this recommendation would have </w:t>
      </w:r>
      <w:r w:rsidR="002C5E1C" w:rsidRPr="004F7F40">
        <w:rPr>
          <w:rFonts w:ascii="Arial" w:hAnsi="Arial" w:cs="Arial"/>
          <w:bCs/>
          <w:szCs w:val="24"/>
        </w:rPr>
        <w:t>halved</w:t>
      </w:r>
      <w:r w:rsidR="0039033B" w:rsidRPr="004F7F40">
        <w:rPr>
          <w:rFonts w:ascii="Arial" w:hAnsi="Arial" w:cs="Arial"/>
          <w:bCs/>
          <w:szCs w:val="24"/>
        </w:rPr>
        <w:t xml:space="preserve"> the size of the executive cohort, but the Government – while it accepted the review and </w:t>
      </w:r>
      <w:r w:rsidR="00874B97" w:rsidRPr="004F7F40">
        <w:rPr>
          <w:rFonts w:ascii="Arial" w:hAnsi="Arial" w:cs="Arial"/>
          <w:bCs/>
          <w:szCs w:val="24"/>
        </w:rPr>
        <w:t xml:space="preserve">the </w:t>
      </w:r>
      <w:r w:rsidR="0039033B" w:rsidRPr="004F7F40">
        <w:rPr>
          <w:rFonts w:ascii="Arial" w:hAnsi="Arial" w:cs="Arial"/>
          <w:bCs/>
          <w:szCs w:val="24"/>
        </w:rPr>
        <w:t xml:space="preserve">cap – rejected the elimination of existing ECO1 positions. </w:t>
      </w:r>
      <w:r w:rsidR="00B44D83" w:rsidRPr="004F7F40">
        <w:rPr>
          <w:rFonts w:ascii="Arial" w:hAnsi="Arial" w:cs="Arial"/>
          <w:bCs/>
          <w:szCs w:val="24"/>
        </w:rPr>
        <w:t>It did, however, agree to reduce ECO numbers by 10% (52 FTE positions) and reduce the ECO salary bands, from six to five.</w:t>
      </w:r>
    </w:p>
    <w:p w14:paraId="1DB28D4E" w14:textId="3B6FA87F" w:rsidR="0021457B" w:rsidRPr="004F7F40" w:rsidRDefault="00C2065D" w:rsidP="00191170">
      <w:pPr>
        <w:spacing w:before="0" w:after="120"/>
        <w:rPr>
          <w:rFonts w:ascii="Arial" w:hAnsi="Arial" w:cs="Arial"/>
          <w:bCs/>
          <w:szCs w:val="24"/>
        </w:rPr>
      </w:pPr>
      <w:r w:rsidRPr="004F7F40">
        <w:rPr>
          <w:rFonts w:ascii="Arial" w:hAnsi="Arial" w:cs="Arial"/>
          <w:bCs/>
          <w:szCs w:val="24"/>
        </w:rPr>
        <w:t xml:space="preserve">Terms and conditions of employment for </w:t>
      </w:r>
      <w:r w:rsidR="00576A03" w:rsidRPr="004F7F40">
        <w:rPr>
          <w:rFonts w:ascii="Arial" w:hAnsi="Arial" w:cs="Arial"/>
          <w:bCs/>
          <w:szCs w:val="24"/>
        </w:rPr>
        <w:t xml:space="preserve">Executive </w:t>
      </w:r>
      <w:r w:rsidRPr="004F7F40">
        <w:rPr>
          <w:rFonts w:ascii="Arial" w:hAnsi="Arial" w:cs="Arial"/>
          <w:bCs/>
          <w:szCs w:val="24"/>
        </w:rPr>
        <w:t>C</w:t>
      </w:r>
      <w:r w:rsidR="00576A03" w:rsidRPr="004F7F40">
        <w:rPr>
          <w:rFonts w:ascii="Arial" w:hAnsi="Arial" w:cs="Arial"/>
          <w:bCs/>
          <w:szCs w:val="24"/>
        </w:rPr>
        <w:t xml:space="preserve">ontract </w:t>
      </w:r>
      <w:r w:rsidRPr="004F7F40">
        <w:rPr>
          <w:rFonts w:ascii="Arial" w:hAnsi="Arial" w:cs="Arial"/>
          <w:bCs/>
          <w:szCs w:val="24"/>
        </w:rPr>
        <w:t>O</w:t>
      </w:r>
      <w:r w:rsidR="00576A03" w:rsidRPr="004F7F40">
        <w:rPr>
          <w:rFonts w:ascii="Arial" w:hAnsi="Arial" w:cs="Arial"/>
          <w:bCs/>
          <w:szCs w:val="24"/>
        </w:rPr>
        <w:t>fficer</w:t>
      </w:r>
      <w:r w:rsidRPr="004F7F40">
        <w:rPr>
          <w:rFonts w:ascii="Arial" w:hAnsi="Arial" w:cs="Arial"/>
          <w:bCs/>
          <w:szCs w:val="24"/>
        </w:rPr>
        <w:t>s</w:t>
      </w:r>
      <w:r w:rsidR="00576A03" w:rsidRPr="004F7F40">
        <w:rPr>
          <w:rFonts w:ascii="Arial" w:hAnsi="Arial" w:cs="Arial"/>
          <w:bCs/>
          <w:szCs w:val="24"/>
        </w:rPr>
        <w:t xml:space="preserve"> (ECO) </w:t>
      </w:r>
      <w:r w:rsidR="00C07A15" w:rsidRPr="004F7F40">
        <w:rPr>
          <w:rFonts w:ascii="Arial" w:hAnsi="Arial" w:cs="Arial"/>
          <w:bCs/>
          <w:szCs w:val="24"/>
        </w:rPr>
        <w:t xml:space="preserve">had previously been set out </w:t>
      </w:r>
      <w:r w:rsidRPr="004F7F40">
        <w:rPr>
          <w:rFonts w:ascii="Arial" w:hAnsi="Arial" w:cs="Arial"/>
          <w:bCs/>
          <w:szCs w:val="24"/>
        </w:rPr>
        <w:t xml:space="preserve">in </w:t>
      </w:r>
      <w:r w:rsidRPr="004F7F40">
        <w:rPr>
          <w:rFonts w:ascii="Arial" w:hAnsi="Arial" w:cs="Arial"/>
          <w:bCs/>
          <w:i/>
          <w:iCs/>
          <w:szCs w:val="24"/>
        </w:rPr>
        <w:t>Determination 13 of 2011</w:t>
      </w:r>
      <w:r w:rsidRPr="004F7F40">
        <w:rPr>
          <w:rFonts w:ascii="Arial" w:hAnsi="Arial" w:cs="Arial"/>
          <w:bCs/>
          <w:szCs w:val="24"/>
        </w:rPr>
        <w:t xml:space="preserve"> (OCPE, 2011). </w:t>
      </w:r>
      <w:r w:rsidR="001376D0" w:rsidRPr="004F7F40">
        <w:rPr>
          <w:rFonts w:ascii="Arial" w:hAnsi="Arial" w:cs="Arial"/>
          <w:bCs/>
          <w:szCs w:val="24"/>
        </w:rPr>
        <w:t xml:space="preserve">In 2019, </w:t>
      </w:r>
      <w:proofErr w:type="gramStart"/>
      <w:r w:rsidR="001376D0" w:rsidRPr="004F7F40">
        <w:rPr>
          <w:rFonts w:ascii="Arial" w:hAnsi="Arial" w:cs="Arial"/>
          <w:bCs/>
          <w:szCs w:val="24"/>
        </w:rPr>
        <w:t>a number of</w:t>
      </w:r>
      <w:proofErr w:type="gramEnd"/>
      <w:r w:rsidR="001376D0" w:rsidRPr="004F7F40">
        <w:rPr>
          <w:rFonts w:ascii="Arial" w:hAnsi="Arial" w:cs="Arial"/>
          <w:bCs/>
          <w:szCs w:val="24"/>
        </w:rPr>
        <w:t xml:space="preserve"> public service executive reforms were announced as contributions to cost savings to address budget repair. First was a 10% cut in the public service executive ranks, amounting to 52 full-time positions</w:t>
      </w:r>
      <w:r w:rsidR="00140ACE" w:rsidRPr="004F7F40">
        <w:rPr>
          <w:rFonts w:ascii="Arial" w:hAnsi="Arial" w:cs="Arial"/>
          <w:bCs/>
          <w:szCs w:val="24"/>
        </w:rPr>
        <w:t xml:space="preserve"> (Donaldson, 2019, April 16). </w:t>
      </w:r>
      <w:r w:rsidRPr="004F7F40">
        <w:rPr>
          <w:rFonts w:ascii="Arial" w:hAnsi="Arial" w:cs="Arial"/>
          <w:bCs/>
          <w:szCs w:val="24"/>
        </w:rPr>
        <w:t xml:space="preserve">This was followed by a </w:t>
      </w:r>
      <w:r w:rsidR="00140ACE" w:rsidRPr="004F7F40">
        <w:rPr>
          <w:rFonts w:ascii="Arial" w:hAnsi="Arial" w:cs="Arial"/>
          <w:bCs/>
          <w:szCs w:val="24"/>
        </w:rPr>
        <w:t xml:space="preserve">three-year wage freeze for contracts </w:t>
      </w:r>
      <w:proofErr w:type="gramStart"/>
      <w:r w:rsidR="00140ACE" w:rsidRPr="004F7F40">
        <w:rPr>
          <w:rFonts w:ascii="Arial" w:hAnsi="Arial" w:cs="Arial"/>
          <w:bCs/>
          <w:szCs w:val="24"/>
        </w:rPr>
        <w:t>entered into</w:t>
      </w:r>
      <w:proofErr w:type="gramEnd"/>
      <w:r w:rsidR="00140ACE" w:rsidRPr="004F7F40">
        <w:rPr>
          <w:rFonts w:ascii="Arial" w:hAnsi="Arial" w:cs="Arial"/>
          <w:bCs/>
          <w:szCs w:val="24"/>
        </w:rPr>
        <w:t xml:space="preserve"> after 23 April 2019. </w:t>
      </w:r>
      <w:r w:rsidR="0021457B" w:rsidRPr="004F7F40">
        <w:rPr>
          <w:rFonts w:ascii="Arial" w:hAnsi="Arial" w:cs="Arial"/>
          <w:bCs/>
          <w:szCs w:val="24"/>
        </w:rPr>
        <w:t xml:space="preserve">In October, a </w:t>
      </w:r>
      <w:r w:rsidR="00140ACE" w:rsidRPr="004F7F40">
        <w:rPr>
          <w:rFonts w:ascii="Arial" w:hAnsi="Arial" w:cs="Arial"/>
          <w:bCs/>
          <w:szCs w:val="24"/>
        </w:rPr>
        <w:t xml:space="preserve">four-year wage freeze </w:t>
      </w:r>
      <w:r w:rsidR="0021457B" w:rsidRPr="004F7F40">
        <w:rPr>
          <w:rFonts w:ascii="Arial" w:hAnsi="Arial" w:cs="Arial"/>
          <w:bCs/>
          <w:szCs w:val="24"/>
        </w:rPr>
        <w:t>was announced</w:t>
      </w:r>
      <w:r w:rsidR="00140ACE" w:rsidRPr="004F7F40">
        <w:rPr>
          <w:rFonts w:ascii="Arial" w:hAnsi="Arial" w:cs="Arial"/>
          <w:bCs/>
          <w:szCs w:val="24"/>
        </w:rPr>
        <w:t xml:space="preserve"> for ECOs who did not agree to vary the terms of their existing contracts by August 2019. In both cases, assurances were given on pay rises after the frozen period. </w:t>
      </w:r>
    </w:p>
    <w:p w14:paraId="00A9EB1A" w14:textId="05C7B5E4" w:rsidR="000B5001" w:rsidRPr="004F7F40" w:rsidRDefault="00140ACE" w:rsidP="00191170">
      <w:pPr>
        <w:spacing w:before="0" w:after="120"/>
        <w:rPr>
          <w:rFonts w:ascii="Arial" w:hAnsi="Arial" w:cs="Arial"/>
          <w:bCs/>
          <w:szCs w:val="24"/>
        </w:rPr>
      </w:pPr>
      <w:r w:rsidRPr="004F7F40">
        <w:rPr>
          <w:rFonts w:ascii="Arial" w:hAnsi="Arial" w:cs="Arial"/>
          <w:bCs/>
          <w:szCs w:val="24"/>
        </w:rPr>
        <w:t>The pay freeze initiative was temporarily in limbo after a union challenge arguing that legal advice suggested that public service executives could not be forced to sign pay-freeze agreements (Gibson, 2019, Jun 3).</w:t>
      </w:r>
      <w:r w:rsidR="000F5BA6" w:rsidRPr="004F7F40">
        <w:rPr>
          <w:rFonts w:ascii="Arial" w:hAnsi="Arial" w:cs="Arial"/>
          <w:bCs/>
          <w:szCs w:val="24"/>
        </w:rPr>
        <w:t xml:space="preserve"> </w:t>
      </w:r>
      <w:r w:rsidR="000B5001" w:rsidRPr="004F7F40">
        <w:rPr>
          <w:rFonts w:ascii="Arial" w:hAnsi="Arial" w:cs="Arial"/>
          <w:bCs/>
          <w:szCs w:val="24"/>
        </w:rPr>
        <w:t>Former Commissioner for Public Employment Ken Simpson (2006–2014) argued that by law, only the Commissioner could determine pay and conditions, and any changes should occur without government interference:</w:t>
      </w:r>
    </w:p>
    <w:p w14:paraId="11AD0689" w14:textId="77777777" w:rsidR="000B5001" w:rsidRPr="004F7F40" w:rsidRDefault="000B5001" w:rsidP="000B5001">
      <w:pPr>
        <w:spacing w:before="0" w:after="120"/>
        <w:ind w:left="720"/>
        <w:rPr>
          <w:rFonts w:ascii="Arial" w:hAnsi="Arial" w:cs="Arial"/>
          <w:bCs/>
          <w:szCs w:val="24"/>
        </w:rPr>
      </w:pPr>
      <w:r w:rsidRPr="004F7F40">
        <w:rPr>
          <w:rFonts w:ascii="Arial" w:hAnsi="Arial" w:cs="Arial"/>
          <w:bCs/>
          <w:i/>
          <w:iCs/>
          <w:szCs w:val="24"/>
        </w:rPr>
        <w:t xml:space="preserve">The independence of the public service </w:t>
      </w:r>
      <w:proofErr w:type="gramStart"/>
      <w:r w:rsidRPr="004F7F40">
        <w:rPr>
          <w:rFonts w:ascii="Arial" w:hAnsi="Arial" w:cs="Arial"/>
          <w:bCs/>
          <w:i/>
          <w:iCs/>
          <w:szCs w:val="24"/>
        </w:rPr>
        <w:t>has to</w:t>
      </w:r>
      <w:proofErr w:type="gramEnd"/>
      <w:r w:rsidRPr="004F7F40">
        <w:rPr>
          <w:rFonts w:ascii="Arial" w:hAnsi="Arial" w:cs="Arial"/>
          <w:bCs/>
          <w:i/>
          <w:iCs/>
          <w:szCs w:val="24"/>
        </w:rPr>
        <w:t xml:space="preserve"> be protected…Who do they think is going to be attracted to the Northern Territory executive ranks if they start dishonouring contracts?</w:t>
      </w:r>
      <w:r w:rsidRPr="004F7F40">
        <w:rPr>
          <w:rFonts w:ascii="Arial" w:hAnsi="Arial" w:cs="Arial"/>
          <w:bCs/>
          <w:szCs w:val="24"/>
        </w:rPr>
        <w:t xml:space="preserve"> (</w:t>
      </w:r>
      <w:proofErr w:type="gramStart"/>
      <w:r w:rsidRPr="004F7F40">
        <w:rPr>
          <w:rFonts w:ascii="Arial" w:hAnsi="Arial" w:cs="Arial"/>
          <w:bCs/>
          <w:szCs w:val="24"/>
        </w:rPr>
        <w:t>quoted</w:t>
      </w:r>
      <w:proofErr w:type="gramEnd"/>
      <w:r w:rsidRPr="004F7F40">
        <w:rPr>
          <w:rFonts w:ascii="Arial" w:hAnsi="Arial" w:cs="Arial"/>
          <w:bCs/>
          <w:szCs w:val="24"/>
        </w:rPr>
        <w:t xml:space="preserve"> by Smith, 2019, Jun 16).</w:t>
      </w:r>
    </w:p>
    <w:p w14:paraId="72DD525E" w14:textId="43D8C729" w:rsidR="000F5BA6" w:rsidRPr="004F7F40" w:rsidRDefault="00FE42F9" w:rsidP="00191170">
      <w:pPr>
        <w:spacing w:before="0" w:after="120"/>
        <w:rPr>
          <w:rFonts w:ascii="Arial" w:hAnsi="Arial" w:cs="Arial"/>
          <w:bCs/>
          <w:szCs w:val="24"/>
        </w:rPr>
      </w:pPr>
      <w:r w:rsidRPr="004F7F40">
        <w:rPr>
          <w:rFonts w:ascii="Arial" w:hAnsi="Arial" w:cs="Arial"/>
          <w:bCs/>
          <w:szCs w:val="24"/>
        </w:rPr>
        <w:t>In early July</w:t>
      </w:r>
      <w:r w:rsidR="000910D6" w:rsidRPr="004F7F40">
        <w:rPr>
          <w:rFonts w:ascii="Arial" w:hAnsi="Arial" w:cs="Arial"/>
          <w:bCs/>
          <w:szCs w:val="24"/>
        </w:rPr>
        <w:t xml:space="preserve"> 2019</w:t>
      </w:r>
      <w:r w:rsidRPr="004F7F40">
        <w:rPr>
          <w:rFonts w:ascii="Arial" w:hAnsi="Arial" w:cs="Arial"/>
          <w:bCs/>
          <w:szCs w:val="24"/>
        </w:rPr>
        <w:t xml:space="preserve">, Chief Minister Michael Gunner announced that half the group of more than 600 executives had agreed to the temporary freeze, </w:t>
      </w:r>
      <w:r w:rsidR="000F5BA6" w:rsidRPr="004F7F40">
        <w:rPr>
          <w:rFonts w:ascii="Arial" w:hAnsi="Arial" w:cs="Arial"/>
          <w:bCs/>
          <w:szCs w:val="24"/>
        </w:rPr>
        <w:t xml:space="preserve">issuing an </w:t>
      </w:r>
      <w:r w:rsidRPr="004F7F40">
        <w:rPr>
          <w:rFonts w:ascii="Arial" w:hAnsi="Arial" w:cs="Arial"/>
          <w:bCs/>
          <w:szCs w:val="24"/>
        </w:rPr>
        <w:t>ultimatum</w:t>
      </w:r>
      <w:r w:rsidR="000B5001" w:rsidRPr="004F7F40">
        <w:rPr>
          <w:rFonts w:ascii="Arial" w:hAnsi="Arial" w:cs="Arial"/>
          <w:bCs/>
          <w:szCs w:val="24"/>
        </w:rPr>
        <w:t xml:space="preserve"> to the rest</w:t>
      </w:r>
      <w:r w:rsidR="000F5BA6" w:rsidRPr="004F7F40">
        <w:rPr>
          <w:rFonts w:ascii="Arial" w:hAnsi="Arial" w:cs="Arial"/>
          <w:bCs/>
          <w:szCs w:val="24"/>
        </w:rPr>
        <w:t>:</w:t>
      </w:r>
    </w:p>
    <w:p w14:paraId="78539A0D" w14:textId="459FE328" w:rsidR="00FE42F9" w:rsidRPr="004F7F40" w:rsidRDefault="00FE42F9" w:rsidP="000F5BA6">
      <w:pPr>
        <w:spacing w:before="0" w:after="120"/>
        <w:ind w:left="720"/>
        <w:rPr>
          <w:rFonts w:ascii="Arial" w:hAnsi="Arial" w:cs="Arial"/>
        </w:rPr>
      </w:pPr>
      <w:r w:rsidRPr="004F7F40">
        <w:rPr>
          <w:rFonts w:ascii="Arial" w:hAnsi="Arial" w:cs="Arial"/>
          <w:i/>
          <w:iCs/>
        </w:rPr>
        <w:t xml:space="preserve"> You have an opportunity to sign a three-year pay freeze now, or at the end of your contract you can sign a four-year pay freeze, or this is your last contract with the </w:t>
      </w:r>
      <w:r w:rsidR="0021457B" w:rsidRPr="004F7F40">
        <w:rPr>
          <w:rFonts w:ascii="Arial" w:hAnsi="Arial" w:cs="Arial"/>
          <w:i/>
          <w:iCs/>
        </w:rPr>
        <w:t>T</w:t>
      </w:r>
      <w:r w:rsidRPr="004F7F40">
        <w:rPr>
          <w:rFonts w:ascii="Arial" w:hAnsi="Arial" w:cs="Arial"/>
          <w:i/>
          <w:iCs/>
        </w:rPr>
        <w:t xml:space="preserve">erritory government” </w:t>
      </w:r>
      <w:r w:rsidRPr="004F7F40">
        <w:rPr>
          <w:rFonts w:ascii="Arial" w:hAnsi="Arial" w:cs="Arial"/>
        </w:rPr>
        <w:t xml:space="preserve">(quoted by Easton, 2019, Jul 3). </w:t>
      </w:r>
    </w:p>
    <w:p w14:paraId="322FAA5D" w14:textId="5B79F9D7" w:rsidR="003209AA" w:rsidRPr="004F7F40" w:rsidRDefault="00140ACE" w:rsidP="00191170">
      <w:pPr>
        <w:spacing w:before="0" w:after="120"/>
        <w:rPr>
          <w:rFonts w:ascii="Arial" w:hAnsi="Arial" w:cs="Arial"/>
          <w:bCs/>
          <w:szCs w:val="24"/>
        </w:rPr>
      </w:pPr>
      <w:r w:rsidRPr="004F7F40">
        <w:rPr>
          <w:rFonts w:ascii="Arial" w:hAnsi="Arial" w:cs="Arial"/>
          <w:bCs/>
          <w:szCs w:val="24"/>
        </w:rPr>
        <w:lastRenderedPageBreak/>
        <w:t xml:space="preserve">By August, all relevant Treasury staff and 94% of those in the Chief Minister’s Department </w:t>
      </w:r>
      <w:r w:rsidR="00FE42F9" w:rsidRPr="004F7F40">
        <w:rPr>
          <w:rFonts w:ascii="Arial" w:hAnsi="Arial" w:cs="Arial"/>
          <w:bCs/>
          <w:szCs w:val="24"/>
        </w:rPr>
        <w:t>had agreed to the temporary freeze</w:t>
      </w:r>
      <w:r w:rsidR="00C07A15" w:rsidRPr="004F7F40">
        <w:rPr>
          <w:rFonts w:ascii="Arial" w:hAnsi="Arial" w:cs="Arial"/>
          <w:bCs/>
          <w:szCs w:val="24"/>
        </w:rPr>
        <w:t xml:space="preserve"> which also applied to NT politicians </w:t>
      </w:r>
      <w:r w:rsidR="000B5001" w:rsidRPr="004F7F40">
        <w:rPr>
          <w:rFonts w:ascii="Arial" w:hAnsi="Arial" w:cs="Arial"/>
          <w:bCs/>
          <w:szCs w:val="24"/>
        </w:rPr>
        <w:t xml:space="preserve">– a policy estimated to save </w:t>
      </w:r>
      <w:r w:rsidR="001E3EC4" w:rsidRPr="004F7F40">
        <w:rPr>
          <w:rFonts w:ascii="Arial" w:hAnsi="Arial" w:cs="Arial"/>
          <w:bCs/>
          <w:szCs w:val="24"/>
        </w:rPr>
        <w:t>$</w:t>
      </w:r>
      <w:r w:rsidR="000B5001" w:rsidRPr="004F7F40">
        <w:rPr>
          <w:rFonts w:ascii="Arial" w:hAnsi="Arial" w:cs="Arial"/>
          <w:bCs/>
          <w:szCs w:val="24"/>
        </w:rPr>
        <w:t xml:space="preserve">25 million over three years </w:t>
      </w:r>
      <w:r w:rsidRPr="004F7F40">
        <w:rPr>
          <w:rFonts w:ascii="Arial" w:hAnsi="Arial" w:cs="Arial"/>
          <w:bCs/>
          <w:szCs w:val="24"/>
        </w:rPr>
        <w:t>(</w:t>
      </w:r>
      <w:r w:rsidR="00C07A15" w:rsidRPr="004F7F40">
        <w:rPr>
          <w:rFonts w:ascii="Arial" w:hAnsi="Arial" w:cs="Arial"/>
          <w:bCs/>
          <w:szCs w:val="24"/>
        </w:rPr>
        <w:t xml:space="preserve">Donaldson, 2019, Apr 16; </w:t>
      </w:r>
      <w:r w:rsidRPr="004F7F40">
        <w:rPr>
          <w:rFonts w:ascii="Arial" w:hAnsi="Arial" w:cs="Arial"/>
          <w:bCs/>
          <w:szCs w:val="24"/>
        </w:rPr>
        <w:t>Easton, 2019, Sep 10</w:t>
      </w:r>
      <w:r w:rsidR="00C07A15" w:rsidRPr="004F7F40">
        <w:rPr>
          <w:rFonts w:ascii="Arial" w:hAnsi="Arial" w:cs="Arial"/>
          <w:bCs/>
          <w:szCs w:val="24"/>
        </w:rPr>
        <w:t>).</w:t>
      </w:r>
      <w:r w:rsidR="00FE42F9" w:rsidRPr="004F7F40">
        <w:rPr>
          <w:rFonts w:ascii="Arial" w:hAnsi="Arial" w:cs="Arial"/>
          <w:bCs/>
          <w:szCs w:val="24"/>
        </w:rPr>
        <w:t xml:space="preserve"> </w:t>
      </w:r>
    </w:p>
    <w:p w14:paraId="3517364F" w14:textId="77777777" w:rsidR="00EC355D" w:rsidRPr="004F7F40" w:rsidRDefault="00EC355D" w:rsidP="00F37DF7">
      <w:pPr>
        <w:rPr>
          <w:rFonts w:ascii="Arial" w:hAnsi="Arial" w:cs="Arial"/>
          <w:bCs/>
          <w:szCs w:val="24"/>
        </w:rPr>
      </w:pPr>
    </w:p>
    <w:p w14:paraId="202409E7" w14:textId="77EED7A0" w:rsidR="00AE093E" w:rsidRPr="004F7F40" w:rsidRDefault="00EC355D" w:rsidP="00F37DF7">
      <w:pPr>
        <w:rPr>
          <w:rFonts w:ascii="Arial" w:hAnsi="Arial" w:cs="Arial"/>
          <w:bCs/>
          <w:szCs w:val="24"/>
        </w:rPr>
      </w:pPr>
      <w:r w:rsidRPr="004F7F40">
        <w:rPr>
          <w:rFonts w:ascii="Arial" w:hAnsi="Arial" w:cs="Arial"/>
          <w:bCs/>
          <w:szCs w:val="24"/>
        </w:rPr>
        <w:t>Table 2 below shows that t</w:t>
      </w:r>
      <w:r w:rsidR="00AE093E" w:rsidRPr="004F7F40">
        <w:rPr>
          <w:rFonts w:ascii="Arial" w:hAnsi="Arial" w:cs="Arial"/>
          <w:bCs/>
          <w:szCs w:val="24"/>
        </w:rPr>
        <w:t xml:space="preserve">he </w:t>
      </w:r>
      <w:r w:rsidR="000910D6" w:rsidRPr="004F7F40">
        <w:rPr>
          <w:rFonts w:ascii="Arial" w:hAnsi="Arial" w:cs="Arial"/>
          <w:bCs/>
          <w:szCs w:val="24"/>
        </w:rPr>
        <w:t xml:space="preserve">total </w:t>
      </w:r>
      <w:r w:rsidR="00AE093E" w:rsidRPr="004F7F40">
        <w:rPr>
          <w:rFonts w:ascii="Arial" w:hAnsi="Arial" w:cs="Arial"/>
          <w:bCs/>
          <w:szCs w:val="24"/>
        </w:rPr>
        <w:t xml:space="preserve">remuneration package for NT </w:t>
      </w:r>
      <w:r w:rsidR="003301A3" w:rsidRPr="004F7F40">
        <w:rPr>
          <w:rFonts w:ascii="Arial" w:hAnsi="Arial" w:cs="Arial"/>
          <w:bCs/>
          <w:szCs w:val="24"/>
        </w:rPr>
        <w:t>ECO</w:t>
      </w:r>
      <w:r w:rsidR="00AE093E" w:rsidRPr="004F7F40">
        <w:rPr>
          <w:rFonts w:ascii="Arial" w:hAnsi="Arial" w:cs="Arial"/>
          <w:bCs/>
          <w:szCs w:val="24"/>
        </w:rPr>
        <w:t xml:space="preserve">s </w:t>
      </w:r>
      <w:proofErr w:type="gramStart"/>
      <w:r w:rsidR="000910D6" w:rsidRPr="004F7F40">
        <w:rPr>
          <w:rFonts w:ascii="Arial" w:hAnsi="Arial" w:cs="Arial"/>
          <w:bCs/>
          <w:szCs w:val="24"/>
        </w:rPr>
        <w:t>actually declined</w:t>
      </w:r>
      <w:proofErr w:type="gramEnd"/>
      <w:r w:rsidR="000910D6" w:rsidRPr="004F7F40">
        <w:rPr>
          <w:rFonts w:ascii="Arial" w:hAnsi="Arial" w:cs="Arial"/>
          <w:bCs/>
          <w:szCs w:val="24"/>
        </w:rPr>
        <w:t xml:space="preserve"> between 2011 and 2019</w:t>
      </w:r>
      <w:r w:rsidRPr="004F7F40">
        <w:rPr>
          <w:rFonts w:ascii="Arial" w:hAnsi="Arial" w:cs="Arial"/>
          <w:bCs/>
          <w:szCs w:val="24"/>
        </w:rPr>
        <w:t xml:space="preserve">. </w:t>
      </w:r>
      <w:r w:rsidR="000910D6" w:rsidRPr="004F7F40">
        <w:rPr>
          <w:rFonts w:ascii="Arial" w:hAnsi="Arial" w:cs="Arial"/>
          <w:bCs/>
          <w:szCs w:val="24"/>
        </w:rPr>
        <w:t xml:space="preserve"> The additional Tables 3 and 4 summarise </w:t>
      </w:r>
      <w:r w:rsidRPr="004F7F40">
        <w:rPr>
          <w:rFonts w:ascii="Arial" w:hAnsi="Arial" w:cs="Arial"/>
          <w:bCs/>
          <w:szCs w:val="24"/>
        </w:rPr>
        <w:t xml:space="preserve">the </w:t>
      </w:r>
      <w:r w:rsidR="00C04736" w:rsidRPr="004F7F40">
        <w:rPr>
          <w:rFonts w:ascii="Arial" w:hAnsi="Arial" w:cs="Arial"/>
          <w:bCs/>
          <w:szCs w:val="24"/>
        </w:rPr>
        <w:t xml:space="preserve">employment </w:t>
      </w:r>
      <w:r w:rsidRPr="004F7F40">
        <w:rPr>
          <w:rFonts w:ascii="Arial" w:hAnsi="Arial" w:cs="Arial"/>
          <w:bCs/>
          <w:szCs w:val="24"/>
        </w:rPr>
        <w:t xml:space="preserve">terms and conditions of </w:t>
      </w:r>
      <w:r w:rsidR="00CD4067" w:rsidRPr="004F7F40">
        <w:rPr>
          <w:rFonts w:ascii="Arial" w:hAnsi="Arial" w:cs="Arial"/>
          <w:bCs/>
          <w:szCs w:val="24"/>
        </w:rPr>
        <w:t xml:space="preserve">CEOs and </w:t>
      </w:r>
      <w:r w:rsidR="000910D6" w:rsidRPr="004F7F40">
        <w:rPr>
          <w:rFonts w:ascii="Arial" w:hAnsi="Arial" w:cs="Arial"/>
          <w:bCs/>
          <w:szCs w:val="24"/>
        </w:rPr>
        <w:t xml:space="preserve">Executive </w:t>
      </w:r>
      <w:r w:rsidR="00CD4067" w:rsidRPr="004F7F40">
        <w:rPr>
          <w:rFonts w:ascii="Arial" w:hAnsi="Arial" w:cs="Arial"/>
          <w:bCs/>
          <w:szCs w:val="24"/>
        </w:rPr>
        <w:t>Contract Officers in the NT</w:t>
      </w:r>
      <w:r w:rsidR="000910D6" w:rsidRPr="004F7F40">
        <w:rPr>
          <w:rFonts w:ascii="Arial" w:hAnsi="Arial" w:cs="Arial"/>
          <w:bCs/>
          <w:szCs w:val="24"/>
        </w:rPr>
        <w:t xml:space="preserve"> over twenty years. </w:t>
      </w:r>
    </w:p>
    <w:p w14:paraId="64979A5F" w14:textId="77777777" w:rsidR="007D7458" w:rsidRPr="004F7F40" w:rsidRDefault="007D7458" w:rsidP="007D7458">
      <w:pPr>
        <w:pStyle w:val="Table"/>
        <w:numPr>
          <w:ilvl w:val="0"/>
          <w:numId w:val="0"/>
        </w:numPr>
        <w:ind w:left="1440"/>
        <w:rPr>
          <w:rFonts w:ascii="Arial" w:hAnsi="Arial" w:cs="Arial"/>
          <w:b/>
          <w:bCs/>
        </w:rPr>
      </w:pPr>
    </w:p>
    <w:p w14:paraId="2D7195E0" w14:textId="389FC6BA" w:rsidR="00AE093E" w:rsidRPr="004F7F40" w:rsidRDefault="0097183D" w:rsidP="00B72A3C">
      <w:pPr>
        <w:pStyle w:val="Table"/>
        <w:rPr>
          <w:rFonts w:ascii="Arial" w:hAnsi="Arial" w:cs="Arial"/>
          <w:b/>
          <w:bCs/>
        </w:rPr>
      </w:pPr>
      <w:r w:rsidRPr="004F7F40">
        <w:rPr>
          <w:rFonts w:ascii="Arial" w:hAnsi="Arial" w:cs="Arial"/>
          <w:b/>
          <w:bCs/>
        </w:rPr>
        <w:t>NT public service executive remuneration</w:t>
      </w:r>
    </w:p>
    <w:tbl>
      <w:tblPr>
        <w:tblStyle w:val="TableGrid"/>
        <w:tblW w:w="0" w:type="auto"/>
        <w:tblLook w:val="04A0" w:firstRow="1" w:lastRow="0" w:firstColumn="1" w:lastColumn="0" w:noHBand="0" w:noVBand="1"/>
      </w:tblPr>
      <w:tblGrid>
        <w:gridCol w:w="2263"/>
        <w:gridCol w:w="1701"/>
        <w:gridCol w:w="1885"/>
        <w:gridCol w:w="1659"/>
        <w:gridCol w:w="2386"/>
      </w:tblGrid>
      <w:tr w:rsidR="00371885" w:rsidRPr="004F7F40" w14:paraId="2359AE70" w14:textId="6DCF6CBB" w:rsidTr="00C60B47">
        <w:tc>
          <w:tcPr>
            <w:tcW w:w="2263" w:type="dxa"/>
          </w:tcPr>
          <w:p w14:paraId="32B0A18C" w14:textId="3BC45412" w:rsidR="00903CF8" w:rsidRPr="004F7F40" w:rsidRDefault="00903CF8" w:rsidP="00F37DF7">
            <w:pPr>
              <w:rPr>
                <w:rFonts w:ascii="Arial" w:hAnsi="Arial" w:cs="Arial"/>
                <w:b/>
                <w:sz w:val="22"/>
              </w:rPr>
            </w:pPr>
            <w:r w:rsidRPr="004F7F40">
              <w:rPr>
                <w:rFonts w:ascii="Arial" w:hAnsi="Arial" w:cs="Arial"/>
                <w:b/>
                <w:sz w:val="22"/>
              </w:rPr>
              <w:t>Title</w:t>
            </w:r>
          </w:p>
        </w:tc>
        <w:tc>
          <w:tcPr>
            <w:tcW w:w="1701" w:type="dxa"/>
          </w:tcPr>
          <w:p w14:paraId="3D323500" w14:textId="560A5B40" w:rsidR="00903CF8" w:rsidRPr="004F7F40" w:rsidRDefault="00903CF8" w:rsidP="00F37DF7">
            <w:pPr>
              <w:rPr>
                <w:rFonts w:ascii="Arial" w:hAnsi="Arial" w:cs="Arial"/>
                <w:b/>
                <w:sz w:val="22"/>
              </w:rPr>
            </w:pPr>
            <w:r w:rsidRPr="004F7F40">
              <w:rPr>
                <w:rFonts w:ascii="Arial" w:hAnsi="Arial" w:cs="Arial"/>
                <w:b/>
                <w:sz w:val="22"/>
              </w:rPr>
              <w:t>Level</w:t>
            </w:r>
          </w:p>
        </w:tc>
        <w:tc>
          <w:tcPr>
            <w:tcW w:w="1885" w:type="dxa"/>
          </w:tcPr>
          <w:p w14:paraId="1FC947EA" w14:textId="77777777" w:rsidR="009302BB" w:rsidRPr="004F7F40" w:rsidRDefault="00903CF8" w:rsidP="00F37DF7">
            <w:pPr>
              <w:rPr>
                <w:rFonts w:ascii="Arial" w:hAnsi="Arial" w:cs="Arial"/>
                <w:b/>
                <w:sz w:val="22"/>
              </w:rPr>
            </w:pPr>
            <w:r w:rsidRPr="004F7F40">
              <w:rPr>
                <w:rFonts w:ascii="Arial" w:hAnsi="Arial" w:cs="Arial"/>
                <w:b/>
                <w:sz w:val="22"/>
              </w:rPr>
              <w:t xml:space="preserve">2011 remuneration </w:t>
            </w:r>
          </w:p>
          <w:p w14:paraId="4A28233B" w14:textId="72D63C04" w:rsidR="00903CF8" w:rsidRPr="004F7F40" w:rsidRDefault="00903CF8" w:rsidP="00F37DF7">
            <w:pPr>
              <w:rPr>
                <w:rFonts w:ascii="Arial" w:hAnsi="Arial" w:cs="Arial"/>
                <w:b/>
                <w:sz w:val="22"/>
              </w:rPr>
            </w:pPr>
            <w:r w:rsidRPr="004F7F40">
              <w:rPr>
                <w:rFonts w:ascii="Arial" w:hAnsi="Arial" w:cs="Arial"/>
                <w:b/>
                <w:sz w:val="22"/>
              </w:rPr>
              <w:t>$</w:t>
            </w:r>
          </w:p>
        </w:tc>
        <w:tc>
          <w:tcPr>
            <w:tcW w:w="1659" w:type="dxa"/>
          </w:tcPr>
          <w:p w14:paraId="6D176E0F" w14:textId="77777777" w:rsidR="00903CF8" w:rsidRPr="004F7F40" w:rsidRDefault="00903CF8" w:rsidP="00F37DF7">
            <w:pPr>
              <w:rPr>
                <w:rFonts w:ascii="Arial" w:hAnsi="Arial" w:cs="Arial"/>
                <w:b/>
                <w:sz w:val="22"/>
              </w:rPr>
            </w:pPr>
            <w:r w:rsidRPr="004F7F40">
              <w:rPr>
                <w:rFonts w:ascii="Arial" w:hAnsi="Arial" w:cs="Arial"/>
                <w:b/>
                <w:sz w:val="22"/>
              </w:rPr>
              <w:t>2019 remuneration</w:t>
            </w:r>
          </w:p>
          <w:p w14:paraId="00DC6D4C" w14:textId="36E6210C" w:rsidR="00903CF8" w:rsidRPr="004F7F40" w:rsidRDefault="00903CF8" w:rsidP="00F37DF7">
            <w:pPr>
              <w:rPr>
                <w:rFonts w:ascii="Arial" w:hAnsi="Arial" w:cs="Arial"/>
                <w:b/>
                <w:sz w:val="22"/>
              </w:rPr>
            </w:pPr>
            <w:r w:rsidRPr="004F7F40">
              <w:rPr>
                <w:rFonts w:ascii="Arial" w:hAnsi="Arial" w:cs="Arial"/>
                <w:b/>
                <w:sz w:val="22"/>
              </w:rPr>
              <w:t>$</w:t>
            </w:r>
          </w:p>
        </w:tc>
        <w:tc>
          <w:tcPr>
            <w:tcW w:w="2386" w:type="dxa"/>
          </w:tcPr>
          <w:p w14:paraId="498B34B9" w14:textId="0629ADA0" w:rsidR="00903CF8" w:rsidRPr="004F7F40" w:rsidRDefault="00903CF8" w:rsidP="00F37DF7">
            <w:pPr>
              <w:rPr>
                <w:rFonts w:ascii="Arial" w:hAnsi="Arial" w:cs="Arial"/>
                <w:b/>
                <w:sz w:val="22"/>
              </w:rPr>
            </w:pPr>
            <w:r w:rsidRPr="004F7F40">
              <w:rPr>
                <w:rFonts w:ascii="Arial" w:hAnsi="Arial" w:cs="Arial"/>
                <w:b/>
                <w:sz w:val="22"/>
              </w:rPr>
              <w:t>Notes</w:t>
            </w:r>
          </w:p>
        </w:tc>
      </w:tr>
      <w:tr w:rsidR="00371885" w:rsidRPr="004F7F40" w14:paraId="7243AD93" w14:textId="7C728188" w:rsidTr="00C60B47">
        <w:tc>
          <w:tcPr>
            <w:tcW w:w="2263" w:type="dxa"/>
          </w:tcPr>
          <w:p w14:paraId="4285D083" w14:textId="0AA42DC3" w:rsidR="00903CF8" w:rsidRPr="004F7F40" w:rsidRDefault="00903CF8" w:rsidP="00F37DF7">
            <w:pPr>
              <w:rPr>
                <w:rFonts w:ascii="Arial" w:hAnsi="Arial" w:cs="Arial"/>
                <w:b/>
                <w:sz w:val="20"/>
                <w:szCs w:val="20"/>
              </w:rPr>
            </w:pPr>
            <w:r w:rsidRPr="004F7F40">
              <w:rPr>
                <w:rFonts w:ascii="Arial" w:hAnsi="Arial" w:cs="Arial"/>
                <w:b/>
                <w:sz w:val="20"/>
                <w:szCs w:val="20"/>
              </w:rPr>
              <w:t>Executive Contract Officer</w:t>
            </w:r>
          </w:p>
        </w:tc>
        <w:tc>
          <w:tcPr>
            <w:tcW w:w="1701" w:type="dxa"/>
          </w:tcPr>
          <w:p w14:paraId="229CFE0E" w14:textId="70D01B27" w:rsidR="00903CF8" w:rsidRPr="004F7F40" w:rsidRDefault="00903CF8" w:rsidP="00F37DF7">
            <w:pPr>
              <w:rPr>
                <w:rFonts w:ascii="Arial" w:hAnsi="Arial" w:cs="Arial"/>
                <w:bCs/>
                <w:sz w:val="20"/>
                <w:szCs w:val="20"/>
              </w:rPr>
            </w:pPr>
            <w:r w:rsidRPr="004F7F40">
              <w:rPr>
                <w:rFonts w:ascii="Arial" w:hAnsi="Arial" w:cs="Arial"/>
                <w:bCs/>
                <w:sz w:val="20"/>
                <w:szCs w:val="20"/>
              </w:rPr>
              <w:t>ECO1 to ECO6</w:t>
            </w:r>
          </w:p>
        </w:tc>
        <w:tc>
          <w:tcPr>
            <w:tcW w:w="1885" w:type="dxa"/>
          </w:tcPr>
          <w:p w14:paraId="7BCB33C0" w14:textId="62BFCF90" w:rsidR="00903CF8" w:rsidRPr="004F7F40" w:rsidRDefault="00903CF8" w:rsidP="00E60292">
            <w:pPr>
              <w:jc w:val="right"/>
              <w:rPr>
                <w:rFonts w:ascii="Arial" w:hAnsi="Arial" w:cs="Arial"/>
                <w:bCs/>
                <w:sz w:val="20"/>
                <w:szCs w:val="20"/>
              </w:rPr>
            </w:pPr>
            <w:r w:rsidRPr="004F7F40">
              <w:rPr>
                <w:rFonts w:ascii="Arial" w:hAnsi="Arial" w:cs="Arial"/>
                <w:bCs/>
                <w:sz w:val="20"/>
                <w:szCs w:val="20"/>
              </w:rPr>
              <w:t>222, 971 –</w:t>
            </w:r>
            <w:r w:rsidR="00C60B47" w:rsidRPr="004F7F40">
              <w:rPr>
                <w:rFonts w:ascii="Arial" w:hAnsi="Arial" w:cs="Arial"/>
                <w:bCs/>
                <w:sz w:val="20"/>
                <w:szCs w:val="20"/>
              </w:rPr>
              <w:t xml:space="preserve"> </w:t>
            </w:r>
            <w:r w:rsidR="00C60B47" w:rsidRPr="004F7F40">
              <w:rPr>
                <w:rFonts w:ascii="Arial" w:hAnsi="Arial" w:cs="Arial"/>
                <w:bCs/>
                <w:sz w:val="20"/>
                <w:szCs w:val="20"/>
              </w:rPr>
              <w:br/>
            </w:r>
            <w:r w:rsidRPr="004F7F40">
              <w:rPr>
                <w:rFonts w:ascii="Arial" w:hAnsi="Arial" w:cs="Arial"/>
                <w:bCs/>
                <w:sz w:val="20"/>
                <w:szCs w:val="20"/>
              </w:rPr>
              <w:t>401, 644K</w:t>
            </w:r>
          </w:p>
        </w:tc>
        <w:tc>
          <w:tcPr>
            <w:tcW w:w="1659" w:type="dxa"/>
          </w:tcPr>
          <w:p w14:paraId="3D8D56B2" w14:textId="738AABB7" w:rsidR="00903CF8" w:rsidRPr="004F7F40" w:rsidRDefault="00903CF8" w:rsidP="00E60292">
            <w:pPr>
              <w:jc w:val="right"/>
              <w:rPr>
                <w:rFonts w:ascii="Arial" w:hAnsi="Arial" w:cs="Arial"/>
                <w:bCs/>
                <w:sz w:val="20"/>
                <w:szCs w:val="20"/>
              </w:rPr>
            </w:pPr>
            <w:r w:rsidRPr="004F7F40">
              <w:rPr>
                <w:rFonts w:ascii="Arial" w:hAnsi="Arial" w:cs="Arial"/>
                <w:bCs/>
                <w:sz w:val="20"/>
                <w:szCs w:val="20"/>
              </w:rPr>
              <w:t>217,533 –</w:t>
            </w:r>
            <w:r w:rsidR="00C60B47" w:rsidRPr="004F7F40">
              <w:rPr>
                <w:rFonts w:ascii="Arial" w:hAnsi="Arial" w:cs="Arial"/>
                <w:bCs/>
                <w:sz w:val="20"/>
                <w:szCs w:val="20"/>
              </w:rPr>
              <w:br/>
            </w:r>
            <w:r w:rsidRPr="004F7F40">
              <w:rPr>
                <w:rFonts w:ascii="Arial" w:hAnsi="Arial" w:cs="Arial"/>
                <w:bCs/>
                <w:sz w:val="20"/>
                <w:szCs w:val="20"/>
              </w:rPr>
              <w:t>391, 848</w:t>
            </w:r>
          </w:p>
        </w:tc>
        <w:tc>
          <w:tcPr>
            <w:tcW w:w="2386" w:type="dxa"/>
          </w:tcPr>
          <w:p w14:paraId="4FE046ED" w14:textId="20CE8A2E" w:rsidR="00903CF8" w:rsidRPr="004F7F40" w:rsidRDefault="00396753" w:rsidP="00F37DF7">
            <w:pPr>
              <w:rPr>
                <w:rFonts w:ascii="Arial" w:hAnsi="Arial" w:cs="Arial"/>
                <w:bCs/>
                <w:sz w:val="20"/>
                <w:szCs w:val="20"/>
              </w:rPr>
            </w:pPr>
            <w:r w:rsidRPr="004F7F40">
              <w:rPr>
                <w:rFonts w:ascii="Arial" w:hAnsi="Arial" w:cs="Arial"/>
                <w:bCs/>
                <w:sz w:val="20"/>
                <w:szCs w:val="20"/>
              </w:rPr>
              <w:t>Administrative stream</w:t>
            </w:r>
          </w:p>
        </w:tc>
      </w:tr>
      <w:tr w:rsidR="00371885" w:rsidRPr="004F7F40" w14:paraId="30D9A310" w14:textId="6A0DCA23" w:rsidTr="00C60B47">
        <w:tc>
          <w:tcPr>
            <w:tcW w:w="2263" w:type="dxa"/>
          </w:tcPr>
          <w:p w14:paraId="2966C21C" w14:textId="0B111481" w:rsidR="00903CF8" w:rsidRPr="004F7F40" w:rsidRDefault="00903CF8" w:rsidP="00F37DF7">
            <w:pPr>
              <w:rPr>
                <w:rFonts w:ascii="Arial" w:hAnsi="Arial" w:cs="Arial"/>
                <w:b/>
                <w:sz w:val="20"/>
                <w:szCs w:val="20"/>
              </w:rPr>
            </w:pPr>
            <w:r w:rsidRPr="004F7F40">
              <w:rPr>
                <w:rFonts w:ascii="Arial" w:hAnsi="Arial" w:cs="Arial"/>
                <w:b/>
                <w:sz w:val="20"/>
                <w:szCs w:val="20"/>
              </w:rPr>
              <w:t>Executive Contract Principal</w:t>
            </w:r>
          </w:p>
        </w:tc>
        <w:tc>
          <w:tcPr>
            <w:tcW w:w="1701" w:type="dxa"/>
          </w:tcPr>
          <w:p w14:paraId="6631809D" w14:textId="7410258A" w:rsidR="00903CF8" w:rsidRPr="004F7F40" w:rsidRDefault="00903CF8" w:rsidP="00F37DF7">
            <w:pPr>
              <w:rPr>
                <w:rFonts w:ascii="Arial" w:hAnsi="Arial" w:cs="Arial"/>
                <w:bCs/>
                <w:sz w:val="20"/>
                <w:szCs w:val="20"/>
              </w:rPr>
            </w:pPr>
            <w:r w:rsidRPr="004F7F40">
              <w:rPr>
                <w:rFonts w:ascii="Arial" w:hAnsi="Arial" w:cs="Arial"/>
                <w:bCs/>
                <w:sz w:val="20"/>
                <w:szCs w:val="20"/>
              </w:rPr>
              <w:t>ECPL2 to ECPL5</w:t>
            </w:r>
          </w:p>
        </w:tc>
        <w:tc>
          <w:tcPr>
            <w:tcW w:w="1885" w:type="dxa"/>
          </w:tcPr>
          <w:p w14:paraId="141FFC13" w14:textId="762CF41E" w:rsidR="00903CF8" w:rsidRPr="004F7F40" w:rsidRDefault="00903CF8" w:rsidP="00E60292">
            <w:pPr>
              <w:jc w:val="right"/>
              <w:rPr>
                <w:rFonts w:ascii="Arial" w:hAnsi="Arial" w:cs="Arial"/>
                <w:bCs/>
                <w:sz w:val="20"/>
                <w:szCs w:val="20"/>
              </w:rPr>
            </w:pPr>
            <w:r w:rsidRPr="004F7F40">
              <w:rPr>
                <w:rFonts w:ascii="Arial" w:hAnsi="Arial" w:cs="Arial"/>
                <w:bCs/>
                <w:sz w:val="20"/>
                <w:szCs w:val="20"/>
              </w:rPr>
              <w:t xml:space="preserve">197,209 – </w:t>
            </w:r>
            <w:r w:rsidR="00C60B47" w:rsidRPr="004F7F40">
              <w:rPr>
                <w:rFonts w:ascii="Arial" w:hAnsi="Arial" w:cs="Arial"/>
                <w:bCs/>
                <w:sz w:val="20"/>
                <w:szCs w:val="20"/>
              </w:rPr>
              <w:br/>
            </w:r>
            <w:r w:rsidRPr="004F7F40">
              <w:rPr>
                <w:rFonts w:ascii="Arial" w:hAnsi="Arial" w:cs="Arial"/>
                <w:bCs/>
                <w:sz w:val="20"/>
                <w:szCs w:val="20"/>
              </w:rPr>
              <w:t>238,529</w:t>
            </w:r>
          </w:p>
        </w:tc>
        <w:tc>
          <w:tcPr>
            <w:tcW w:w="1659" w:type="dxa"/>
          </w:tcPr>
          <w:p w14:paraId="2A16341A" w14:textId="30959975" w:rsidR="00903CF8" w:rsidRPr="004F7F40" w:rsidRDefault="00903CF8" w:rsidP="00E60292">
            <w:pPr>
              <w:jc w:val="right"/>
              <w:rPr>
                <w:rFonts w:ascii="Arial" w:hAnsi="Arial" w:cs="Arial"/>
                <w:bCs/>
                <w:sz w:val="20"/>
                <w:szCs w:val="20"/>
              </w:rPr>
            </w:pPr>
            <w:r w:rsidRPr="004F7F40">
              <w:rPr>
                <w:rFonts w:ascii="Arial" w:hAnsi="Arial" w:cs="Arial"/>
                <w:bCs/>
                <w:sz w:val="20"/>
                <w:szCs w:val="20"/>
              </w:rPr>
              <w:t xml:space="preserve">192,399 </w:t>
            </w:r>
            <w:r w:rsidR="00C60B47" w:rsidRPr="004F7F40">
              <w:rPr>
                <w:rFonts w:ascii="Arial" w:hAnsi="Arial" w:cs="Arial"/>
                <w:bCs/>
                <w:sz w:val="20"/>
                <w:szCs w:val="20"/>
              </w:rPr>
              <w:t xml:space="preserve">– </w:t>
            </w:r>
            <w:r w:rsidR="00C60B47" w:rsidRPr="004F7F40">
              <w:rPr>
                <w:rFonts w:ascii="Arial" w:hAnsi="Arial" w:cs="Arial"/>
                <w:bCs/>
                <w:sz w:val="20"/>
                <w:szCs w:val="20"/>
              </w:rPr>
              <w:br/>
            </w:r>
            <w:r w:rsidRPr="004F7F40">
              <w:rPr>
                <w:rFonts w:ascii="Arial" w:hAnsi="Arial" w:cs="Arial"/>
                <w:bCs/>
                <w:sz w:val="20"/>
                <w:szCs w:val="20"/>
              </w:rPr>
              <w:t>238, 529</w:t>
            </w:r>
          </w:p>
        </w:tc>
        <w:tc>
          <w:tcPr>
            <w:tcW w:w="2386" w:type="dxa"/>
          </w:tcPr>
          <w:p w14:paraId="2E108AF7" w14:textId="36B27505" w:rsidR="00903CF8" w:rsidRPr="004F7F40" w:rsidRDefault="00396753" w:rsidP="00F37DF7">
            <w:pPr>
              <w:rPr>
                <w:rFonts w:ascii="Arial" w:hAnsi="Arial" w:cs="Arial"/>
                <w:bCs/>
                <w:sz w:val="20"/>
                <w:szCs w:val="20"/>
              </w:rPr>
            </w:pPr>
            <w:r w:rsidRPr="004F7F40">
              <w:rPr>
                <w:rFonts w:ascii="Arial" w:hAnsi="Arial" w:cs="Arial"/>
                <w:bCs/>
                <w:sz w:val="20"/>
                <w:szCs w:val="20"/>
              </w:rPr>
              <w:t>Education sector</w:t>
            </w:r>
          </w:p>
        </w:tc>
      </w:tr>
      <w:tr w:rsidR="00371885" w:rsidRPr="004F7F40" w14:paraId="162CF2DF" w14:textId="4BAFEEEF" w:rsidTr="00C60B47">
        <w:tc>
          <w:tcPr>
            <w:tcW w:w="2263" w:type="dxa"/>
          </w:tcPr>
          <w:p w14:paraId="28515995" w14:textId="60C2C026" w:rsidR="00903CF8" w:rsidRPr="004F7F40" w:rsidRDefault="00903CF8" w:rsidP="00F37DF7">
            <w:pPr>
              <w:rPr>
                <w:rFonts w:ascii="Arial" w:hAnsi="Arial" w:cs="Arial"/>
                <w:b/>
                <w:sz w:val="20"/>
                <w:szCs w:val="20"/>
              </w:rPr>
            </w:pPr>
            <w:r w:rsidRPr="004F7F40">
              <w:rPr>
                <w:rFonts w:ascii="Arial" w:hAnsi="Arial" w:cs="Arial"/>
                <w:b/>
                <w:sz w:val="20"/>
                <w:szCs w:val="20"/>
              </w:rPr>
              <w:t>Executive Contract Manager</w:t>
            </w:r>
          </w:p>
        </w:tc>
        <w:tc>
          <w:tcPr>
            <w:tcW w:w="1701" w:type="dxa"/>
          </w:tcPr>
          <w:p w14:paraId="53E66884" w14:textId="7AE0F76B" w:rsidR="00903CF8" w:rsidRPr="004F7F40" w:rsidRDefault="00903CF8" w:rsidP="00F37DF7">
            <w:pPr>
              <w:rPr>
                <w:rFonts w:ascii="Arial" w:hAnsi="Arial" w:cs="Arial"/>
                <w:bCs/>
                <w:sz w:val="20"/>
                <w:szCs w:val="20"/>
              </w:rPr>
            </w:pPr>
            <w:r w:rsidRPr="004F7F40">
              <w:rPr>
                <w:rFonts w:ascii="Arial" w:hAnsi="Arial" w:cs="Arial"/>
                <w:bCs/>
                <w:sz w:val="20"/>
                <w:szCs w:val="20"/>
              </w:rPr>
              <w:t>One level</w:t>
            </w:r>
          </w:p>
        </w:tc>
        <w:tc>
          <w:tcPr>
            <w:tcW w:w="1885" w:type="dxa"/>
          </w:tcPr>
          <w:p w14:paraId="4944836B" w14:textId="513C4A8F" w:rsidR="00903CF8" w:rsidRPr="004F7F40" w:rsidRDefault="00903CF8" w:rsidP="00E60292">
            <w:pPr>
              <w:jc w:val="right"/>
              <w:rPr>
                <w:rFonts w:ascii="Arial" w:hAnsi="Arial" w:cs="Arial"/>
                <w:bCs/>
                <w:sz w:val="20"/>
                <w:szCs w:val="20"/>
              </w:rPr>
            </w:pPr>
            <w:r w:rsidRPr="004F7F40">
              <w:rPr>
                <w:rFonts w:ascii="Arial" w:hAnsi="Arial" w:cs="Arial"/>
                <w:bCs/>
                <w:sz w:val="20"/>
                <w:szCs w:val="20"/>
              </w:rPr>
              <w:t>$189,969 – 211,821</w:t>
            </w:r>
          </w:p>
        </w:tc>
        <w:tc>
          <w:tcPr>
            <w:tcW w:w="1659" w:type="dxa"/>
          </w:tcPr>
          <w:p w14:paraId="64727630" w14:textId="6259616F" w:rsidR="00903CF8" w:rsidRPr="004F7F40" w:rsidRDefault="00903CF8" w:rsidP="00E60292">
            <w:pPr>
              <w:jc w:val="right"/>
              <w:rPr>
                <w:rFonts w:ascii="Arial" w:hAnsi="Arial" w:cs="Arial"/>
                <w:bCs/>
                <w:sz w:val="20"/>
                <w:szCs w:val="20"/>
              </w:rPr>
            </w:pPr>
            <w:r w:rsidRPr="004F7F40">
              <w:rPr>
                <w:rFonts w:ascii="Arial" w:hAnsi="Arial" w:cs="Arial"/>
                <w:bCs/>
                <w:sz w:val="20"/>
                <w:szCs w:val="20"/>
              </w:rPr>
              <w:t>185,336 – 206,655</w:t>
            </w:r>
          </w:p>
        </w:tc>
        <w:tc>
          <w:tcPr>
            <w:tcW w:w="2386" w:type="dxa"/>
          </w:tcPr>
          <w:p w14:paraId="376E326C" w14:textId="29B872F4" w:rsidR="00903CF8" w:rsidRPr="004F7F40" w:rsidRDefault="00903CF8" w:rsidP="00F37DF7">
            <w:pPr>
              <w:rPr>
                <w:rFonts w:ascii="Arial" w:hAnsi="Arial" w:cs="Arial"/>
                <w:bCs/>
                <w:sz w:val="20"/>
                <w:szCs w:val="20"/>
              </w:rPr>
            </w:pPr>
            <w:r w:rsidRPr="004F7F40">
              <w:rPr>
                <w:rFonts w:ascii="Arial" w:hAnsi="Arial" w:cs="Arial"/>
                <w:bCs/>
                <w:sz w:val="20"/>
                <w:szCs w:val="20"/>
              </w:rPr>
              <w:t>Applies to Power and Water, Jacana Energy and Territory Generation.</w:t>
            </w:r>
          </w:p>
        </w:tc>
      </w:tr>
    </w:tbl>
    <w:p w14:paraId="0E5161B7" w14:textId="658953D9" w:rsidR="00AE093E" w:rsidRPr="004F7F40" w:rsidRDefault="00AE093E" w:rsidP="00F37DF7">
      <w:pPr>
        <w:rPr>
          <w:rFonts w:ascii="Arial" w:hAnsi="Arial" w:cs="Arial"/>
          <w:sz w:val="22"/>
        </w:rPr>
      </w:pPr>
      <w:r w:rsidRPr="004F7F40">
        <w:rPr>
          <w:rFonts w:ascii="Arial" w:hAnsi="Arial" w:cs="Arial"/>
          <w:bCs/>
          <w:sz w:val="22"/>
        </w:rPr>
        <w:t>Source: OPCE (2020). Executive Contracts.</w:t>
      </w:r>
      <w:r w:rsidRPr="004F7F40">
        <w:rPr>
          <w:rFonts w:ascii="Arial" w:hAnsi="Arial" w:cs="Arial"/>
          <w:bCs/>
          <w:sz w:val="20"/>
          <w:szCs w:val="20"/>
        </w:rPr>
        <w:t xml:space="preserve"> </w:t>
      </w:r>
      <w:hyperlink r:id="rId12" w:history="1">
        <w:r w:rsidR="00865643" w:rsidRPr="004F7F40">
          <w:rPr>
            <w:rStyle w:val="Hyperlink"/>
            <w:rFonts w:ascii="Arial" w:hAnsi="Arial" w:cs="Arial"/>
            <w:color w:val="auto"/>
            <w:sz w:val="22"/>
          </w:rPr>
          <w:t>https://ocpe.nt.gov.au/employment-conditions-appeals-grievances/executive-contracts</w:t>
        </w:r>
      </w:hyperlink>
    </w:p>
    <w:p w14:paraId="6062A224" w14:textId="18A0E01A" w:rsidR="009302BB" w:rsidRPr="004F7F40" w:rsidRDefault="009302BB" w:rsidP="00F37DF7">
      <w:pPr>
        <w:rPr>
          <w:rFonts w:ascii="Arial" w:hAnsi="Arial" w:cs="Arial"/>
          <w:bCs/>
          <w:sz w:val="22"/>
        </w:rPr>
      </w:pPr>
      <w:r w:rsidRPr="004F7F40">
        <w:rPr>
          <w:rFonts w:ascii="Arial" w:hAnsi="Arial" w:cs="Arial"/>
          <w:sz w:val="22"/>
        </w:rPr>
        <w:t xml:space="preserve">Notes: Remuneration includes salary, </w:t>
      </w:r>
      <w:proofErr w:type="gramStart"/>
      <w:r w:rsidRPr="004F7F40">
        <w:rPr>
          <w:rFonts w:ascii="Arial" w:hAnsi="Arial" w:cs="Arial"/>
          <w:sz w:val="22"/>
        </w:rPr>
        <w:t>superannuation</w:t>
      </w:r>
      <w:proofErr w:type="gramEnd"/>
      <w:r w:rsidRPr="004F7F40">
        <w:rPr>
          <w:rFonts w:ascii="Arial" w:hAnsi="Arial" w:cs="Arial"/>
          <w:sz w:val="22"/>
        </w:rPr>
        <w:t xml:space="preserve"> and vehicle.</w:t>
      </w:r>
    </w:p>
    <w:p w14:paraId="5D0B4DF6" w14:textId="777E8058" w:rsidR="00142444" w:rsidRPr="004F7F40" w:rsidRDefault="00142444" w:rsidP="00F37DF7">
      <w:pPr>
        <w:rPr>
          <w:rFonts w:ascii="Arial" w:hAnsi="Arial" w:cs="Arial"/>
          <w:b/>
          <w:szCs w:val="24"/>
        </w:rPr>
      </w:pPr>
    </w:p>
    <w:p w14:paraId="3A5E1115" w14:textId="6E95FAE6" w:rsidR="0099427F" w:rsidRPr="004F7F40" w:rsidRDefault="0099427F" w:rsidP="001A1577">
      <w:pPr>
        <w:pStyle w:val="Table"/>
        <w:rPr>
          <w:rFonts w:ascii="Arial" w:hAnsi="Arial" w:cs="Arial"/>
          <w:b/>
          <w:bCs/>
        </w:rPr>
      </w:pPr>
      <w:r w:rsidRPr="004F7F40">
        <w:rPr>
          <w:rFonts w:ascii="Arial" w:hAnsi="Arial" w:cs="Arial"/>
          <w:b/>
          <w:bCs/>
        </w:rPr>
        <w:t xml:space="preserve">Summary table </w:t>
      </w:r>
      <w:r w:rsidR="009302BB" w:rsidRPr="004F7F40">
        <w:rPr>
          <w:rFonts w:ascii="Arial" w:hAnsi="Arial" w:cs="Arial"/>
          <w:b/>
          <w:bCs/>
        </w:rPr>
        <w:t xml:space="preserve">– </w:t>
      </w:r>
      <w:r w:rsidRPr="004F7F40">
        <w:rPr>
          <w:rFonts w:ascii="Arial" w:hAnsi="Arial" w:cs="Arial"/>
          <w:b/>
          <w:bCs/>
        </w:rPr>
        <w:t>Chief Executive Officers – Northern Territory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2410"/>
        <w:gridCol w:w="2268"/>
      </w:tblGrid>
      <w:tr w:rsidR="0099427F" w:rsidRPr="004F7F40" w14:paraId="19D686A9" w14:textId="77777777" w:rsidTr="001A1577">
        <w:tc>
          <w:tcPr>
            <w:tcW w:w="2263" w:type="dxa"/>
            <w:shd w:val="clear" w:color="auto" w:fill="auto"/>
          </w:tcPr>
          <w:p w14:paraId="11307C15" w14:textId="77777777" w:rsidR="0099427F" w:rsidRPr="004F7F40" w:rsidRDefault="0099427F" w:rsidP="00FD4A39">
            <w:pPr>
              <w:rPr>
                <w:rFonts w:ascii="Arial" w:hAnsi="Arial" w:cs="Arial"/>
                <w:b/>
              </w:rPr>
            </w:pPr>
          </w:p>
        </w:tc>
        <w:tc>
          <w:tcPr>
            <w:tcW w:w="3119" w:type="dxa"/>
            <w:shd w:val="clear" w:color="auto" w:fill="auto"/>
          </w:tcPr>
          <w:p w14:paraId="0C14E8A1" w14:textId="77777777" w:rsidR="0099427F" w:rsidRPr="004F7F40" w:rsidRDefault="0099427F" w:rsidP="00FD4A39">
            <w:pPr>
              <w:rPr>
                <w:rFonts w:ascii="Arial" w:hAnsi="Arial" w:cs="Arial"/>
                <w:b/>
                <w:sz w:val="22"/>
              </w:rPr>
            </w:pPr>
            <w:r w:rsidRPr="004F7F40">
              <w:rPr>
                <w:rFonts w:ascii="Arial" w:hAnsi="Arial" w:cs="Arial"/>
                <w:b/>
                <w:sz w:val="22"/>
              </w:rPr>
              <w:t>1999 position</w:t>
            </w:r>
          </w:p>
        </w:tc>
        <w:tc>
          <w:tcPr>
            <w:tcW w:w="2410" w:type="dxa"/>
            <w:shd w:val="clear" w:color="auto" w:fill="auto"/>
          </w:tcPr>
          <w:p w14:paraId="192D2868" w14:textId="77777777" w:rsidR="0099427F" w:rsidRPr="004F7F40" w:rsidRDefault="0099427F" w:rsidP="00FD4A39">
            <w:pPr>
              <w:rPr>
                <w:rFonts w:ascii="Arial" w:hAnsi="Arial" w:cs="Arial"/>
                <w:b/>
                <w:sz w:val="22"/>
              </w:rPr>
            </w:pPr>
            <w:r w:rsidRPr="004F7F40">
              <w:rPr>
                <w:rFonts w:ascii="Arial" w:hAnsi="Arial" w:cs="Arial"/>
                <w:b/>
                <w:sz w:val="22"/>
              </w:rPr>
              <w:t>Interim changes</w:t>
            </w:r>
          </w:p>
        </w:tc>
        <w:tc>
          <w:tcPr>
            <w:tcW w:w="2268" w:type="dxa"/>
            <w:shd w:val="clear" w:color="auto" w:fill="auto"/>
          </w:tcPr>
          <w:p w14:paraId="7473CEEE" w14:textId="77777777" w:rsidR="0099427F" w:rsidRPr="004F7F40" w:rsidRDefault="0099427F" w:rsidP="00FD4A39">
            <w:pPr>
              <w:rPr>
                <w:rFonts w:ascii="Arial" w:hAnsi="Arial" w:cs="Arial"/>
                <w:b/>
                <w:sz w:val="22"/>
              </w:rPr>
            </w:pPr>
            <w:r w:rsidRPr="004F7F40">
              <w:rPr>
                <w:rFonts w:ascii="Arial" w:hAnsi="Arial" w:cs="Arial"/>
                <w:b/>
                <w:sz w:val="22"/>
              </w:rPr>
              <w:t>Current position</w:t>
            </w:r>
          </w:p>
        </w:tc>
      </w:tr>
      <w:tr w:rsidR="001A6EB8" w:rsidRPr="004F7F40" w14:paraId="138FAA46" w14:textId="77777777" w:rsidTr="00140ACE">
        <w:tc>
          <w:tcPr>
            <w:tcW w:w="10060" w:type="dxa"/>
            <w:gridSpan w:val="4"/>
            <w:shd w:val="pct10" w:color="auto" w:fill="FFFFFF"/>
          </w:tcPr>
          <w:p w14:paraId="76075D35" w14:textId="047E6B24" w:rsidR="001A6EB8" w:rsidRPr="004F7F40" w:rsidRDefault="001A6EB8" w:rsidP="00FD4A39">
            <w:pPr>
              <w:rPr>
                <w:rFonts w:ascii="Arial" w:hAnsi="Arial" w:cs="Arial"/>
                <w:sz w:val="22"/>
              </w:rPr>
            </w:pPr>
            <w:r w:rsidRPr="004F7F40">
              <w:rPr>
                <w:rFonts w:ascii="Arial" w:hAnsi="Arial" w:cs="Arial"/>
                <w:b/>
                <w:sz w:val="22"/>
              </w:rPr>
              <w:t xml:space="preserve">Recruitment </w:t>
            </w:r>
          </w:p>
        </w:tc>
      </w:tr>
      <w:tr w:rsidR="0099427F" w:rsidRPr="004F7F40" w14:paraId="6737E2E6" w14:textId="77777777" w:rsidTr="00FD4A39">
        <w:tc>
          <w:tcPr>
            <w:tcW w:w="2263" w:type="dxa"/>
          </w:tcPr>
          <w:p w14:paraId="09840830"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Advertised internally</w:t>
            </w:r>
          </w:p>
        </w:tc>
        <w:tc>
          <w:tcPr>
            <w:tcW w:w="3119" w:type="dxa"/>
          </w:tcPr>
          <w:p w14:paraId="293ADB3A" w14:textId="77777777" w:rsidR="0099427F" w:rsidRPr="004F7F40" w:rsidRDefault="0099427F" w:rsidP="00FD4A39">
            <w:pPr>
              <w:rPr>
                <w:rFonts w:ascii="Arial" w:hAnsi="Arial" w:cs="Arial"/>
                <w:sz w:val="20"/>
                <w:szCs w:val="20"/>
              </w:rPr>
            </w:pPr>
            <w:r w:rsidRPr="004F7F40">
              <w:rPr>
                <w:rFonts w:ascii="Arial" w:hAnsi="Arial" w:cs="Arial"/>
                <w:sz w:val="20"/>
                <w:szCs w:val="20"/>
              </w:rPr>
              <w:t>Sometimes</w:t>
            </w:r>
          </w:p>
        </w:tc>
        <w:tc>
          <w:tcPr>
            <w:tcW w:w="2410" w:type="dxa"/>
          </w:tcPr>
          <w:p w14:paraId="51F905FA" w14:textId="4A8D88CD" w:rsidR="0099427F" w:rsidRPr="004F7F40" w:rsidRDefault="00CC417D" w:rsidP="00FD4A39">
            <w:pPr>
              <w:rPr>
                <w:rFonts w:ascii="Arial" w:hAnsi="Arial" w:cs="Arial"/>
                <w:sz w:val="20"/>
                <w:szCs w:val="20"/>
              </w:rPr>
            </w:pPr>
            <w:r w:rsidRPr="004F7F40">
              <w:rPr>
                <w:rFonts w:ascii="Arial" w:hAnsi="Arial" w:cs="Arial"/>
                <w:sz w:val="20"/>
                <w:szCs w:val="20"/>
              </w:rPr>
              <w:t>Generally – CEO roles advertised on NTG Website</w:t>
            </w:r>
          </w:p>
        </w:tc>
        <w:tc>
          <w:tcPr>
            <w:tcW w:w="2268" w:type="dxa"/>
          </w:tcPr>
          <w:p w14:paraId="596733B7" w14:textId="32C60015" w:rsidR="0099427F" w:rsidRPr="004F7F40" w:rsidRDefault="00080836" w:rsidP="00FD4A39">
            <w:pPr>
              <w:rPr>
                <w:rFonts w:ascii="Arial" w:hAnsi="Arial" w:cs="Arial"/>
                <w:sz w:val="20"/>
                <w:szCs w:val="20"/>
              </w:rPr>
            </w:pPr>
            <w:r w:rsidRPr="004F7F40">
              <w:rPr>
                <w:rFonts w:ascii="Arial" w:hAnsi="Arial" w:cs="Arial"/>
                <w:sz w:val="20"/>
                <w:szCs w:val="20"/>
              </w:rPr>
              <w:t xml:space="preserve">Always for longer term </w:t>
            </w:r>
            <w:r w:rsidR="00490391" w:rsidRPr="004F7F40">
              <w:rPr>
                <w:rFonts w:ascii="Arial" w:hAnsi="Arial" w:cs="Arial"/>
                <w:sz w:val="20"/>
                <w:szCs w:val="20"/>
              </w:rPr>
              <w:t xml:space="preserve">vacancies </w:t>
            </w:r>
            <w:r w:rsidRPr="004F7F40">
              <w:rPr>
                <w:rFonts w:ascii="Arial" w:hAnsi="Arial" w:cs="Arial"/>
                <w:sz w:val="20"/>
                <w:szCs w:val="20"/>
              </w:rPr>
              <w:t>(2 or more years)</w:t>
            </w:r>
            <w:r w:rsidR="00CC417D" w:rsidRPr="004F7F40">
              <w:rPr>
                <w:rFonts w:ascii="Arial" w:hAnsi="Arial" w:cs="Arial"/>
                <w:sz w:val="20"/>
                <w:szCs w:val="20"/>
              </w:rPr>
              <w:t xml:space="preserve"> – appears on the NTG Website</w:t>
            </w:r>
            <w:r w:rsidR="00490391" w:rsidRPr="004F7F40">
              <w:rPr>
                <w:rFonts w:ascii="Arial" w:hAnsi="Arial" w:cs="Arial"/>
                <w:sz w:val="20"/>
                <w:szCs w:val="20"/>
              </w:rPr>
              <w:t>. Shorter periods may be filled internally.</w:t>
            </w:r>
          </w:p>
        </w:tc>
      </w:tr>
      <w:tr w:rsidR="0099427F" w:rsidRPr="004F7F40" w14:paraId="399486F9" w14:textId="77777777" w:rsidTr="00FD4A39">
        <w:tc>
          <w:tcPr>
            <w:tcW w:w="2263" w:type="dxa"/>
          </w:tcPr>
          <w:p w14:paraId="66086F37"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Advertised externally</w:t>
            </w:r>
          </w:p>
        </w:tc>
        <w:tc>
          <w:tcPr>
            <w:tcW w:w="3119" w:type="dxa"/>
          </w:tcPr>
          <w:p w14:paraId="6C9F6CC4" w14:textId="77777777" w:rsidR="0099427F" w:rsidRPr="004F7F40" w:rsidRDefault="0099427F" w:rsidP="00FD4A39">
            <w:pPr>
              <w:rPr>
                <w:rFonts w:ascii="Arial" w:hAnsi="Arial" w:cs="Arial"/>
                <w:sz w:val="20"/>
                <w:szCs w:val="20"/>
              </w:rPr>
            </w:pPr>
            <w:r w:rsidRPr="004F7F40">
              <w:rPr>
                <w:rFonts w:ascii="Arial" w:hAnsi="Arial" w:cs="Arial"/>
                <w:sz w:val="20"/>
                <w:szCs w:val="20"/>
              </w:rPr>
              <w:t>Sometimes</w:t>
            </w:r>
          </w:p>
        </w:tc>
        <w:tc>
          <w:tcPr>
            <w:tcW w:w="2410" w:type="dxa"/>
          </w:tcPr>
          <w:p w14:paraId="3B1C8899" w14:textId="70FDF6C6" w:rsidR="0099427F" w:rsidRPr="004F7F40" w:rsidRDefault="00CC417D" w:rsidP="00FD4A39">
            <w:pPr>
              <w:rPr>
                <w:rFonts w:ascii="Arial" w:hAnsi="Arial" w:cs="Arial"/>
                <w:sz w:val="20"/>
                <w:szCs w:val="20"/>
              </w:rPr>
            </w:pPr>
            <w:r w:rsidRPr="004F7F40">
              <w:rPr>
                <w:rFonts w:ascii="Arial" w:hAnsi="Arial" w:cs="Arial"/>
                <w:sz w:val="20"/>
                <w:szCs w:val="20"/>
              </w:rPr>
              <w:t>Longer term vacancies (3-4 years) advertised nationally. Shorter periods may be filled internally.</w:t>
            </w:r>
          </w:p>
        </w:tc>
        <w:tc>
          <w:tcPr>
            <w:tcW w:w="2268" w:type="dxa"/>
          </w:tcPr>
          <w:p w14:paraId="50B136EA" w14:textId="59F0FF44" w:rsidR="0099427F" w:rsidRPr="004F7F40" w:rsidRDefault="00CC417D" w:rsidP="00FD4A39">
            <w:pPr>
              <w:rPr>
                <w:rFonts w:ascii="Arial" w:hAnsi="Arial" w:cs="Arial"/>
                <w:sz w:val="20"/>
                <w:szCs w:val="20"/>
              </w:rPr>
            </w:pPr>
            <w:r w:rsidRPr="004F7F40">
              <w:rPr>
                <w:rFonts w:ascii="Arial" w:hAnsi="Arial" w:cs="Arial"/>
                <w:sz w:val="20"/>
                <w:szCs w:val="20"/>
              </w:rPr>
              <w:t xml:space="preserve">Always for </w:t>
            </w:r>
            <w:r w:rsidR="00490391" w:rsidRPr="004F7F40">
              <w:rPr>
                <w:rFonts w:ascii="Arial" w:hAnsi="Arial" w:cs="Arial"/>
                <w:sz w:val="20"/>
                <w:szCs w:val="20"/>
              </w:rPr>
              <w:t>longer term vacancies</w:t>
            </w:r>
            <w:r w:rsidRPr="004F7F40">
              <w:rPr>
                <w:rFonts w:ascii="Arial" w:hAnsi="Arial" w:cs="Arial"/>
                <w:sz w:val="20"/>
                <w:szCs w:val="20"/>
              </w:rPr>
              <w:t>. Shorter periods may be filled internally</w:t>
            </w:r>
            <w:r w:rsidR="00490391" w:rsidRPr="004F7F40">
              <w:rPr>
                <w:rFonts w:ascii="Arial" w:hAnsi="Arial" w:cs="Arial"/>
                <w:sz w:val="20"/>
                <w:szCs w:val="20"/>
              </w:rPr>
              <w:t>.</w:t>
            </w:r>
          </w:p>
        </w:tc>
      </w:tr>
      <w:tr w:rsidR="0099427F" w:rsidRPr="004F7F40" w14:paraId="4ADF793D" w14:textId="77777777" w:rsidTr="00FD4A39">
        <w:tc>
          <w:tcPr>
            <w:tcW w:w="2263" w:type="dxa"/>
          </w:tcPr>
          <w:p w14:paraId="120AE1BD"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Executive search agencies</w:t>
            </w:r>
          </w:p>
        </w:tc>
        <w:tc>
          <w:tcPr>
            <w:tcW w:w="3119" w:type="dxa"/>
          </w:tcPr>
          <w:p w14:paraId="4682DCFC" w14:textId="77777777" w:rsidR="0099427F" w:rsidRPr="004F7F40" w:rsidRDefault="0099427F" w:rsidP="00FD4A39">
            <w:pPr>
              <w:rPr>
                <w:rFonts w:ascii="Arial" w:hAnsi="Arial" w:cs="Arial"/>
                <w:sz w:val="20"/>
                <w:szCs w:val="20"/>
              </w:rPr>
            </w:pPr>
            <w:r w:rsidRPr="004F7F40">
              <w:rPr>
                <w:rFonts w:ascii="Arial" w:hAnsi="Arial" w:cs="Arial"/>
                <w:sz w:val="20"/>
                <w:szCs w:val="20"/>
              </w:rPr>
              <w:t>NA</w:t>
            </w:r>
          </w:p>
        </w:tc>
        <w:tc>
          <w:tcPr>
            <w:tcW w:w="2410" w:type="dxa"/>
          </w:tcPr>
          <w:p w14:paraId="25649AC5" w14:textId="0D7DBEEE" w:rsidR="0099427F" w:rsidRPr="004F7F40" w:rsidRDefault="00CC417D" w:rsidP="00FD4A39">
            <w:pPr>
              <w:rPr>
                <w:rFonts w:ascii="Arial" w:hAnsi="Arial" w:cs="Arial"/>
                <w:sz w:val="20"/>
                <w:szCs w:val="20"/>
              </w:rPr>
            </w:pPr>
            <w:r w:rsidRPr="004F7F40">
              <w:rPr>
                <w:rFonts w:ascii="Arial" w:hAnsi="Arial" w:cs="Arial"/>
                <w:sz w:val="20"/>
                <w:szCs w:val="20"/>
              </w:rPr>
              <w:t>Sometimes</w:t>
            </w:r>
          </w:p>
        </w:tc>
        <w:tc>
          <w:tcPr>
            <w:tcW w:w="2268" w:type="dxa"/>
          </w:tcPr>
          <w:p w14:paraId="1F924EA3" w14:textId="2C12612A" w:rsidR="0099427F" w:rsidRPr="004F7F40" w:rsidRDefault="00490391" w:rsidP="00FD4A39">
            <w:pPr>
              <w:rPr>
                <w:rFonts w:ascii="Arial" w:hAnsi="Arial" w:cs="Arial"/>
                <w:sz w:val="20"/>
                <w:szCs w:val="20"/>
              </w:rPr>
            </w:pPr>
            <w:proofErr w:type="gramStart"/>
            <w:r w:rsidRPr="004F7F40">
              <w:rPr>
                <w:rFonts w:ascii="Arial" w:hAnsi="Arial" w:cs="Arial"/>
                <w:sz w:val="20"/>
                <w:szCs w:val="20"/>
              </w:rPr>
              <w:t>Generally</w:t>
            </w:r>
            <w:proofErr w:type="gramEnd"/>
            <w:r w:rsidR="00CC417D" w:rsidRPr="004F7F40">
              <w:rPr>
                <w:rFonts w:ascii="Arial" w:hAnsi="Arial" w:cs="Arial"/>
                <w:sz w:val="20"/>
                <w:szCs w:val="20"/>
              </w:rPr>
              <w:t xml:space="preserve"> for longer term </w:t>
            </w:r>
            <w:r w:rsidRPr="004F7F40">
              <w:rPr>
                <w:rFonts w:ascii="Arial" w:hAnsi="Arial" w:cs="Arial"/>
                <w:sz w:val="20"/>
                <w:szCs w:val="20"/>
              </w:rPr>
              <w:t>vacancies</w:t>
            </w:r>
          </w:p>
        </w:tc>
      </w:tr>
      <w:tr w:rsidR="0099427F" w:rsidRPr="004F7F40" w14:paraId="4753AD40" w14:textId="77777777" w:rsidTr="00FD4A39">
        <w:tc>
          <w:tcPr>
            <w:tcW w:w="2263" w:type="dxa"/>
          </w:tcPr>
          <w:p w14:paraId="7A3AF193"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Selection body</w:t>
            </w:r>
          </w:p>
          <w:p w14:paraId="42527B21" w14:textId="77777777" w:rsidR="0099427F" w:rsidRPr="004F7F40" w:rsidRDefault="0099427F" w:rsidP="00AB299F">
            <w:pPr>
              <w:numPr>
                <w:ilvl w:val="0"/>
                <w:numId w:val="13"/>
              </w:numPr>
              <w:rPr>
                <w:rFonts w:ascii="Arial" w:hAnsi="Arial" w:cs="Arial"/>
                <w:b/>
                <w:bCs/>
                <w:sz w:val="20"/>
                <w:szCs w:val="20"/>
              </w:rPr>
            </w:pPr>
            <w:r w:rsidRPr="004F7F40">
              <w:rPr>
                <w:rFonts w:ascii="Arial" w:hAnsi="Arial" w:cs="Arial"/>
                <w:b/>
                <w:bCs/>
                <w:sz w:val="20"/>
                <w:szCs w:val="20"/>
              </w:rPr>
              <w:t>Composition</w:t>
            </w:r>
          </w:p>
          <w:p w14:paraId="714A7C06" w14:textId="77777777" w:rsidR="0099427F" w:rsidRPr="004F7F40" w:rsidRDefault="0099427F" w:rsidP="00AB299F">
            <w:pPr>
              <w:numPr>
                <w:ilvl w:val="0"/>
                <w:numId w:val="13"/>
              </w:numPr>
              <w:rPr>
                <w:rFonts w:ascii="Arial" w:hAnsi="Arial" w:cs="Arial"/>
                <w:b/>
                <w:bCs/>
                <w:sz w:val="20"/>
                <w:szCs w:val="20"/>
              </w:rPr>
            </w:pPr>
            <w:r w:rsidRPr="004F7F40">
              <w:rPr>
                <w:rFonts w:ascii="Arial" w:hAnsi="Arial" w:cs="Arial"/>
                <w:b/>
                <w:bCs/>
                <w:sz w:val="20"/>
                <w:szCs w:val="20"/>
              </w:rPr>
              <w:t>Purpose</w:t>
            </w:r>
          </w:p>
        </w:tc>
        <w:tc>
          <w:tcPr>
            <w:tcW w:w="3119" w:type="dxa"/>
          </w:tcPr>
          <w:p w14:paraId="5184E69E" w14:textId="77777777" w:rsidR="0099427F" w:rsidRPr="004F7F40" w:rsidRDefault="0099427F" w:rsidP="00FD4A39">
            <w:pPr>
              <w:rPr>
                <w:rFonts w:ascii="Arial" w:hAnsi="Arial" w:cs="Arial"/>
                <w:sz w:val="20"/>
                <w:szCs w:val="20"/>
              </w:rPr>
            </w:pPr>
            <w:r w:rsidRPr="004F7F40">
              <w:rPr>
                <w:rFonts w:ascii="Arial" w:hAnsi="Arial" w:cs="Arial"/>
                <w:sz w:val="20"/>
                <w:szCs w:val="20"/>
              </w:rPr>
              <w:t>Where panel formed, convened by CPE or Sec. Chief Ministers Department.</w:t>
            </w:r>
          </w:p>
          <w:p w14:paraId="1E1E04BB" w14:textId="7C2FD874" w:rsidR="0099427F" w:rsidRPr="004F7F40" w:rsidRDefault="0099427F" w:rsidP="00FD4A39">
            <w:pPr>
              <w:rPr>
                <w:rFonts w:ascii="Arial" w:hAnsi="Arial" w:cs="Arial"/>
                <w:sz w:val="20"/>
                <w:szCs w:val="20"/>
              </w:rPr>
            </w:pPr>
            <w:r w:rsidRPr="004F7F40">
              <w:rPr>
                <w:rFonts w:ascii="Arial" w:hAnsi="Arial" w:cs="Arial"/>
                <w:sz w:val="20"/>
                <w:szCs w:val="20"/>
              </w:rPr>
              <w:t>Usually 3 senior CEOs plus external person.</w:t>
            </w:r>
          </w:p>
          <w:p w14:paraId="00A82B9E" w14:textId="77777777" w:rsidR="0099427F" w:rsidRPr="004F7F40" w:rsidRDefault="0099427F" w:rsidP="00FD4A39">
            <w:pPr>
              <w:rPr>
                <w:rFonts w:ascii="Arial" w:hAnsi="Arial" w:cs="Arial"/>
                <w:sz w:val="20"/>
                <w:szCs w:val="20"/>
              </w:rPr>
            </w:pPr>
            <w:r w:rsidRPr="004F7F40">
              <w:rPr>
                <w:rFonts w:ascii="Arial" w:hAnsi="Arial" w:cs="Arial"/>
                <w:sz w:val="20"/>
                <w:szCs w:val="20"/>
              </w:rPr>
              <w:t>Makes recommendations to Chief Minister</w:t>
            </w:r>
          </w:p>
        </w:tc>
        <w:tc>
          <w:tcPr>
            <w:tcW w:w="2410" w:type="dxa"/>
          </w:tcPr>
          <w:p w14:paraId="582664A5" w14:textId="77777777" w:rsidR="00CC417D" w:rsidRPr="004F7F40" w:rsidRDefault="00CC417D" w:rsidP="00CC417D">
            <w:pPr>
              <w:rPr>
                <w:rFonts w:ascii="Arial" w:hAnsi="Arial" w:cs="Arial"/>
                <w:sz w:val="20"/>
                <w:szCs w:val="20"/>
              </w:rPr>
            </w:pPr>
            <w:r w:rsidRPr="004F7F40">
              <w:rPr>
                <w:rFonts w:ascii="Arial" w:hAnsi="Arial" w:cs="Arial"/>
                <w:sz w:val="20"/>
                <w:szCs w:val="20"/>
              </w:rPr>
              <w:t>Where pane</w:t>
            </w:r>
            <w:r w:rsidR="00490391" w:rsidRPr="004F7F40">
              <w:rPr>
                <w:rFonts w:ascii="Arial" w:hAnsi="Arial" w:cs="Arial"/>
                <w:sz w:val="20"/>
                <w:szCs w:val="20"/>
              </w:rPr>
              <w:t xml:space="preserve">l formed, convened by CPE or CEO Department of the </w:t>
            </w:r>
            <w:r w:rsidRPr="004F7F40">
              <w:rPr>
                <w:rFonts w:ascii="Arial" w:hAnsi="Arial" w:cs="Arial"/>
                <w:sz w:val="20"/>
                <w:szCs w:val="20"/>
              </w:rPr>
              <w:t>Chief Minister.</w:t>
            </w:r>
          </w:p>
          <w:p w14:paraId="53EFE65B" w14:textId="77777777" w:rsidR="00CC417D" w:rsidRPr="004F7F40" w:rsidRDefault="00CC417D" w:rsidP="00CC417D">
            <w:pPr>
              <w:rPr>
                <w:rFonts w:ascii="Arial" w:hAnsi="Arial" w:cs="Arial"/>
                <w:sz w:val="20"/>
                <w:szCs w:val="20"/>
              </w:rPr>
            </w:pPr>
            <w:r w:rsidRPr="004F7F40">
              <w:rPr>
                <w:rFonts w:ascii="Arial" w:hAnsi="Arial" w:cs="Arial"/>
                <w:sz w:val="20"/>
                <w:szCs w:val="20"/>
              </w:rPr>
              <w:t>Usually 3 senior CEOs. External person may be used if industry specific skill sets are required.</w:t>
            </w:r>
          </w:p>
          <w:p w14:paraId="4E9DE9EB" w14:textId="356517C9" w:rsidR="0099427F" w:rsidRPr="004F7F40" w:rsidRDefault="00CC417D" w:rsidP="00FD4A39">
            <w:pPr>
              <w:rPr>
                <w:rFonts w:ascii="Arial" w:hAnsi="Arial" w:cs="Arial"/>
                <w:sz w:val="20"/>
                <w:szCs w:val="20"/>
              </w:rPr>
            </w:pPr>
            <w:r w:rsidRPr="004F7F40">
              <w:rPr>
                <w:rFonts w:ascii="Arial" w:hAnsi="Arial" w:cs="Arial"/>
                <w:sz w:val="20"/>
                <w:szCs w:val="20"/>
              </w:rPr>
              <w:lastRenderedPageBreak/>
              <w:t>Makes recommendations to Chief Minister</w:t>
            </w:r>
            <w:r w:rsidR="00490391" w:rsidRPr="004F7F40">
              <w:rPr>
                <w:rFonts w:ascii="Arial" w:hAnsi="Arial" w:cs="Arial"/>
                <w:sz w:val="20"/>
                <w:szCs w:val="20"/>
              </w:rPr>
              <w:t>.</w:t>
            </w:r>
          </w:p>
        </w:tc>
        <w:tc>
          <w:tcPr>
            <w:tcW w:w="2268" w:type="dxa"/>
          </w:tcPr>
          <w:p w14:paraId="024E54FD" w14:textId="77777777" w:rsidR="00CC417D" w:rsidRPr="004F7F40" w:rsidRDefault="00CC417D" w:rsidP="00CC417D">
            <w:pPr>
              <w:rPr>
                <w:rFonts w:ascii="Arial" w:hAnsi="Arial" w:cs="Arial"/>
                <w:sz w:val="20"/>
                <w:szCs w:val="20"/>
              </w:rPr>
            </w:pPr>
            <w:r w:rsidRPr="004F7F40">
              <w:rPr>
                <w:rFonts w:ascii="Arial" w:hAnsi="Arial" w:cs="Arial"/>
                <w:sz w:val="20"/>
                <w:szCs w:val="20"/>
              </w:rPr>
              <w:lastRenderedPageBreak/>
              <w:t>Where pane</w:t>
            </w:r>
            <w:r w:rsidR="00490391" w:rsidRPr="004F7F40">
              <w:rPr>
                <w:rFonts w:ascii="Arial" w:hAnsi="Arial" w:cs="Arial"/>
                <w:sz w:val="20"/>
                <w:szCs w:val="20"/>
              </w:rPr>
              <w:t xml:space="preserve">l formed, convened by CPE or CEO Department of the </w:t>
            </w:r>
            <w:r w:rsidRPr="004F7F40">
              <w:rPr>
                <w:rFonts w:ascii="Arial" w:hAnsi="Arial" w:cs="Arial"/>
                <w:sz w:val="20"/>
                <w:szCs w:val="20"/>
              </w:rPr>
              <w:t>Chief Minister.</w:t>
            </w:r>
          </w:p>
          <w:p w14:paraId="121F0EA8" w14:textId="77777777" w:rsidR="00CC417D" w:rsidRPr="004F7F40" w:rsidRDefault="00CC417D" w:rsidP="00CC417D">
            <w:pPr>
              <w:rPr>
                <w:rFonts w:ascii="Arial" w:hAnsi="Arial" w:cs="Arial"/>
                <w:sz w:val="20"/>
                <w:szCs w:val="20"/>
              </w:rPr>
            </w:pPr>
            <w:r w:rsidRPr="004F7F40">
              <w:rPr>
                <w:rFonts w:ascii="Arial" w:hAnsi="Arial" w:cs="Arial"/>
                <w:sz w:val="20"/>
                <w:szCs w:val="20"/>
              </w:rPr>
              <w:t xml:space="preserve">Usually 3 senior CEOs. External person may be used if </w:t>
            </w:r>
            <w:r w:rsidRPr="004F7F40">
              <w:rPr>
                <w:rFonts w:ascii="Arial" w:hAnsi="Arial" w:cs="Arial"/>
                <w:sz w:val="20"/>
                <w:szCs w:val="20"/>
              </w:rPr>
              <w:lastRenderedPageBreak/>
              <w:t>industry specific skill sets are required.</w:t>
            </w:r>
          </w:p>
          <w:p w14:paraId="1B23CBF1" w14:textId="4C8204F8" w:rsidR="0099427F" w:rsidRPr="004F7F40" w:rsidRDefault="00CC417D" w:rsidP="00FD4A39">
            <w:pPr>
              <w:rPr>
                <w:rFonts w:ascii="Arial" w:hAnsi="Arial" w:cs="Arial"/>
                <w:color w:val="FF0000"/>
                <w:sz w:val="20"/>
                <w:szCs w:val="20"/>
              </w:rPr>
            </w:pPr>
            <w:r w:rsidRPr="004F7F40">
              <w:rPr>
                <w:rFonts w:ascii="Arial" w:hAnsi="Arial" w:cs="Arial"/>
                <w:sz w:val="20"/>
                <w:szCs w:val="20"/>
              </w:rPr>
              <w:t>Makes recommendations to Chief Minister</w:t>
            </w:r>
            <w:r w:rsidR="00490391" w:rsidRPr="004F7F40">
              <w:rPr>
                <w:rFonts w:ascii="Arial" w:hAnsi="Arial" w:cs="Arial"/>
                <w:sz w:val="20"/>
                <w:szCs w:val="20"/>
              </w:rPr>
              <w:t>.</w:t>
            </w:r>
          </w:p>
        </w:tc>
      </w:tr>
      <w:tr w:rsidR="0099427F" w:rsidRPr="004F7F40" w14:paraId="294FC6E4" w14:textId="77777777" w:rsidTr="00FD4A39">
        <w:tc>
          <w:tcPr>
            <w:tcW w:w="2263" w:type="dxa"/>
          </w:tcPr>
          <w:p w14:paraId="702A3BC6"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lastRenderedPageBreak/>
              <w:t>Role of Commissioner</w:t>
            </w:r>
          </w:p>
        </w:tc>
        <w:tc>
          <w:tcPr>
            <w:tcW w:w="3119" w:type="dxa"/>
          </w:tcPr>
          <w:p w14:paraId="1F441EBB" w14:textId="0B66276E" w:rsidR="0099427F" w:rsidRPr="004F7F40" w:rsidRDefault="0099427F" w:rsidP="00FD4A39">
            <w:pPr>
              <w:rPr>
                <w:rFonts w:ascii="Arial" w:hAnsi="Arial" w:cs="Arial"/>
                <w:sz w:val="20"/>
                <w:szCs w:val="20"/>
              </w:rPr>
            </w:pPr>
            <w:r w:rsidRPr="004F7F40">
              <w:rPr>
                <w:rFonts w:ascii="Arial" w:hAnsi="Arial" w:cs="Arial"/>
                <w:sz w:val="20"/>
                <w:szCs w:val="20"/>
              </w:rPr>
              <w:t>As above. Also, together with other CEO</w:t>
            </w:r>
            <w:r w:rsidR="00490391" w:rsidRPr="004F7F40">
              <w:rPr>
                <w:rFonts w:ascii="Arial" w:hAnsi="Arial" w:cs="Arial"/>
                <w:sz w:val="20"/>
                <w:szCs w:val="20"/>
              </w:rPr>
              <w:t xml:space="preserve"> of the Department of the Chief Minister</w:t>
            </w:r>
            <w:r w:rsidRPr="004F7F40">
              <w:rPr>
                <w:rFonts w:ascii="Arial" w:hAnsi="Arial" w:cs="Arial"/>
                <w:sz w:val="20"/>
                <w:szCs w:val="20"/>
              </w:rPr>
              <w:t>, advises Chief Minister on external appointments/ transfers.</w:t>
            </w:r>
          </w:p>
        </w:tc>
        <w:tc>
          <w:tcPr>
            <w:tcW w:w="2410" w:type="dxa"/>
          </w:tcPr>
          <w:p w14:paraId="135BB2E5" w14:textId="19DE58EC" w:rsidR="0099427F" w:rsidRPr="004F7F40" w:rsidRDefault="003002EA" w:rsidP="00FD4A39">
            <w:pPr>
              <w:rPr>
                <w:rFonts w:ascii="Arial" w:hAnsi="Arial" w:cs="Arial"/>
                <w:sz w:val="20"/>
                <w:szCs w:val="20"/>
              </w:rPr>
            </w:pPr>
            <w:r w:rsidRPr="004F7F40">
              <w:rPr>
                <w:rFonts w:ascii="Arial" w:hAnsi="Arial" w:cs="Arial"/>
                <w:sz w:val="20"/>
                <w:szCs w:val="20"/>
              </w:rPr>
              <w:t>2014 Public Accounts Committee: Report on Termination Payments for CEOs and ECOs, Report Number 42 recommended that govt adopt a process where individual Ministers consult with ERRP before appointing CEOs</w:t>
            </w:r>
            <w:r w:rsidR="00D9742F" w:rsidRPr="004F7F40">
              <w:rPr>
                <w:rFonts w:ascii="Arial" w:hAnsi="Arial" w:cs="Arial"/>
                <w:sz w:val="20"/>
                <w:szCs w:val="20"/>
              </w:rPr>
              <w:t>.</w:t>
            </w:r>
          </w:p>
        </w:tc>
        <w:tc>
          <w:tcPr>
            <w:tcW w:w="2268" w:type="dxa"/>
          </w:tcPr>
          <w:p w14:paraId="3FEAAF31" w14:textId="76636023" w:rsidR="0099427F" w:rsidRPr="004F7F40" w:rsidRDefault="00CC417D" w:rsidP="00FD4A39">
            <w:pPr>
              <w:rPr>
                <w:rFonts w:ascii="Arial" w:hAnsi="Arial" w:cs="Arial"/>
                <w:sz w:val="20"/>
                <w:szCs w:val="20"/>
              </w:rPr>
            </w:pPr>
            <w:r w:rsidRPr="004F7F40">
              <w:rPr>
                <w:rFonts w:ascii="Arial" w:hAnsi="Arial" w:cs="Arial"/>
                <w:sz w:val="20"/>
                <w:szCs w:val="20"/>
              </w:rPr>
              <w:t>As above. Also, together with other CEO</w:t>
            </w:r>
            <w:r w:rsidR="00490391" w:rsidRPr="004F7F40">
              <w:rPr>
                <w:rFonts w:ascii="Arial" w:hAnsi="Arial" w:cs="Arial"/>
                <w:sz w:val="20"/>
                <w:szCs w:val="20"/>
              </w:rPr>
              <w:t xml:space="preserve"> of the Department of the Chief Minister, a</w:t>
            </w:r>
            <w:r w:rsidRPr="004F7F40">
              <w:rPr>
                <w:rFonts w:ascii="Arial" w:hAnsi="Arial" w:cs="Arial"/>
                <w:sz w:val="20"/>
                <w:szCs w:val="20"/>
              </w:rPr>
              <w:t>dvises on external appointments/ transfers.</w:t>
            </w:r>
          </w:p>
        </w:tc>
      </w:tr>
      <w:tr w:rsidR="0099427F" w:rsidRPr="004F7F40" w14:paraId="6657C04D" w14:textId="77777777" w:rsidTr="00FD4A39">
        <w:tc>
          <w:tcPr>
            <w:tcW w:w="2263" w:type="dxa"/>
          </w:tcPr>
          <w:p w14:paraId="748DD55E"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Role of Portfolio Minister</w:t>
            </w:r>
          </w:p>
        </w:tc>
        <w:tc>
          <w:tcPr>
            <w:tcW w:w="3119" w:type="dxa"/>
          </w:tcPr>
          <w:p w14:paraId="003F6E5D" w14:textId="77777777" w:rsidR="0099427F" w:rsidRPr="004F7F40" w:rsidRDefault="0099427F" w:rsidP="00FD4A39">
            <w:pPr>
              <w:rPr>
                <w:rFonts w:ascii="Arial" w:hAnsi="Arial" w:cs="Arial"/>
                <w:sz w:val="20"/>
                <w:szCs w:val="20"/>
              </w:rPr>
            </w:pPr>
            <w:r w:rsidRPr="004F7F40">
              <w:rPr>
                <w:rFonts w:ascii="Arial" w:hAnsi="Arial" w:cs="Arial"/>
                <w:sz w:val="20"/>
                <w:szCs w:val="20"/>
              </w:rPr>
              <w:t>Minister consulted and in turn discusses with Chief Minister.</w:t>
            </w:r>
          </w:p>
        </w:tc>
        <w:tc>
          <w:tcPr>
            <w:tcW w:w="2410" w:type="dxa"/>
          </w:tcPr>
          <w:p w14:paraId="1C7998F7" w14:textId="5C40F6CA" w:rsidR="0099427F" w:rsidRPr="004F7F40" w:rsidRDefault="00156191" w:rsidP="00FD4A39">
            <w:pPr>
              <w:rPr>
                <w:rFonts w:ascii="Arial" w:hAnsi="Arial" w:cs="Arial"/>
                <w:sz w:val="20"/>
                <w:szCs w:val="20"/>
              </w:rPr>
            </w:pPr>
            <w:r w:rsidRPr="004F7F40">
              <w:rPr>
                <w:rFonts w:ascii="Arial" w:hAnsi="Arial" w:cs="Arial"/>
                <w:sz w:val="20"/>
                <w:szCs w:val="20"/>
              </w:rPr>
              <w:t xml:space="preserve">2011 </w:t>
            </w:r>
            <w:r w:rsidR="00D9742F" w:rsidRPr="004F7F40">
              <w:rPr>
                <w:rFonts w:ascii="Arial" w:hAnsi="Arial" w:cs="Arial"/>
                <w:sz w:val="20"/>
                <w:szCs w:val="20"/>
              </w:rPr>
              <w:t xml:space="preserve">PSEMA </w:t>
            </w:r>
            <w:r w:rsidRPr="004F7F40">
              <w:rPr>
                <w:rFonts w:ascii="Arial" w:hAnsi="Arial" w:cs="Arial"/>
                <w:sz w:val="20"/>
                <w:szCs w:val="20"/>
              </w:rPr>
              <w:t>amendments make it clear that the CM appoints and terminates CEOs</w:t>
            </w:r>
          </w:p>
        </w:tc>
        <w:tc>
          <w:tcPr>
            <w:tcW w:w="2268" w:type="dxa"/>
          </w:tcPr>
          <w:p w14:paraId="7FEDF187" w14:textId="5D6C0FB5" w:rsidR="0099427F" w:rsidRPr="004F7F40" w:rsidRDefault="00CC417D" w:rsidP="00FD4A39">
            <w:pPr>
              <w:rPr>
                <w:rFonts w:ascii="Arial" w:hAnsi="Arial" w:cs="Arial"/>
                <w:sz w:val="20"/>
                <w:szCs w:val="20"/>
              </w:rPr>
            </w:pPr>
            <w:r w:rsidRPr="004F7F40">
              <w:rPr>
                <w:rFonts w:ascii="Arial" w:hAnsi="Arial" w:cs="Arial"/>
                <w:sz w:val="20"/>
                <w:szCs w:val="20"/>
              </w:rPr>
              <w:t xml:space="preserve">Minister is provided with an opportunity to meet the </w:t>
            </w:r>
            <w:r w:rsidR="00490391" w:rsidRPr="004F7F40">
              <w:rPr>
                <w:rFonts w:ascii="Arial" w:hAnsi="Arial" w:cs="Arial"/>
                <w:sz w:val="20"/>
                <w:szCs w:val="20"/>
              </w:rPr>
              <w:t>recommended</w:t>
            </w:r>
            <w:r w:rsidRPr="004F7F40">
              <w:rPr>
                <w:rFonts w:ascii="Arial" w:hAnsi="Arial" w:cs="Arial"/>
                <w:sz w:val="20"/>
                <w:szCs w:val="20"/>
              </w:rPr>
              <w:t xml:space="preserve"> candidate. </w:t>
            </w:r>
            <w:r w:rsidR="00490391" w:rsidRPr="004F7F40">
              <w:rPr>
                <w:rFonts w:ascii="Arial" w:hAnsi="Arial" w:cs="Arial"/>
                <w:sz w:val="20"/>
                <w:szCs w:val="20"/>
              </w:rPr>
              <w:t xml:space="preserve">However, </w:t>
            </w:r>
            <w:r w:rsidRPr="004F7F40">
              <w:rPr>
                <w:rFonts w:ascii="Arial" w:hAnsi="Arial" w:cs="Arial"/>
                <w:sz w:val="20"/>
                <w:szCs w:val="20"/>
              </w:rPr>
              <w:t>C</w:t>
            </w:r>
            <w:r w:rsidR="00490391" w:rsidRPr="004F7F40">
              <w:rPr>
                <w:rFonts w:ascii="Arial" w:hAnsi="Arial" w:cs="Arial"/>
                <w:sz w:val="20"/>
                <w:szCs w:val="20"/>
              </w:rPr>
              <w:t>hief Minister</w:t>
            </w:r>
            <w:r w:rsidRPr="004F7F40">
              <w:rPr>
                <w:rFonts w:ascii="Arial" w:hAnsi="Arial" w:cs="Arial"/>
                <w:sz w:val="20"/>
                <w:szCs w:val="20"/>
              </w:rPr>
              <w:t xml:space="preserve"> appoints and terminates. </w:t>
            </w:r>
          </w:p>
        </w:tc>
      </w:tr>
      <w:tr w:rsidR="0099427F" w:rsidRPr="004F7F40" w14:paraId="79EBC2B1" w14:textId="77777777" w:rsidTr="00FD4A39">
        <w:tc>
          <w:tcPr>
            <w:tcW w:w="2263" w:type="dxa"/>
          </w:tcPr>
          <w:p w14:paraId="4F793857" w14:textId="0BDE19F0" w:rsidR="0099427F" w:rsidRPr="004F7F40" w:rsidRDefault="0099427F" w:rsidP="00FD4A39">
            <w:pPr>
              <w:rPr>
                <w:rFonts w:ascii="Arial" w:hAnsi="Arial" w:cs="Arial"/>
                <w:b/>
                <w:bCs/>
                <w:sz w:val="20"/>
                <w:szCs w:val="20"/>
              </w:rPr>
            </w:pPr>
            <w:r w:rsidRPr="004F7F40">
              <w:rPr>
                <w:rFonts w:ascii="Arial" w:hAnsi="Arial" w:cs="Arial"/>
                <w:b/>
                <w:bCs/>
                <w:sz w:val="20"/>
                <w:szCs w:val="20"/>
              </w:rPr>
              <w:t>Role of Chief Minister</w:t>
            </w:r>
            <w:r w:rsidR="00156191" w:rsidRPr="004F7F40">
              <w:rPr>
                <w:rFonts w:ascii="Arial" w:hAnsi="Arial" w:cs="Arial"/>
                <w:b/>
                <w:bCs/>
                <w:sz w:val="20"/>
                <w:szCs w:val="20"/>
              </w:rPr>
              <w:t xml:space="preserve"> </w:t>
            </w:r>
          </w:p>
        </w:tc>
        <w:tc>
          <w:tcPr>
            <w:tcW w:w="3119" w:type="dxa"/>
          </w:tcPr>
          <w:p w14:paraId="787350CC" w14:textId="77777777" w:rsidR="0099427F" w:rsidRPr="004F7F40" w:rsidRDefault="0099427F" w:rsidP="00FD4A39">
            <w:pPr>
              <w:rPr>
                <w:rFonts w:ascii="Arial" w:hAnsi="Arial" w:cs="Arial"/>
                <w:sz w:val="20"/>
                <w:szCs w:val="20"/>
              </w:rPr>
            </w:pPr>
            <w:r w:rsidRPr="004F7F40">
              <w:rPr>
                <w:rFonts w:ascii="Arial" w:hAnsi="Arial" w:cs="Arial"/>
                <w:sz w:val="20"/>
                <w:szCs w:val="20"/>
              </w:rPr>
              <w:t>Makes final decision, takes appointment to Executive Council.</w:t>
            </w:r>
          </w:p>
          <w:p w14:paraId="7AEF913A" w14:textId="77777777" w:rsidR="0099427F" w:rsidRPr="004F7F40" w:rsidRDefault="0099427F" w:rsidP="00FD4A39">
            <w:pPr>
              <w:rPr>
                <w:rFonts w:ascii="Arial" w:hAnsi="Arial" w:cs="Arial"/>
                <w:sz w:val="20"/>
                <w:szCs w:val="20"/>
              </w:rPr>
            </w:pPr>
          </w:p>
        </w:tc>
        <w:tc>
          <w:tcPr>
            <w:tcW w:w="2410" w:type="dxa"/>
          </w:tcPr>
          <w:p w14:paraId="53A3464B" w14:textId="0D884D23" w:rsidR="0099427F" w:rsidRPr="004F7F40" w:rsidRDefault="00156191" w:rsidP="00FD4A39">
            <w:pPr>
              <w:rPr>
                <w:rFonts w:ascii="Arial" w:hAnsi="Arial" w:cs="Arial"/>
                <w:sz w:val="20"/>
                <w:szCs w:val="20"/>
              </w:rPr>
            </w:pPr>
            <w:r w:rsidRPr="004F7F40">
              <w:rPr>
                <w:rFonts w:ascii="Arial" w:hAnsi="Arial" w:cs="Arial"/>
                <w:sz w:val="20"/>
                <w:szCs w:val="20"/>
              </w:rPr>
              <w:t xml:space="preserve">2011 </w:t>
            </w:r>
            <w:r w:rsidR="00D9742F" w:rsidRPr="004F7F40">
              <w:rPr>
                <w:rFonts w:ascii="Arial" w:hAnsi="Arial" w:cs="Arial"/>
                <w:sz w:val="20"/>
                <w:szCs w:val="20"/>
              </w:rPr>
              <w:t xml:space="preserve">PSEMA </w:t>
            </w:r>
            <w:r w:rsidRPr="004F7F40">
              <w:rPr>
                <w:rFonts w:ascii="Arial" w:hAnsi="Arial" w:cs="Arial"/>
                <w:sz w:val="20"/>
                <w:szCs w:val="20"/>
              </w:rPr>
              <w:t>amendments make it clear that the CM appoints and terminates CEOs</w:t>
            </w:r>
          </w:p>
        </w:tc>
        <w:tc>
          <w:tcPr>
            <w:tcW w:w="2268" w:type="dxa"/>
          </w:tcPr>
          <w:p w14:paraId="15A3694D" w14:textId="77777777" w:rsidR="00490391" w:rsidRPr="004F7F40" w:rsidRDefault="00490391" w:rsidP="00490391">
            <w:pPr>
              <w:rPr>
                <w:rFonts w:ascii="Arial" w:hAnsi="Arial" w:cs="Arial"/>
                <w:sz w:val="20"/>
                <w:szCs w:val="20"/>
              </w:rPr>
            </w:pPr>
            <w:r w:rsidRPr="004F7F40">
              <w:rPr>
                <w:rFonts w:ascii="Arial" w:hAnsi="Arial" w:cs="Arial"/>
                <w:sz w:val="20"/>
                <w:szCs w:val="20"/>
              </w:rPr>
              <w:t>Makes final decision, takes appointment to Executive Council.</w:t>
            </w:r>
          </w:p>
          <w:p w14:paraId="39CC9E90" w14:textId="77777777" w:rsidR="0099427F" w:rsidRPr="004F7F40" w:rsidRDefault="0099427F" w:rsidP="00FD4A39">
            <w:pPr>
              <w:rPr>
                <w:rFonts w:ascii="Arial" w:hAnsi="Arial" w:cs="Arial"/>
                <w:sz w:val="20"/>
                <w:szCs w:val="20"/>
              </w:rPr>
            </w:pPr>
          </w:p>
        </w:tc>
      </w:tr>
      <w:tr w:rsidR="0099427F" w:rsidRPr="004F7F40" w14:paraId="24376C1D" w14:textId="77777777" w:rsidTr="00FD4A39">
        <w:tc>
          <w:tcPr>
            <w:tcW w:w="2263" w:type="dxa"/>
          </w:tcPr>
          <w:p w14:paraId="6498EBF9"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Role of Cabinet</w:t>
            </w:r>
          </w:p>
        </w:tc>
        <w:tc>
          <w:tcPr>
            <w:tcW w:w="3119" w:type="dxa"/>
          </w:tcPr>
          <w:p w14:paraId="59A18A0B" w14:textId="77777777" w:rsidR="0099427F" w:rsidRPr="004F7F40" w:rsidRDefault="0099427F" w:rsidP="00FD4A39">
            <w:pPr>
              <w:rPr>
                <w:rFonts w:ascii="Arial" w:hAnsi="Arial" w:cs="Arial"/>
                <w:sz w:val="20"/>
                <w:szCs w:val="20"/>
              </w:rPr>
            </w:pPr>
            <w:r w:rsidRPr="004F7F40">
              <w:rPr>
                <w:rFonts w:ascii="Arial" w:hAnsi="Arial" w:cs="Arial"/>
                <w:sz w:val="20"/>
                <w:szCs w:val="20"/>
              </w:rPr>
              <w:t>Not involved but usually advised by Chief Minister.</w:t>
            </w:r>
          </w:p>
        </w:tc>
        <w:tc>
          <w:tcPr>
            <w:tcW w:w="2410" w:type="dxa"/>
          </w:tcPr>
          <w:p w14:paraId="2539B8FD" w14:textId="390B5A95" w:rsidR="0099427F" w:rsidRPr="004F7F40" w:rsidRDefault="00490391" w:rsidP="00FD4A39">
            <w:pPr>
              <w:rPr>
                <w:rFonts w:ascii="Arial" w:hAnsi="Arial" w:cs="Arial"/>
                <w:sz w:val="20"/>
                <w:szCs w:val="20"/>
              </w:rPr>
            </w:pPr>
            <w:r w:rsidRPr="004F7F40">
              <w:rPr>
                <w:rFonts w:ascii="Arial" w:hAnsi="Arial" w:cs="Arial"/>
                <w:sz w:val="20"/>
                <w:szCs w:val="20"/>
              </w:rPr>
              <w:t>Not involved but usually advised by Chief Minister</w:t>
            </w:r>
          </w:p>
        </w:tc>
        <w:tc>
          <w:tcPr>
            <w:tcW w:w="2268" w:type="dxa"/>
          </w:tcPr>
          <w:p w14:paraId="327A9874" w14:textId="039ED508" w:rsidR="0099427F" w:rsidRPr="004F7F40" w:rsidRDefault="00490391" w:rsidP="00FD4A39">
            <w:pPr>
              <w:rPr>
                <w:rFonts w:ascii="Arial" w:hAnsi="Arial" w:cs="Arial"/>
                <w:sz w:val="20"/>
                <w:szCs w:val="20"/>
              </w:rPr>
            </w:pPr>
            <w:r w:rsidRPr="004F7F40">
              <w:rPr>
                <w:rFonts w:ascii="Arial" w:hAnsi="Arial" w:cs="Arial"/>
                <w:sz w:val="20"/>
                <w:szCs w:val="20"/>
              </w:rPr>
              <w:t>Not involved but usually advised by Chief Minister</w:t>
            </w:r>
          </w:p>
        </w:tc>
      </w:tr>
      <w:tr w:rsidR="001A6EB8" w:rsidRPr="004F7F40" w14:paraId="7B873732" w14:textId="77777777" w:rsidTr="00140ACE">
        <w:tc>
          <w:tcPr>
            <w:tcW w:w="10060" w:type="dxa"/>
            <w:gridSpan w:val="4"/>
            <w:shd w:val="pct10" w:color="auto" w:fill="FFFFFF"/>
          </w:tcPr>
          <w:p w14:paraId="4E2BA5DF" w14:textId="248DBD5E" w:rsidR="001A6EB8" w:rsidRPr="004F7F40" w:rsidRDefault="001A6EB8" w:rsidP="00FD4A39">
            <w:pPr>
              <w:rPr>
                <w:rFonts w:ascii="Arial" w:hAnsi="Arial" w:cs="Arial"/>
                <w:sz w:val="22"/>
              </w:rPr>
            </w:pPr>
            <w:r w:rsidRPr="004F7F40">
              <w:rPr>
                <w:rFonts w:ascii="Arial" w:hAnsi="Arial" w:cs="Arial"/>
                <w:b/>
                <w:sz w:val="22"/>
              </w:rPr>
              <w:t>Employment Conditions</w:t>
            </w:r>
          </w:p>
        </w:tc>
      </w:tr>
      <w:tr w:rsidR="0099427F" w:rsidRPr="004F7F40" w14:paraId="10719C25" w14:textId="77777777" w:rsidTr="00FD4A39">
        <w:tc>
          <w:tcPr>
            <w:tcW w:w="2263" w:type="dxa"/>
          </w:tcPr>
          <w:p w14:paraId="0D5D7B8B"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Contract</w:t>
            </w:r>
          </w:p>
        </w:tc>
        <w:tc>
          <w:tcPr>
            <w:tcW w:w="3119" w:type="dxa"/>
          </w:tcPr>
          <w:p w14:paraId="56593912" w14:textId="77777777" w:rsidR="0099427F" w:rsidRPr="004F7F40" w:rsidRDefault="0099427F" w:rsidP="00FD4A39">
            <w:pPr>
              <w:rPr>
                <w:rFonts w:ascii="Arial" w:hAnsi="Arial" w:cs="Arial"/>
                <w:sz w:val="20"/>
                <w:szCs w:val="20"/>
              </w:rPr>
            </w:pPr>
            <w:r w:rsidRPr="004F7F40">
              <w:rPr>
                <w:rFonts w:ascii="Arial" w:hAnsi="Arial" w:cs="Arial"/>
                <w:sz w:val="20"/>
                <w:szCs w:val="20"/>
              </w:rPr>
              <w:t>Yes</w:t>
            </w:r>
          </w:p>
        </w:tc>
        <w:tc>
          <w:tcPr>
            <w:tcW w:w="2410" w:type="dxa"/>
          </w:tcPr>
          <w:p w14:paraId="37EF3C82" w14:textId="2667FDD4" w:rsidR="0099427F" w:rsidRPr="004F7F40" w:rsidRDefault="00D9742F" w:rsidP="00FD4A39">
            <w:pPr>
              <w:rPr>
                <w:rFonts w:ascii="Arial" w:hAnsi="Arial" w:cs="Arial"/>
                <w:color w:val="FF0000"/>
                <w:sz w:val="20"/>
                <w:szCs w:val="20"/>
              </w:rPr>
            </w:pPr>
            <w:r w:rsidRPr="004F7F40">
              <w:rPr>
                <w:rFonts w:ascii="Arial" w:hAnsi="Arial" w:cs="Arial"/>
                <w:sz w:val="20"/>
                <w:szCs w:val="20"/>
              </w:rPr>
              <w:t>CEOs are appointed under s.19A of PSEMA.</w:t>
            </w:r>
          </w:p>
        </w:tc>
        <w:tc>
          <w:tcPr>
            <w:tcW w:w="2268" w:type="dxa"/>
          </w:tcPr>
          <w:p w14:paraId="6FF12050" w14:textId="7F5F51A5" w:rsidR="0099427F" w:rsidRPr="004F7F40" w:rsidRDefault="00490391" w:rsidP="00FD4A39">
            <w:pPr>
              <w:rPr>
                <w:rFonts w:ascii="Arial" w:hAnsi="Arial" w:cs="Arial"/>
                <w:color w:val="FF0000"/>
                <w:sz w:val="20"/>
                <w:szCs w:val="20"/>
              </w:rPr>
            </w:pPr>
            <w:r w:rsidRPr="004F7F40">
              <w:rPr>
                <w:rFonts w:ascii="Arial" w:hAnsi="Arial" w:cs="Arial"/>
                <w:sz w:val="20"/>
                <w:szCs w:val="20"/>
              </w:rPr>
              <w:t>CEOs are appointed under s.19A of PSEMA</w:t>
            </w:r>
          </w:p>
        </w:tc>
      </w:tr>
      <w:tr w:rsidR="0099427F" w:rsidRPr="004F7F40" w14:paraId="4CCF6524" w14:textId="77777777" w:rsidTr="00FD4A39">
        <w:tc>
          <w:tcPr>
            <w:tcW w:w="2263" w:type="dxa"/>
          </w:tcPr>
          <w:p w14:paraId="717FED50"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Contract timeframe</w:t>
            </w:r>
          </w:p>
        </w:tc>
        <w:tc>
          <w:tcPr>
            <w:tcW w:w="3119" w:type="dxa"/>
          </w:tcPr>
          <w:p w14:paraId="53C006E7" w14:textId="77777777" w:rsidR="0099427F" w:rsidRPr="004F7F40" w:rsidRDefault="0099427F" w:rsidP="00FD4A39">
            <w:pPr>
              <w:rPr>
                <w:rFonts w:ascii="Arial" w:hAnsi="Arial" w:cs="Arial"/>
                <w:sz w:val="20"/>
                <w:szCs w:val="20"/>
              </w:rPr>
            </w:pPr>
            <w:r w:rsidRPr="004F7F40">
              <w:rPr>
                <w:rFonts w:ascii="Arial" w:hAnsi="Arial" w:cs="Arial"/>
                <w:sz w:val="20"/>
                <w:szCs w:val="20"/>
              </w:rPr>
              <w:t>Up to 4 years.</w:t>
            </w:r>
          </w:p>
        </w:tc>
        <w:tc>
          <w:tcPr>
            <w:tcW w:w="2410" w:type="dxa"/>
          </w:tcPr>
          <w:p w14:paraId="08D5BB0A" w14:textId="06CC1A8F" w:rsidR="0099427F" w:rsidRPr="004F7F40" w:rsidRDefault="00490391" w:rsidP="00FD4A39">
            <w:pPr>
              <w:rPr>
                <w:rFonts w:ascii="Arial" w:hAnsi="Arial" w:cs="Arial"/>
                <w:sz w:val="20"/>
                <w:szCs w:val="20"/>
              </w:rPr>
            </w:pPr>
            <w:r w:rsidRPr="004F7F40">
              <w:rPr>
                <w:rFonts w:ascii="Arial" w:hAnsi="Arial" w:cs="Arial"/>
                <w:sz w:val="20"/>
                <w:szCs w:val="20"/>
              </w:rPr>
              <w:t>Up to 4 years</w:t>
            </w:r>
            <w:r w:rsidR="00E34156" w:rsidRPr="004F7F40">
              <w:rPr>
                <w:rFonts w:ascii="Arial" w:hAnsi="Arial" w:cs="Arial"/>
                <w:sz w:val="20"/>
                <w:szCs w:val="20"/>
              </w:rPr>
              <w:t>.</w:t>
            </w:r>
          </w:p>
        </w:tc>
        <w:tc>
          <w:tcPr>
            <w:tcW w:w="2268" w:type="dxa"/>
          </w:tcPr>
          <w:p w14:paraId="0A75306C" w14:textId="5F239DEA" w:rsidR="0099427F" w:rsidRPr="004F7F40" w:rsidRDefault="00490391" w:rsidP="00FD4A39">
            <w:pPr>
              <w:rPr>
                <w:rFonts w:ascii="Arial" w:hAnsi="Arial" w:cs="Arial"/>
                <w:sz w:val="20"/>
                <w:szCs w:val="20"/>
              </w:rPr>
            </w:pPr>
            <w:r w:rsidRPr="004F7F40">
              <w:rPr>
                <w:rFonts w:ascii="Arial" w:hAnsi="Arial" w:cs="Arial"/>
                <w:sz w:val="20"/>
                <w:szCs w:val="20"/>
              </w:rPr>
              <w:t>Up to 4 years</w:t>
            </w:r>
            <w:r w:rsidR="00E34156" w:rsidRPr="004F7F40">
              <w:rPr>
                <w:rFonts w:ascii="Arial" w:hAnsi="Arial" w:cs="Arial"/>
                <w:sz w:val="20"/>
                <w:szCs w:val="20"/>
              </w:rPr>
              <w:t>.</w:t>
            </w:r>
          </w:p>
        </w:tc>
      </w:tr>
      <w:tr w:rsidR="0099427F" w:rsidRPr="004F7F40" w14:paraId="3A073A39" w14:textId="77777777" w:rsidTr="00FD4A39">
        <w:tc>
          <w:tcPr>
            <w:tcW w:w="2263" w:type="dxa"/>
          </w:tcPr>
          <w:p w14:paraId="4B6801F9"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Contract Extension</w:t>
            </w:r>
          </w:p>
        </w:tc>
        <w:tc>
          <w:tcPr>
            <w:tcW w:w="3119" w:type="dxa"/>
          </w:tcPr>
          <w:p w14:paraId="70209CDF" w14:textId="77777777" w:rsidR="0099427F" w:rsidRPr="004F7F40" w:rsidRDefault="0099427F" w:rsidP="00FD4A39">
            <w:pPr>
              <w:rPr>
                <w:rFonts w:ascii="Arial" w:hAnsi="Arial" w:cs="Arial"/>
                <w:sz w:val="20"/>
                <w:szCs w:val="20"/>
              </w:rPr>
            </w:pPr>
            <w:r w:rsidRPr="004F7F40">
              <w:rPr>
                <w:rFonts w:ascii="Arial" w:hAnsi="Arial" w:cs="Arial"/>
                <w:sz w:val="20"/>
                <w:szCs w:val="20"/>
              </w:rPr>
              <w:t>No, new contract.</w:t>
            </w:r>
          </w:p>
        </w:tc>
        <w:tc>
          <w:tcPr>
            <w:tcW w:w="2410" w:type="dxa"/>
          </w:tcPr>
          <w:p w14:paraId="2E2F1B09" w14:textId="746DFC29" w:rsidR="0099427F" w:rsidRPr="004F7F40" w:rsidRDefault="00490391" w:rsidP="00FD4A39">
            <w:pPr>
              <w:rPr>
                <w:rFonts w:ascii="Arial" w:hAnsi="Arial" w:cs="Arial"/>
                <w:sz w:val="20"/>
                <w:szCs w:val="20"/>
              </w:rPr>
            </w:pPr>
            <w:r w:rsidRPr="004F7F40">
              <w:rPr>
                <w:rFonts w:ascii="Arial" w:hAnsi="Arial" w:cs="Arial"/>
                <w:sz w:val="20"/>
                <w:szCs w:val="20"/>
              </w:rPr>
              <w:t>New, consecutive contract</w:t>
            </w:r>
            <w:r w:rsidR="00E34156" w:rsidRPr="004F7F40">
              <w:rPr>
                <w:rFonts w:ascii="Arial" w:hAnsi="Arial" w:cs="Arial"/>
                <w:sz w:val="20"/>
                <w:szCs w:val="20"/>
              </w:rPr>
              <w:t xml:space="preserve"> offered.</w:t>
            </w:r>
          </w:p>
        </w:tc>
        <w:tc>
          <w:tcPr>
            <w:tcW w:w="2268" w:type="dxa"/>
          </w:tcPr>
          <w:p w14:paraId="602D0434" w14:textId="3A6FAF26" w:rsidR="0099427F" w:rsidRPr="004F7F40" w:rsidRDefault="00490391" w:rsidP="00FD4A39">
            <w:pPr>
              <w:rPr>
                <w:rFonts w:ascii="Arial" w:hAnsi="Arial" w:cs="Arial"/>
                <w:sz w:val="20"/>
                <w:szCs w:val="20"/>
              </w:rPr>
            </w:pPr>
            <w:r w:rsidRPr="004F7F40">
              <w:rPr>
                <w:rFonts w:ascii="Arial" w:hAnsi="Arial" w:cs="Arial"/>
                <w:sz w:val="20"/>
                <w:szCs w:val="20"/>
              </w:rPr>
              <w:t>New, consecutive contract</w:t>
            </w:r>
            <w:r w:rsidR="00E34156" w:rsidRPr="004F7F40">
              <w:rPr>
                <w:rFonts w:ascii="Arial" w:hAnsi="Arial" w:cs="Arial"/>
                <w:sz w:val="20"/>
                <w:szCs w:val="20"/>
              </w:rPr>
              <w:t xml:space="preserve"> offered.</w:t>
            </w:r>
          </w:p>
        </w:tc>
      </w:tr>
      <w:tr w:rsidR="0099427F" w:rsidRPr="004F7F40" w14:paraId="343900BC" w14:textId="77777777" w:rsidTr="00156191">
        <w:trPr>
          <w:trHeight w:val="421"/>
        </w:trPr>
        <w:tc>
          <w:tcPr>
            <w:tcW w:w="2263" w:type="dxa"/>
          </w:tcPr>
          <w:p w14:paraId="6104A75D" w14:textId="7CC866CB" w:rsidR="0099427F" w:rsidRPr="004F7F40" w:rsidRDefault="0099427F" w:rsidP="00FD4A39">
            <w:pPr>
              <w:rPr>
                <w:rFonts w:ascii="Arial" w:hAnsi="Arial" w:cs="Arial"/>
                <w:b/>
                <w:bCs/>
                <w:sz w:val="20"/>
                <w:szCs w:val="20"/>
              </w:rPr>
            </w:pPr>
            <w:r w:rsidRPr="004F7F40">
              <w:rPr>
                <w:rFonts w:ascii="Arial" w:hAnsi="Arial" w:cs="Arial"/>
                <w:b/>
                <w:bCs/>
                <w:sz w:val="20"/>
                <w:szCs w:val="20"/>
              </w:rPr>
              <w:t>Redundancy/ Termination provisions</w:t>
            </w:r>
          </w:p>
        </w:tc>
        <w:tc>
          <w:tcPr>
            <w:tcW w:w="3119" w:type="dxa"/>
          </w:tcPr>
          <w:p w14:paraId="0A958E08" w14:textId="77777777" w:rsidR="0099427F" w:rsidRPr="004F7F40" w:rsidRDefault="0099427F" w:rsidP="00FD4A39">
            <w:pPr>
              <w:rPr>
                <w:rFonts w:ascii="Arial" w:hAnsi="Arial" w:cs="Arial"/>
                <w:sz w:val="20"/>
                <w:szCs w:val="20"/>
              </w:rPr>
            </w:pPr>
            <w:r w:rsidRPr="004F7F40">
              <w:rPr>
                <w:rFonts w:ascii="Arial" w:hAnsi="Arial" w:cs="Arial"/>
                <w:sz w:val="20"/>
                <w:szCs w:val="20"/>
              </w:rPr>
              <w:t>Balance of contract up to maximum of 6 months at Total Employment Cost</w:t>
            </w:r>
          </w:p>
        </w:tc>
        <w:tc>
          <w:tcPr>
            <w:tcW w:w="2410" w:type="dxa"/>
          </w:tcPr>
          <w:p w14:paraId="26766F6C" w14:textId="05D4D409" w:rsidR="0099427F" w:rsidRPr="004F7F40" w:rsidRDefault="00E34156" w:rsidP="00FD4A39">
            <w:pPr>
              <w:rPr>
                <w:rFonts w:ascii="Arial" w:hAnsi="Arial" w:cs="Arial"/>
                <w:sz w:val="20"/>
                <w:szCs w:val="20"/>
              </w:rPr>
            </w:pPr>
            <w:r w:rsidRPr="004F7F40">
              <w:rPr>
                <w:rFonts w:ascii="Arial" w:hAnsi="Arial" w:cs="Arial"/>
                <w:sz w:val="20"/>
                <w:szCs w:val="20"/>
              </w:rPr>
              <w:t xml:space="preserve">Balance of contract up to maximum of 6 months at Total Employment Cost. If the CEO was an ongoing employee immediately prior to entering a Contract; four (4) weeks (or five (5) weeks in the case of an Executive Contract Officer over the age of 45 years); and two (2) weeks for each year or part year of continuous service (or deemed continuous service), up to a maximum of </w:t>
            </w:r>
            <w:r w:rsidR="007D7458" w:rsidRPr="004F7F40">
              <w:rPr>
                <w:rFonts w:ascii="Arial" w:hAnsi="Arial" w:cs="Arial"/>
                <w:sz w:val="20"/>
                <w:szCs w:val="20"/>
              </w:rPr>
              <w:t>48</w:t>
            </w:r>
            <w:r w:rsidRPr="004F7F40">
              <w:rPr>
                <w:rFonts w:ascii="Arial" w:hAnsi="Arial" w:cs="Arial"/>
                <w:sz w:val="20"/>
                <w:szCs w:val="20"/>
              </w:rPr>
              <w:t xml:space="preserve"> weeks.</w:t>
            </w:r>
          </w:p>
        </w:tc>
        <w:tc>
          <w:tcPr>
            <w:tcW w:w="2268" w:type="dxa"/>
          </w:tcPr>
          <w:p w14:paraId="289D43A6" w14:textId="0D4D17D8" w:rsidR="0099427F" w:rsidRPr="004F7F40" w:rsidRDefault="00E34156" w:rsidP="00FD4A39">
            <w:pPr>
              <w:rPr>
                <w:rFonts w:ascii="Arial" w:hAnsi="Arial" w:cs="Arial"/>
                <w:sz w:val="20"/>
                <w:szCs w:val="20"/>
              </w:rPr>
            </w:pPr>
            <w:r w:rsidRPr="004F7F40">
              <w:rPr>
                <w:rFonts w:ascii="Arial" w:hAnsi="Arial" w:cs="Arial"/>
                <w:sz w:val="20"/>
                <w:szCs w:val="20"/>
              </w:rPr>
              <w:t xml:space="preserve">Balance of contract up to maximum of 6 months at Total Employment Cost. If the CEO was an ongoing employee immediately prior to entering a Contract; four (4) weeks (or five (5) weeks in the case of an Executive Contract Officer over the age of 45 years); and two (2) weeks for each year or part year of continuous service (or deemed continuous </w:t>
            </w:r>
            <w:r w:rsidRPr="004F7F40">
              <w:rPr>
                <w:rFonts w:ascii="Arial" w:hAnsi="Arial" w:cs="Arial"/>
                <w:sz w:val="20"/>
                <w:szCs w:val="20"/>
              </w:rPr>
              <w:lastRenderedPageBreak/>
              <w:t xml:space="preserve">service), up to a maximum of </w:t>
            </w:r>
            <w:r w:rsidR="007D7458" w:rsidRPr="004F7F40">
              <w:rPr>
                <w:rFonts w:ascii="Arial" w:hAnsi="Arial" w:cs="Arial"/>
                <w:sz w:val="20"/>
                <w:szCs w:val="20"/>
              </w:rPr>
              <w:t>48</w:t>
            </w:r>
            <w:r w:rsidRPr="004F7F40">
              <w:rPr>
                <w:rFonts w:ascii="Arial" w:hAnsi="Arial" w:cs="Arial"/>
                <w:sz w:val="20"/>
                <w:szCs w:val="20"/>
              </w:rPr>
              <w:t xml:space="preserve"> weeks.</w:t>
            </w:r>
          </w:p>
        </w:tc>
      </w:tr>
      <w:tr w:rsidR="0099427F" w:rsidRPr="004F7F40" w14:paraId="3B72C3C0" w14:textId="77777777" w:rsidTr="00FD4A39">
        <w:tc>
          <w:tcPr>
            <w:tcW w:w="2263" w:type="dxa"/>
          </w:tcPr>
          <w:p w14:paraId="09DE0670"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lastRenderedPageBreak/>
              <w:t>Process re extension</w:t>
            </w:r>
          </w:p>
        </w:tc>
        <w:tc>
          <w:tcPr>
            <w:tcW w:w="3119" w:type="dxa"/>
          </w:tcPr>
          <w:p w14:paraId="25A9BDDF" w14:textId="77777777" w:rsidR="0099427F" w:rsidRPr="004F7F40" w:rsidRDefault="0099427F" w:rsidP="00FD4A39">
            <w:pPr>
              <w:rPr>
                <w:rFonts w:ascii="Arial" w:hAnsi="Arial" w:cs="Arial"/>
                <w:sz w:val="20"/>
                <w:szCs w:val="20"/>
              </w:rPr>
            </w:pPr>
            <w:r w:rsidRPr="004F7F40">
              <w:rPr>
                <w:rFonts w:ascii="Arial" w:hAnsi="Arial" w:cs="Arial"/>
                <w:sz w:val="20"/>
                <w:szCs w:val="20"/>
              </w:rPr>
              <w:t>No advertising. Extension must be settled no later than 6 months before expiry.</w:t>
            </w:r>
          </w:p>
        </w:tc>
        <w:tc>
          <w:tcPr>
            <w:tcW w:w="2410" w:type="dxa"/>
          </w:tcPr>
          <w:p w14:paraId="7BE5DCEA" w14:textId="78D87DB4" w:rsidR="0099427F" w:rsidRPr="004F7F40" w:rsidRDefault="00490391" w:rsidP="00FD4A39">
            <w:pPr>
              <w:rPr>
                <w:rFonts w:ascii="Arial" w:hAnsi="Arial" w:cs="Arial"/>
                <w:sz w:val="20"/>
                <w:szCs w:val="20"/>
              </w:rPr>
            </w:pPr>
            <w:r w:rsidRPr="004F7F40">
              <w:rPr>
                <w:rFonts w:ascii="Arial" w:hAnsi="Arial" w:cs="Arial"/>
                <w:sz w:val="20"/>
                <w:szCs w:val="20"/>
              </w:rPr>
              <w:t>No advertising.</w:t>
            </w:r>
            <w:r w:rsidR="00E34156" w:rsidRPr="004F7F40">
              <w:rPr>
                <w:rFonts w:ascii="Arial" w:hAnsi="Arial" w:cs="Arial"/>
                <w:sz w:val="20"/>
                <w:szCs w:val="20"/>
              </w:rPr>
              <w:t xml:space="preserve"> At least</w:t>
            </w:r>
            <w:r w:rsidRPr="004F7F40">
              <w:rPr>
                <w:rFonts w:ascii="Arial" w:hAnsi="Arial" w:cs="Arial"/>
                <w:sz w:val="20"/>
                <w:szCs w:val="20"/>
              </w:rPr>
              <w:t xml:space="preserve"> six months prior to expiry</w:t>
            </w:r>
            <w:r w:rsidR="00E34156" w:rsidRPr="004F7F40">
              <w:rPr>
                <w:rFonts w:ascii="Arial" w:hAnsi="Arial" w:cs="Arial"/>
                <w:sz w:val="20"/>
                <w:szCs w:val="20"/>
              </w:rPr>
              <w:t xml:space="preserve"> of contract the CPE will inform relevant Minister and seek approval to commence negotiations for contract renewal. Discussion take place between CPE and CEO. CM on advice from ERRP considers the approval of contract renewals</w:t>
            </w:r>
            <w:r w:rsidRPr="004F7F40">
              <w:rPr>
                <w:rFonts w:ascii="Arial" w:hAnsi="Arial" w:cs="Arial"/>
                <w:sz w:val="20"/>
                <w:szCs w:val="20"/>
              </w:rPr>
              <w:t>.</w:t>
            </w:r>
          </w:p>
        </w:tc>
        <w:tc>
          <w:tcPr>
            <w:tcW w:w="2268" w:type="dxa"/>
          </w:tcPr>
          <w:p w14:paraId="3C58F318" w14:textId="245B63B8" w:rsidR="0099427F" w:rsidRPr="004F7F40" w:rsidRDefault="00490391" w:rsidP="00FD4A39">
            <w:pPr>
              <w:rPr>
                <w:rFonts w:ascii="Arial" w:hAnsi="Arial" w:cs="Arial"/>
                <w:sz w:val="20"/>
                <w:szCs w:val="20"/>
              </w:rPr>
            </w:pPr>
            <w:r w:rsidRPr="004F7F40">
              <w:rPr>
                <w:rFonts w:ascii="Arial" w:hAnsi="Arial" w:cs="Arial"/>
                <w:sz w:val="20"/>
                <w:szCs w:val="20"/>
              </w:rPr>
              <w:t xml:space="preserve">No advertising. </w:t>
            </w:r>
            <w:r w:rsidR="00E34156" w:rsidRPr="004F7F40">
              <w:rPr>
                <w:rFonts w:ascii="Arial" w:hAnsi="Arial" w:cs="Arial"/>
                <w:sz w:val="20"/>
                <w:szCs w:val="20"/>
              </w:rPr>
              <w:t>At least six months prior to expiry of contract the CPE will inform relevant Minister and seek approval to commence negotiations for contract renewal. Discussion take place between CPE and CEO. CM on advice from ERRP considers the approval of contract renewals.</w:t>
            </w:r>
          </w:p>
        </w:tc>
      </w:tr>
      <w:tr w:rsidR="001A6EB8" w:rsidRPr="004F7F40" w14:paraId="0B5C4DAC" w14:textId="77777777" w:rsidTr="00140ACE">
        <w:tc>
          <w:tcPr>
            <w:tcW w:w="10060" w:type="dxa"/>
            <w:gridSpan w:val="4"/>
            <w:shd w:val="pct10" w:color="auto" w:fill="FFFFFF"/>
          </w:tcPr>
          <w:p w14:paraId="3878BFA1" w14:textId="1BDBD96C" w:rsidR="001A6EB8" w:rsidRPr="004F7F40" w:rsidRDefault="001A6EB8" w:rsidP="00FD4A39">
            <w:pPr>
              <w:rPr>
                <w:rFonts w:ascii="Arial" w:hAnsi="Arial" w:cs="Arial"/>
                <w:sz w:val="22"/>
              </w:rPr>
            </w:pPr>
            <w:r w:rsidRPr="004F7F40">
              <w:rPr>
                <w:rFonts w:ascii="Arial" w:hAnsi="Arial" w:cs="Arial"/>
                <w:b/>
                <w:sz w:val="22"/>
              </w:rPr>
              <w:t>Performance Management</w:t>
            </w:r>
          </w:p>
        </w:tc>
      </w:tr>
      <w:tr w:rsidR="0099427F" w:rsidRPr="004F7F40" w14:paraId="5E036C53" w14:textId="77777777" w:rsidTr="00FD4A39">
        <w:tc>
          <w:tcPr>
            <w:tcW w:w="2263" w:type="dxa"/>
          </w:tcPr>
          <w:p w14:paraId="6F1C6C37"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Program in place</w:t>
            </w:r>
          </w:p>
        </w:tc>
        <w:tc>
          <w:tcPr>
            <w:tcW w:w="3119" w:type="dxa"/>
          </w:tcPr>
          <w:p w14:paraId="307064AE" w14:textId="77777777" w:rsidR="0099427F" w:rsidRPr="004F7F40" w:rsidRDefault="0099427F" w:rsidP="00FD4A39">
            <w:pPr>
              <w:rPr>
                <w:rFonts w:ascii="Arial" w:hAnsi="Arial" w:cs="Arial"/>
                <w:sz w:val="20"/>
                <w:szCs w:val="20"/>
              </w:rPr>
            </w:pPr>
            <w:r w:rsidRPr="004F7F40">
              <w:rPr>
                <w:rFonts w:ascii="Arial" w:hAnsi="Arial" w:cs="Arial"/>
                <w:sz w:val="20"/>
                <w:szCs w:val="20"/>
              </w:rPr>
              <w:t>Provided in contract.</w:t>
            </w:r>
          </w:p>
        </w:tc>
        <w:tc>
          <w:tcPr>
            <w:tcW w:w="2410" w:type="dxa"/>
          </w:tcPr>
          <w:p w14:paraId="62D333DC" w14:textId="0C564B94" w:rsidR="0099427F" w:rsidRPr="004F7F40" w:rsidRDefault="00146225" w:rsidP="00FD4A39">
            <w:pPr>
              <w:rPr>
                <w:rFonts w:ascii="Arial" w:hAnsi="Arial" w:cs="Arial"/>
                <w:sz w:val="20"/>
                <w:szCs w:val="20"/>
              </w:rPr>
            </w:pPr>
            <w:r w:rsidRPr="004F7F40">
              <w:rPr>
                <w:rFonts w:ascii="Arial" w:hAnsi="Arial" w:cs="Arial"/>
                <w:i/>
                <w:iCs/>
                <w:sz w:val="20"/>
                <w:szCs w:val="20"/>
              </w:rPr>
              <w:t>Determination 13 of 2011</w:t>
            </w:r>
            <w:r w:rsidR="00051A37" w:rsidRPr="004F7F40">
              <w:rPr>
                <w:rFonts w:ascii="Arial" w:hAnsi="Arial" w:cs="Arial"/>
                <w:sz w:val="20"/>
                <w:szCs w:val="20"/>
              </w:rPr>
              <w:t xml:space="preserve"> (clause 107): </w:t>
            </w:r>
            <w:r w:rsidRPr="004F7F40">
              <w:rPr>
                <w:rFonts w:ascii="Arial" w:hAnsi="Arial" w:cs="Arial"/>
                <w:i/>
                <w:iCs/>
                <w:sz w:val="20"/>
                <w:szCs w:val="20"/>
              </w:rPr>
              <w:t>The matter of performance review for Chief Executive Officers will be at the discretion of the Minister or Chief Minister, as appropriate.</w:t>
            </w:r>
          </w:p>
        </w:tc>
        <w:tc>
          <w:tcPr>
            <w:tcW w:w="2268" w:type="dxa"/>
          </w:tcPr>
          <w:p w14:paraId="5B797828" w14:textId="610D5119" w:rsidR="0099427F" w:rsidRPr="004F7F40" w:rsidRDefault="00CA7CAB" w:rsidP="00FD4A39">
            <w:pPr>
              <w:rPr>
                <w:rFonts w:ascii="Arial" w:hAnsi="Arial" w:cs="Arial"/>
                <w:sz w:val="20"/>
                <w:szCs w:val="20"/>
              </w:rPr>
            </w:pPr>
            <w:r w:rsidRPr="004F7F40">
              <w:rPr>
                <w:rFonts w:ascii="Arial" w:hAnsi="Arial" w:cs="Arial"/>
                <w:iCs/>
                <w:sz w:val="20"/>
                <w:szCs w:val="20"/>
              </w:rPr>
              <w:t>Under the provisions of the relevant Determination, the matter of performance review for Chief Executive Officers will be at the discretion of the Minister or Chief Minister, as appropriate.</w:t>
            </w:r>
          </w:p>
        </w:tc>
      </w:tr>
      <w:tr w:rsidR="0099427F" w:rsidRPr="004F7F40" w14:paraId="2710A402" w14:textId="77777777" w:rsidTr="00FD4A39">
        <w:tc>
          <w:tcPr>
            <w:tcW w:w="2263" w:type="dxa"/>
          </w:tcPr>
          <w:p w14:paraId="445F852B"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Frequency of assessment</w:t>
            </w:r>
          </w:p>
        </w:tc>
        <w:tc>
          <w:tcPr>
            <w:tcW w:w="3119" w:type="dxa"/>
          </w:tcPr>
          <w:p w14:paraId="1F84945F" w14:textId="77777777" w:rsidR="0099427F" w:rsidRPr="004F7F40" w:rsidRDefault="0099427F" w:rsidP="00FD4A39">
            <w:pPr>
              <w:rPr>
                <w:rFonts w:ascii="Arial" w:hAnsi="Arial" w:cs="Arial"/>
                <w:sz w:val="20"/>
                <w:szCs w:val="20"/>
              </w:rPr>
            </w:pPr>
            <w:r w:rsidRPr="004F7F40">
              <w:rPr>
                <w:rFonts w:ascii="Arial" w:hAnsi="Arial" w:cs="Arial"/>
                <w:sz w:val="20"/>
                <w:szCs w:val="20"/>
              </w:rPr>
              <w:t>At least once per annum.</w:t>
            </w:r>
          </w:p>
        </w:tc>
        <w:tc>
          <w:tcPr>
            <w:tcW w:w="2410" w:type="dxa"/>
          </w:tcPr>
          <w:p w14:paraId="3C3CBA82" w14:textId="56ED2251" w:rsidR="0099427F" w:rsidRPr="004F7F40" w:rsidRDefault="00CA7CAB" w:rsidP="00FD4A39">
            <w:pPr>
              <w:rPr>
                <w:rFonts w:ascii="Arial" w:hAnsi="Arial" w:cs="Arial"/>
                <w:sz w:val="20"/>
                <w:szCs w:val="20"/>
              </w:rPr>
            </w:pPr>
            <w:r w:rsidRPr="004F7F40">
              <w:rPr>
                <w:rFonts w:ascii="Arial" w:hAnsi="Arial" w:cs="Arial"/>
                <w:sz w:val="20"/>
                <w:szCs w:val="20"/>
              </w:rPr>
              <w:t>At least once per annum</w:t>
            </w:r>
          </w:p>
        </w:tc>
        <w:tc>
          <w:tcPr>
            <w:tcW w:w="2268" w:type="dxa"/>
          </w:tcPr>
          <w:p w14:paraId="00CBD756" w14:textId="624A6F64" w:rsidR="0099427F" w:rsidRPr="004F7F40" w:rsidRDefault="00CA7CAB" w:rsidP="00FD4A39">
            <w:pPr>
              <w:rPr>
                <w:rFonts w:ascii="Arial" w:hAnsi="Arial" w:cs="Arial"/>
                <w:sz w:val="20"/>
                <w:szCs w:val="20"/>
              </w:rPr>
            </w:pPr>
            <w:r w:rsidRPr="004F7F40">
              <w:rPr>
                <w:rFonts w:ascii="Arial" w:hAnsi="Arial" w:cs="Arial"/>
                <w:sz w:val="20"/>
                <w:szCs w:val="20"/>
              </w:rPr>
              <w:t>At least once per annum</w:t>
            </w:r>
          </w:p>
        </w:tc>
      </w:tr>
      <w:tr w:rsidR="0099427F" w:rsidRPr="004F7F40" w14:paraId="0F68AAA7" w14:textId="77777777" w:rsidTr="00FD4A39">
        <w:tc>
          <w:tcPr>
            <w:tcW w:w="2263" w:type="dxa"/>
          </w:tcPr>
          <w:p w14:paraId="4470A92F"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Types of measures</w:t>
            </w:r>
          </w:p>
        </w:tc>
        <w:tc>
          <w:tcPr>
            <w:tcW w:w="3119" w:type="dxa"/>
          </w:tcPr>
          <w:p w14:paraId="311747DB" w14:textId="77777777" w:rsidR="0099427F" w:rsidRPr="004F7F40" w:rsidRDefault="0099427F" w:rsidP="00FD4A39">
            <w:pPr>
              <w:rPr>
                <w:rFonts w:ascii="Arial" w:hAnsi="Arial" w:cs="Arial"/>
                <w:sz w:val="20"/>
                <w:szCs w:val="20"/>
              </w:rPr>
            </w:pPr>
            <w:r w:rsidRPr="004F7F40">
              <w:rPr>
                <w:rFonts w:ascii="Arial" w:hAnsi="Arial" w:cs="Arial"/>
                <w:sz w:val="20"/>
                <w:szCs w:val="20"/>
              </w:rPr>
              <w:t>Informal with Minister.</w:t>
            </w:r>
          </w:p>
        </w:tc>
        <w:tc>
          <w:tcPr>
            <w:tcW w:w="2410" w:type="dxa"/>
          </w:tcPr>
          <w:p w14:paraId="20094126" w14:textId="77036900" w:rsidR="00903FCC" w:rsidRPr="004F7F40" w:rsidRDefault="00891E5F" w:rsidP="00B72A3C">
            <w:pPr>
              <w:rPr>
                <w:rFonts w:ascii="Arial" w:hAnsi="Arial" w:cs="Arial"/>
                <w:b/>
                <w:sz w:val="20"/>
                <w:szCs w:val="20"/>
              </w:rPr>
            </w:pPr>
            <w:bookmarkStart w:id="12" w:name="_Toc42578955"/>
            <w:r w:rsidRPr="004F7F40">
              <w:rPr>
                <w:rFonts w:ascii="Arial" w:hAnsi="Arial" w:cs="Arial"/>
                <w:b/>
                <w:sz w:val="20"/>
                <w:szCs w:val="20"/>
              </w:rPr>
              <w:t>2009</w:t>
            </w:r>
            <w:r w:rsidRPr="004F7F40">
              <w:rPr>
                <w:rFonts w:ascii="Arial" w:hAnsi="Arial" w:cs="Arial"/>
                <w:sz w:val="20"/>
                <w:szCs w:val="20"/>
              </w:rPr>
              <w:t xml:space="preserve"> </w:t>
            </w:r>
            <w:r w:rsidR="00136206" w:rsidRPr="004F7F40">
              <w:rPr>
                <w:rFonts w:ascii="Arial" w:hAnsi="Arial" w:cs="Arial"/>
                <w:sz w:val="20"/>
                <w:szCs w:val="20"/>
              </w:rPr>
              <w:t>–</w:t>
            </w:r>
            <w:r w:rsidR="00903FCC" w:rsidRPr="004F7F40">
              <w:rPr>
                <w:rFonts w:ascii="Arial" w:hAnsi="Arial" w:cs="Arial"/>
                <w:sz w:val="20"/>
                <w:szCs w:val="20"/>
              </w:rPr>
              <w:t xml:space="preserve"> Amended CEO Performance Agreement guidelines and templates to incorporate priorities for Closing the Gap and to align timing of CEO reports on achievements and new performance agreements on 1 August each year</w:t>
            </w:r>
            <w:r w:rsidR="00E07E60" w:rsidRPr="004F7F40">
              <w:rPr>
                <w:rFonts w:ascii="Arial" w:hAnsi="Arial" w:cs="Arial"/>
                <w:sz w:val="20"/>
                <w:szCs w:val="20"/>
              </w:rPr>
              <w:t>.</w:t>
            </w:r>
            <w:bookmarkEnd w:id="12"/>
          </w:p>
          <w:p w14:paraId="5CA033BB" w14:textId="77777777" w:rsidR="00CA7CAB" w:rsidRPr="004F7F40" w:rsidRDefault="00CA7CAB" w:rsidP="00CA7CAB">
            <w:pPr>
              <w:spacing w:after="0"/>
              <w:rPr>
                <w:rFonts w:ascii="Arial" w:hAnsi="Arial" w:cs="Arial"/>
                <w:sz w:val="20"/>
                <w:szCs w:val="20"/>
              </w:rPr>
            </w:pPr>
            <w:r w:rsidRPr="004F7F40">
              <w:rPr>
                <w:rFonts w:ascii="Arial" w:hAnsi="Arial" w:cs="Arial"/>
                <w:sz w:val="20"/>
                <w:szCs w:val="20"/>
              </w:rPr>
              <w:t>From 2013 – To “plan, monitor and assess CEO performance”, performance agreements to include:</w:t>
            </w:r>
          </w:p>
          <w:p w14:paraId="18D6F139" w14:textId="77777777" w:rsidR="00903FCC" w:rsidRPr="004F7F40" w:rsidRDefault="00CA7CAB" w:rsidP="009000CC">
            <w:pPr>
              <w:pStyle w:val="ListParagraph"/>
              <w:numPr>
                <w:ilvl w:val="0"/>
                <w:numId w:val="27"/>
              </w:numPr>
              <w:spacing w:after="0"/>
              <w:rPr>
                <w:rFonts w:ascii="Arial" w:hAnsi="Arial" w:cs="Arial"/>
                <w:sz w:val="20"/>
                <w:szCs w:val="20"/>
              </w:rPr>
            </w:pPr>
            <w:r w:rsidRPr="004F7F40">
              <w:rPr>
                <w:rFonts w:ascii="Arial" w:hAnsi="Arial" w:cs="Arial"/>
                <w:sz w:val="20"/>
                <w:szCs w:val="20"/>
              </w:rPr>
              <w:t>Portfolio priorities (as determined by Minister</w:t>
            </w:r>
            <w:r w:rsidR="00903FCC" w:rsidRPr="004F7F40">
              <w:rPr>
                <w:rFonts w:ascii="Arial" w:hAnsi="Arial" w:cs="Arial"/>
                <w:sz w:val="20"/>
                <w:szCs w:val="20"/>
              </w:rPr>
              <w:t>)</w:t>
            </w:r>
          </w:p>
          <w:p w14:paraId="08F0CE09" w14:textId="77777777" w:rsidR="00903FCC" w:rsidRPr="004F7F40" w:rsidRDefault="00903FCC" w:rsidP="009000CC">
            <w:pPr>
              <w:pStyle w:val="ListParagraph"/>
              <w:numPr>
                <w:ilvl w:val="0"/>
                <w:numId w:val="27"/>
              </w:numPr>
              <w:spacing w:after="0"/>
              <w:rPr>
                <w:rFonts w:ascii="Arial" w:hAnsi="Arial" w:cs="Arial"/>
                <w:sz w:val="20"/>
                <w:szCs w:val="20"/>
              </w:rPr>
            </w:pPr>
            <w:r w:rsidRPr="004F7F40">
              <w:rPr>
                <w:rFonts w:ascii="Arial" w:hAnsi="Arial" w:cs="Arial"/>
                <w:sz w:val="20"/>
                <w:szCs w:val="20"/>
              </w:rPr>
              <w:t>Whole of government priorities (as determined by the Department of the Chief Minister)</w:t>
            </w:r>
          </w:p>
          <w:p w14:paraId="191CD6D6" w14:textId="77777777" w:rsidR="00903FCC" w:rsidRPr="004F7F40" w:rsidRDefault="00903FCC" w:rsidP="009000CC">
            <w:pPr>
              <w:pStyle w:val="ListParagraph"/>
              <w:numPr>
                <w:ilvl w:val="0"/>
                <w:numId w:val="27"/>
              </w:numPr>
              <w:spacing w:after="0"/>
              <w:rPr>
                <w:rFonts w:ascii="Arial" w:hAnsi="Arial" w:cs="Arial"/>
                <w:sz w:val="20"/>
                <w:szCs w:val="20"/>
              </w:rPr>
            </w:pPr>
            <w:r w:rsidRPr="004F7F40">
              <w:rPr>
                <w:rFonts w:ascii="Arial" w:hAnsi="Arial" w:cs="Arial"/>
                <w:sz w:val="20"/>
                <w:szCs w:val="20"/>
              </w:rPr>
              <w:t xml:space="preserve">Financial leadership and governance </w:t>
            </w:r>
            <w:r w:rsidRPr="004F7F40">
              <w:rPr>
                <w:rFonts w:ascii="Arial" w:hAnsi="Arial" w:cs="Arial"/>
                <w:sz w:val="20"/>
                <w:szCs w:val="20"/>
              </w:rPr>
              <w:lastRenderedPageBreak/>
              <w:t>outcomes (as determined by Treasury and Finance)</w:t>
            </w:r>
          </w:p>
          <w:p w14:paraId="026A7FA0" w14:textId="77777777" w:rsidR="00903FCC" w:rsidRPr="004F7F40" w:rsidRDefault="00903FCC" w:rsidP="009000CC">
            <w:pPr>
              <w:pStyle w:val="ListParagraph"/>
              <w:numPr>
                <w:ilvl w:val="0"/>
                <w:numId w:val="27"/>
              </w:numPr>
              <w:spacing w:after="0"/>
              <w:rPr>
                <w:rFonts w:ascii="Arial" w:hAnsi="Arial" w:cs="Arial"/>
                <w:sz w:val="20"/>
                <w:szCs w:val="20"/>
              </w:rPr>
            </w:pPr>
            <w:r w:rsidRPr="004F7F40">
              <w:rPr>
                <w:rFonts w:ascii="Arial" w:hAnsi="Arial" w:cs="Arial"/>
                <w:sz w:val="20"/>
                <w:szCs w:val="20"/>
              </w:rPr>
              <w:t>People leadership and performance (as determined by OCPE)</w:t>
            </w:r>
          </w:p>
          <w:p w14:paraId="652C5B32" w14:textId="2FEA1118" w:rsidR="0099427F" w:rsidRPr="004F7F40" w:rsidRDefault="00CA7CAB" w:rsidP="00FD4A39">
            <w:pPr>
              <w:rPr>
                <w:rFonts w:ascii="Arial" w:hAnsi="Arial" w:cs="Arial"/>
                <w:sz w:val="20"/>
                <w:szCs w:val="20"/>
              </w:rPr>
            </w:pPr>
            <w:r w:rsidRPr="004F7F40">
              <w:rPr>
                <w:rFonts w:ascii="Arial" w:hAnsi="Arial" w:cs="Arial"/>
                <w:sz w:val="20"/>
                <w:szCs w:val="20"/>
              </w:rPr>
              <w:t>Professional growth and development.</w:t>
            </w:r>
          </w:p>
        </w:tc>
        <w:tc>
          <w:tcPr>
            <w:tcW w:w="2268" w:type="dxa"/>
          </w:tcPr>
          <w:p w14:paraId="71B387AB" w14:textId="2217ACDC" w:rsidR="0099427F" w:rsidRPr="004F7F40" w:rsidRDefault="00CA7CAB" w:rsidP="00B72A3C">
            <w:pPr>
              <w:spacing w:after="0"/>
              <w:rPr>
                <w:rFonts w:ascii="Arial" w:hAnsi="Arial" w:cs="Arial"/>
                <w:sz w:val="20"/>
                <w:szCs w:val="20"/>
              </w:rPr>
            </w:pPr>
            <w:r w:rsidRPr="004F7F40">
              <w:rPr>
                <w:rFonts w:ascii="Arial" w:hAnsi="Arial" w:cs="Arial"/>
                <w:b/>
                <w:sz w:val="20"/>
                <w:szCs w:val="20"/>
              </w:rPr>
              <w:lastRenderedPageBreak/>
              <w:t>2019</w:t>
            </w:r>
            <w:r w:rsidRPr="004F7F40">
              <w:rPr>
                <w:rFonts w:ascii="Arial" w:hAnsi="Arial" w:cs="Arial"/>
                <w:sz w:val="20"/>
                <w:szCs w:val="20"/>
              </w:rPr>
              <w:t xml:space="preserve"> –</w:t>
            </w:r>
            <w:r w:rsidR="00903FCC" w:rsidRPr="004F7F40">
              <w:rPr>
                <w:rFonts w:ascii="Arial" w:hAnsi="Arial" w:cs="Arial"/>
                <w:sz w:val="20"/>
                <w:szCs w:val="20"/>
              </w:rPr>
              <w:t xml:space="preserve"> CEO </w:t>
            </w:r>
            <w:r w:rsidRPr="004F7F40">
              <w:rPr>
                <w:rFonts w:ascii="Arial" w:hAnsi="Arial" w:cs="Arial"/>
                <w:sz w:val="20"/>
                <w:szCs w:val="20"/>
              </w:rPr>
              <w:t>Performance Agreements</w:t>
            </w:r>
            <w:r w:rsidR="00903FCC" w:rsidRPr="004F7F40">
              <w:rPr>
                <w:rFonts w:ascii="Arial" w:hAnsi="Arial" w:cs="Arial"/>
                <w:sz w:val="20"/>
                <w:szCs w:val="20"/>
              </w:rPr>
              <w:t xml:space="preserve"> to include</w:t>
            </w:r>
            <w:r w:rsidRPr="004F7F40">
              <w:rPr>
                <w:rFonts w:ascii="Arial" w:hAnsi="Arial" w:cs="Arial"/>
                <w:sz w:val="20"/>
                <w:szCs w:val="20"/>
              </w:rPr>
              <w:t xml:space="preserve"> KPIs for FTE caps.</w:t>
            </w:r>
          </w:p>
        </w:tc>
      </w:tr>
      <w:tr w:rsidR="0099427F" w:rsidRPr="004F7F40" w14:paraId="0626D96E" w14:textId="77777777" w:rsidTr="00FD4A39">
        <w:tc>
          <w:tcPr>
            <w:tcW w:w="2263" w:type="dxa"/>
          </w:tcPr>
          <w:p w14:paraId="3D678223"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Purpose</w:t>
            </w:r>
          </w:p>
        </w:tc>
        <w:tc>
          <w:tcPr>
            <w:tcW w:w="3119" w:type="dxa"/>
          </w:tcPr>
          <w:p w14:paraId="46F85EC4" w14:textId="77777777" w:rsidR="0099427F" w:rsidRPr="004F7F40" w:rsidRDefault="0099427F" w:rsidP="00FD4A39">
            <w:pPr>
              <w:rPr>
                <w:rFonts w:ascii="Arial" w:hAnsi="Arial" w:cs="Arial"/>
                <w:sz w:val="20"/>
                <w:szCs w:val="20"/>
              </w:rPr>
            </w:pPr>
            <w:r w:rsidRPr="004F7F40">
              <w:rPr>
                <w:rFonts w:ascii="Arial" w:hAnsi="Arial" w:cs="Arial"/>
                <w:sz w:val="20"/>
                <w:szCs w:val="20"/>
              </w:rPr>
              <w:t>Continuous improvement and accountability.</w:t>
            </w:r>
          </w:p>
        </w:tc>
        <w:tc>
          <w:tcPr>
            <w:tcW w:w="2410" w:type="dxa"/>
          </w:tcPr>
          <w:p w14:paraId="41586E2E" w14:textId="1F8F7FA0" w:rsidR="0099427F" w:rsidRPr="004F7F40" w:rsidRDefault="00B04ABA" w:rsidP="00FD4A39">
            <w:pPr>
              <w:rPr>
                <w:rFonts w:ascii="Arial" w:hAnsi="Arial" w:cs="Arial"/>
                <w:sz w:val="20"/>
                <w:szCs w:val="20"/>
              </w:rPr>
            </w:pPr>
            <w:r w:rsidRPr="004F7F40">
              <w:rPr>
                <w:rFonts w:ascii="Arial" w:hAnsi="Arial" w:cs="Arial"/>
                <w:sz w:val="20"/>
                <w:szCs w:val="20"/>
              </w:rPr>
              <w:t>Continuous improvement and accountability.</w:t>
            </w:r>
          </w:p>
        </w:tc>
        <w:tc>
          <w:tcPr>
            <w:tcW w:w="2268" w:type="dxa"/>
          </w:tcPr>
          <w:p w14:paraId="7887A08A" w14:textId="5F1FF2D7" w:rsidR="0099427F" w:rsidRPr="004F7F40" w:rsidRDefault="00B04ABA" w:rsidP="00FD4A39">
            <w:pPr>
              <w:rPr>
                <w:rFonts w:ascii="Arial" w:hAnsi="Arial" w:cs="Arial"/>
                <w:sz w:val="20"/>
                <w:szCs w:val="20"/>
              </w:rPr>
            </w:pPr>
            <w:r w:rsidRPr="004F7F40">
              <w:rPr>
                <w:rFonts w:ascii="Arial" w:hAnsi="Arial" w:cs="Arial"/>
                <w:sz w:val="20"/>
                <w:szCs w:val="20"/>
              </w:rPr>
              <w:t>Continuous improvement and accountability.</w:t>
            </w:r>
          </w:p>
        </w:tc>
      </w:tr>
      <w:tr w:rsidR="0099427F" w:rsidRPr="004F7F40" w14:paraId="0503A826" w14:textId="77777777" w:rsidTr="00FD4A39">
        <w:tc>
          <w:tcPr>
            <w:tcW w:w="2263" w:type="dxa"/>
          </w:tcPr>
          <w:p w14:paraId="1B6FF7DA"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Who makes assessment</w:t>
            </w:r>
          </w:p>
        </w:tc>
        <w:tc>
          <w:tcPr>
            <w:tcW w:w="3119" w:type="dxa"/>
          </w:tcPr>
          <w:p w14:paraId="31842416" w14:textId="77777777" w:rsidR="0099427F" w:rsidRPr="004F7F40" w:rsidRDefault="0099427F" w:rsidP="00FD4A39">
            <w:pPr>
              <w:rPr>
                <w:rFonts w:ascii="Arial" w:hAnsi="Arial" w:cs="Arial"/>
                <w:sz w:val="20"/>
                <w:szCs w:val="20"/>
              </w:rPr>
            </w:pPr>
            <w:r w:rsidRPr="004F7F40">
              <w:rPr>
                <w:rFonts w:ascii="Arial" w:hAnsi="Arial" w:cs="Arial"/>
                <w:sz w:val="20"/>
                <w:szCs w:val="20"/>
              </w:rPr>
              <w:t>Minister but Commissioner and others may be involved.</w:t>
            </w:r>
          </w:p>
        </w:tc>
        <w:tc>
          <w:tcPr>
            <w:tcW w:w="2410" w:type="dxa"/>
          </w:tcPr>
          <w:p w14:paraId="35693B2E" w14:textId="67B41A83" w:rsidR="0099427F" w:rsidRPr="004F7F40" w:rsidRDefault="00B04ABA" w:rsidP="00FD4A39">
            <w:pPr>
              <w:rPr>
                <w:rFonts w:ascii="Arial" w:hAnsi="Arial" w:cs="Arial"/>
                <w:sz w:val="20"/>
                <w:szCs w:val="20"/>
              </w:rPr>
            </w:pPr>
            <w:r w:rsidRPr="004F7F40">
              <w:rPr>
                <w:rFonts w:ascii="Arial" w:hAnsi="Arial" w:cs="Arial"/>
                <w:sz w:val="20"/>
                <w:szCs w:val="20"/>
              </w:rPr>
              <w:t xml:space="preserve">Minister, with input from the Executive Remuneration Review Panel (ERRP) who can assist CEO with performance setting indicators and undertake mid-year performance review. </w:t>
            </w:r>
          </w:p>
        </w:tc>
        <w:tc>
          <w:tcPr>
            <w:tcW w:w="2268" w:type="dxa"/>
          </w:tcPr>
          <w:p w14:paraId="21102FBA" w14:textId="036A0FD3" w:rsidR="0099427F" w:rsidRPr="004F7F40" w:rsidRDefault="00B04ABA" w:rsidP="00FD4A39">
            <w:pPr>
              <w:rPr>
                <w:rFonts w:ascii="Arial" w:hAnsi="Arial" w:cs="Arial"/>
                <w:sz w:val="20"/>
                <w:szCs w:val="20"/>
              </w:rPr>
            </w:pPr>
            <w:r w:rsidRPr="004F7F40">
              <w:rPr>
                <w:rFonts w:ascii="Arial" w:hAnsi="Arial" w:cs="Arial"/>
                <w:sz w:val="20"/>
                <w:szCs w:val="20"/>
              </w:rPr>
              <w:t>Minister, with input from the Executive Remuneration Review Panel (ERRP) who can assist CEO with performance setting indicators and undertake mid-year performance review.</w:t>
            </w:r>
          </w:p>
        </w:tc>
      </w:tr>
      <w:tr w:rsidR="001A6EB8" w:rsidRPr="004F7F40" w14:paraId="714B3962" w14:textId="77777777" w:rsidTr="00140ACE">
        <w:tc>
          <w:tcPr>
            <w:tcW w:w="10060" w:type="dxa"/>
            <w:gridSpan w:val="4"/>
            <w:shd w:val="pct10" w:color="auto" w:fill="FFFFFF"/>
          </w:tcPr>
          <w:p w14:paraId="513820B2" w14:textId="5113F2CD" w:rsidR="001A6EB8" w:rsidRPr="004F7F40" w:rsidRDefault="001A6EB8" w:rsidP="00FD4A39">
            <w:pPr>
              <w:rPr>
                <w:rFonts w:ascii="Arial" w:hAnsi="Arial" w:cs="Arial"/>
                <w:sz w:val="22"/>
              </w:rPr>
            </w:pPr>
            <w:r w:rsidRPr="004F7F40">
              <w:rPr>
                <w:rFonts w:ascii="Arial" w:hAnsi="Arial" w:cs="Arial"/>
                <w:b/>
                <w:sz w:val="22"/>
              </w:rPr>
              <w:t>Remuneration</w:t>
            </w:r>
          </w:p>
        </w:tc>
      </w:tr>
      <w:tr w:rsidR="0099427F" w:rsidRPr="004F7F40" w14:paraId="166C3D27" w14:textId="77777777" w:rsidTr="00FD4A39">
        <w:tc>
          <w:tcPr>
            <w:tcW w:w="2263" w:type="dxa"/>
          </w:tcPr>
          <w:p w14:paraId="6DE553F1" w14:textId="77777777" w:rsidR="0099427F" w:rsidRPr="004F7F40" w:rsidRDefault="0099427F" w:rsidP="00FD4A39">
            <w:pPr>
              <w:rPr>
                <w:rFonts w:ascii="Arial" w:hAnsi="Arial" w:cs="Arial"/>
                <w:sz w:val="20"/>
                <w:szCs w:val="20"/>
              </w:rPr>
            </w:pPr>
          </w:p>
        </w:tc>
        <w:tc>
          <w:tcPr>
            <w:tcW w:w="3119" w:type="dxa"/>
          </w:tcPr>
          <w:p w14:paraId="11D241C2" w14:textId="77777777" w:rsidR="0099427F" w:rsidRPr="004F7F40" w:rsidRDefault="0099427F" w:rsidP="00FD4A39">
            <w:pPr>
              <w:rPr>
                <w:rFonts w:ascii="Arial" w:hAnsi="Arial" w:cs="Arial"/>
                <w:sz w:val="20"/>
                <w:szCs w:val="20"/>
              </w:rPr>
            </w:pPr>
            <w:r w:rsidRPr="004F7F40">
              <w:rPr>
                <w:rFonts w:ascii="Arial" w:hAnsi="Arial" w:cs="Arial"/>
                <w:sz w:val="20"/>
                <w:szCs w:val="20"/>
              </w:rPr>
              <w:t>Four broad bands based on CED Job Evaluation System. Adjustments according to NTPS general increases.</w:t>
            </w:r>
          </w:p>
        </w:tc>
        <w:tc>
          <w:tcPr>
            <w:tcW w:w="2410" w:type="dxa"/>
          </w:tcPr>
          <w:p w14:paraId="4A317708" w14:textId="16EDCB46" w:rsidR="0099427F" w:rsidRPr="004F7F40" w:rsidRDefault="00B04ABA" w:rsidP="00FD4A39">
            <w:pPr>
              <w:rPr>
                <w:rFonts w:ascii="Arial" w:hAnsi="Arial" w:cs="Arial"/>
                <w:sz w:val="20"/>
                <w:szCs w:val="20"/>
              </w:rPr>
            </w:pPr>
            <w:r w:rsidRPr="004F7F40">
              <w:rPr>
                <w:rFonts w:ascii="Arial" w:hAnsi="Arial" w:cs="Arial"/>
                <w:sz w:val="20"/>
                <w:szCs w:val="20"/>
              </w:rPr>
              <w:t>Remuneration is based on the CEO’s evaluated (using CED JES) level (ECO3-ECO6) Remuneration adjustments in accordance with pay increases under the NTPS General Enterprise Agreement. Remuneration Increases within the level can be approved by the ERRP.</w:t>
            </w:r>
          </w:p>
        </w:tc>
        <w:tc>
          <w:tcPr>
            <w:tcW w:w="2268" w:type="dxa"/>
          </w:tcPr>
          <w:p w14:paraId="66B059A7" w14:textId="3B9C0A0E" w:rsidR="0099427F" w:rsidRPr="004F7F40" w:rsidRDefault="00B04ABA" w:rsidP="00FD4A39">
            <w:pPr>
              <w:rPr>
                <w:rFonts w:ascii="Arial" w:hAnsi="Arial" w:cs="Arial"/>
                <w:sz w:val="20"/>
                <w:szCs w:val="20"/>
              </w:rPr>
            </w:pPr>
            <w:r w:rsidRPr="004F7F40">
              <w:rPr>
                <w:rFonts w:ascii="Arial" w:hAnsi="Arial" w:cs="Arial"/>
                <w:sz w:val="20"/>
                <w:szCs w:val="20"/>
              </w:rPr>
              <w:t>Remuneration is based on the CEO’s evaluated (using CED JES) level (ECO4-ECO6) Remuneration adjustments in accordance with pay increases under the NTPS General Enterprise Agreement. Remuneration Increases within the level can be approved by the ERRP.</w:t>
            </w:r>
          </w:p>
        </w:tc>
      </w:tr>
      <w:tr w:rsidR="001A6EB8" w:rsidRPr="004F7F40" w14:paraId="4FEF9ED0" w14:textId="77777777" w:rsidTr="00140ACE">
        <w:tc>
          <w:tcPr>
            <w:tcW w:w="10060" w:type="dxa"/>
            <w:gridSpan w:val="4"/>
            <w:shd w:val="pct10" w:color="auto" w:fill="FFFFFF"/>
          </w:tcPr>
          <w:p w14:paraId="3D891B78" w14:textId="4ACF5895" w:rsidR="001A6EB8" w:rsidRPr="004F7F40" w:rsidRDefault="001A6EB8" w:rsidP="00FD4A39">
            <w:pPr>
              <w:rPr>
                <w:rFonts w:ascii="Arial" w:hAnsi="Arial" w:cs="Arial"/>
                <w:sz w:val="22"/>
              </w:rPr>
            </w:pPr>
            <w:r w:rsidRPr="004F7F40">
              <w:rPr>
                <w:rFonts w:ascii="Arial" w:hAnsi="Arial" w:cs="Arial"/>
                <w:b/>
                <w:sz w:val="22"/>
              </w:rPr>
              <w:t>Performance Pay</w:t>
            </w:r>
          </w:p>
        </w:tc>
      </w:tr>
      <w:tr w:rsidR="0099427F" w:rsidRPr="004F7F40" w14:paraId="177519C9" w14:textId="77777777" w:rsidTr="00FD4A39">
        <w:tc>
          <w:tcPr>
            <w:tcW w:w="2263" w:type="dxa"/>
          </w:tcPr>
          <w:p w14:paraId="36AC71B2"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Availability</w:t>
            </w:r>
          </w:p>
        </w:tc>
        <w:tc>
          <w:tcPr>
            <w:tcW w:w="3119" w:type="dxa"/>
          </w:tcPr>
          <w:p w14:paraId="1092953B" w14:textId="77777777" w:rsidR="0099427F" w:rsidRPr="004F7F40" w:rsidRDefault="0099427F" w:rsidP="00FD4A39">
            <w:pPr>
              <w:rPr>
                <w:rFonts w:ascii="Arial" w:hAnsi="Arial" w:cs="Arial"/>
                <w:sz w:val="20"/>
                <w:szCs w:val="20"/>
              </w:rPr>
            </w:pPr>
            <w:r w:rsidRPr="004F7F40">
              <w:rPr>
                <w:rFonts w:ascii="Arial" w:hAnsi="Arial" w:cs="Arial"/>
                <w:sz w:val="20"/>
                <w:szCs w:val="20"/>
              </w:rPr>
              <w:t>Yes.</w:t>
            </w:r>
          </w:p>
        </w:tc>
        <w:tc>
          <w:tcPr>
            <w:tcW w:w="2410" w:type="dxa"/>
          </w:tcPr>
          <w:p w14:paraId="6273AA8F" w14:textId="6C3A9BD1" w:rsidR="0099427F" w:rsidRPr="004F7F40" w:rsidRDefault="00B04ABA" w:rsidP="00FD4A39">
            <w:pPr>
              <w:rPr>
                <w:rFonts w:ascii="Arial" w:hAnsi="Arial" w:cs="Arial"/>
                <w:sz w:val="20"/>
                <w:szCs w:val="20"/>
              </w:rPr>
            </w:pPr>
            <w:r w:rsidRPr="004F7F40">
              <w:rPr>
                <w:rFonts w:ascii="Arial" w:hAnsi="Arial" w:cs="Arial"/>
                <w:sz w:val="20"/>
                <w:szCs w:val="20"/>
              </w:rPr>
              <w:t>Yes</w:t>
            </w:r>
          </w:p>
        </w:tc>
        <w:tc>
          <w:tcPr>
            <w:tcW w:w="2268" w:type="dxa"/>
          </w:tcPr>
          <w:p w14:paraId="0A631DA6" w14:textId="1F788DE0" w:rsidR="0099427F" w:rsidRPr="004F7F40" w:rsidRDefault="00B04ABA" w:rsidP="00FD4A39">
            <w:pPr>
              <w:rPr>
                <w:rFonts w:ascii="Arial" w:hAnsi="Arial" w:cs="Arial"/>
                <w:sz w:val="20"/>
                <w:szCs w:val="20"/>
              </w:rPr>
            </w:pPr>
            <w:r w:rsidRPr="004F7F40">
              <w:rPr>
                <w:rFonts w:ascii="Arial" w:hAnsi="Arial" w:cs="Arial"/>
                <w:sz w:val="20"/>
                <w:szCs w:val="20"/>
              </w:rPr>
              <w:t>Yes</w:t>
            </w:r>
          </w:p>
        </w:tc>
      </w:tr>
      <w:tr w:rsidR="0099427F" w:rsidRPr="004F7F40" w14:paraId="21527E34" w14:textId="77777777" w:rsidTr="00FD4A39">
        <w:tc>
          <w:tcPr>
            <w:tcW w:w="2263" w:type="dxa"/>
          </w:tcPr>
          <w:p w14:paraId="026AFB81"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Basis</w:t>
            </w:r>
          </w:p>
        </w:tc>
        <w:tc>
          <w:tcPr>
            <w:tcW w:w="3119" w:type="dxa"/>
          </w:tcPr>
          <w:p w14:paraId="5D3F4247" w14:textId="77777777" w:rsidR="0099427F" w:rsidRPr="004F7F40" w:rsidRDefault="0099427F" w:rsidP="00FD4A39">
            <w:pPr>
              <w:rPr>
                <w:rFonts w:ascii="Arial" w:hAnsi="Arial" w:cs="Arial"/>
                <w:sz w:val="20"/>
                <w:szCs w:val="20"/>
              </w:rPr>
            </w:pPr>
            <w:r w:rsidRPr="004F7F40">
              <w:rPr>
                <w:rFonts w:ascii="Arial" w:hAnsi="Arial" w:cs="Arial"/>
                <w:sz w:val="20"/>
                <w:szCs w:val="20"/>
              </w:rPr>
              <w:t>Outstanding performance, exception, not rule.</w:t>
            </w:r>
          </w:p>
        </w:tc>
        <w:tc>
          <w:tcPr>
            <w:tcW w:w="2410" w:type="dxa"/>
          </w:tcPr>
          <w:p w14:paraId="5EDE8366" w14:textId="0B4FBE1E" w:rsidR="0099427F" w:rsidRPr="004F7F40" w:rsidRDefault="00B04ABA" w:rsidP="00FD4A39">
            <w:pPr>
              <w:rPr>
                <w:rFonts w:ascii="Arial" w:hAnsi="Arial" w:cs="Arial"/>
                <w:sz w:val="20"/>
                <w:szCs w:val="20"/>
              </w:rPr>
            </w:pPr>
            <w:r w:rsidRPr="004F7F40">
              <w:rPr>
                <w:rFonts w:ascii="Arial" w:hAnsi="Arial" w:cs="Arial"/>
                <w:sz w:val="20"/>
                <w:szCs w:val="20"/>
              </w:rPr>
              <w:t xml:space="preserve">Outstanding performance, exception not </w:t>
            </w:r>
            <w:r w:rsidR="007D7458" w:rsidRPr="004F7F40">
              <w:rPr>
                <w:rFonts w:ascii="Arial" w:hAnsi="Arial" w:cs="Arial"/>
                <w:sz w:val="20"/>
                <w:szCs w:val="20"/>
              </w:rPr>
              <w:t xml:space="preserve">the </w:t>
            </w:r>
            <w:r w:rsidRPr="004F7F40">
              <w:rPr>
                <w:rFonts w:ascii="Arial" w:hAnsi="Arial" w:cs="Arial"/>
                <w:sz w:val="20"/>
                <w:szCs w:val="20"/>
              </w:rPr>
              <w:t>rule.</w:t>
            </w:r>
          </w:p>
        </w:tc>
        <w:tc>
          <w:tcPr>
            <w:tcW w:w="2268" w:type="dxa"/>
          </w:tcPr>
          <w:p w14:paraId="1963B63A" w14:textId="6FF025B7" w:rsidR="0099427F" w:rsidRPr="004F7F40" w:rsidRDefault="00B04ABA" w:rsidP="00FD4A39">
            <w:pPr>
              <w:rPr>
                <w:rFonts w:ascii="Arial" w:hAnsi="Arial" w:cs="Arial"/>
                <w:sz w:val="20"/>
                <w:szCs w:val="20"/>
              </w:rPr>
            </w:pPr>
            <w:r w:rsidRPr="004F7F40">
              <w:rPr>
                <w:rFonts w:ascii="Arial" w:hAnsi="Arial" w:cs="Arial"/>
                <w:sz w:val="20"/>
                <w:szCs w:val="20"/>
              </w:rPr>
              <w:t xml:space="preserve">Outstanding performance, exception not </w:t>
            </w:r>
            <w:r w:rsidR="007D7458" w:rsidRPr="004F7F40">
              <w:rPr>
                <w:rFonts w:ascii="Arial" w:hAnsi="Arial" w:cs="Arial"/>
                <w:sz w:val="20"/>
                <w:szCs w:val="20"/>
              </w:rPr>
              <w:t xml:space="preserve">the </w:t>
            </w:r>
            <w:r w:rsidRPr="004F7F40">
              <w:rPr>
                <w:rFonts w:ascii="Arial" w:hAnsi="Arial" w:cs="Arial"/>
                <w:sz w:val="20"/>
                <w:szCs w:val="20"/>
              </w:rPr>
              <w:t>rule.</w:t>
            </w:r>
          </w:p>
        </w:tc>
      </w:tr>
      <w:tr w:rsidR="0099427F" w:rsidRPr="004F7F40" w14:paraId="1CE0E1EF" w14:textId="77777777" w:rsidTr="00FD4A39">
        <w:tc>
          <w:tcPr>
            <w:tcW w:w="2263" w:type="dxa"/>
          </w:tcPr>
          <w:p w14:paraId="74C04E07"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Who makes assessment</w:t>
            </w:r>
          </w:p>
        </w:tc>
        <w:tc>
          <w:tcPr>
            <w:tcW w:w="3119" w:type="dxa"/>
          </w:tcPr>
          <w:p w14:paraId="107E6B24" w14:textId="77777777" w:rsidR="0099427F" w:rsidRPr="004F7F40" w:rsidRDefault="0099427F" w:rsidP="00FD4A39">
            <w:pPr>
              <w:rPr>
                <w:rFonts w:ascii="Arial" w:hAnsi="Arial" w:cs="Arial"/>
                <w:sz w:val="20"/>
                <w:szCs w:val="20"/>
              </w:rPr>
            </w:pPr>
            <w:r w:rsidRPr="004F7F40">
              <w:rPr>
                <w:rFonts w:ascii="Arial" w:hAnsi="Arial" w:cs="Arial"/>
                <w:sz w:val="20"/>
                <w:szCs w:val="20"/>
              </w:rPr>
              <w:t>CPE and senior CEOs recommend to Chief Minister.</w:t>
            </w:r>
          </w:p>
        </w:tc>
        <w:tc>
          <w:tcPr>
            <w:tcW w:w="2410" w:type="dxa"/>
          </w:tcPr>
          <w:p w14:paraId="5CE0FCA6" w14:textId="360B17F9" w:rsidR="0099427F" w:rsidRPr="004F7F40" w:rsidRDefault="00B31877" w:rsidP="00FD4A39">
            <w:pPr>
              <w:rPr>
                <w:rFonts w:ascii="Arial" w:hAnsi="Arial" w:cs="Arial"/>
                <w:sz w:val="20"/>
                <w:szCs w:val="20"/>
              </w:rPr>
            </w:pPr>
            <w:r w:rsidRPr="004F7F40">
              <w:rPr>
                <w:rFonts w:ascii="Arial" w:hAnsi="Arial" w:cs="Arial"/>
                <w:sz w:val="20"/>
                <w:szCs w:val="20"/>
              </w:rPr>
              <w:t>Executive Remuneration Review Panel (</w:t>
            </w:r>
            <w:r w:rsidR="00B04ABA" w:rsidRPr="004F7F40">
              <w:rPr>
                <w:rFonts w:ascii="Arial" w:hAnsi="Arial" w:cs="Arial"/>
                <w:sz w:val="20"/>
                <w:szCs w:val="20"/>
              </w:rPr>
              <w:t>ERRP</w:t>
            </w:r>
            <w:r w:rsidRPr="004F7F40">
              <w:rPr>
                <w:rFonts w:ascii="Arial" w:hAnsi="Arial" w:cs="Arial"/>
                <w:sz w:val="20"/>
                <w:szCs w:val="20"/>
              </w:rPr>
              <w:t>)</w:t>
            </w:r>
          </w:p>
        </w:tc>
        <w:tc>
          <w:tcPr>
            <w:tcW w:w="2268" w:type="dxa"/>
          </w:tcPr>
          <w:p w14:paraId="3E494B77" w14:textId="066A4BF5" w:rsidR="0099427F" w:rsidRPr="004F7F40" w:rsidRDefault="00B04ABA" w:rsidP="00FD4A39">
            <w:pPr>
              <w:rPr>
                <w:rFonts w:ascii="Arial" w:hAnsi="Arial" w:cs="Arial"/>
                <w:sz w:val="20"/>
                <w:szCs w:val="20"/>
              </w:rPr>
            </w:pPr>
            <w:r w:rsidRPr="004F7F40">
              <w:rPr>
                <w:rFonts w:ascii="Arial" w:hAnsi="Arial" w:cs="Arial"/>
                <w:sz w:val="20"/>
                <w:szCs w:val="20"/>
              </w:rPr>
              <w:t>ERRP</w:t>
            </w:r>
          </w:p>
        </w:tc>
      </w:tr>
    </w:tbl>
    <w:p w14:paraId="7A484F29" w14:textId="2C466C7F" w:rsidR="0097183D" w:rsidRPr="004F7F40" w:rsidRDefault="0097183D" w:rsidP="0099427F">
      <w:pPr>
        <w:rPr>
          <w:rFonts w:ascii="Arial" w:hAnsi="Arial" w:cs="Arial"/>
        </w:rPr>
      </w:pPr>
    </w:p>
    <w:p w14:paraId="24BD17D5" w14:textId="77777777" w:rsidR="0097183D" w:rsidRPr="004F7F40" w:rsidRDefault="0097183D">
      <w:pPr>
        <w:spacing w:before="0" w:after="200" w:line="276" w:lineRule="auto"/>
        <w:rPr>
          <w:rFonts w:ascii="Arial" w:hAnsi="Arial" w:cs="Arial"/>
        </w:rPr>
      </w:pPr>
      <w:r w:rsidRPr="004F7F40">
        <w:rPr>
          <w:rFonts w:ascii="Arial" w:hAnsi="Arial" w:cs="Arial"/>
        </w:rPr>
        <w:br w:type="page"/>
      </w:r>
    </w:p>
    <w:p w14:paraId="42C8CBFC" w14:textId="77777777" w:rsidR="0099427F" w:rsidRPr="004F7F40" w:rsidRDefault="0099427F" w:rsidP="0099427F">
      <w:pPr>
        <w:rPr>
          <w:rFonts w:ascii="Arial" w:hAnsi="Arial" w:cs="Arial"/>
          <w:b/>
          <w:bCs/>
        </w:rPr>
      </w:pPr>
    </w:p>
    <w:p w14:paraId="475932D7" w14:textId="7AC66B53" w:rsidR="0099427F" w:rsidRPr="004F7F40" w:rsidRDefault="0099427F" w:rsidP="001A1577">
      <w:pPr>
        <w:pStyle w:val="Table"/>
        <w:rPr>
          <w:rFonts w:ascii="Arial" w:hAnsi="Arial" w:cs="Arial"/>
          <w:b/>
          <w:bCs/>
        </w:rPr>
      </w:pPr>
      <w:r w:rsidRPr="004F7F40">
        <w:rPr>
          <w:rFonts w:ascii="Arial" w:hAnsi="Arial" w:cs="Arial"/>
          <w:b/>
          <w:bCs/>
        </w:rPr>
        <w:t xml:space="preserve">Summary table </w:t>
      </w:r>
      <w:r w:rsidR="0002058B" w:rsidRPr="004F7F40">
        <w:rPr>
          <w:rFonts w:ascii="Arial" w:hAnsi="Arial" w:cs="Arial"/>
          <w:b/>
          <w:bCs/>
        </w:rPr>
        <w:t>–</w:t>
      </w:r>
      <w:r w:rsidRPr="004F7F40">
        <w:rPr>
          <w:rFonts w:ascii="Arial" w:hAnsi="Arial" w:cs="Arial"/>
          <w:b/>
          <w:bCs/>
        </w:rPr>
        <w:t xml:space="preserve"> Executive Contract Officers – N</w:t>
      </w:r>
      <w:r w:rsidR="0002058B" w:rsidRPr="004F7F40">
        <w:rPr>
          <w:rFonts w:ascii="Arial" w:hAnsi="Arial" w:cs="Arial"/>
          <w:b/>
          <w:bCs/>
        </w:rPr>
        <w:t>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4"/>
        <w:gridCol w:w="2835"/>
        <w:gridCol w:w="2551"/>
      </w:tblGrid>
      <w:tr w:rsidR="0099427F" w:rsidRPr="004F7F40" w14:paraId="1E84EF4C" w14:textId="77777777" w:rsidTr="00A57861">
        <w:trPr>
          <w:tblHeader/>
        </w:trPr>
        <w:tc>
          <w:tcPr>
            <w:tcW w:w="1980" w:type="dxa"/>
            <w:shd w:val="clear" w:color="auto" w:fill="auto"/>
          </w:tcPr>
          <w:p w14:paraId="7D3A7F7C" w14:textId="77777777" w:rsidR="0099427F" w:rsidRPr="004F7F40" w:rsidRDefault="0099427F" w:rsidP="00FD4A39">
            <w:pPr>
              <w:rPr>
                <w:rFonts w:ascii="Arial" w:hAnsi="Arial" w:cs="Arial"/>
                <w:b/>
              </w:rPr>
            </w:pPr>
          </w:p>
        </w:tc>
        <w:tc>
          <w:tcPr>
            <w:tcW w:w="2694" w:type="dxa"/>
            <w:shd w:val="clear" w:color="auto" w:fill="auto"/>
          </w:tcPr>
          <w:p w14:paraId="4839A6B7" w14:textId="77777777" w:rsidR="0099427F" w:rsidRPr="004F7F40" w:rsidRDefault="0099427F" w:rsidP="00FD4A39">
            <w:pPr>
              <w:rPr>
                <w:rFonts w:ascii="Arial" w:hAnsi="Arial" w:cs="Arial"/>
                <w:b/>
                <w:sz w:val="22"/>
              </w:rPr>
            </w:pPr>
            <w:r w:rsidRPr="004F7F40">
              <w:rPr>
                <w:rFonts w:ascii="Arial" w:hAnsi="Arial" w:cs="Arial"/>
                <w:b/>
                <w:sz w:val="22"/>
              </w:rPr>
              <w:t>1999 position</w:t>
            </w:r>
          </w:p>
        </w:tc>
        <w:tc>
          <w:tcPr>
            <w:tcW w:w="2835" w:type="dxa"/>
            <w:shd w:val="clear" w:color="auto" w:fill="auto"/>
          </w:tcPr>
          <w:p w14:paraId="66BD9F42" w14:textId="77777777" w:rsidR="0099427F" w:rsidRPr="004F7F40" w:rsidRDefault="0099427F" w:rsidP="00FD4A39">
            <w:pPr>
              <w:rPr>
                <w:rFonts w:ascii="Arial" w:hAnsi="Arial" w:cs="Arial"/>
                <w:b/>
                <w:sz w:val="22"/>
              </w:rPr>
            </w:pPr>
            <w:r w:rsidRPr="004F7F40">
              <w:rPr>
                <w:rFonts w:ascii="Arial" w:hAnsi="Arial" w:cs="Arial"/>
                <w:b/>
                <w:sz w:val="22"/>
              </w:rPr>
              <w:t>Interim changes</w:t>
            </w:r>
          </w:p>
        </w:tc>
        <w:tc>
          <w:tcPr>
            <w:tcW w:w="2551" w:type="dxa"/>
            <w:shd w:val="clear" w:color="auto" w:fill="auto"/>
          </w:tcPr>
          <w:p w14:paraId="13938C95" w14:textId="77777777" w:rsidR="0099427F" w:rsidRPr="004F7F40" w:rsidRDefault="0099427F" w:rsidP="00FD4A39">
            <w:pPr>
              <w:rPr>
                <w:rFonts w:ascii="Arial" w:hAnsi="Arial" w:cs="Arial"/>
                <w:b/>
                <w:sz w:val="22"/>
              </w:rPr>
            </w:pPr>
            <w:r w:rsidRPr="004F7F40">
              <w:rPr>
                <w:rFonts w:ascii="Arial" w:hAnsi="Arial" w:cs="Arial"/>
                <w:b/>
                <w:sz w:val="22"/>
              </w:rPr>
              <w:t>Current position</w:t>
            </w:r>
          </w:p>
        </w:tc>
      </w:tr>
      <w:tr w:rsidR="001A6EB8" w:rsidRPr="004F7F40" w14:paraId="507C8EAB" w14:textId="77777777" w:rsidTr="001A1577">
        <w:tc>
          <w:tcPr>
            <w:tcW w:w="10060" w:type="dxa"/>
            <w:gridSpan w:val="4"/>
            <w:shd w:val="pct10" w:color="auto" w:fill="FFFFFF"/>
          </w:tcPr>
          <w:p w14:paraId="554B9AC0" w14:textId="0BED0F9F" w:rsidR="001A6EB8" w:rsidRPr="004F7F40" w:rsidRDefault="001A6EB8" w:rsidP="00FD4A39">
            <w:pPr>
              <w:rPr>
                <w:rFonts w:ascii="Arial" w:hAnsi="Arial" w:cs="Arial"/>
                <w:sz w:val="22"/>
              </w:rPr>
            </w:pPr>
            <w:r w:rsidRPr="004F7F40">
              <w:rPr>
                <w:rFonts w:ascii="Arial" w:hAnsi="Arial" w:cs="Arial"/>
                <w:b/>
                <w:sz w:val="22"/>
              </w:rPr>
              <w:t xml:space="preserve">Recruitment </w:t>
            </w:r>
          </w:p>
        </w:tc>
      </w:tr>
      <w:tr w:rsidR="0099427F" w:rsidRPr="004F7F40" w14:paraId="1FA77073" w14:textId="77777777" w:rsidTr="001A1577">
        <w:tc>
          <w:tcPr>
            <w:tcW w:w="1980" w:type="dxa"/>
          </w:tcPr>
          <w:p w14:paraId="557A0492"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Advertised internally</w:t>
            </w:r>
          </w:p>
        </w:tc>
        <w:tc>
          <w:tcPr>
            <w:tcW w:w="2694" w:type="dxa"/>
          </w:tcPr>
          <w:p w14:paraId="450E35B2" w14:textId="77777777" w:rsidR="0099427F" w:rsidRPr="004F7F40" w:rsidRDefault="0099427F" w:rsidP="00FD4A39">
            <w:pPr>
              <w:rPr>
                <w:rFonts w:ascii="Arial" w:hAnsi="Arial" w:cs="Arial"/>
                <w:sz w:val="20"/>
                <w:szCs w:val="20"/>
              </w:rPr>
            </w:pPr>
            <w:r w:rsidRPr="004F7F40">
              <w:rPr>
                <w:rFonts w:ascii="Arial" w:hAnsi="Arial" w:cs="Arial"/>
                <w:sz w:val="20"/>
                <w:szCs w:val="20"/>
              </w:rPr>
              <w:t>Usually but mobility applies</w:t>
            </w:r>
          </w:p>
        </w:tc>
        <w:tc>
          <w:tcPr>
            <w:tcW w:w="2835" w:type="dxa"/>
          </w:tcPr>
          <w:p w14:paraId="4D2ED3A4" w14:textId="36F0B41F" w:rsidR="0099427F" w:rsidRPr="004F7F40" w:rsidRDefault="00B04ABA" w:rsidP="00FD4A39">
            <w:pPr>
              <w:rPr>
                <w:rFonts w:ascii="Arial" w:hAnsi="Arial" w:cs="Arial"/>
                <w:sz w:val="20"/>
                <w:szCs w:val="20"/>
              </w:rPr>
            </w:pPr>
            <w:r w:rsidRPr="004F7F40">
              <w:rPr>
                <w:rFonts w:ascii="Arial" w:hAnsi="Arial" w:cs="Arial"/>
                <w:sz w:val="20"/>
                <w:szCs w:val="20"/>
              </w:rPr>
              <w:t>Usually but mobility applies</w:t>
            </w:r>
          </w:p>
        </w:tc>
        <w:tc>
          <w:tcPr>
            <w:tcW w:w="2551" w:type="dxa"/>
          </w:tcPr>
          <w:p w14:paraId="187A1C96" w14:textId="4B3AD2FE" w:rsidR="0099427F" w:rsidRPr="004F7F40" w:rsidRDefault="00B04ABA" w:rsidP="00FD4A39">
            <w:pPr>
              <w:rPr>
                <w:rFonts w:ascii="Arial" w:hAnsi="Arial" w:cs="Arial"/>
                <w:sz w:val="20"/>
                <w:szCs w:val="20"/>
              </w:rPr>
            </w:pPr>
            <w:r w:rsidRPr="004F7F40">
              <w:rPr>
                <w:rFonts w:ascii="Arial" w:hAnsi="Arial" w:cs="Arial"/>
                <w:sz w:val="20"/>
                <w:szCs w:val="20"/>
              </w:rPr>
              <w:t>Usually but mobility applies</w:t>
            </w:r>
          </w:p>
        </w:tc>
      </w:tr>
      <w:tr w:rsidR="0099427F" w:rsidRPr="004F7F40" w14:paraId="760C114A" w14:textId="77777777" w:rsidTr="001A1577">
        <w:tc>
          <w:tcPr>
            <w:tcW w:w="1980" w:type="dxa"/>
          </w:tcPr>
          <w:p w14:paraId="7591A9F7"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Advertised externally</w:t>
            </w:r>
          </w:p>
        </w:tc>
        <w:tc>
          <w:tcPr>
            <w:tcW w:w="2694" w:type="dxa"/>
          </w:tcPr>
          <w:p w14:paraId="70325FCA" w14:textId="77777777" w:rsidR="0099427F" w:rsidRPr="004F7F40" w:rsidRDefault="0099427F" w:rsidP="00FD4A39">
            <w:pPr>
              <w:rPr>
                <w:rFonts w:ascii="Arial" w:hAnsi="Arial" w:cs="Arial"/>
                <w:sz w:val="20"/>
                <w:szCs w:val="20"/>
              </w:rPr>
            </w:pPr>
            <w:r w:rsidRPr="004F7F40">
              <w:rPr>
                <w:rFonts w:ascii="Arial" w:hAnsi="Arial" w:cs="Arial"/>
                <w:sz w:val="20"/>
                <w:szCs w:val="20"/>
              </w:rPr>
              <w:t>Sometimes as required.</w:t>
            </w:r>
          </w:p>
        </w:tc>
        <w:tc>
          <w:tcPr>
            <w:tcW w:w="2835" w:type="dxa"/>
          </w:tcPr>
          <w:p w14:paraId="5791BA59" w14:textId="5BE4608D" w:rsidR="0099427F" w:rsidRPr="004F7F40" w:rsidRDefault="00A57861" w:rsidP="00FD4A39">
            <w:pPr>
              <w:rPr>
                <w:rFonts w:ascii="Arial" w:hAnsi="Arial" w:cs="Arial"/>
                <w:sz w:val="20"/>
                <w:szCs w:val="20"/>
              </w:rPr>
            </w:pPr>
            <w:r w:rsidRPr="004F7F40">
              <w:rPr>
                <w:rFonts w:ascii="Arial" w:hAnsi="Arial" w:cs="Arial"/>
                <w:sz w:val="20"/>
                <w:szCs w:val="20"/>
              </w:rPr>
              <w:t>Generally,</w:t>
            </w:r>
            <w:r w:rsidR="00B04ABA" w:rsidRPr="004F7F40">
              <w:rPr>
                <w:rFonts w:ascii="Arial" w:hAnsi="Arial" w:cs="Arial"/>
                <w:sz w:val="20"/>
                <w:szCs w:val="20"/>
              </w:rPr>
              <w:t xml:space="preserve"> for longer term vacancies (2 or more years)</w:t>
            </w:r>
          </w:p>
        </w:tc>
        <w:tc>
          <w:tcPr>
            <w:tcW w:w="2551" w:type="dxa"/>
          </w:tcPr>
          <w:p w14:paraId="0CA6CCD0" w14:textId="0DD03039" w:rsidR="0099427F" w:rsidRPr="004F7F40" w:rsidRDefault="00A57861" w:rsidP="00FD4A39">
            <w:pPr>
              <w:rPr>
                <w:rFonts w:ascii="Arial" w:hAnsi="Arial" w:cs="Arial"/>
                <w:sz w:val="20"/>
                <w:szCs w:val="20"/>
              </w:rPr>
            </w:pPr>
            <w:r w:rsidRPr="004F7F40">
              <w:rPr>
                <w:rFonts w:ascii="Arial" w:hAnsi="Arial" w:cs="Arial"/>
                <w:sz w:val="20"/>
                <w:szCs w:val="20"/>
              </w:rPr>
              <w:t>Generally,</w:t>
            </w:r>
            <w:r w:rsidR="00B04ABA" w:rsidRPr="004F7F40">
              <w:rPr>
                <w:rFonts w:ascii="Arial" w:hAnsi="Arial" w:cs="Arial"/>
                <w:sz w:val="20"/>
                <w:szCs w:val="20"/>
              </w:rPr>
              <w:t xml:space="preserve"> for longer term vacancies (2 or more years)</w:t>
            </w:r>
          </w:p>
        </w:tc>
      </w:tr>
      <w:tr w:rsidR="0099427F" w:rsidRPr="004F7F40" w14:paraId="1F8AA4AE" w14:textId="77777777" w:rsidTr="001A1577">
        <w:tc>
          <w:tcPr>
            <w:tcW w:w="1980" w:type="dxa"/>
          </w:tcPr>
          <w:p w14:paraId="480039E5"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Search Agency</w:t>
            </w:r>
          </w:p>
        </w:tc>
        <w:tc>
          <w:tcPr>
            <w:tcW w:w="2694" w:type="dxa"/>
          </w:tcPr>
          <w:p w14:paraId="4BB9E354" w14:textId="77777777" w:rsidR="0099427F" w:rsidRPr="004F7F40" w:rsidRDefault="0099427F" w:rsidP="00FD4A39">
            <w:pPr>
              <w:rPr>
                <w:rFonts w:ascii="Arial" w:hAnsi="Arial" w:cs="Arial"/>
                <w:sz w:val="20"/>
                <w:szCs w:val="20"/>
              </w:rPr>
            </w:pPr>
            <w:r w:rsidRPr="004F7F40">
              <w:rPr>
                <w:rFonts w:ascii="Arial" w:hAnsi="Arial" w:cs="Arial"/>
                <w:sz w:val="20"/>
                <w:szCs w:val="20"/>
              </w:rPr>
              <w:t>Sometimes.</w:t>
            </w:r>
          </w:p>
        </w:tc>
        <w:tc>
          <w:tcPr>
            <w:tcW w:w="2835" w:type="dxa"/>
          </w:tcPr>
          <w:p w14:paraId="3552DEE4" w14:textId="71169F83" w:rsidR="0099427F" w:rsidRPr="004F7F40" w:rsidRDefault="00B04ABA" w:rsidP="00FD4A39">
            <w:pPr>
              <w:rPr>
                <w:rFonts w:ascii="Arial" w:hAnsi="Arial" w:cs="Arial"/>
                <w:sz w:val="20"/>
                <w:szCs w:val="20"/>
              </w:rPr>
            </w:pPr>
            <w:r w:rsidRPr="004F7F40">
              <w:rPr>
                <w:rFonts w:ascii="Arial" w:hAnsi="Arial" w:cs="Arial"/>
                <w:sz w:val="20"/>
                <w:szCs w:val="20"/>
              </w:rPr>
              <w:t>Sometimes.</w:t>
            </w:r>
          </w:p>
        </w:tc>
        <w:tc>
          <w:tcPr>
            <w:tcW w:w="2551" w:type="dxa"/>
          </w:tcPr>
          <w:p w14:paraId="473D8E58" w14:textId="0BF24C98" w:rsidR="0099427F" w:rsidRPr="004F7F40" w:rsidRDefault="00B04ABA" w:rsidP="00FD4A39">
            <w:pPr>
              <w:rPr>
                <w:rFonts w:ascii="Arial" w:hAnsi="Arial" w:cs="Arial"/>
                <w:sz w:val="20"/>
                <w:szCs w:val="20"/>
              </w:rPr>
            </w:pPr>
            <w:r w:rsidRPr="004F7F40">
              <w:rPr>
                <w:rFonts w:ascii="Arial" w:hAnsi="Arial" w:cs="Arial"/>
                <w:sz w:val="20"/>
                <w:szCs w:val="20"/>
              </w:rPr>
              <w:t>Sometimes.</w:t>
            </w:r>
          </w:p>
        </w:tc>
      </w:tr>
      <w:tr w:rsidR="0099427F" w:rsidRPr="004F7F40" w14:paraId="6DB6E88F" w14:textId="77777777" w:rsidTr="001A1577">
        <w:tc>
          <w:tcPr>
            <w:tcW w:w="1980" w:type="dxa"/>
          </w:tcPr>
          <w:p w14:paraId="24DC7178"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Selection body</w:t>
            </w:r>
          </w:p>
        </w:tc>
        <w:tc>
          <w:tcPr>
            <w:tcW w:w="2694" w:type="dxa"/>
          </w:tcPr>
          <w:p w14:paraId="37F9BC4C" w14:textId="77777777" w:rsidR="0099427F" w:rsidRPr="004F7F40" w:rsidRDefault="0099427F" w:rsidP="00FD4A39">
            <w:pPr>
              <w:rPr>
                <w:rFonts w:ascii="Arial" w:hAnsi="Arial" w:cs="Arial"/>
                <w:sz w:val="20"/>
                <w:szCs w:val="20"/>
              </w:rPr>
            </w:pPr>
            <w:r w:rsidRPr="004F7F40">
              <w:rPr>
                <w:rFonts w:ascii="Arial" w:hAnsi="Arial" w:cs="Arial"/>
                <w:sz w:val="20"/>
                <w:szCs w:val="20"/>
              </w:rPr>
              <w:t>Panel advice to CEO, may include CEO.</w:t>
            </w:r>
          </w:p>
        </w:tc>
        <w:tc>
          <w:tcPr>
            <w:tcW w:w="2835" w:type="dxa"/>
          </w:tcPr>
          <w:p w14:paraId="02B96FD4" w14:textId="69711B30" w:rsidR="0099427F" w:rsidRPr="004F7F40" w:rsidRDefault="00B04ABA" w:rsidP="00FD4A39">
            <w:pPr>
              <w:rPr>
                <w:rFonts w:ascii="Arial" w:hAnsi="Arial" w:cs="Arial"/>
                <w:sz w:val="20"/>
                <w:szCs w:val="20"/>
              </w:rPr>
            </w:pPr>
            <w:r w:rsidRPr="004F7F40">
              <w:rPr>
                <w:rFonts w:ascii="Arial" w:hAnsi="Arial" w:cs="Arial"/>
                <w:sz w:val="20"/>
                <w:szCs w:val="20"/>
              </w:rPr>
              <w:t>Panel advice to CEO, may include CEO.</w:t>
            </w:r>
          </w:p>
        </w:tc>
        <w:tc>
          <w:tcPr>
            <w:tcW w:w="2551" w:type="dxa"/>
          </w:tcPr>
          <w:p w14:paraId="1F03BEAE" w14:textId="332CF494" w:rsidR="0099427F" w:rsidRPr="004F7F40" w:rsidRDefault="00B04ABA" w:rsidP="00FD4A39">
            <w:pPr>
              <w:rPr>
                <w:rFonts w:ascii="Arial" w:hAnsi="Arial" w:cs="Arial"/>
                <w:sz w:val="20"/>
                <w:szCs w:val="20"/>
              </w:rPr>
            </w:pPr>
            <w:r w:rsidRPr="004F7F40">
              <w:rPr>
                <w:rFonts w:ascii="Arial" w:hAnsi="Arial" w:cs="Arial"/>
                <w:sz w:val="20"/>
                <w:szCs w:val="20"/>
              </w:rPr>
              <w:t>Panel advice to CEO, may include CEO.</w:t>
            </w:r>
          </w:p>
        </w:tc>
      </w:tr>
      <w:tr w:rsidR="0099427F" w:rsidRPr="004F7F40" w14:paraId="285083A0" w14:textId="77777777" w:rsidTr="001A1577">
        <w:tc>
          <w:tcPr>
            <w:tcW w:w="1980" w:type="dxa"/>
          </w:tcPr>
          <w:p w14:paraId="1D04B481"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Role of Portfolio Minister</w:t>
            </w:r>
          </w:p>
        </w:tc>
        <w:tc>
          <w:tcPr>
            <w:tcW w:w="2694" w:type="dxa"/>
          </w:tcPr>
          <w:p w14:paraId="588D8AC2" w14:textId="77777777" w:rsidR="0099427F" w:rsidRPr="004F7F40" w:rsidRDefault="0099427F" w:rsidP="00FD4A39">
            <w:pPr>
              <w:rPr>
                <w:rFonts w:ascii="Arial" w:hAnsi="Arial" w:cs="Arial"/>
                <w:sz w:val="20"/>
                <w:szCs w:val="20"/>
              </w:rPr>
            </w:pPr>
            <w:r w:rsidRPr="004F7F40">
              <w:rPr>
                <w:rFonts w:ascii="Arial" w:hAnsi="Arial" w:cs="Arial"/>
                <w:sz w:val="20"/>
                <w:szCs w:val="20"/>
              </w:rPr>
              <w:t>Must be consulted on more senior positions.</w:t>
            </w:r>
          </w:p>
        </w:tc>
        <w:tc>
          <w:tcPr>
            <w:tcW w:w="2835" w:type="dxa"/>
          </w:tcPr>
          <w:p w14:paraId="491122C5" w14:textId="5EAF9A12" w:rsidR="0099427F" w:rsidRPr="004F7F40" w:rsidRDefault="00B04ABA" w:rsidP="00FD4A39">
            <w:pPr>
              <w:rPr>
                <w:rFonts w:ascii="Arial" w:hAnsi="Arial" w:cs="Arial"/>
                <w:sz w:val="20"/>
                <w:szCs w:val="20"/>
              </w:rPr>
            </w:pPr>
            <w:r w:rsidRPr="004F7F40">
              <w:rPr>
                <w:rFonts w:ascii="Arial" w:hAnsi="Arial" w:cs="Arial"/>
                <w:sz w:val="20"/>
                <w:szCs w:val="20"/>
              </w:rPr>
              <w:t>Not involved. CEOs are responsible for agency staffing matters, including for senior executive officers (ECOs).</w:t>
            </w:r>
          </w:p>
        </w:tc>
        <w:tc>
          <w:tcPr>
            <w:tcW w:w="2551" w:type="dxa"/>
          </w:tcPr>
          <w:p w14:paraId="316FC7CB" w14:textId="11B6893F" w:rsidR="0099427F" w:rsidRPr="004F7F40" w:rsidRDefault="00B04ABA" w:rsidP="00FD4A39">
            <w:pPr>
              <w:rPr>
                <w:rFonts w:ascii="Arial" w:hAnsi="Arial" w:cs="Arial"/>
                <w:sz w:val="20"/>
                <w:szCs w:val="20"/>
              </w:rPr>
            </w:pPr>
            <w:r w:rsidRPr="004F7F40">
              <w:rPr>
                <w:rFonts w:ascii="Arial" w:hAnsi="Arial" w:cs="Arial"/>
                <w:sz w:val="20"/>
                <w:szCs w:val="20"/>
              </w:rPr>
              <w:t>Not involved. CEOs are responsible for agency staffing matters, including for senior executive officers (ECOs).</w:t>
            </w:r>
          </w:p>
        </w:tc>
      </w:tr>
      <w:tr w:rsidR="0099427F" w:rsidRPr="004F7F40" w14:paraId="48F8C10F" w14:textId="77777777" w:rsidTr="001A1577">
        <w:tc>
          <w:tcPr>
            <w:tcW w:w="1980" w:type="dxa"/>
          </w:tcPr>
          <w:p w14:paraId="33D6528A" w14:textId="6BBB7807" w:rsidR="0099427F" w:rsidRPr="004F7F40" w:rsidRDefault="0099427F" w:rsidP="00FD4A39">
            <w:pPr>
              <w:rPr>
                <w:rFonts w:ascii="Arial" w:hAnsi="Arial" w:cs="Arial"/>
                <w:b/>
                <w:bCs/>
                <w:sz w:val="20"/>
                <w:szCs w:val="20"/>
              </w:rPr>
            </w:pPr>
            <w:r w:rsidRPr="004F7F40">
              <w:rPr>
                <w:rFonts w:ascii="Arial" w:hAnsi="Arial" w:cs="Arial"/>
                <w:b/>
                <w:bCs/>
                <w:sz w:val="20"/>
                <w:szCs w:val="20"/>
              </w:rPr>
              <w:t xml:space="preserve">Role of </w:t>
            </w:r>
            <w:r w:rsidR="00D9742F" w:rsidRPr="004F7F40">
              <w:rPr>
                <w:rFonts w:ascii="Arial" w:hAnsi="Arial" w:cs="Arial"/>
                <w:b/>
                <w:bCs/>
                <w:sz w:val="20"/>
                <w:szCs w:val="20"/>
              </w:rPr>
              <w:t>Chief Minister</w:t>
            </w:r>
          </w:p>
        </w:tc>
        <w:tc>
          <w:tcPr>
            <w:tcW w:w="2694" w:type="dxa"/>
          </w:tcPr>
          <w:p w14:paraId="40294190" w14:textId="77777777" w:rsidR="0099427F" w:rsidRPr="004F7F40" w:rsidRDefault="0099427F" w:rsidP="00FD4A39">
            <w:pPr>
              <w:rPr>
                <w:rFonts w:ascii="Arial" w:hAnsi="Arial" w:cs="Arial"/>
                <w:sz w:val="20"/>
                <w:szCs w:val="20"/>
              </w:rPr>
            </w:pPr>
            <w:r w:rsidRPr="004F7F40">
              <w:rPr>
                <w:rFonts w:ascii="Arial" w:hAnsi="Arial" w:cs="Arial"/>
                <w:sz w:val="20"/>
                <w:szCs w:val="20"/>
              </w:rPr>
              <w:t>May be consulted on Deputies.</w:t>
            </w:r>
          </w:p>
        </w:tc>
        <w:tc>
          <w:tcPr>
            <w:tcW w:w="2835" w:type="dxa"/>
          </w:tcPr>
          <w:p w14:paraId="09C50B74" w14:textId="22BBEE29" w:rsidR="0099427F" w:rsidRPr="004F7F40" w:rsidRDefault="00B04ABA" w:rsidP="00FD4A39">
            <w:pPr>
              <w:rPr>
                <w:rFonts w:ascii="Arial" w:hAnsi="Arial" w:cs="Arial"/>
                <w:sz w:val="20"/>
                <w:szCs w:val="20"/>
              </w:rPr>
            </w:pPr>
            <w:r w:rsidRPr="004F7F40">
              <w:rPr>
                <w:rFonts w:ascii="Arial" w:hAnsi="Arial" w:cs="Arial"/>
                <w:sz w:val="20"/>
                <w:szCs w:val="20"/>
              </w:rPr>
              <w:t>Not involved.</w:t>
            </w:r>
          </w:p>
        </w:tc>
        <w:tc>
          <w:tcPr>
            <w:tcW w:w="2551" w:type="dxa"/>
          </w:tcPr>
          <w:p w14:paraId="67552852" w14:textId="1EAC5E2F" w:rsidR="0099427F" w:rsidRPr="004F7F40" w:rsidRDefault="00B04ABA" w:rsidP="00FD4A39">
            <w:pPr>
              <w:rPr>
                <w:rFonts w:ascii="Arial" w:hAnsi="Arial" w:cs="Arial"/>
                <w:sz w:val="20"/>
                <w:szCs w:val="20"/>
              </w:rPr>
            </w:pPr>
            <w:r w:rsidRPr="004F7F40">
              <w:rPr>
                <w:rFonts w:ascii="Arial" w:hAnsi="Arial" w:cs="Arial"/>
                <w:sz w:val="20"/>
                <w:szCs w:val="20"/>
              </w:rPr>
              <w:t>Not involved.</w:t>
            </w:r>
          </w:p>
        </w:tc>
      </w:tr>
      <w:tr w:rsidR="0099427F" w:rsidRPr="004F7F40" w14:paraId="7449D44B" w14:textId="77777777" w:rsidTr="001A1577">
        <w:tc>
          <w:tcPr>
            <w:tcW w:w="1980" w:type="dxa"/>
          </w:tcPr>
          <w:p w14:paraId="0A132C2D"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Role of Cabinet</w:t>
            </w:r>
          </w:p>
        </w:tc>
        <w:tc>
          <w:tcPr>
            <w:tcW w:w="2694" w:type="dxa"/>
          </w:tcPr>
          <w:p w14:paraId="1C927804" w14:textId="77777777" w:rsidR="0099427F" w:rsidRPr="004F7F40" w:rsidRDefault="0099427F" w:rsidP="00FD4A39">
            <w:pPr>
              <w:rPr>
                <w:rFonts w:ascii="Arial" w:hAnsi="Arial" w:cs="Arial"/>
                <w:sz w:val="20"/>
                <w:szCs w:val="20"/>
              </w:rPr>
            </w:pPr>
            <w:r w:rsidRPr="004F7F40">
              <w:rPr>
                <w:rFonts w:ascii="Arial" w:hAnsi="Arial" w:cs="Arial"/>
                <w:sz w:val="20"/>
                <w:szCs w:val="20"/>
              </w:rPr>
              <w:t>Not involved but usually advised at Deputy level.</w:t>
            </w:r>
          </w:p>
        </w:tc>
        <w:tc>
          <w:tcPr>
            <w:tcW w:w="2835" w:type="dxa"/>
          </w:tcPr>
          <w:p w14:paraId="3A12F7BD" w14:textId="55A5E8E5" w:rsidR="0099427F" w:rsidRPr="004F7F40" w:rsidRDefault="00B04ABA" w:rsidP="00FD4A39">
            <w:pPr>
              <w:rPr>
                <w:rFonts w:ascii="Arial" w:hAnsi="Arial" w:cs="Arial"/>
                <w:sz w:val="20"/>
                <w:szCs w:val="20"/>
              </w:rPr>
            </w:pPr>
            <w:r w:rsidRPr="004F7F40">
              <w:rPr>
                <w:rFonts w:ascii="Arial" w:hAnsi="Arial" w:cs="Arial"/>
                <w:sz w:val="20"/>
                <w:szCs w:val="20"/>
              </w:rPr>
              <w:t>Not involved.</w:t>
            </w:r>
          </w:p>
        </w:tc>
        <w:tc>
          <w:tcPr>
            <w:tcW w:w="2551" w:type="dxa"/>
          </w:tcPr>
          <w:p w14:paraId="04B6CFAD" w14:textId="58E47F64" w:rsidR="0099427F" w:rsidRPr="004F7F40" w:rsidRDefault="00B04ABA" w:rsidP="00FD4A39">
            <w:pPr>
              <w:rPr>
                <w:rFonts w:ascii="Arial" w:hAnsi="Arial" w:cs="Arial"/>
                <w:sz w:val="20"/>
                <w:szCs w:val="20"/>
              </w:rPr>
            </w:pPr>
            <w:r w:rsidRPr="004F7F40">
              <w:rPr>
                <w:rFonts w:ascii="Arial" w:hAnsi="Arial" w:cs="Arial"/>
                <w:sz w:val="20"/>
                <w:szCs w:val="20"/>
              </w:rPr>
              <w:t>Not involved.</w:t>
            </w:r>
          </w:p>
        </w:tc>
      </w:tr>
      <w:tr w:rsidR="0099427F" w:rsidRPr="004F7F40" w14:paraId="22CD42D5" w14:textId="77777777" w:rsidTr="001A1577">
        <w:tc>
          <w:tcPr>
            <w:tcW w:w="1980" w:type="dxa"/>
          </w:tcPr>
          <w:p w14:paraId="4F624724" w14:textId="645CB22F" w:rsidR="0099427F" w:rsidRPr="004F7F40" w:rsidRDefault="0099427F" w:rsidP="00FD4A39">
            <w:pPr>
              <w:rPr>
                <w:rFonts w:ascii="Arial" w:hAnsi="Arial" w:cs="Arial"/>
                <w:b/>
                <w:bCs/>
                <w:sz w:val="20"/>
                <w:szCs w:val="20"/>
              </w:rPr>
            </w:pPr>
            <w:r w:rsidRPr="004F7F40">
              <w:rPr>
                <w:rFonts w:ascii="Arial" w:hAnsi="Arial" w:cs="Arial"/>
                <w:b/>
                <w:bCs/>
                <w:sz w:val="20"/>
                <w:szCs w:val="20"/>
              </w:rPr>
              <w:t>Role of Dept. Head</w:t>
            </w:r>
            <w:r w:rsidR="002244CB" w:rsidRPr="004F7F40">
              <w:rPr>
                <w:rFonts w:ascii="Arial" w:hAnsi="Arial" w:cs="Arial"/>
                <w:b/>
                <w:bCs/>
                <w:sz w:val="20"/>
                <w:szCs w:val="20"/>
              </w:rPr>
              <w:t xml:space="preserve"> (CEO)</w:t>
            </w:r>
          </w:p>
        </w:tc>
        <w:tc>
          <w:tcPr>
            <w:tcW w:w="2694" w:type="dxa"/>
          </w:tcPr>
          <w:p w14:paraId="085020B3" w14:textId="77777777" w:rsidR="0099427F" w:rsidRPr="004F7F40" w:rsidRDefault="0099427F" w:rsidP="00FD4A39">
            <w:pPr>
              <w:rPr>
                <w:rFonts w:ascii="Arial" w:hAnsi="Arial" w:cs="Arial"/>
                <w:sz w:val="20"/>
                <w:szCs w:val="20"/>
              </w:rPr>
            </w:pPr>
            <w:r w:rsidRPr="004F7F40">
              <w:rPr>
                <w:rFonts w:ascii="Arial" w:hAnsi="Arial" w:cs="Arial"/>
                <w:sz w:val="20"/>
                <w:szCs w:val="20"/>
              </w:rPr>
              <w:t>Appoints.</w:t>
            </w:r>
          </w:p>
        </w:tc>
        <w:tc>
          <w:tcPr>
            <w:tcW w:w="2835" w:type="dxa"/>
          </w:tcPr>
          <w:p w14:paraId="00F8EDB0" w14:textId="7F940887" w:rsidR="00891E5F" w:rsidRPr="004F7F40" w:rsidRDefault="00891E5F" w:rsidP="00891E5F">
            <w:pPr>
              <w:rPr>
                <w:rFonts w:ascii="Arial" w:hAnsi="Arial" w:cs="Arial"/>
                <w:sz w:val="20"/>
                <w:szCs w:val="20"/>
              </w:rPr>
            </w:pPr>
            <w:r w:rsidRPr="004F7F40">
              <w:rPr>
                <w:rFonts w:ascii="Arial" w:hAnsi="Arial" w:cs="Arial"/>
                <w:sz w:val="20"/>
                <w:szCs w:val="20"/>
              </w:rPr>
              <w:t>2005 changes</w:t>
            </w:r>
          </w:p>
          <w:p w14:paraId="392796E0" w14:textId="15B2A1E1" w:rsidR="00891E5F" w:rsidRPr="004F7F40" w:rsidRDefault="00891E5F" w:rsidP="00891E5F">
            <w:pPr>
              <w:rPr>
                <w:rFonts w:ascii="Arial" w:hAnsi="Arial" w:cs="Arial"/>
                <w:sz w:val="20"/>
                <w:szCs w:val="20"/>
              </w:rPr>
            </w:pPr>
            <w:r w:rsidRPr="004F7F40">
              <w:rPr>
                <w:rFonts w:ascii="Arial" w:hAnsi="Arial" w:cs="Arial"/>
                <w:sz w:val="20"/>
                <w:szCs w:val="20"/>
              </w:rPr>
              <w:t>Review of executive contracts at ECO1 level led to changes in previous policies and procedures for converting EO1/P4 to ECO1 to allow CEOs to do this without referring to ERRP</w:t>
            </w:r>
          </w:p>
          <w:p w14:paraId="00C8F472" w14:textId="77777777" w:rsidR="0099427F" w:rsidRPr="004F7F40" w:rsidRDefault="00891E5F" w:rsidP="00FD4A39">
            <w:pPr>
              <w:rPr>
                <w:rFonts w:ascii="Arial" w:hAnsi="Arial" w:cs="Arial"/>
                <w:sz w:val="20"/>
                <w:szCs w:val="20"/>
              </w:rPr>
            </w:pPr>
            <w:r w:rsidRPr="004F7F40">
              <w:rPr>
                <w:rFonts w:ascii="Arial" w:hAnsi="Arial" w:cs="Arial"/>
                <w:sz w:val="20"/>
                <w:szCs w:val="20"/>
              </w:rPr>
              <w:t>CEOs now able to approve contracts with “standard terms and conditions” (which appear to be standard remuneration package elements and total remuneration at the approved minimum standard package value) for ECO1 to ECO4 (but unclear how this is different to before)</w:t>
            </w:r>
            <w:r w:rsidR="00D9742F" w:rsidRPr="004F7F40">
              <w:rPr>
                <w:rFonts w:ascii="Arial" w:hAnsi="Arial" w:cs="Arial"/>
                <w:sz w:val="20"/>
                <w:szCs w:val="20"/>
              </w:rPr>
              <w:t>.</w:t>
            </w:r>
          </w:p>
          <w:p w14:paraId="050326BB" w14:textId="3A104A75" w:rsidR="00EE18D0" w:rsidRPr="004F7F40" w:rsidRDefault="00EE18D0" w:rsidP="00FD4A39">
            <w:pPr>
              <w:rPr>
                <w:rFonts w:ascii="Arial" w:hAnsi="Arial" w:cs="Arial"/>
                <w:sz w:val="20"/>
                <w:szCs w:val="20"/>
              </w:rPr>
            </w:pPr>
            <w:r w:rsidRPr="004F7F40">
              <w:rPr>
                <w:rFonts w:ascii="Arial" w:hAnsi="Arial" w:cs="Arial"/>
                <w:sz w:val="20"/>
                <w:szCs w:val="20"/>
              </w:rPr>
              <w:t>Since 2011, under the terms of the contract, the CEO is deemed to be the employer of an ECO.</w:t>
            </w:r>
          </w:p>
        </w:tc>
        <w:tc>
          <w:tcPr>
            <w:tcW w:w="2551" w:type="dxa"/>
          </w:tcPr>
          <w:p w14:paraId="64F19425" w14:textId="50F8163D" w:rsidR="0099427F" w:rsidRPr="004F7F40" w:rsidRDefault="00B04ABA" w:rsidP="00FD4A39">
            <w:pPr>
              <w:rPr>
                <w:rFonts w:ascii="Arial" w:hAnsi="Arial" w:cs="Arial"/>
                <w:sz w:val="20"/>
                <w:szCs w:val="20"/>
              </w:rPr>
            </w:pPr>
            <w:r w:rsidRPr="004F7F40">
              <w:rPr>
                <w:rFonts w:ascii="Arial" w:hAnsi="Arial" w:cs="Arial"/>
                <w:sz w:val="20"/>
                <w:szCs w:val="20"/>
              </w:rPr>
              <w:t>Appoints. Offers of employment above the base remuneration level must be approved by ERRP.</w:t>
            </w:r>
          </w:p>
        </w:tc>
      </w:tr>
      <w:tr w:rsidR="001A6EB8" w:rsidRPr="004F7F40" w14:paraId="06C32BC3" w14:textId="77777777" w:rsidTr="001A1577">
        <w:tc>
          <w:tcPr>
            <w:tcW w:w="10060" w:type="dxa"/>
            <w:gridSpan w:val="4"/>
            <w:shd w:val="pct10" w:color="auto" w:fill="FFFFFF"/>
          </w:tcPr>
          <w:p w14:paraId="76ADDB4E" w14:textId="2347645C" w:rsidR="001A6EB8" w:rsidRPr="004F7F40" w:rsidRDefault="001A6EB8" w:rsidP="00FD4A39">
            <w:pPr>
              <w:rPr>
                <w:rFonts w:ascii="Arial" w:hAnsi="Arial" w:cs="Arial"/>
                <w:sz w:val="22"/>
              </w:rPr>
            </w:pPr>
            <w:r w:rsidRPr="004F7F40">
              <w:rPr>
                <w:rFonts w:ascii="Arial" w:hAnsi="Arial" w:cs="Arial"/>
                <w:b/>
                <w:sz w:val="22"/>
              </w:rPr>
              <w:t>Employment Conditions</w:t>
            </w:r>
          </w:p>
        </w:tc>
      </w:tr>
      <w:tr w:rsidR="0099427F" w:rsidRPr="004F7F40" w14:paraId="19BEF7D5" w14:textId="77777777" w:rsidTr="001A1577">
        <w:tc>
          <w:tcPr>
            <w:tcW w:w="1980" w:type="dxa"/>
          </w:tcPr>
          <w:p w14:paraId="08728506"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Contract</w:t>
            </w:r>
          </w:p>
        </w:tc>
        <w:tc>
          <w:tcPr>
            <w:tcW w:w="2694" w:type="dxa"/>
          </w:tcPr>
          <w:p w14:paraId="2C65FEF6" w14:textId="77777777" w:rsidR="0099427F" w:rsidRPr="004F7F40" w:rsidRDefault="0099427F" w:rsidP="00FD4A39">
            <w:pPr>
              <w:rPr>
                <w:rFonts w:ascii="Arial" w:hAnsi="Arial" w:cs="Arial"/>
                <w:sz w:val="20"/>
                <w:szCs w:val="20"/>
              </w:rPr>
            </w:pPr>
            <w:r w:rsidRPr="004F7F40">
              <w:rPr>
                <w:rFonts w:ascii="Arial" w:hAnsi="Arial" w:cs="Arial"/>
                <w:sz w:val="20"/>
                <w:szCs w:val="20"/>
              </w:rPr>
              <w:t>Yes, standard.</w:t>
            </w:r>
          </w:p>
        </w:tc>
        <w:tc>
          <w:tcPr>
            <w:tcW w:w="2835" w:type="dxa"/>
          </w:tcPr>
          <w:p w14:paraId="45C50217" w14:textId="3775E587" w:rsidR="0099427F" w:rsidRPr="004F7F40" w:rsidRDefault="00D9742F" w:rsidP="00FD4A39">
            <w:pPr>
              <w:rPr>
                <w:rFonts w:ascii="Arial" w:hAnsi="Arial" w:cs="Arial"/>
                <w:sz w:val="20"/>
                <w:szCs w:val="20"/>
              </w:rPr>
            </w:pPr>
            <w:r w:rsidRPr="004F7F40">
              <w:rPr>
                <w:rFonts w:ascii="Arial" w:hAnsi="Arial" w:cs="Arial"/>
                <w:sz w:val="20"/>
                <w:szCs w:val="20"/>
              </w:rPr>
              <w:t xml:space="preserve">Conditions of ECO employment </w:t>
            </w:r>
            <w:proofErr w:type="gramStart"/>
            <w:r w:rsidRPr="004F7F40">
              <w:rPr>
                <w:rFonts w:ascii="Arial" w:hAnsi="Arial" w:cs="Arial"/>
                <w:sz w:val="20"/>
                <w:szCs w:val="20"/>
              </w:rPr>
              <w:t>are</w:t>
            </w:r>
            <w:proofErr w:type="gramEnd"/>
            <w:r w:rsidRPr="004F7F40">
              <w:rPr>
                <w:rFonts w:ascii="Arial" w:hAnsi="Arial" w:cs="Arial"/>
                <w:sz w:val="20"/>
                <w:szCs w:val="20"/>
              </w:rPr>
              <w:t xml:space="preserve"> set out in </w:t>
            </w:r>
            <w:r w:rsidRPr="004F7F40">
              <w:rPr>
                <w:rFonts w:ascii="Arial" w:hAnsi="Arial" w:cs="Arial"/>
                <w:i/>
                <w:iCs/>
                <w:sz w:val="20"/>
                <w:szCs w:val="20"/>
              </w:rPr>
              <w:t>Determination 13 of 2011</w:t>
            </w:r>
            <w:r w:rsidR="002244CB" w:rsidRPr="004F7F40">
              <w:rPr>
                <w:rFonts w:ascii="Arial" w:hAnsi="Arial" w:cs="Arial"/>
                <w:sz w:val="20"/>
                <w:szCs w:val="20"/>
              </w:rPr>
              <w:t xml:space="preserve"> (OCPE, 2011)</w:t>
            </w:r>
            <w:r w:rsidRPr="004F7F40">
              <w:rPr>
                <w:rFonts w:ascii="Arial" w:hAnsi="Arial" w:cs="Arial"/>
                <w:sz w:val="20"/>
                <w:szCs w:val="20"/>
              </w:rPr>
              <w:t>.</w:t>
            </w:r>
          </w:p>
          <w:p w14:paraId="13D23971" w14:textId="77777777" w:rsidR="00EE18D0" w:rsidRPr="004F7F40" w:rsidRDefault="00EE18D0" w:rsidP="00FD4A39">
            <w:pPr>
              <w:rPr>
                <w:rFonts w:ascii="Arial" w:hAnsi="Arial" w:cs="Arial"/>
                <w:sz w:val="20"/>
                <w:szCs w:val="20"/>
              </w:rPr>
            </w:pPr>
          </w:p>
          <w:p w14:paraId="5FF2FDA7" w14:textId="041BE891" w:rsidR="00EE18D0" w:rsidRPr="004F7F40" w:rsidRDefault="00EE18D0" w:rsidP="00FD4A39">
            <w:pPr>
              <w:rPr>
                <w:rFonts w:ascii="Arial" w:hAnsi="Arial" w:cs="Arial"/>
                <w:sz w:val="20"/>
                <w:szCs w:val="20"/>
              </w:rPr>
            </w:pPr>
          </w:p>
        </w:tc>
        <w:tc>
          <w:tcPr>
            <w:tcW w:w="2551" w:type="dxa"/>
          </w:tcPr>
          <w:p w14:paraId="07F9EB27" w14:textId="1A8B76AD" w:rsidR="0099427F" w:rsidRPr="004F7F40" w:rsidRDefault="00D9742F" w:rsidP="00FD4A39">
            <w:pPr>
              <w:rPr>
                <w:rFonts w:ascii="Arial" w:hAnsi="Arial" w:cs="Arial"/>
                <w:sz w:val="20"/>
                <w:szCs w:val="20"/>
              </w:rPr>
            </w:pPr>
            <w:r w:rsidRPr="004F7F40">
              <w:rPr>
                <w:rFonts w:ascii="Arial" w:hAnsi="Arial" w:cs="Arial"/>
                <w:sz w:val="20"/>
                <w:szCs w:val="20"/>
              </w:rPr>
              <w:t xml:space="preserve">In 2019, Determinations 5, 8 10, 11, 12 and 14 applied three or four-year wage freezes to ECO contracts </w:t>
            </w:r>
            <w:proofErr w:type="gramStart"/>
            <w:r w:rsidRPr="004F7F40">
              <w:rPr>
                <w:rFonts w:ascii="Arial" w:hAnsi="Arial" w:cs="Arial"/>
                <w:sz w:val="20"/>
                <w:szCs w:val="20"/>
              </w:rPr>
              <w:t>entered into</w:t>
            </w:r>
            <w:proofErr w:type="gramEnd"/>
            <w:r w:rsidRPr="004F7F40">
              <w:rPr>
                <w:rFonts w:ascii="Arial" w:hAnsi="Arial" w:cs="Arial"/>
                <w:sz w:val="20"/>
                <w:szCs w:val="20"/>
              </w:rPr>
              <w:t xml:space="preserve"> after 23 April 2019.</w:t>
            </w:r>
          </w:p>
        </w:tc>
      </w:tr>
      <w:tr w:rsidR="0099427F" w:rsidRPr="004F7F40" w14:paraId="0EE05B4C" w14:textId="77777777" w:rsidTr="001A1577">
        <w:tc>
          <w:tcPr>
            <w:tcW w:w="1980" w:type="dxa"/>
          </w:tcPr>
          <w:p w14:paraId="4E3676DA"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lastRenderedPageBreak/>
              <w:t>Contract timeframe</w:t>
            </w:r>
          </w:p>
        </w:tc>
        <w:tc>
          <w:tcPr>
            <w:tcW w:w="2694" w:type="dxa"/>
          </w:tcPr>
          <w:p w14:paraId="1A7A662F" w14:textId="77777777" w:rsidR="0099427F" w:rsidRPr="004F7F40" w:rsidRDefault="0099427F" w:rsidP="00FD4A39">
            <w:pPr>
              <w:rPr>
                <w:rFonts w:ascii="Arial" w:hAnsi="Arial" w:cs="Arial"/>
                <w:sz w:val="20"/>
                <w:szCs w:val="20"/>
              </w:rPr>
            </w:pPr>
            <w:r w:rsidRPr="004F7F40">
              <w:rPr>
                <w:rFonts w:ascii="Arial" w:hAnsi="Arial" w:cs="Arial"/>
                <w:sz w:val="20"/>
                <w:szCs w:val="20"/>
              </w:rPr>
              <w:t>Up to 4 years.</w:t>
            </w:r>
          </w:p>
        </w:tc>
        <w:tc>
          <w:tcPr>
            <w:tcW w:w="2835" w:type="dxa"/>
          </w:tcPr>
          <w:p w14:paraId="64AEDC82" w14:textId="7882DE3C" w:rsidR="0099427F" w:rsidRPr="004F7F40" w:rsidRDefault="00146225" w:rsidP="00FD4A39">
            <w:pPr>
              <w:rPr>
                <w:rFonts w:ascii="Arial" w:hAnsi="Arial" w:cs="Arial"/>
                <w:sz w:val="20"/>
                <w:szCs w:val="20"/>
              </w:rPr>
            </w:pPr>
            <w:r w:rsidRPr="004F7F40">
              <w:rPr>
                <w:rFonts w:ascii="Arial" w:hAnsi="Arial" w:cs="Arial"/>
                <w:i/>
                <w:iCs/>
                <w:sz w:val="20"/>
                <w:szCs w:val="20"/>
              </w:rPr>
              <w:t xml:space="preserve">Determination 13 of 2011 </w:t>
            </w:r>
            <w:r w:rsidRPr="004F7F40">
              <w:rPr>
                <w:rFonts w:ascii="Arial" w:hAnsi="Arial" w:cs="Arial"/>
                <w:sz w:val="20"/>
                <w:szCs w:val="20"/>
              </w:rPr>
              <w:t xml:space="preserve">rules that ECO contracts do not exceed 5 years. </w:t>
            </w:r>
          </w:p>
        </w:tc>
        <w:tc>
          <w:tcPr>
            <w:tcW w:w="2551" w:type="dxa"/>
          </w:tcPr>
          <w:p w14:paraId="234E535A" w14:textId="7133A83E" w:rsidR="0099427F" w:rsidRPr="004F7F40" w:rsidRDefault="00146225" w:rsidP="00FD4A39">
            <w:pPr>
              <w:rPr>
                <w:rFonts w:ascii="Arial" w:hAnsi="Arial" w:cs="Arial"/>
                <w:sz w:val="20"/>
                <w:szCs w:val="20"/>
              </w:rPr>
            </w:pPr>
            <w:r w:rsidRPr="004F7F40">
              <w:rPr>
                <w:rFonts w:ascii="Arial" w:hAnsi="Arial" w:cs="Arial"/>
                <w:sz w:val="20"/>
                <w:szCs w:val="20"/>
              </w:rPr>
              <w:t>Up to 5 years.</w:t>
            </w:r>
          </w:p>
        </w:tc>
      </w:tr>
      <w:tr w:rsidR="0099427F" w:rsidRPr="004F7F40" w14:paraId="5CF15898" w14:textId="77777777" w:rsidTr="001A1577">
        <w:tc>
          <w:tcPr>
            <w:tcW w:w="1980" w:type="dxa"/>
          </w:tcPr>
          <w:p w14:paraId="501B1D8B"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Contract Extension</w:t>
            </w:r>
          </w:p>
        </w:tc>
        <w:tc>
          <w:tcPr>
            <w:tcW w:w="2694" w:type="dxa"/>
          </w:tcPr>
          <w:p w14:paraId="3B493A68" w14:textId="77777777" w:rsidR="0099427F" w:rsidRPr="004F7F40" w:rsidRDefault="0099427F" w:rsidP="00FD4A39">
            <w:pPr>
              <w:rPr>
                <w:rFonts w:ascii="Arial" w:hAnsi="Arial" w:cs="Arial"/>
                <w:sz w:val="20"/>
                <w:szCs w:val="20"/>
              </w:rPr>
            </w:pPr>
            <w:r w:rsidRPr="004F7F40">
              <w:rPr>
                <w:rFonts w:ascii="Arial" w:hAnsi="Arial" w:cs="Arial"/>
                <w:sz w:val="20"/>
                <w:szCs w:val="20"/>
              </w:rPr>
              <w:t>No, new contract.</w:t>
            </w:r>
          </w:p>
        </w:tc>
        <w:tc>
          <w:tcPr>
            <w:tcW w:w="2835" w:type="dxa"/>
          </w:tcPr>
          <w:p w14:paraId="03528A9E" w14:textId="7CA46E46" w:rsidR="0099427F" w:rsidRPr="004F7F40" w:rsidRDefault="00146225" w:rsidP="00FD4A39">
            <w:pPr>
              <w:rPr>
                <w:rFonts w:ascii="Arial" w:hAnsi="Arial" w:cs="Arial"/>
                <w:sz w:val="20"/>
                <w:szCs w:val="20"/>
              </w:rPr>
            </w:pPr>
            <w:r w:rsidRPr="004F7F40">
              <w:rPr>
                <w:rFonts w:ascii="Arial" w:hAnsi="Arial" w:cs="Arial"/>
                <w:sz w:val="20"/>
                <w:szCs w:val="20"/>
              </w:rPr>
              <w:t>Since 2011, an ECO contract may be renewed for a further period at the Employer’s discretion (OCPE 2011, p. 6). The possibility of extension is to be discussed 6 months prior to expiration of the contract, with the ECO to be advised within 3 months of expiry.</w:t>
            </w:r>
          </w:p>
        </w:tc>
        <w:tc>
          <w:tcPr>
            <w:tcW w:w="2551" w:type="dxa"/>
          </w:tcPr>
          <w:p w14:paraId="109C72EB" w14:textId="3717E8FE" w:rsidR="0099427F" w:rsidRPr="004F7F40" w:rsidRDefault="00146225" w:rsidP="00FD4A39">
            <w:pPr>
              <w:rPr>
                <w:rFonts w:ascii="Arial" w:hAnsi="Arial" w:cs="Arial"/>
                <w:sz w:val="20"/>
                <w:szCs w:val="20"/>
              </w:rPr>
            </w:pPr>
            <w:r w:rsidRPr="004F7F40">
              <w:rPr>
                <w:rFonts w:ascii="Arial" w:hAnsi="Arial" w:cs="Arial"/>
                <w:sz w:val="20"/>
                <w:szCs w:val="20"/>
              </w:rPr>
              <w:t xml:space="preserve">Does not apply to contacts of one year or less. </w:t>
            </w:r>
          </w:p>
        </w:tc>
      </w:tr>
      <w:tr w:rsidR="002112ED" w:rsidRPr="004F7F40" w14:paraId="03CD1DF5" w14:textId="77777777" w:rsidTr="001A1577">
        <w:tc>
          <w:tcPr>
            <w:tcW w:w="1980" w:type="dxa"/>
          </w:tcPr>
          <w:p w14:paraId="6B97A9E8" w14:textId="77777777" w:rsidR="002112ED" w:rsidRPr="004F7F40" w:rsidRDefault="002112ED" w:rsidP="001710B0">
            <w:pPr>
              <w:rPr>
                <w:rFonts w:ascii="Arial" w:hAnsi="Arial" w:cs="Arial"/>
                <w:b/>
                <w:bCs/>
                <w:sz w:val="20"/>
                <w:szCs w:val="20"/>
              </w:rPr>
            </w:pPr>
            <w:r w:rsidRPr="004F7F40">
              <w:rPr>
                <w:rFonts w:ascii="Arial" w:hAnsi="Arial" w:cs="Arial"/>
                <w:b/>
                <w:bCs/>
                <w:sz w:val="20"/>
                <w:szCs w:val="20"/>
              </w:rPr>
              <w:t>Process re extension</w:t>
            </w:r>
          </w:p>
        </w:tc>
        <w:tc>
          <w:tcPr>
            <w:tcW w:w="2694" w:type="dxa"/>
          </w:tcPr>
          <w:p w14:paraId="345E0718" w14:textId="77777777" w:rsidR="002112ED" w:rsidRPr="004F7F40" w:rsidRDefault="002112ED" w:rsidP="001710B0">
            <w:pPr>
              <w:rPr>
                <w:rFonts w:ascii="Arial" w:hAnsi="Arial" w:cs="Arial"/>
                <w:sz w:val="20"/>
                <w:szCs w:val="20"/>
              </w:rPr>
            </w:pPr>
            <w:r w:rsidRPr="004F7F40">
              <w:rPr>
                <w:rFonts w:ascii="Arial" w:hAnsi="Arial" w:cs="Arial"/>
                <w:sz w:val="20"/>
                <w:szCs w:val="20"/>
              </w:rPr>
              <w:t>New contract without advertising</w:t>
            </w:r>
          </w:p>
        </w:tc>
        <w:tc>
          <w:tcPr>
            <w:tcW w:w="2835" w:type="dxa"/>
          </w:tcPr>
          <w:p w14:paraId="1642E715" w14:textId="77777777" w:rsidR="002112ED" w:rsidRPr="004F7F40" w:rsidRDefault="002112ED" w:rsidP="001710B0">
            <w:pPr>
              <w:rPr>
                <w:rFonts w:ascii="Arial" w:hAnsi="Arial" w:cs="Arial"/>
                <w:sz w:val="20"/>
                <w:szCs w:val="20"/>
              </w:rPr>
            </w:pPr>
          </w:p>
        </w:tc>
        <w:tc>
          <w:tcPr>
            <w:tcW w:w="2551" w:type="dxa"/>
          </w:tcPr>
          <w:p w14:paraId="1FA7CF6C" w14:textId="7B79FDC0" w:rsidR="002112ED" w:rsidRPr="004F7F40" w:rsidRDefault="002112ED" w:rsidP="001710B0">
            <w:pPr>
              <w:rPr>
                <w:rFonts w:ascii="Arial" w:hAnsi="Arial" w:cs="Arial"/>
                <w:sz w:val="20"/>
                <w:szCs w:val="20"/>
              </w:rPr>
            </w:pPr>
            <w:r w:rsidRPr="004F7F40">
              <w:rPr>
                <w:rFonts w:ascii="Arial" w:hAnsi="Arial" w:cs="Arial"/>
                <w:sz w:val="20"/>
                <w:szCs w:val="20"/>
              </w:rPr>
              <w:t>At the CEO’s discretion.</w:t>
            </w:r>
          </w:p>
        </w:tc>
      </w:tr>
      <w:tr w:rsidR="0099427F" w:rsidRPr="004F7F40" w14:paraId="7E703580" w14:textId="77777777" w:rsidTr="001A1577">
        <w:tc>
          <w:tcPr>
            <w:tcW w:w="1980" w:type="dxa"/>
          </w:tcPr>
          <w:p w14:paraId="31E0AB0B"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Redundancy/ Termination provisions</w:t>
            </w:r>
          </w:p>
        </w:tc>
        <w:tc>
          <w:tcPr>
            <w:tcW w:w="2694" w:type="dxa"/>
          </w:tcPr>
          <w:p w14:paraId="130E8716" w14:textId="77777777" w:rsidR="0099427F" w:rsidRPr="004F7F40" w:rsidRDefault="0099427F" w:rsidP="00FD4A39">
            <w:pPr>
              <w:rPr>
                <w:rFonts w:ascii="Arial" w:hAnsi="Arial" w:cs="Arial"/>
                <w:sz w:val="20"/>
                <w:szCs w:val="20"/>
              </w:rPr>
            </w:pPr>
            <w:r w:rsidRPr="004F7F40">
              <w:rPr>
                <w:rFonts w:ascii="Arial" w:hAnsi="Arial" w:cs="Arial"/>
                <w:sz w:val="20"/>
                <w:szCs w:val="20"/>
              </w:rPr>
              <w:t>Balance of contract to a maximum of 6 months at Total Employment Cost</w:t>
            </w:r>
          </w:p>
        </w:tc>
        <w:tc>
          <w:tcPr>
            <w:tcW w:w="2835" w:type="dxa"/>
          </w:tcPr>
          <w:p w14:paraId="4B63014B" w14:textId="5CFE3812" w:rsidR="0099427F" w:rsidRPr="004F7F40" w:rsidRDefault="00ED62D0" w:rsidP="00FD4A39">
            <w:pPr>
              <w:rPr>
                <w:rFonts w:ascii="Arial" w:hAnsi="Arial" w:cs="Arial"/>
                <w:b/>
                <w:bCs/>
                <w:sz w:val="20"/>
                <w:szCs w:val="20"/>
              </w:rPr>
            </w:pPr>
            <w:r w:rsidRPr="004F7F40">
              <w:rPr>
                <w:rFonts w:ascii="Arial" w:hAnsi="Arial" w:cs="Arial"/>
                <w:b/>
                <w:bCs/>
                <w:sz w:val="20"/>
                <w:szCs w:val="20"/>
              </w:rPr>
              <w:t>2004</w:t>
            </w:r>
            <w:r w:rsidR="00891E5F" w:rsidRPr="004F7F40">
              <w:rPr>
                <w:rFonts w:ascii="Arial" w:hAnsi="Arial" w:cs="Arial"/>
                <w:b/>
                <w:bCs/>
                <w:sz w:val="20"/>
                <w:szCs w:val="20"/>
              </w:rPr>
              <w:t xml:space="preserve"> </w:t>
            </w:r>
          </w:p>
          <w:p w14:paraId="52B2EA10" w14:textId="77777777" w:rsidR="00891E5F" w:rsidRPr="004F7F40" w:rsidRDefault="00891E5F" w:rsidP="00891E5F">
            <w:pPr>
              <w:rPr>
                <w:rFonts w:ascii="Arial" w:hAnsi="Arial" w:cs="Arial"/>
                <w:sz w:val="20"/>
                <w:szCs w:val="20"/>
              </w:rPr>
            </w:pPr>
            <w:r w:rsidRPr="004F7F40">
              <w:rPr>
                <w:rFonts w:ascii="Arial" w:hAnsi="Arial" w:cs="Arial"/>
                <w:sz w:val="20"/>
                <w:szCs w:val="20"/>
              </w:rPr>
              <w:t>Public Accounts Committee Compliance Audit into Early Termination Payments to CEOs and ECOs found that:</w:t>
            </w:r>
          </w:p>
          <w:p w14:paraId="34CA4D91" w14:textId="180F212C" w:rsidR="00891E5F" w:rsidRPr="004F7F40" w:rsidRDefault="00891E5F" w:rsidP="00891E5F">
            <w:pPr>
              <w:pStyle w:val="ListParagraph"/>
              <w:numPr>
                <w:ilvl w:val="0"/>
                <w:numId w:val="18"/>
              </w:numPr>
              <w:rPr>
                <w:rFonts w:ascii="Arial" w:hAnsi="Arial" w:cs="Arial"/>
                <w:sz w:val="20"/>
                <w:szCs w:val="20"/>
              </w:rPr>
            </w:pPr>
            <w:r w:rsidRPr="004F7F40">
              <w:rPr>
                <w:rFonts w:ascii="Arial" w:hAnsi="Arial" w:cs="Arial"/>
                <w:sz w:val="20"/>
                <w:szCs w:val="20"/>
              </w:rPr>
              <w:t>Termination payments and payments additional to contract requirements were being approved and paid without sufficient records of why payments were being made</w:t>
            </w:r>
            <w:r w:rsidR="00A57861" w:rsidRPr="004F7F40">
              <w:rPr>
                <w:rFonts w:ascii="Arial" w:hAnsi="Arial" w:cs="Arial"/>
                <w:sz w:val="20"/>
                <w:szCs w:val="20"/>
              </w:rPr>
              <w:t>.</w:t>
            </w:r>
          </w:p>
          <w:p w14:paraId="500E80C7" w14:textId="17785B32" w:rsidR="00891E5F" w:rsidRPr="004F7F40" w:rsidRDefault="00891E5F" w:rsidP="00891E5F">
            <w:pPr>
              <w:pStyle w:val="ListParagraph"/>
              <w:numPr>
                <w:ilvl w:val="0"/>
                <w:numId w:val="18"/>
              </w:numPr>
              <w:rPr>
                <w:rFonts w:ascii="Arial" w:hAnsi="Arial" w:cs="Arial"/>
                <w:sz w:val="20"/>
                <w:szCs w:val="20"/>
              </w:rPr>
            </w:pPr>
            <w:r w:rsidRPr="004F7F40">
              <w:rPr>
                <w:rFonts w:ascii="Arial" w:hAnsi="Arial" w:cs="Arial"/>
                <w:sz w:val="20"/>
                <w:szCs w:val="20"/>
              </w:rPr>
              <w:t>There were no records of whether the variations were assessed as being “in the public interest”</w:t>
            </w:r>
            <w:r w:rsidR="00A57861" w:rsidRPr="004F7F40">
              <w:rPr>
                <w:rFonts w:ascii="Arial" w:hAnsi="Arial" w:cs="Arial"/>
                <w:sz w:val="20"/>
                <w:szCs w:val="20"/>
              </w:rPr>
              <w:t>.</w:t>
            </w:r>
          </w:p>
          <w:p w14:paraId="4D07892D" w14:textId="77777777" w:rsidR="002244CB" w:rsidRPr="004F7F40" w:rsidRDefault="00891E5F" w:rsidP="00891E5F">
            <w:pPr>
              <w:rPr>
                <w:rFonts w:ascii="Arial" w:hAnsi="Arial" w:cs="Arial"/>
                <w:sz w:val="20"/>
                <w:szCs w:val="20"/>
              </w:rPr>
            </w:pPr>
            <w:r w:rsidRPr="004F7F40">
              <w:rPr>
                <w:rFonts w:ascii="Arial" w:hAnsi="Arial" w:cs="Arial"/>
                <w:sz w:val="20"/>
                <w:szCs w:val="20"/>
              </w:rPr>
              <w:t>OCPE reported that “procedures were put in place” to address the findings</w:t>
            </w:r>
            <w:r w:rsidR="002244CB" w:rsidRPr="004F7F40">
              <w:rPr>
                <w:rFonts w:ascii="Arial" w:hAnsi="Arial" w:cs="Arial"/>
                <w:sz w:val="20"/>
                <w:szCs w:val="20"/>
              </w:rPr>
              <w:t>.</w:t>
            </w:r>
          </w:p>
          <w:p w14:paraId="06FAE3EA" w14:textId="6B9C8C0A" w:rsidR="002112ED" w:rsidRPr="004F7F40" w:rsidRDefault="002112ED" w:rsidP="00891E5F">
            <w:pPr>
              <w:rPr>
                <w:rFonts w:ascii="Arial" w:hAnsi="Arial" w:cs="Arial"/>
                <w:sz w:val="20"/>
                <w:szCs w:val="20"/>
              </w:rPr>
            </w:pPr>
            <w:r w:rsidRPr="004F7F40">
              <w:rPr>
                <w:rFonts w:ascii="Arial" w:hAnsi="Arial" w:cs="Arial"/>
                <w:i/>
                <w:iCs/>
                <w:sz w:val="20"/>
                <w:szCs w:val="20"/>
              </w:rPr>
              <w:t xml:space="preserve">Determination 13 of 2011 </w:t>
            </w:r>
            <w:r w:rsidRPr="004F7F40">
              <w:rPr>
                <w:rFonts w:ascii="Arial" w:hAnsi="Arial" w:cs="Arial"/>
                <w:sz w:val="20"/>
                <w:szCs w:val="20"/>
              </w:rPr>
              <w:t xml:space="preserve">states that ECO contracts may be terminated at any time in accordance with </w:t>
            </w:r>
            <w:r w:rsidRPr="004F7F40">
              <w:rPr>
                <w:rFonts w:ascii="Arial" w:hAnsi="Arial" w:cs="Arial"/>
                <w:i/>
                <w:iCs/>
                <w:sz w:val="20"/>
                <w:szCs w:val="20"/>
              </w:rPr>
              <w:t>Employment Instruction 13 – Natural Justice.</w:t>
            </w:r>
          </w:p>
          <w:p w14:paraId="576F289C" w14:textId="6FB5558A" w:rsidR="00891E5F" w:rsidRPr="004F7F40" w:rsidRDefault="002244CB" w:rsidP="00891E5F">
            <w:pPr>
              <w:rPr>
                <w:rFonts w:ascii="Arial" w:hAnsi="Arial" w:cs="Arial"/>
                <w:sz w:val="20"/>
                <w:szCs w:val="20"/>
              </w:rPr>
            </w:pPr>
            <w:r w:rsidRPr="004F7F40">
              <w:rPr>
                <w:rFonts w:ascii="Arial" w:hAnsi="Arial" w:cs="Arial"/>
                <w:sz w:val="20"/>
                <w:szCs w:val="20"/>
              </w:rPr>
              <w:t xml:space="preserve">Since </w:t>
            </w:r>
            <w:r w:rsidRPr="004F7F40">
              <w:rPr>
                <w:rFonts w:ascii="Arial" w:hAnsi="Arial" w:cs="Arial"/>
                <w:b/>
                <w:bCs/>
                <w:sz w:val="20"/>
                <w:szCs w:val="20"/>
              </w:rPr>
              <w:t>2011</w:t>
            </w:r>
            <w:r w:rsidRPr="004F7F40">
              <w:rPr>
                <w:rFonts w:ascii="Arial" w:hAnsi="Arial" w:cs="Arial"/>
                <w:sz w:val="20"/>
                <w:szCs w:val="20"/>
              </w:rPr>
              <w:t>, an ECO may request reconsideration of a termination decision within five working days, with the CEO to provide written advice on the reconsidered decision within two working days (OCPE 2011, p. 6).</w:t>
            </w:r>
            <w:r w:rsidR="00891E5F" w:rsidRPr="004F7F40">
              <w:rPr>
                <w:rFonts w:ascii="Arial" w:hAnsi="Arial" w:cs="Arial"/>
                <w:sz w:val="20"/>
                <w:szCs w:val="20"/>
              </w:rPr>
              <w:t xml:space="preserve"> </w:t>
            </w:r>
          </w:p>
          <w:p w14:paraId="2F611269" w14:textId="7001B2B5" w:rsidR="002244CB" w:rsidRPr="004F7F40" w:rsidRDefault="002244CB" w:rsidP="00FD4A39">
            <w:pPr>
              <w:rPr>
                <w:rFonts w:ascii="Arial" w:hAnsi="Arial" w:cs="Arial"/>
                <w:sz w:val="20"/>
                <w:szCs w:val="20"/>
              </w:rPr>
            </w:pPr>
          </w:p>
        </w:tc>
        <w:tc>
          <w:tcPr>
            <w:tcW w:w="2551" w:type="dxa"/>
          </w:tcPr>
          <w:p w14:paraId="587A061D" w14:textId="77777777" w:rsidR="0062084C" w:rsidRPr="004F7F40" w:rsidRDefault="0062084C" w:rsidP="00FD4A39">
            <w:pPr>
              <w:rPr>
                <w:rFonts w:ascii="Arial" w:hAnsi="Arial" w:cs="Arial"/>
                <w:sz w:val="20"/>
                <w:szCs w:val="20"/>
              </w:rPr>
            </w:pPr>
            <w:r w:rsidRPr="004F7F40">
              <w:rPr>
                <w:rFonts w:ascii="Arial" w:hAnsi="Arial" w:cs="Arial"/>
                <w:sz w:val="20"/>
                <w:szCs w:val="20"/>
              </w:rPr>
              <w:t xml:space="preserve">Refer termination clauses of relevant Determination: 13 of 2011, 5 of 2019 or 10 of 2019. </w:t>
            </w:r>
          </w:p>
          <w:p w14:paraId="679ED170" w14:textId="4AA85D7A" w:rsidR="002112ED" w:rsidRPr="004F7F40" w:rsidRDefault="002112ED" w:rsidP="00FD4A39">
            <w:pPr>
              <w:rPr>
                <w:rFonts w:ascii="Arial" w:hAnsi="Arial" w:cs="Arial"/>
                <w:sz w:val="20"/>
                <w:szCs w:val="20"/>
              </w:rPr>
            </w:pPr>
            <w:r w:rsidRPr="004F7F40">
              <w:rPr>
                <w:rFonts w:ascii="Arial" w:hAnsi="Arial" w:cs="Arial"/>
                <w:sz w:val="20"/>
                <w:szCs w:val="20"/>
              </w:rPr>
              <w:t>CEO’s may terminate ECO contracts “at any time” and “either with or without pay”.</w:t>
            </w:r>
          </w:p>
          <w:p w14:paraId="53768499" w14:textId="77777777" w:rsidR="00E424D7" w:rsidRPr="004F7F40" w:rsidRDefault="002244CB" w:rsidP="00FD4A39">
            <w:pPr>
              <w:rPr>
                <w:rFonts w:ascii="Arial" w:hAnsi="Arial" w:cs="Arial"/>
                <w:sz w:val="20"/>
                <w:szCs w:val="20"/>
              </w:rPr>
            </w:pPr>
            <w:r w:rsidRPr="004F7F40">
              <w:rPr>
                <w:rFonts w:ascii="Arial" w:hAnsi="Arial" w:cs="Arial"/>
                <w:sz w:val="20"/>
                <w:szCs w:val="20"/>
              </w:rPr>
              <w:t>Termination payments are subject to the reason for termination</w:t>
            </w:r>
            <w:r w:rsidR="002112ED" w:rsidRPr="004F7F40">
              <w:rPr>
                <w:rFonts w:ascii="Arial" w:hAnsi="Arial" w:cs="Arial"/>
                <w:sz w:val="20"/>
                <w:szCs w:val="20"/>
              </w:rPr>
              <w:t xml:space="preserve"> </w:t>
            </w:r>
            <w:proofErr w:type="gramStart"/>
            <w:r w:rsidR="002112ED" w:rsidRPr="004F7F40">
              <w:rPr>
                <w:rFonts w:ascii="Arial" w:hAnsi="Arial" w:cs="Arial"/>
                <w:sz w:val="20"/>
                <w:szCs w:val="20"/>
              </w:rPr>
              <w:t>e.g.</w:t>
            </w:r>
            <w:proofErr w:type="gramEnd"/>
            <w:r w:rsidR="002112ED" w:rsidRPr="004F7F40">
              <w:rPr>
                <w:rFonts w:ascii="Arial" w:hAnsi="Arial" w:cs="Arial"/>
                <w:sz w:val="20"/>
                <w:szCs w:val="20"/>
              </w:rPr>
              <w:t xml:space="preserve"> misconduct, illness</w:t>
            </w:r>
            <w:r w:rsidRPr="004F7F40">
              <w:rPr>
                <w:rFonts w:ascii="Arial" w:hAnsi="Arial" w:cs="Arial"/>
                <w:sz w:val="20"/>
                <w:szCs w:val="20"/>
              </w:rPr>
              <w:t xml:space="preserve"> </w:t>
            </w:r>
            <w:r w:rsidR="002112ED" w:rsidRPr="004F7F40">
              <w:rPr>
                <w:rFonts w:ascii="Arial" w:hAnsi="Arial" w:cs="Arial"/>
                <w:sz w:val="20"/>
                <w:szCs w:val="20"/>
              </w:rPr>
              <w:t>or “other reasons”</w:t>
            </w:r>
            <w:r w:rsidR="00E424D7" w:rsidRPr="004F7F40">
              <w:rPr>
                <w:rFonts w:ascii="Arial" w:hAnsi="Arial" w:cs="Arial"/>
                <w:sz w:val="20"/>
                <w:szCs w:val="20"/>
              </w:rPr>
              <w:t>.</w:t>
            </w:r>
          </w:p>
          <w:p w14:paraId="2397C812" w14:textId="3B4E060A" w:rsidR="002112ED" w:rsidRPr="004F7F40" w:rsidRDefault="00484A3C" w:rsidP="00484A3C">
            <w:pPr>
              <w:spacing w:before="0" w:after="120"/>
              <w:rPr>
                <w:rFonts w:ascii="Arial" w:hAnsi="Arial" w:cs="Arial"/>
                <w:sz w:val="20"/>
                <w:szCs w:val="20"/>
              </w:rPr>
            </w:pPr>
            <w:r w:rsidRPr="004F7F40">
              <w:rPr>
                <w:rFonts w:ascii="Arial" w:hAnsi="Arial" w:cs="Arial"/>
                <w:sz w:val="20"/>
                <w:szCs w:val="20"/>
              </w:rPr>
              <w:t>If terminated for</w:t>
            </w:r>
            <w:r w:rsidR="002112ED" w:rsidRPr="004F7F40">
              <w:rPr>
                <w:rFonts w:ascii="Arial" w:hAnsi="Arial" w:cs="Arial"/>
                <w:sz w:val="20"/>
                <w:szCs w:val="20"/>
              </w:rPr>
              <w:t xml:space="preserve"> misconduct or illness, </w:t>
            </w:r>
            <w:r w:rsidRPr="004F7F40">
              <w:rPr>
                <w:rFonts w:ascii="Arial" w:hAnsi="Arial" w:cs="Arial"/>
                <w:sz w:val="20"/>
                <w:szCs w:val="20"/>
              </w:rPr>
              <w:t>ECOs are only</w:t>
            </w:r>
            <w:r w:rsidR="002112ED" w:rsidRPr="004F7F40">
              <w:rPr>
                <w:rFonts w:ascii="Arial" w:hAnsi="Arial" w:cs="Arial"/>
                <w:sz w:val="20"/>
                <w:szCs w:val="20"/>
              </w:rPr>
              <w:t xml:space="preserve"> entitled to accrued leave and pro-rata long service leave; reasonable removal and travel expenses</w:t>
            </w:r>
            <w:r w:rsidRPr="004F7F40">
              <w:rPr>
                <w:rFonts w:ascii="Arial" w:hAnsi="Arial" w:cs="Arial"/>
                <w:sz w:val="20"/>
                <w:szCs w:val="20"/>
              </w:rPr>
              <w:t xml:space="preserve">; and </w:t>
            </w:r>
            <w:r w:rsidR="002112ED" w:rsidRPr="004F7F40">
              <w:rPr>
                <w:rFonts w:ascii="Arial" w:hAnsi="Arial" w:cs="Arial"/>
                <w:sz w:val="20"/>
                <w:szCs w:val="20"/>
              </w:rPr>
              <w:t>superannuation benefits</w:t>
            </w:r>
            <w:r w:rsidRPr="004F7F40">
              <w:rPr>
                <w:rFonts w:ascii="Arial" w:hAnsi="Arial" w:cs="Arial"/>
                <w:sz w:val="20"/>
                <w:szCs w:val="20"/>
              </w:rPr>
              <w:t>.</w:t>
            </w:r>
          </w:p>
          <w:p w14:paraId="65F2FD23" w14:textId="487218EA" w:rsidR="00484A3C" w:rsidRPr="004F7F40" w:rsidRDefault="00484A3C" w:rsidP="00484A3C">
            <w:pPr>
              <w:rPr>
                <w:rFonts w:ascii="Arial" w:hAnsi="Arial" w:cs="Arial"/>
                <w:sz w:val="20"/>
                <w:szCs w:val="20"/>
              </w:rPr>
            </w:pPr>
            <w:r w:rsidRPr="004F7F40">
              <w:rPr>
                <w:rFonts w:ascii="Arial" w:hAnsi="Arial" w:cs="Arial"/>
                <w:sz w:val="20"/>
                <w:szCs w:val="20"/>
              </w:rPr>
              <w:t>If terminated for “other reasons”, entitlement also includes half the total ECO remuneration package or the remainder of the contract, whichever is the lesser.</w:t>
            </w:r>
          </w:p>
          <w:p w14:paraId="53701285" w14:textId="15C31350" w:rsidR="00484A3C" w:rsidRPr="004F7F40" w:rsidRDefault="00484A3C" w:rsidP="00484A3C">
            <w:pPr>
              <w:rPr>
                <w:rFonts w:ascii="Arial" w:hAnsi="Arial" w:cs="Arial"/>
                <w:sz w:val="20"/>
                <w:szCs w:val="20"/>
              </w:rPr>
            </w:pPr>
            <w:r w:rsidRPr="004F7F40">
              <w:rPr>
                <w:rFonts w:ascii="Arial" w:hAnsi="Arial" w:cs="Arial"/>
                <w:sz w:val="20"/>
                <w:szCs w:val="20"/>
              </w:rPr>
              <w:t>If the ECO was on ongoing employee BEFORE the contract, they are entitled to 4 weeks at previous remuneration (or 5 weeks if over 45) PLUS 2 weeks for each year of service (or part thereof) to a maximum of 48 weeks).</w:t>
            </w:r>
          </w:p>
          <w:p w14:paraId="3A0C218F" w14:textId="4238621F" w:rsidR="00E424D7" w:rsidRPr="004F7F40" w:rsidRDefault="00E424D7" w:rsidP="00484A3C">
            <w:pPr>
              <w:rPr>
                <w:rFonts w:ascii="Arial" w:hAnsi="Arial" w:cs="Arial"/>
                <w:sz w:val="20"/>
                <w:szCs w:val="20"/>
              </w:rPr>
            </w:pPr>
            <w:r w:rsidRPr="004F7F40">
              <w:rPr>
                <w:rFonts w:ascii="Arial" w:hAnsi="Arial" w:cs="Arial"/>
                <w:sz w:val="20"/>
                <w:szCs w:val="20"/>
              </w:rPr>
              <w:t xml:space="preserve">Other conditions apply to those under the </w:t>
            </w:r>
            <w:r w:rsidRPr="004F7F40">
              <w:rPr>
                <w:rFonts w:ascii="Arial" w:hAnsi="Arial" w:cs="Arial"/>
                <w:sz w:val="20"/>
                <w:szCs w:val="20"/>
              </w:rPr>
              <w:lastRenderedPageBreak/>
              <w:t>Commonwealth Superannuation Scheme (clause 119) and for those who initiate the termination (clauses 120–121).</w:t>
            </w:r>
          </w:p>
        </w:tc>
      </w:tr>
      <w:tr w:rsidR="001A6EB8" w:rsidRPr="004F7F40" w14:paraId="7BBA1E07" w14:textId="77777777" w:rsidTr="001A1577">
        <w:tc>
          <w:tcPr>
            <w:tcW w:w="10060" w:type="dxa"/>
            <w:gridSpan w:val="4"/>
            <w:shd w:val="pct10" w:color="auto" w:fill="FFFFFF"/>
          </w:tcPr>
          <w:p w14:paraId="1CEE442C" w14:textId="3B4A8D2B" w:rsidR="001A6EB8" w:rsidRPr="004F7F40" w:rsidRDefault="00484A3C" w:rsidP="00FD4A39">
            <w:pPr>
              <w:rPr>
                <w:rFonts w:ascii="Arial" w:hAnsi="Arial" w:cs="Arial"/>
                <w:sz w:val="22"/>
              </w:rPr>
            </w:pPr>
            <w:r w:rsidRPr="004F7F40">
              <w:rPr>
                <w:rFonts w:ascii="Arial" w:hAnsi="Arial" w:cs="Arial"/>
                <w:b/>
                <w:sz w:val="22"/>
              </w:rPr>
              <w:lastRenderedPageBreak/>
              <w:t xml:space="preserve"> </w:t>
            </w:r>
            <w:r w:rsidR="001A6EB8" w:rsidRPr="004F7F40">
              <w:rPr>
                <w:rFonts w:ascii="Arial" w:hAnsi="Arial" w:cs="Arial"/>
                <w:b/>
                <w:sz w:val="22"/>
              </w:rPr>
              <w:t>Performance Management</w:t>
            </w:r>
          </w:p>
        </w:tc>
      </w:tr>
      <w:tr w:rsidR="0099427F" w:rsidRPr="004F7F40" w14:paraId="01F51F3A" w14:textId="77777777" w:rsidTr="001A1577">
        <w:tc>
          <w:tcPr>
            <w:tcW w:w="1980" w:type="dxa"/>
          </w:tcPr>
          <w:p w14:paraId="2E1EEEC7"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Program in place</w:t>
            </w:r>
          </w:p>
        </w:tc>
        <w:tc>
          <w:tcPr>
            <w:tcW w:w="2694" w:type="dxa"/>
          </w:tcPr>
          <w:p w14:paraId="73BB020F" w14:textId="77777777" w:rsidR="0099427F" w:rsidRPr="004F7F40" w:rsidRDefault="0099427F" w:rsidP="00FD4A39">
            <w:pPr>
              <w:rPr>
                <w:rFonts w:ascii="Arial" w:hAnsi="Arial" w:cs="Arial"/>
                <w:sz w:val="20"/>
                <w:szCs w:val="20"/>
              </w:rPr>
            </w:pPr>
            <w:r w:rsidRPr="004F7F40">
              <w:rPr>
                <w:rFonts w:ascii="Arial" w:hAnsi="Arial" w:cs="Arial"/>
                <w:sz w:val="20"/>
                <w:szCs w:val="20"/>
              </w:rPr>
              <w:t>Yes, contract provision</w:t>
            </w:r>
          </w:p>
        </w:tc>
        <w:tc>
          <w:tcPr>
            <w:tcW w:w="2835" w:type="dxa"/>
          </w:tcPr>
          <w:p w14:paraId="684AFB5F" w14:textId="2D8A9660" w:rsidR="0099427F" w:rsidRPr="004F7F40" w:rsidRDefault="00146225" w:rsidP="00FD4A39">
            <w:pPr>
              <w:rPr>
                <w:rFonts w:ascii="Arial" w:hAnsi="Arial" w:cs="Arial"/>
                <w:sz w:val="20"/>
                <w:szCs w:val="20"/>
              </w:rPr>
            </w:pPr>
            <w:r w:rsidRPr="004F7F40">
              <w:rPr>
                <w:rFonts w:ascii="Arial" w:hAnsi="Arial" w:cs="Arial"/>
                <w:i/>
                <w:iCs/>
                <w:sz w:val="20"/>
                <w:szCs w:val="20"/>
              </w:rPr>
              <w:t>Determination 13 of 2011</w:t>
            </w:r>
            <w:r w:rsidRPr="004F7F40">
              <w:rPr>
                <w:rFonts w:ascii="Arial" w:hAnsi="Arial" w:cs="Arial"/>
                <w:sz w:val="20"/>
                <w:szCs w:val="20"/>
              </w:rPr>
              <w:t xml:space="preserve"> outlines that ECO’s are expected to meet and display capabilities as advised by the Commissioner, with the Employer (CEO) to review performance annually.</w:t>
            </w:r>
          </w:p>
        </w:tc>
        <w:tc>
          <w:tcPr>
            <w:tcW w:w="2551" w:type="dxa"/>
          </w:tcPr>
          <w:p w14:paraId="1F9A6A84" w14:textId="4EAD72F9" w:rsidR="0099427F" w:rsidRPr="004F7F40" w:rsidRDefault="0062084C" w:rsidP="00FD4A39">
            <w:pPr>
              <w:rPr>
                <w:rFonts w:ascii="Arial" w:hAnsi="Arial" w:cs="Arial"/>
                <w:sz w:val="20"/>
                <w:szCs w:val="20"/>
              </w:rPr>
            </w:pPr>
            <w:r w:rsidRPr="004F7F40">
              <w:rPr>
                <w:rFonts w:ascii="Arial" w:hAnsi="Arial" w:cs="Arial"/>
                <w:sz w:val="20"/>
                <w:szCs w:val="20"/>
              </w:rPr>
              <w:t>Refer performance review clauses of relevant determination (13 o 2011, 5 of 2019 or 10 of 2019). ECO’s are expected to meet and display capabilities as advised by the Commissioner, with the Employer (CEO) to review performance annually.</w:t>
            </w:r>
          </w:p>
        </w:tc>
      </w:tr>
      <w:tr w:rsidR="0099427F" w:rsidRPr="004F7F40" w14:paraId="10A43715" w14:textId="77777777" w:rsidTr="001A1577">
        <w:tc>
          <w:tcPr>
            <w:tcW w:w="1980" w:type="dxa"/>
          </w:tcPr>
          <w:p w14:paraId="33BB9C4F"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Frequency of assessment</w:t>
            </w:r>
          </w:p>
        </w:tc>
        <w:tc>
          <w:tcPr>
            <w:tcW w:w="2694" w:type="dxa"/>
          </w:tcPr>
          <w:p w14:paraId="3F684AEF" w14:textId="77777777" w:rsidR="0099427F" w:rsidRPr="004F7F40" w:rsidRDefault="0099427F" w:rsidP="00FD4A39">
            <w:pPr>
              <w:rPr>
                <w:rFonts w:ascii="Arial" w:hAnsi="Arial" w:cs="Arial"/>
                <w:sz w:val="20"/>
                <w:szCs w:val="20"/>
              </w:rPr>
            </w:pPr>
            <w:r w:rsidRPr="004F7F40">
              <w:rPr>
                <w:rFonts w:ascii="Arial" w:hAnsi="Arial" w:cs="Arial"/>
                <w:sz w:val="20"/>
                <w:szCs w:val="20"/>
              </w:rPr>
              <w:t>At least once per annum</w:t>
            </w:r>
          </w:p>
        </w:tc>
        <w:tc>
          <w:tcPr>
            <w:tcW w:w="2835" w:type="dxa"/>
          </w:tcPr>
          <w:p w14:paraId="1F0F8134" w14:textId="6F209D82" w:rsidR="0099427F" w:rsidRPr="004F7F40" w:rsidRDefault="0062084C" w:rsidP="00FD4A39">
            <w:pPr>
              <w:rPr>
                <w:rFonts w:ascii="Arial" w:hAnsi="Arial" w:cs="Arial"/>
                <w:sz w:val="20"/>
                <w:szCs w:val="20"/>
              </w:rPr>
            </w:pPr>
            <w:r w:rsidRPr="004F7F40">
              <w:rPr>
                <w:rFonts w:ascii="Arial" w:hAnsi="Arial" w:cs="Arial"/>
                <w:sz w:val="20"/>
                <w:szCs w:val="20"/>
              </w:rPr>
              <w:t>At least once per annum.</w:t>
            </w:r>
          </w:p>
        </w:tc>
        <w:tc>
          <w:tcPr>
            <w:tcW w:w="2551" w:type="dxa"/>
          </w:tcPr>
          <w:p w14:paraId="30DC5B38" w14:textId="51478960" w:rsidR="0099427F" w:rsidRPr="004F7F40" w:rsidRDefault="0062084C" w:rsidP="00FD4A39">
            <w:pPr>
              <w:rPr>
                <w:rFonts w:ascii="Arial" w:hAnsi="Arial" w:cs="Arial"/>
                <w:sz w:val="20"/>
                <w:szCs w:val="20"/>
              </w:rPr>
            </w:pPr>
            <w:r w:rsidRPr="004F7F40">
              <w:rPr>
                <w:rFonts w:ascii="Arial" w:hAnsi="Arial" w:cs="Arial"/>
                <w:sz w:val="20"/>
                <w:szCs w:val="20"/>
              </w:rPr>
              <w:t>At least once per annum.</w:t>
            </w:r>
          </w:p>
        </w:tc>
      </w:tr>
      <w:tr w:rsidR="0099427F" w:rsidRPr="004F7F40" w14:paraId="6540D41D" w14:textId="77777777" w:rsidTr="001A1577">
        <w:tc>
          <w:tcPr>
            <w:tcW w:w="1980" w:type="dxa"/>
          </w:tcPr>
          <w:p w14:paraId="06E1DBE7"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Types of measures</w:t>
            </w:r>
          </w:p>
        </w:tc>
        <w:tc>
          <w:tcPr>
            <w:tcW w:w="2694" w:type="dxa"/>
          </w:tcPr>
          <w:p w14:paraId="21BDD408" w14:textId="77777777" w:rsidR="0099427F" w:rsidRPr="004F7F40" w:rsidRDefault="0099427F" w:rsidP="00FD4A39">
            <w:pPr>
              <w:rPr>
                <w:rFonts w:ascii="Arial" w:hAnsi="Arial" w:cs="Arial"/>
                <w:sz w:val="20"/>
                <w:szCs w:val="20"/>
              </w:rPr>
            </w:pPr>
            <w:r w:rsidRPr="004F7F40">
              <w:rPr>
                <w:rFonts w:ascii="Arial" w:hAnsi="Arial" w:cs="Arial"/>
                <w:sz w:val="20"/>
                <w:szCs w:val="20"/>
              </w:rPr>
              <w:t>Key results etc. No common scheme.</w:t>
            </w:r>
          </w:p>
        </w:tc>
        <w:tc>
          <w:tcPr>
            <w:tcW w:w="2835" w:type="dxa"/>
          </w:tcPr>
          <w:p w14:paraId="0A7C09B5" w14:textId="406DF92C" w:rsidR="0099427F" w:rsidRPr="004F7F40" w:rsidRDefault="00B22BDD" w:rsidP="00FD4A39">
            <w:pPr>
              <w:rPr>
                <w:rFonts w:ascii="Arial" w:hAnsi="Arial" w:cs="Arial"/>
                <w:sz w:val="20"/>
                <w:szCs w:val="20"/>
              </w:rPr>
            </w:pPr>
            <w:r w:rsidRPr="004F7F40">
              <w:rPr>
                <w:rFonts w:ascii="Arial" w:hAnsi="Arial" w:cs="Arial"/>
                <w:sz w:val="20"/>
                <w:szCs w:val="20"/>
              </w:rPr>
              <w:t>Participation in performance appraisal process adopted by the employer, including reviewing fulfilment of the express or implied conditions of the contract; specific professional standards relevant to the nature of the duties and fulfilment of any agreed commitments of the ECO and expectations of the CEO.</w:t>
            </w:r>
          </w:p>
        </w:tc>
        <w:tc>
          <w:tcPr>
            <w:tcW w:w="2551" w:type="dxa"/>
          </w:tcPr>
          <w:p w14:paraId="538D0D37" w14:textId="55FCE9E5" w:rsidR="0099427F" w:rsidRPr="004F7F40" w:rsidRDefault="00B22BDD" w:rsidP="00FD4A39">
            <w:pPr>
              <w:rPr>
                <w:rFonts w:ascii="Arial" w:hAnsi="Arial" w:cs="Arial"/>
                <w:sz w:val="20"/>
                <w:szCs w:val="20"/>
              </w:rPr>
            </w:pPr>
            <w:r w:rsidRPr="004F7F40">
              <w:rPr>
                <w:rFonts w:ascii="Arial" w:hAnsi="Arial" w:cs="Arial"/>
                <w:sz w:val="20"/>
                <w:szCs w:val="20"/>
              </w:rPr>
              <w:t>Participation in performance appraisal process adopted by the employer, including reviewing fulfilment of the express or implied conditions of the contract; specific professional standards relevant to the nature of the duties and fulfilment of any agreed commitments of the ECO and expectations of the CEO.</w:t>
            </w:r>
          </w:p>
        </w:tc>
      </w:tr>
      <w:tr w:rsidR="0099427F" w:rsidRPr="004F7F40" w14:paraId="69791BBC" w14:textId="77777777" w:rsidTr="001A1577">
        <w:tc>
          <w:tcPr>
            <w:tcW w:w="1980" w:type="dxa"/>
          </w:tcPr>
          <w:p w14:paraId="03165446"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Purpose</w:t>
            </w:r>
          </w:p>
        </w:tc>
        <w:tc>
          <w:tcPr>
            <w:tcW w:w="2694" w:type="dxa"/>
          </w:tcPr>
          <w:p w14:paraId="0AABBEF3" w14:textId="77777777" w:rsidR="0099427F" w:rsidRPr="004F7F40" w:rsidRDefault="0099427F" w:rsidP="00FD4A39">
            <w:pPr>
              <w:rPr>
                <w:rFonts w:ascii="Arial" w:hAnsi="Arial" w:cs="Arial"/>
                <w:sz w:val="20"/>
                <w:szCs w:val="20"/>
              </w:rPr>
            </w:pPr>
            <w:r w:rsidRPr="004F7F40">
              <w:rPr>
                <w:rFonts w:ascii="Arial" w:hAnsi="Arial" w:cs="Arial"/>
                <w:sz w:val="20"/>
                <w:szCs w:val="20"/>
              </w:rPr>
              <w:t>Performance improvement, development, retraining employment.</w:t>
            </w:r>
          </w:p>
        </w:tc>
        <w:tc>
          <w:tcPr>
            <w:tcW w:w="2835" w:type="dxa"/>
          </w:tcPr>
          <w:p w14:paraId="79C9289F" w14:textId="65B7F750" w:rsidR="0099427F" w:rsidRPr="004F7F40" w:rsidRDefault="00B22BDD" w:rsidP="00FD4A39">
            <w:pPr>
              <w:rPr>
                <w:rFonts w:ascii="Arial" w:hAnsi="Arial" w:cs="Arial"/>
                <w:sz w:val="20"/>
                <w:szCs w:val="20"/>
              </w:rPr>
            </w:pPr>
            <w:r w:rsidRPr="004F7F40">
              <w:rPr>
                <w:rFonts w:ascii="Arial" w:hAnsi="Arial" w:cs="Arial"/>
                <w:sz w:val="20"/>
                <w:szCs w:val="20"/>
              </w:rPr>
              <w:t>Performance feedback, development, improvement and</w:t>
            </w:r>
            <w:r w:rsidR="002601A7" w:rsidRPr="004F7F40">
              <w:rPr>
                <w:rFonts w:ascii="Arial" w:hAnsi="Arial" w:cs="Arial"/>
                <w:sz w:val="20"/>
                <w:szCs w:val="20"/>
              </w:rPr>
              <w:t>,</w:t>
            </w:r>
            <w:r w:rsidRPr="004F7F40">
              <w:rPr>
                <w:rFonts w:ascii="Arial" w:hAnsi="Arial" w:cs="Arial"/>
                <w:sz w:val="20"/>
                <w:szCs w:val="20"/>
              </w:rPr>
              <w:t xml:space="preserve"> if necessary</w:t>
            </w:r>
            <w:r w:rsidR="002601A7" w:rsidRPr="004F7F40">
              <w:rPr>
                <w:rFonts w:ascii="Arial" w:hAnsi="Arial" w:cs="Arial"/>
                <w:sz w:val="20"/>
                <w:szCs w:val="20"/>
              </w:rPr>
              <w:t>,</w:t>
            </w:r>
            <w:r w:rsidRPr="004F7F40">
              <w:rPr>
                <w:rFonts w:ascii="Arial" w:hAnsi="Arial" w:cs="Arial"/>
                <w:sz w:val="20"/>
                <w:szCs w:val="20"/>
              </w:rPr>
              <w:t xml:space="preserve"> re-training.</w:t>
            </w:r>
          </w:p>
        </w:tc>
        <w:tc>
          <w:tcPr>
            <w:tcW w:w="2551" w:type="dxa"/>
          </w:tcPr>
          <w:p w14:paraId="35286360" w14:textId="1B4956A5" w:rsidR="0099427F" w:rsidRPr="004F7F40" w:rsidRDefault="00B22BDD" w:rsidP="00FD4A39">
            <w:pPr>
              <w:rPr>
                <w:rFonts w:ascii="Arial" w:hAnsi="Arial" w:cs="Arial"/>
                <w:sz w:val="20"/>
                <w:szCs w:val="20"/>
              </w:rPr>
            </w:pPr>
            <w:r w:rsidRPr="004F7F40">
              <w:rPr>
                <w:rFonts w:ascii="Arial" w:hAnsi="Arial" w:cs="Arial"/>
                <w:sz w:val="20"/>
                <w:szCs w:val="20"/>
              </w:rPr>
              <w:t>Performance feedback, development, improvement and</w:t>
            </w:r>
            <w:r w:rsidR="002601A7" w:rsidRPr="004F7F40">
              <w:rPr>
                <w:rFonts w:ascii="Arial" w:hAnsi="Arial" w:cs="Arial"/>
                <w:sz w:val="20"/>
                <w:szCs w:val="20"/>
              </w:rPr>
              <w:t>,</w:t>
            </w:r>
            <w:r w:rsidRPr="004F7F40">
              <w:rPr>
                <w:rFonts w:ascii="Arial" w:hAnsi="Arial" w:cs="Arial"/>
                <w:sz w:val="20"/>
                <w:szCs w:val="20"/>
              </w:rPr>
              <w:t xml:space="preserve"> if necessary</w:t>
            </w:r>
            <w:r w:rsidR="002601A7" w:rsidRPr="004F7F40">
              <w:rPr>
                <w:rFonts w:ascii="Arial" w:hAnsi="Arial" w:cs="Arial"/>
                <w:sz w:val="20"/>
                <w:szCs w:val="20"/>
              </w:rPr>
              <w:t>,</w:t>
            </w:r>
            <w:r w:rsidRPr="004F7F40">
              <w:rPr>
                <w:rFonts w:ascii="Arial" w:hAnsi="Arial" w:cs="Arial"/>
                <w:sz w:val="20"/>
                <w:szCs w:val="20"/>
              </w:rPr>
              <w:t xml:space="preserve"> re-training.</w:t>
            </w:r>
          </w:p>
        </w:tc>
      </w:tr>
      <w:tr w:rsidR="0099427F" w:rsidRPr="004F7F40" w14:paraId="2219975D" w14:textId="77777777" w:rsidTr="001A1577">
        <w:tc>
          <w:tcPr>
            <w:tcW w:w="1980" w:type="dxa"/>
          </w:tcPr>
          <w:p w14:paraId="6629EE89"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Who makes assessment</w:t>
            </w:r>
          </w:p>
        </w:tc>
        <w:tc>
          <w:tcPr>
            <w:tcW w:w="2694" w:type="dxa"/>
          </w:tcPr>
          <w:p w14:paraId="71B0E58B" w14:textId="77777777" w:rsidR="0099427F" w:rsidRPr="004F7F40" w:rsidRDefault="0099427F" w:rsidP="00FD4A39">
            <w:pPr>
              <w:rPr>
                <w:rFonts w:ascii="Arial" w:hAnsi="Arial" w:cs="Arial"/>
                <w:sz w:val="20"/>
                <w:szCs w:val="20"/>
              </w:rPr>
            </w:pPr>
            <w:r w:rsidRPr="004F7F40">
              <w:rPr>
                <w:rFonts w:ascii="Arial" w:hAnsi="Arial" w:cs="Arial"/>
                <w:sz w:val="20"/>
                <w:szCs w:val="20"/>
              </w:rPr>
              <w:t>CEO</w:t>
            </w:r>
          </w:p>
        </w:tc>
        <w:tc>
          <w:tcPr>
            <w:tcW w:w="2835" w:type="dxa"/>
          </w:tcPr>
          <w:p w14:paraId="2A62F54A" w14:textId="43946E09" w:rsidR="0099427F" w:rsidRPr="004F7F40" w:rsidRDefault="00B22BDD" w:rsidP="00FD4A39">
            <w:pPr>
              <w:rPr>
                <w:rFonts w:ascii="Arial" w:hAnsi="Arial" w:cs="Arial"/>
                <w:sz w:val="20"/>
                <w:szCs w:val="20"/>
              </w:rPr>
            </w:pPr>
            <w:r w:rsidRPr="004F7F40">
              <w:rPr>
                <w:rFonts w:ascii="Arial" w:hAnsi="Arial" w:cs="Arial"/>
                <w:sz w:val="20"/>
                <w:szCs w:val="20"/>
              </w:rPr>
              <w:t>CEO or delegate.</w:t>
            </w:r>
          </w:p>
        </w:tc>
        <w:tc>
          <w:tcPr>
            <w:tcW w:w="2551" w:type="dxa"/>
          </w:tcPr>
          <w:p w14:paraId="3168F206" w14:textId="304E2417" w:rsidR="0099427F" w:rsidRPr="004F7F40" w:rsidRDefault="00B22BDD" w:rsidP="00FD4A39">
            <w:pPr>
              <w:rPr>
                <w:rFonts w:ascii="Arial" w:hAnsi="Arial" w:cs="Arial"/>
                <w:sz w:val="20"/>
                <w:szCs w:val="20"/>
              </w:rPr>
            </w:pPr>
            <w:r w:rsidRPr="004F7F40">
              <w:rPr>
                <w:rFonts w:ascii="Arial" w:hAnsi="Arial" w:cs="Arial"/>
                <w:sz w:val="20"/>
                <w:szCs w:val="20"/>
              </w:rPr>
              <w:t>CEO or delegate.</w:t>
            </w:r>
          </w:p>
        </w:tc>
      </w:tr>
      <w:tr w:rsidR="001A6EB8" w:rsidRPr="004F7F40" w14:paraId="30E8F3EE" w14:textId="77777777" w:rsidTr="001A1577">
        <w:tc>
          <w:tcPr>
            <w:tcW w:w="10060" w:type="dxa"/>
            <w:gridSpan w:val="4"/>
            <w:shd w:val="pct10" w:color="auto" w:fill="FFFFFF"/>
          </w:tcPr>
          <w:p w14:paraId="135EA4E7" w14:textId="6CD6425D" w:rsidR="001A6EB8" w:rsidRPr="004F7F40" w:rsidRDefault="001A6EB8" w:rsidP="00FD4A39">
            <w:pPr>
              <w:rPr>
                <w:rFonts w:ascii="Arial" w:hAnsi="Arial" w:cs="Arial"/>
                <w:sz w:val="22"/>
              </w:rPr>
            </w:pPr>
            <w:r w:rsidRPr="004F7F40">
              <w:rPr>
                <w:rFonts w:ascii="Arial" w:hAnsi="Arial" w:cs="Arial"/>
                <w:b/>
                <w:sz w:val="22"/>
              </w:rPr>
              <w:t>Remuneration</w:t>
            </w:r>
          </w:p>
        </w:tc>
      </w:tr>
      <w:tr w:rsidR="0099427F" w:rsidRPr="004F7F40" w14:paraId="08D99D41" w14:textId="77777777" w:rsidTr="001A1577">
        <w:tc>
          <w:tcPr>
            <w:tcW w:w="1980" w:type="dxa"/>
          </w:tcPr>
          <w:p w14:paraId="73E2CC45" w14:textId="77777777" w:rsidR="0099427F" w:rsidRPr="004F7F40" w:rsidRDefault="0099427F" w:rsidP="00FD4A39">
            <w:pPr>
              <w:rPr>
                <w:rFonts w:ascii="Arial" w:hAnsi="Arial" w:cs="Arial"/>
              </w:rPr>
            </w:pPr>
          </w:p>
        </w:tc>
        <w:tc>
          <w:tcPr>
            <w:tcW w:w="2694" w:type="dxa"/>
          </w:tcPr>
          <w:p w14:paraId="5EC378F6" w14:textId="77777777" w:rsidR="0099427F" w:rsidRPr="004F7F40" w:rsidRDefault="0099427F" w:rsidP="00FD4A39">
            <w:pPr>
              <w:rPr>
                <w:rFonts w:ascii="Arial" w:hAnsi="Arial" w:cs="Arial"/>
                <w:sz w:val="20"/>
                <w:szCs w:val="20"/>
              </w:rPr>
            </w:pPr>
            <w:r w:rsidRPr="004F7F40">
              <w:rPr>
                <w:rFonts w:ascii="Arial" w:hAnsi="Arial" w:cs="Arial"/>
                <w:sz w:val="20"/>
                <w:szCs w:val="20"/>
              </w:rPr>
              <w:t>Four broad ranges based on CED Job Evaluation System. Adjusted in line with general NTPS increases.</w:t>
            </w:r>
          </w:p>
        </w:tc>
        <w:tc>
          <w:tcPr>
            <w:tcW w:w="2835" w:type="dxa"/>
          </w:tcPr>
          <w:p w14:paraId="0C0465FD" w14:textId="40CB5182" w:rsidR="0099427F" w:rsidRPr="004F7F40" w:rsidRDefault="00B22BDD" w:rsidP="00FD4A39">
            <w:pPr>
              <w:rPr>
                <w:rFonts w:ascii="Arial" w:hAnsi="Arial" w:cs="Arial"/>
                <w:sz w:val="20"/>
                <w:szCs w:val="20"/>
              </w:rPr>
            </w:pPr>
            <w:r w:rsidRPr="004F7F40">
              <w:rPr>
                <w:rFonts w:ascii="Arial" w:hAnsi="Arial" w:cs="Arial"/>
                <w:sz w:val="20"/>
                <w:szCs w:val="20"/>
              </w:rPr>
              <w:t>Remuneration provisions determined by CPE. Remuneration increases adjusted in line with NTPS General Enterprise Agreement increases.</w:t>
            </w:r>
          </w:p>
        </w:tc>
        <w:tc>
          <w:tcPr>
            <w:tcW w:w="2551" w:type="dxa"/>
          </w:tcPr>
          <w:p w14:paraId="1FC94E9D" w14:textId="413AF670" w:rsidR="0099427F" w:rsidRPr="004F7F40" w:rsidRDefault="00D9742F" w:rsidP="00FD4A39">
            <w:pPr>
              <w:rPr>
                <w:rFonts w:ascii="Arial" w:hAnsi="Arial" w:cs="Arial"/>
                <w:color w:val="FF0000"/>
                <w:sz w:val="20"/>
                <w:szCs w:val="20"/>
              </w:rPr>
            </w:pPr>
            <w:r w:rsidRPr="004F7F40">
              <w:rPr>
                <w:rFonts w:ascii="Arial" w:hAnsi="Arial" w:cs="Arial"/>
                <w:sz w:val="20"/>
                <w:szCs w:val="20"/>
              </w:rPr>
              <w:t>Remuneration provisions determined by CPE.</w:t>
            </w:r>
            <w:r w:rsidR="00B22BDD" w:rsidRPr="004F7F40">
              <w:rPr>
                <w:rFonts w:ascii="Arial" w:hAnsi="Arial" w:cs="Arial"/>
                <w:sz w:val="20"/>
                <w:szCs w:val="20"/>
              </w:rPr>
              <w:t xml:space="preserve"> Remuneration increases adjusted in line with NTPS General Enterprise Agreement increases.</w:t>
            </w:r>
          </w:p>
        </w:tc>
      </w:tr>
      <w:tr w:rsidR="001A6EB8" w:rsidRPr="004F7F40" w14:paraId="64D96073" w14:textId="77777777" w:rsidTr="001A1577">
        <w:tc>
          <w:tcPr>
            <w:tcW w:w="10060" w:type="dxa"/>
            <w:gridSpan w:val="4"/>
            <w:shd w:val="pct10" w:color="auto" w:fill="FFFFFF"/>
          </w:tcPr>
          <w:p w14:paraId="63C70360" w14:textId="44740B0B" w:rsidR="001A6EB8" w:rsidRPr="004F7F40" w:rsidRDefault="001A6EB8" w:rsidP="00FD4A39">
            <w:pPr>
              <w:rPr>
                <w:rFonts w:ascii="Arial" w:hAnsi="Arial" w:cs="Arial"/>
                <w:sz w:val="22"/>
              </w:rPr>
            </w:pPr>
            <w:r w:rsidRPr="004F7F40">
              <w:rPr>
                <w:rFonts w:ascii="Arial" w:hAnsi="Arial" w:cs="Arial"/>
                <w:b/>
                <w:sz w:val="22"/>
              </w:rPr>
              <w:t>Performance Pay</w:t>
            </w:r>
          </w:p>
        </w:tc>
      </w:tr>
      <w:tr w:rsidR="0099427F" w:rsidRPr="004F7F40" w14:paraId="48C5BFD0" w14:textId="77777777" w:rsidTr="001A1577">
        <w:tc>
          <w:tcPr>
            <w:tcW w:w="1980" w:type="dxa"/>
          </w:tcPr>
          <w:p w14:paraId="02560F2C"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Availability</w:t>
            </w:r>
          </w:p>
        </w:tc>
        <w:tc>
          <w:tcPr>
            <w:tcW w:w="2694" w:type="dxa"/>
          </w:tcPr>
          <w:p w14:paraId="3A90B3F9" w14:textId="77777777" w:rsidR="0099427F" w:rsidRPr="004F7F40" w:rsidRDefault="0099427F" w:rsidP="00FD4A39">
            <w:pPr>
              <w:rPr>
                <w:rFonts w:ascii="Arial" w:hAnsi="Arial" w:cs="Arial"/>
                <w:sz w:val="20"/>
                <w:szCs w:val="20"/>
              </w:rPr>
            </w:pPr>
            <w:r w:rsidRPr="004F7F40">
              <w:rPr>
                <w:rFonts w:ascii="Arial" w:hAnsi="Arial" w:cs="Arial"/>
                <w:sz w:val="20"/>
                <w:szCs w:val="20"/>
              </w:rPr>
              <w:t>Yes, but limited.</w:t>
            </w:r>
          </w:p>
        </w:tc>
        <w:tc>
          <w:tcPr>
            <w:tcW w:w="2835" w:type="dxa"/>
          </w:tcPr>
          <w:p w14:paraId="5C5518A5" w14:textId="2635B18F" w:rsidR="0099427F" w:rsidRPr="004F7F40" w:rsidRDefault="00E702AC" w:rsidP="00FD4A39">
            <w:pPr>
              <w:rPr>
                <w:rFonts w:ascii="Arial" w:hAnsi="Arial" w:cs="Arial"/>
                <w:color w:val="FF0000"/>
                <w:sz w:val="20"/>
                <w:szCs w:val="20"/>
              </w:rPr>
            </w:pPr>
            <w:r w:rsidRPr="004F7F40">
              <w:rPr>
                <w:rFonts w:ascii="Arial" w:hAnsi="Arial" w:cs="Arial"/>
                <w:sz w:val="20"/>
                <w:szCs w:val="20"/>
              </w:rPr>
              <w:t xml:space="preserve">ECO </w:t>
            </w:r>
            <w:r w:rsidR="00B22BDD" w:rsidRPr="004F7F40">
              <w:rPr>
                <w:rFonts w:ascii="Arial" w:hAnsi="Arial" w:cs="Arial"/>
                <w:sz w:val="20"/>
                <w:szCs w:val="20"/>
              </w:rPr>
              <w:t xml:space="preserve">remuneration increases </w:t>
            </w:r>
            <w:proofErr w:type="gramStart"/>
            <w:r w:rsidR="00B22BDD" w:rsidRPr="004F7F40">
              <w:rPr>
                <w:rFonts w:ascii="Arial" w:hAnsi="Arial" w:cs="Arial"/>
                <w:sz w:val="20"/>
                <w:szCs w:val="20"/>
              </w:rPr>
              <w:t>on the basis of</w:t>
            </w:r>
            <w:proofErr w:type="gramEnd"/>
            <w:r w:rsidR="00B22BDD" w:rsidRPr="004F7F40">
              <w:rPr>
                <w:rFonts w:ascii="Arial" w:hAnsi="Arial" w:cs="Arial"/>
                <w:sz w:val="20"/>
                <w:szCs w:val="20"/>
              </w:rPr>
              <w:t xml:space="preserve"> exceptional </w:t>
            </w:r>
            <w:r w:rsidRPr="004F7F40">
              <w:rPr>
                <w:rFonts w:ascii="Arial" w:hAnsi="Arial" w:cs="Arial"/>
                <w:sz w:val="20"/>
                <w:szCs w:val="20"/>
              </w:rPr>
              <w:t xml:space="preserve">performance assessed by the Executive Remuneration Review Panel (ERRP) </w:t>
            </w:r>
            <w:r w:rsidRPr="004F7F40">
              <w:rPr>
                <w:rFonts w:ascii="Arial" w:hAnsi="Arial" w:cs="Arial"/>
                <w:sz w:val="20"/>
                <w:szCs w:val="20"/>
              </w:rPr>
              <w:lastRenderedPageBreak/>
              <w:t>comprising the CPE, CEO of DCM and the Under Treasurer.</w:t>
            </w:r>
            <w:r w:rsidR="00453BF5" w:rsidRPr="004F7F40">
              <w:rPr>
                <w:rFonts w:ascii="Arial" w:hAnsi="Arial" w:cs="Arial"/>
                <w:sz w:val="20"/>
                <w:szCs w:val="20"/>
              </w:rPr>
              <w:t xml:space="preserve"> </w:t>
            </w:r>
          </w:p>
        </w:tc>
        <w:tc>
          <w:tcPr>
            <w:tcW w:w="2551" w:type="dxa"/>
          </w:tcPr>
          <w:p w14:paraId="479F63D5" w14:textId="4078B98D" w:rsidR="0099427F" w:rsidRPr="004F7F40" w:rsidRDefault="00B22BDD" w:rsidP="00FD4A39">
            <w:pPr>
              <w:rPr>
                <w:rFonts w:ascii="Arial" w:hAnsi="Arial" w:cs="Arial"/>
                <w:sz w:val="20"/>
                <w:szCs w:val="20"/>
              </w:rPr>
            </w:pPr>
            <w:r w:rsidRPr="004F7F40">
              <w:rPr>
                <w:rFonts w:ascii="Arial" w:hAnsi="Arial" w:cs="Arial"/>
                <w:sz w:val="20"/>
                <w:szCs w:val="20"/>
              </w:rPr>
              <w:lastRenderedPageBreak/>
              <w:t>Remuneration increases within the pay band are determined by the ER</w:t>
            </w:r>
            <w:r w:rsidR="002601A7" w:rsidRPr="004F7F40">
              <w:rPr>
                <w:rFonts w:ascii="Arial" w:hAnsi="Arial" w:cs="Arial"/>
                <w:sz w:val="20"/>
                <w:szCs w:val="20"/>
              </w:rPr>
              <w:t>RP.</w:t>
            </w:r>
          </w:p>
        </w:tc>
      </w:tr>
      <w:tr w:rsidR="0099427F" w:rsidRPr="004F7F40" w14:paraId="2BE0E05C" w14:textId="77777777" w:rsidTr="001A1577">
        <w:tc>
          <w:tcPr>
            <w:tcW w:w="1980" w:type="dxa"/>
          </w:tcPr>
          <w:p w14:paraId="655C7BCE"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Basis</w:t>
            </w:r>
          </w:p>
        </w:tc>
        <w:tc>
          <w:tcPr>
            <w:tcW w:w="2694" w:type="dxa"/>
          </w:tcPr>
          <w:p w14:paraId="28068799" w14:textId="77777777" w:rsidR="0099427F" w:rsidRPr="004F7F40" w:rsidRDefault="0099427F" w:rsidP="00FD4A39">
            <w:pPr>
              <w:rPr>
                <w:rFonts w:ascii="Arial" w:hAnsi="Arial" w:cs="Arial"/>
                <w:sz w:val="20"/>
                <w:szCs w:val="20"/>
              </w:rPr>
            </w:pPr>
            <w:r w:rsidRPr="004F7F40">
              <w:rPr>
                <w:rFonts w:ascii="Arial" w:hAnsi="Arial" w:cs="Arial"/>
                <w:sz w:val="20"/>
                <w:szCs w:val="20"/>
              </w:rPr>
              <w:t>Exceptional performance.</w:t>
            </w:r>
          </w:p>
        </w:tc>
        <w:tc>
          <w:tcPr>
            <w:tcW w:w="2835" w:type="dxa"/>
          </w:tcPr>
          <w:p w14:paraId="1D8CB26E" w14:textId="162D1133" w:rsidR="0099427F" w:rsidRPr="004F7F40" w:rsidRDefault="00B22BDD" w:rsidP="00FD4A39">
            <w:pPr>
              <w:rPr>
                <w:rFonts w:ascii="Arial" w:hAnsi="Arial" w:cs="Arial"/>
                <w:sz w:val="20"/>
                <w:szCs w:val="20"/>
              </w:rPr>
            </w:pPr>
            <w:r w:rsidRPr="004F7F40">
              <w:rPr>
                <w:rFonts w:ascii="Arial" w:hAnsi="Arial" w:cs="Arial"/>
                <w:sz w:val="20"/>
                <w:szCs w:val="20"/>
              </w:rPr>
              <w:t>Exceptional performance, and not within first 12 months.</w:t>
            </w:r>
          </w:p>
        </w:tc>
        <w:tc>
          <w:tcPr>
            <w:tcW w:w="2551" w:type="dxa"/>
          </w:tcPr>
          <w:p w14:paraId="39A5E221" w14:textId="59F981A1" w:rsidR="0099427F" w:rsidRPr="004F7F40" w:rsidRDefault="00B22BDD" w:rsidP="00FD4A39">
            <w:pPr>
              <w:rPr>
                <w:rFonts w:ascii="Arial" w:hAnsi="Arial" w:cs="Arial"/>
                <w:sz w:val="20"/>
                <w:szCs w:val="20"/>
              </w:rPr>
            </w:pPr>
            <w:r w:rsidRPr="004F7F40">
              <w:rPr>
                <w:rFonts w:ascii="Arial" w:hAnsi="Arial" w:cs="Arial"/>
                <w:sz w:val="20"/>
                <w:szCs w:val="20"/>
              </w:rPr>
              <w:t>Exceptional performance and subject to evidence of regular performance plans and reviews.</w:t>
            </w:r>
          </w:p>
        </w:tc>
      </w:tr>
      <w:tr w:rsidR="0099427F" w:rsidRPr="004F7F40" w14:paraId="0A4A35F9" w14:textId="77777777" w:rsidTr="001A1577">
        <w:tc>
          <w:tcPr>
            <w:tcW w:w="1980" w:type="dxa"/>
          </w:tcPr>
          <w:p w14:paraId="6D0BF120" w14:textId="77777777" w:rsidR="0099427F" w:rsidRPr="004F7F40" w:rsidRDefault="0099427F" w:rsidP="00FD4A39">
            <w:pPr>
              <w:rPr>
                <w:rFonts w:ascii="Arial" w:hAnsi="Arial" w:cs="Arial"/>
                <w:b/>
                <w:bCs/>
                <w:sz w:val="20"/>
                <w:szCs w:val="20"/>
              </w:rPr>
            </w:pPr>
            <w:r w:rsidRPr="004F7F40">
              <w:rPr>
                <w:rFonts w:ascii="Arial" w:hAnsi="Arial" w:cs="Arial"/>
                <w:b/>
                <w:bCs/>
                <w:sz w:val="20"/>
                <w:szCs w:val="20"/>
              </w:rPr>
              <w:t>Who makes assessment</w:t>
            </w:r>
          </w:p>
        </w:tc>
        <w:tc>
          <w:tcPr>
            <w:tcW w:w="2694" w:type="dxa"/>
          </w:tcPr>
          <w:p w14:paraId="7E2E524E" w14:textId="77777777" w:rsidR="0099427F" w:rsidRPr="004F7F40" w:rsidRDefault="0099427F" w:rsidP="00FD4A39">
            <w:pPr>
              <w:rPr>
                <w:rFonts w:ascii="Arial" w:hAnsi="Arial" w:cs="Arial"/>
                <w:sz w:val="20"/>
                <w:szCs w:val="20"/>
              </w:rPr>
            </w:pPr>
            <w:r w:rsidRPr="004F7F40">
              <w:rPr>
                <w:rFonts w:ascii="Arial" w:hAnsi="Arial" w:cs="Arial"/>
                <w:sz w:val="20"/>
                <w:szCs w:val="20"/>
              </w:rPr>
              <w:t>CEO recommends to CPE and 4 senior CEOs.</w:t>
            </w:r>
          </w:p>
        </w:tc>
        <w:tc>
          <w:tcPr>
            <w:tcW w:w="2835" w:type="dxa"/>
          </w:tcPr>
          <w:p w14:paraId="521879F0" w14:textId="53EEEEDB" w:rsidR="0099427F" w:rsidRPr="004F7F40" w:rsidRDefault="00B22BDD" w:rsidP="00FD4A39">
            <w:pPr>
              <w:rPr>
                <w:rFonts w:ascii="Arial" w:hAnsi="Arial" w:cs="Arial"/>
                <w:sz w:val="20"/>
                <w:szCs w:val="20"/>
              </w:rPr>
            </w:pPr>
            <w:r w:rsidRPr="004F7F40">
              <w:rPr>
                <w:rFonts w:ascii="Arial" w:hAnsi="Arial" w:cs="Arial"/>
                <w:sz w:val="20"/>
                <w:szCs w:val="20"/>
              </w:rPr>
              <w:t>ERRP</w:t>
            </w:r>
          </w:p>
        </w:tc>
        <w:tc>
          <w:tcPr>
            <w:tcW w:w="2551" w:type="dxa"/>
          </w:tcPr>
          <w:p w14:paraId="100AD2EB" w14:textId="104E1A95" w:rsidR="0099427F" w:rsidRPr="004F7F40" w:rsidRDefault="00B22BDD" w:rsidP="00FD4A39">
            <w:pPr>
              <w:rPr>
                <w:rFonts w:ascii="Arial" w:hAnsi="Arial" w:cs="Arial"/>
                <w:sz w:val="20"/>
                <w:szCs w:val="20"/>
              </w:rPr>
            </w:pPr>
            <w:r w:rsidRPr="004F7F40">
              <w:rPr>
                <w:rFonts w:ascii="Arial" w:hAnsi="Arial" w:cs="Arial"/>
                <w:sz w:val="20"/>
                <w:szCs w:val="20"/>
              </w:rPr>
              <w:t>ERRP</w:t>
            </w:r>
          </w:p>
        </w:tc>
      </w:tr>
      <w:tr w:rsidR="001A6EB8" w:rsidRPr="004F7F40" w14:paraId="255A29A6" w14:textId="77777777" w:rsidTr="001A1577">
        <w:tc>
          <w:tcPr>
            <w:tcW w:w="10060" w:type="dxa"/>
            <w:gridSpan w:val="4"/>
            <w:tcBorders>
              <w:bottom w:val="single" w:sz="4" w:space="0" w:color="auto"/>
            </w:tcBorders>
            <w:shd w:val="pct10" w:color="auto" w:fill="FFFFFF"/>
          </w:tcPr>
          <w:p w14:paraId="25396165" w14:textId="1DBB3E08" w:rsidR="001A6EB8" w:rsidRPr="004F7F40" w:rsidRDefault="001A6EB8" w:rsidP="00FD4A39">
            <w:pPr>
              <w:rPr>
                <w:rFonts w:ascii="Arial" w:hAnsi="Arial" w:cs="Arial"/>
                <w:sz w:val="20"/>
                <w:szCs w:val="20"/>
              </w:rPr>
            </w:pPr>
            <w:r w:rsidRPr="004F7F40">
              <w:rPr>
                <w:rFonts w:ascii="Arial" w:hAnsi="Arial" w:cs="Arial"/>
                <w:b/>
                <w:sz w:val="20"/>
                <w:szCs w:val="20"/>
              </w:rPr>
              <w:t>Right of Return</w:t>
            </w:r>
          </w:p>
        </w:tc>
      </w:tr>
      <w:tr w:rsidR="0099427F" w:rsidRPr="004F7F40" w14:paraId="61E3AFBE" w14:textId="77777777" w:rsidTr="001A1577">
        <w:tc>
          <w:tcPr>
            <w:tcW w:w="1980" w:type="dxa"/>
            <w:tcBorders>
              <w:bottom w:val="single" w:sz="4" w:space="0" w:color="auto"/>
            </w:tcBorders>
          </w:tcPr>
          <w:p w14:paraId="0EFC8380" w14:textId="77777777" w:rsidR="0099427F" w:rsidRPr="004F7F40" w:rsidRDefault="0099427F" w:rsidP="00FD4A39">
            <w:pPr>
              <w:rPr>
                <w:rFonts w:ascii="Arial" w:hAnsi="Arial" w:cs="Arial"/>
                <w:b/>
              </w:rPr>
            </w:pPr>
          </w:p>
        </w:tc>
        <w:tc>
          <w:tcPr>
            <w:tcW w:w="2694" w:type="dxa"/>
            <w:tcBorders>
              <w:bottom w:val="single" w:sz="4" w:space="0" w:color="auto"/>
            </w:tcBorders>
          </w:tcPr>
          <w:p w14:paraId="084D6FD7" w14:textId="77777777" w:rsidR="0099427F" w:rsidRPr="004F7F40" w:rsidRDefault="0099427F" w:rsidP="00FD4A39">
            <w:pPr>
              <w:rPr>
                <w:rFonts w:ascii="Arial" w:hAnsi="Arial" w:cs="Arial"/>
                <w:sz w:val="20"/>
                <w:szCs w:val="20"/>
              </w:rPr>
            </w:pPr>
            <w:r w:rsidRPr="004F7F40">
              <w:rPr>
                <w:rFonts w:ascii="Arial" w:hAnsi="Arial" w:cs="Arial"/>
                <w:sz w:val="20"/>
                <w:szCs w:val="20"/>
              </w:rPr>
              <w:t>No right of return.</w:t>
            </w:r>
          </w:p>
        </w:tc>
        <w:tc>
          <w:tcPr>
            <w:tcW w:w="2835" w:type="dxa"/>
            <w:tcBorders>
              <w:bottom w:val="single" w:sz="4" w:space="0" w:color="auto"/>
            </w:tcBorders>
          </w:tcPr>
          <w:p w14:paraId="1DC83046" w14:textId="1F5E837F" w:rsidR="0099427F" w:rsidRPr="004F7F40" w:rsidRDefault="00C777A2" w:rsidP="00FD4A39">
            <w:pPr>
              <w:rPr>
                <w:rFonts w:ascii="Arial" w:hAnsi="Arial" w:cs="Arial"/>
                <w:sz w:val="20"/>
                <w:szCs w:val="20"/>
              </w:rPr>
            </w:pPr>
            <w:r w:rsidRPr="004F7F40">
              <w:rPr>
                <w:rFonts w:ascii="Arial" w:hAnsi="Arial" w:cs="Arial"/>
                <w:sz w:val="20"/>
                <w:szCs w:val="20"/>
              </w:rPr>
              <w:t>No right of return.</w:t>
            </w:r>
          </w:p>
        </w:tc>
        <w:tc>
          <w:tcPr>
            <w:tcW w:w="2551" w:type="dxa"/>
            <w:tcBorders>
              <w:bottom w:val="single" w:sz="4" w:space="0" w:color="auto"/>
            </w:tcBorders>
          </w:tcPr>
          <w:p w14:paraId="23F0A481" w14:textId="07E76FEA" w:rsidR="0099427F" w:rsidRPr="004F7F40" w:rsidRDefault="00C777A2" w:rsidP="00FD4A39">
            <w:pPr>
              <w:rPr>
                <w:rFonts w:ascii="Arial" w:hAnsi="Arial" w:cs="Arial"/>
                <w:sz w:val="20"/>
                <w:szCs w:val="20"/>
              </w:rPr>
            </w:pPr>
            <w:r w:rsidRPr="004F7F40">
              <w:rPr>
                <w:rFonts w:ascii="Arial" w:hAnsi="Arial" w:cs="Arial"/>
                <w:sz w:val="20"/>
                <w:szCs w:val="20"/>
              </w:rPr>
              <w:t>No right of return.</w:t>
            </w:r>
          </w:p>
        </w:tc>
      </w:tr>
    </w:tbl>
    <w:p w14:paraId="5BA17236" w14:textId="06B64FD7" w:rsidR="0099427F" w:rsidRPr="004F7F40" w:rsidRDefault="0099427F" w:rsidP="00F37DF7">
      <w:pPr>
        <w:rPr>
          <w:rFonts w:ascii="Arial" w:hAnsi="Arial" w:cs="Arial"/>
        </w:rPr>
      </w:pPr>
      <w:r w:rsidRPr="004F7F40">
        <w:rPr>
          <w:rFonts w:ascii="Arial" w:hAnsi="Arial" w:cs="Arial"/>
        </w:rPr>
        <w:t>Sources:  1999 position – provided table, PSEMA and regulation</w:t>
      </w:r>
      <w:r w:rsidR="00D13B1B" w:rsidRPr="004F7F40">
        <w:rPr>
          <w:rFonts w:ascii="Arial" w:hAnsi="Arial" w:cs="Arial"/>
        </w:rPr>
        <w:t>, CPE Determinations, etc</w:t>
      </w:r>
    </w:p>
    <w:p w14:paraId="61319B8A" w14:textId="77777777" w:rsidR="00C271AC" w:rsidRPr="004F7F40" w:rsidRDefault="00C271AC">
      <w:pPr>
        <w:rPr>
          <w:rFonts w:ascii="Arial" w:eastAsiaTheme="majorEastAsia" w:hAnsi="Arial" w:cs="Arial"/>
          <w:b/>
          <w:szCs w:val="24"/>
          <w:u w:val="single"/>
        </w:rPr>
      </w:pPr>
    </w:p>
    <w:p w14:paraId="610A8111" w14:textId="77777777" w:rsidR="00D7414E" w:rsidRPr="004F7F40" w:rsidRDefault="00D7414E">
      <w:pPr>
        <w:spacing w:before="0" w:after="200" w:line="276" w:lineRule="auto"/>
        <w:rPr>
          <w:rFonts w:ascii="Arial" w:eastAsiaTheme="majorEastAsia" w:hAnsi="Arial" w:cs="Arial"/>
          <w:b/>
          <w:szCs w:val="24"/>
          <w:u w:val="single"/>
        </w:rPr>
      </w:pPr>
      <w:r w:rsidRPr="004F7F40">
        <w:rPr>
          <w:rFonts w:ascii="Arial" w:hAnsi="Arial" w:cs="Arial"/>
          <w:szCs w:val="24"/>
        </w:rPr>
        <w:br w:type="page"/>
      </w:r>
    </w:p>
    <w:p w14:paraId="2633CEB9" w14:textId="3035543E" w:rsidR="00AF114F" w:rsidRPr="004F7F40" w:rsidRDefault="003410B1" w:rsidP="00872086">
      <w:pPr>
        <w:pStyle w:val="Heading1"/>
        <w:rPr>
          <w:rFonts w:ascii="Arial" w:hAnsi="Arial" w:cs="Arial"/>
          <w:u w:val="none"/>
        </w:rPr>
      </w:pPr>
      <w:bookmarkStart w:id="13" w:name="_Toc77243219"/>
      <w:r w:rsidRPr="004F7F40">
        <w:rPr>
          <w:rFonts w:ascii="Arial" w:hAnsi="Arial" w:cs="Arial"/>
          <w:u w:val="none"/>
        </w:rPr>
        <w:lastRenderedPageBreak/>
        <w:t>W</w:t>
      </w:r>
      <w:r w:rsidR="00E60292" w:rsidRPr="004F7F40">
        <w:rPr>
          <w:rFonts w:ascii="Arial" w:hAnsi="Arial" w:cs="Arial"/>
          <w:u w:val="none"/>
        </w:rPr>
        <w:t>orkforce data</w:t>
      </w:r>
      <w:bookmarkEnd w:id="13"/>
      <w:r w:rsidRPr="004F7F40">
        <w:rPr>
          <w:rFonts w:ascii="Arial" w:hAnsi="Arial" w:cs="Arial"/>
          <w:u w:val="none"/>
        </w:rPr>
        <w:t xml:space="preserve"> </w:t>
      </w:r>
    </w:p>
    <w:p w14:paraId="3EB550DB" w14:textId="77777777" w:rsidR="00B86487" w:rsidRPr="004F7F40" w:rsidRDefault="00B86487" w:rsidP="00B86487">
      <w:pPr>
        <w:rPr>
          <w:rFonts w:ascii="Arial" w:hAnsi="Arial" w:cs="Arial"/>
        </w:rPr>
      </w:pPr>
    </w:p>
    <w:p w14:paraId="62D6D254" w14:textId="4132C083" w:rsidR="008D5A0D" w:rsidRPr="004F7F40" w:rsidRDefault="008D5A0D" w:rsidP="00B86487">
      <w:pPr>
        <w:spacing w:before="0" w:after="120"/>
        <w:rPr>
          <w:rFonts w:ascii="Arial" w:hAnsi="Arial" w:cs="Arial"/>
        </w:rPr>
      </w:pPr>
      <w:r w:rsidRPr="004F7F40">
        <w:rPr>
          <w:rFonts w:ascii="Arial" w:hAnsi="Arial" w:cs="Arial"/>
        </w:rPr>
        <w:t xml:space="preserve">The Northern Territory has the </w:t>
      </w:r>
      <w:r w:rsidR="004A29E0" w:rsidRPr="004F7F40">
        <w:rPr>
          <w:rFonts w:ascii="Arial" w:hAnsi="Arial" w:cs="Arial"/>
        </w:rPr>
        <w:t>largest</w:t>
      </w:r>
      <w:r w:rsidRPr="004F7F40">
        <w:rPr>
          <w:rFonts w:ascii="Arial" w:hAnsi="Arial" w:cs="Arial"/>
        </w:rPr>
        <w:t xml:space="preserve"> proportion of public servants of any </w:t>
      </w:r>
      <w:r w:rsidR="004B14F7" w:rsidRPr="004F7F40">
        <w:rPr>
          <w:rFonts w:ascii="Arial" w:hAnsi="Arial" w:cs="Arial"/>
        </w:rPr>
        <w:t xml:space="preserve">Australian </w:t>
      </w:r>
      <w:r w:rsidRPr="004F7F40">
        <w:rPr>
          <w:rFonts w:ascii="Arial" w:hAnsi="Arial" w:cs="Arial"/>
        </w:rPr>
        <w:t>jurisdiction</w:t>
      </w:r>
      <w:r w:rsidR="004B14F7" w:rsidRPr="004F7F40">
        <w:rPr>
          <w:rFonts w:ascii="Arial" w:hAnsi="Arial" w:cs="Arial"/>
        </w:rPr>
        <w:t xml:space="preserve">. In 2019, the NT public service </w:t>
      </w:r>
      <w:r w:rsidRPr="004F7F40">
        <w:rPr>
          <w:rFonts w:ascii="Arial" w:hAnsi="Arial" w:cs="Arial"/>
        </w:rPr>
        <w:t>constitute</w:t>
      </w:r>
      <w:r w:rsidR="00226ECA" w:rsidRPr="004F7F40">
        <w:rPr>
          <w:rFonts w:ascii="Arial" w:hAnsi="Arial" w:cs="Arial"/>
        </w:rPr>
        <w:t>d</w:t>
      </w:r>
      <w:r w:rsidRPr="004F7F40">
        <w:rPr>
          <w:rFonts w:ascii="Arial" w:hAnsi="Arial" w:cs="Arial"/>
        </w:rPr>
        <w:t xml:space="preserve"> 21,207 out of its 247,940 </w:t>
      </w:r>
      <w:r w:rsidR="006629DF" w:rsidRPr="004F7F40">
        <w:rPr>
          <w:rFonts w:ascii="Arial" w:hAnsi="Arial" w:cs="Arial"/>
        </w:rPr>
        <w:t>population</w:t>
      </w:r>
      <w:r w:rsidRPr="004F7F40">
        <w:rPr>
          <w:rFonts w:ascii="Arial" w:hAnsi="Arial" w:cs="Arial"/>
        </w:rPr>
        <w:t>, or almost 9</w:t>
      </w:r>
      <w:r w:rsidR="00226ECA" w:rsidRPr="004F7F40">
        <w:rPr>
          <w:rFonts w:ascii="Arial" w:hAnsi="Arial" w:cs="Arial"/>
        </w:rPr>
        <w:t>%</w:t>
      </w:r>
      <w:r w:rsidR="006629DF" w:rsidRPr="004F7F40">
        <w:rPr>
          <w:rFonts w:ascii="Arial" w:hAnsi="Arial" w:cs="Arial"/>
        </w:rPr>
        <w:t xml:space="preserve"> </w:t>
      </w:r>
      <w:r w:rsidR="00226ECA" w:rsidRPr="004F7F40">
        <w:rPr>
          <w:rFonts w:ascii="Arial" w:hAnsi="Arial" w:cs="Arial"/>
        </w:rPr>
        <w:t>of the</w:t>
      </w:r>
      <w:r w:rsidRPr="004F7F40">
        <w:rPr>
          <w:rFonts w:ascii="Arial" w:hAnsi="Arial" w:cs="Arial"/>
        </w:rPr>
        <w:t xml:space="preserve"> </w:t>
      </w:r>
      <w:r w:rsidR="006629DF" w:rsidRPr="004F7F40">
        <w:rPr>
          <w:rFonts w:ascii="Arial" w:hAnsi="Arial" w:cs="Arial"/>
        </w:rPr>
        <w:t xml:space="preserve">NT </w:t>
      </w:r>
      <w:r w:rsidRPr="004F7F40">
        <w:rPr>
          <w:rFonts w:ascii="Arial" w:hAnsi="Arial" w:cs="Arial"/>
        </w:rPr>
        <w:t>population (Smith, 2019, Jun 16).</w:t>
      </w:r>
      <w:r w:rsidR="00E70EA9" w:rsidRPr="004F7F40">
        <w:rPr>
          <w:rFonts w:ascii="Arial" w:hAnsi="Arial" w:cs="Arial"/>
        </w:rPr>
        <w:t xml:space="preserve"> </w:t>
      </w:r>
      <w:r w:rsidRPr="004F7F40">
        <w:rPr>
          <w:rFonts w:ascii="Arial" w:hAnsi="Arial" w:cs="Arial"/>
        </w:rPr>
        <w:t xml:space="preserve">Since the early 2000s, </w:t>
      </w:r>
      <w:r w:rsidR="00E70EA9" w:rsidRPr="004F7F40">
        <w:rPr>
          <w:rFonts w:ascii="Arial" w:hAnsi="Arial" w:cs="Arial"/>
        </w:rPr>
        <w:t>the growth of the public service has been greater than</w:t>
      </w:r>
      <w:r w:rsidRPr="004F7F40">
        <w:rPr>
          <w:rFonts w:ascii="Arial" w:hAnsi="Arial" w:cs="Arial"/>
        </w:rPr>
        <w:t xml:space="preserve"> both the </w:t>
      </w:r>
      <w:r w:rsidR="00E70EA9" w:rsidRPr="004F7F40">
        <w:rPr>
          <w:rFonts w:ascii="Arial" w:hAnsi="Arial" w:cs="Arial"/>
        </w:rPr>
        <w:t xml:space="preserve">NT </w:t>
      </w:r>
      <w:r w:rsidRPr="004F7F40">
        <w:rPr>
          <w:rFonts w:ascii="Arial" w:hAnsi="Arial" w:cs="Arial"/>
        </w:rPr>
        <w:t xml:space="preserve">labour force and the population, and </w:t>
      </w:r>
      <w:r w:rsidR="00E70EA9" w:rsidRPr="004F7F40">
        <w:rPr>
          <w:rFonts w:ascii="Arial" w:hAnsi="Arial" w:cs="Arial"/>
        </w:rPr>
        <w:t xml:space="preserve">by 2019 was </w:t>
      </w:r>
      <w:r w:rsidRPr="004F7F40">
        <w:rPr>
          <w:rFonts w:ascii="Arial" w:hAnsi="Arial" w:cs="Arial"/>
        </w:rPr>
        <w:t>40</w:t>
      </w:r>
      <w:r w:rsidR="00E70EA9" w:rsidRPr="004F7F40">
        <w:rPr>
          <w:rFonts w:ascii="Arial" w:hAnsi="Arial" w:cs="Arial"/>
        </w:rPr>
        <w:t xml:space="preserve">% larger than in </w:t>
      </w:r>
      <w:r w:rsidRPr="004F7F40">
        <w:rPr>
          <w:rFonts w:ascii="Arial" w:hAnsi="Arial" w:cs="Arial"/>
        </w:rPr>
        <w:t>1983.</w:t>
      </w:r>
    </w:p>
    <w:p w14:paraId="6CD819D8" w14:textId="18679AE1" w:rsidR="00B86487" w:rsidRPr="004F7F40" w:rsidRDefault="00B86487" w:rsidP="001C6899">
      <w:pPr>
        <w:spacing w:before="0" w:after="120"/>
        <w:rPr>
          <w:rFonts w:ascii="Arial" w:hAnsi="Arial" w:cs="Arial"/>
          <w:szCs w:val="24"/>
        </w:rPr>
      </w:pPr>
      <w:r w:rsidRPr="004F7F40">
        <w:rPr>
          <w:rFonts w:ascii="Arial" w:hAnsi="Arial" w:cs="Arial"/>
          <w:szCs w:val="24"/>
        </w:rPr>
        <w:t xml:space="preserve">Unlike most Australian public servants, whose standard working hours are </w:t>
      </w:r>
      <w:r w:rsidR="00580E94" w:rsidRPr="004F7F40">
        <w:rPr>
          <w:rFonts w:ascii="Arial" w:hAnsi="Arial" w:cs="Arial"/>
          <w:szCs w:val="24"/>
        </w:rPr>
        <w:t xml:space="preserve">typically around </w:t>
      </w:r>
      <w:r w:rsidRPr="004F7F40">
        <w:rPr>
          <w:rFonts w:ascii="Arial" w:hAnsi="Arial" w:cs="Arial"/>
          <w:szCs w:val="24"/>
        </w:rPr>
        <w:t>9 to 5, Territorian public servants work 8am to 4.</w:t>
      </w:r>
      <w:r w:rsidR="00286D58" w:rsidRPr="004F7F40">
        <w:rPr>
          <w:rFonts w:ascii="Arial" w:hAnsi="Arial" w:cs="Arial"/>
          <w:szCs w:val="24"/>
        </w:rPr>
        <w:t>21pm</w:t>
      </w:r>
      <w:r w:rsidRPr="004F7F40">
        <w:rPr>
          <w:rFonts w:ascii="Arial" w:hAnsi="Arial" w:cs="Arial"/>
          <w:szCs w:val="24"/>
        </w:rPr>
        <w:t xml:space="preserve"> – with the extra minute “treated with such reverence that there’s even a local ale named after it” (</w:t>
      </w:r>
      <w:proofErr w:type="spellStart"/>
      <w:r w:rsidRPr="004F7F40">
        <w:rPr>
          <w:rFonts w:ascii="Arial" w:hAnsi="Arial" w:cs="Arial"/>
          <w:szCs w:val="24"/>
        </w:rPr>
        <w:t>Vanovac</w:t>
      </w:r>
      <w:proofErr w:type="spellEnd"/>
      <w:r w:rsidRPr="004F7F40">
        <w:rPr>
          <w:rFonts w:ascii="Arial" w:hAnsi="Arial" w:cs="Arial"/>
          <w:szCs w:val="24"/>
        </w:rPr>
        <w:t>, 2018, Aug 28). About 11,000 of the NT’s public servants are covered by a 36.75</w:t>
      </w:r>
      <w:r w:rsidR="00DE50FB" w:rsidRPr="004F7F40">
        <w:rPr>
          <w:rFonts w:ascii="Arial" w:hAnsi="Arial" w:cs="Arial"/>
          <w:szCs w:val="24"/>
        </w:rPr>
        <w:t xml:space="preserve"> </w:t>
      </w:r>
      <w:r w:rsidRPr="004F7F40">
        <w:rPr>
          <w:rFonts w:ascii="Arial" w:hAnsi="Arial" w:cs="Arial"/>
          <w:szCs w:val="24"/>
        </w:rPr>
        <w:t>hour</w:t>
      </w:r>
      <w:r w:rsidR="00DE50FB" w:rsidRPr="004F7F40">
        <w:rPr>
          <w:rFonts w:ascii="Arial" w:hAnsi="Arial" w:cs="Arial"/>
          <w:szCs w:val="24"/>
        </w:rPr>
        <w:t>s</w:t>
      </w:r>
      <w:r w:rsidRPr="004F7F40">
        <w:rPr>
          <w:rFonts w:ascii="Arial" w:hAnsi="Arial" w:cs="Arial"/>
          <w:szCs w:val="24"/>
        </w:rPr>
        <w:t xml:space="preserve"> per week award, with nurses, teachers, </w:t>
      </w:r>
      <w:proofErr w:type="gramStart"/>
      <w:r w:rsidRPr="004F7F40">
        <w:rPr>
          <w:rFonts w:ascii="Arial" w:hAnsi="Arial" w:cs="Arial"/>
          <w:szCs w:val="24"/>
        </w:rPr>
        <w:t>police</w:t>
      </w:r>
      <w:proofErr w:type="gramEnd"/>
      <w:r w:rsidRPr="004F7F40">
        <w:rPr>
          <w:rFonts w:ascii="Arial" w:hAnsi="Arial" w:cs="Arial"/>
          <w:szCs w:val="24"/>
        </w:rPr>
        <w:t xml:space="preserve"> and others on different agreements (</w:t>
      </w:r>
      <w:proofErr w:type="spellStart"/>
      <w:r w:rsidRPr="004F7F40">
        <w:rPr>
          <w:rFonts w:ascii="Arial" w:hAnsi="Arial" w:cs="Arial"/>
          <w:szCs w:val="24"/>
        </w:rPr>
        <w:t>Vanovac</w:t>
      </w:r>
      <w:proofErr w:type="spellEnd"/>
      <w:r w:rsidRPr="004F7F40">
        <w:rPr>
          <w:rFonts w:ascii="Arial" w:hAnsi="Arial" w:cs="Arial"/>
          <w:szCs w:val="24"/>
        </w:rPr>
        <w:t>, 2018, Aug 28).</w:t>
      </w:r>
    </w:p>
    <w:p w14:paraId="2A241302" w14:textId="09A2B764" w:rsidR="00B86487" w:rsidRPr="004F7F40" w:rsidRDefault="00B86487" w:rsidP="001C6899">
      <w:pPr>
        <w:spacing w:before="0" w:after="120"/>
        <w:rPr>
          <w:rFonts w:ascii="Arial" w:hAnsi="Arial" w:cs="Arial"/>
          <w:szCs w:val="24"/>
        </w:rPr>
      </w:pPr>
      <w:r w:rsidRPr="004F7F40">
        <w:rPr>
          <w:rFonts w:ascii="Arial" w:hAnsi="Arial" w:cs="Arial"/>
          <w:szCs w:val="24"/>
        </w:rPr>
        <w:t>Some </w:t>
      </w:r>
      <w:hyperlink r:id="rId13" w:history="1">
        <w:r w:rsidRPr="004F7F40">
          <w:rPr>
            <w:rFonts w:ascii="Arial" w:hAnsi="Arial" w:cs="Arial"/>
            <w:szCs w:val="24"/>
          </w:rPr>
          <w:t>argue</w:t>
        </w:r>
      </w:hyperlink>
      <w:r w:rsidRPr="004F7F40">
        <w:rPr>
          <w:rFonts w:ascii="Arial" w:hAnsi="Arial" w:cs="Arial"/>
          <w:szCs w:val="24"/>
        </w:rPr>
        <w:t> the Northern Territory has the “most bloated” bureaucracy in the country, with administration staff comprising a disproportionate share of the public sector workforce (Donaldson, 2019, Apr 16). In 2018, the NT Opposition committed to “tipping out” the public service and commissioning an independent review as a prelude to “axing unnecessary fat-cat-bureaucrats” (The Australian, 2018, May 3). But, at 9% of the NT population, the public service has significant voting power (Smith, 2019, June 16). And as former Commissioner Ken Simpson pointed out:</w:t>
      </w:r>
    </w:p>
    <w:p w14:paraId="12D5A40A" w14:textId="657A0470" w:rsidR="00B86487" w:rsidRPr="004F7F40" w:rsidRDefault="00B86487" w:rsidP="003410B1">
      <w:pPr>
        <w:spacing w:before="0" w:after="120"/>
        <w:ind w:left="720"/>
        <w:rPr>
          <w:rFonts w:ascii="Arial" w:eastAsia="Times New Roman" w:hAnsi="Arial" w:cs="Arial"/>
          <w:i/>
          <w:iCs/>
          <w:szCs w:val="24"/>
          <w:lang w:eastAsia="en-AU"/>
        </w:rPr>
      </w:pPr>
      <w:r w:rsidRPr="004F7F40">
        <w:rPr>
          <w:rFonts w:ascii="Arial" w:eastAsia="Times New Roman" w:hAnsi="Arial" w:cs="Arial"/>
          <w:i/>
          <w:iCs/>
          <w:szCs w:val="24"/>
          <w:lang w:eastAsia="en-AU"/>
        </w:rPr>
        <w:t>Contrary to what some believe in the general community, CEOs certainly don't sit around trying to think up ways of employing more staff — they employ staff to do the task that the Government allocated to them.</w:t>
      </w:r>
    </w:p>
    <w:p w14:paraId="2902BE1E" w14:textId="1E048D6B" w:rsidR="00B86487" w:rsidRPr="004F7F40" w:rsidRDefault="00B86487" w:rsidP="003410B1">
      <w:pPr>
        <w:spacing w:before="0" w:after="120"/>
        <w:ind w:left="720"/>
        <w:rPr>
          <w:rFonts w:ascii="Arial" w:eastAsia="Times New Roman" w:hAnsi="Arial" w:cs="Arial"/>
          <w:i/>
          <w:iCs/>
          <w:szCs w:val="24"/>
          <w:lang w:eastAsia="en-AU"/>
        </w:rPr>
      </w:pPr>
      <w:r w:rsidRPr="004F7F40">
        <w:rPr>
          <w:rFonts w:ascii="Arial" w:eastAsia="Times New Roman" w:hAnsi="Arial" w:cs="Arial"/>
          <w:i/>
          <w:iCs/>
          <w:szCs w:val="24"/>
          <w:lang w:eastAsia="en-AU"/>
        </w:rPr>
        <w:t xml:space="preserve">If people say there's a problem around the numbers — in my view there isn't — it's around the size and scope of government policies and decisions that it makes, and it's not the size of the public service per se that's the issue </w:t>
      </w:r>
      <w:r w:rsidRPr="004F7F40">
        <w:rPr>
          <w:rFonts w:ascii="Arial" w:eastAsia="Times New Roman" w:hAnsi="Arial" w:cs="Arial"/>
          <w:szCs w:val="24"/>
          <w:lang w:eastAsia="en-AU"/>
        </w:rPr>
        <w:t>(quoted by Smith, 2019, Jun 16).</w:t>
      </w:r>
      <w:r w:rsidRPr="004F7F40">
        <w:rPr>
          <w:rFonts w:ascii="Arial" w:eastAsia="Times New Roman" w:hAnsi="Arial" w:cs="Arial"/>
          <w:i/>
          <w:iCs/>
          <w:szCs w:val="24"/>
          <w:lang w:eastAsia="en-AU"/>
        </w:rPr>
        <w:t xml:space="preserve"> </w:t>
      </w:r>
    </w:p>
    <w:p w14:paraId="79FB368E" w14:textId="3011AD7D" w:rsidR="000770AD" w:rsidRPr="004F7F40" w:rsidRDefault="00B86487" w:rsidP="001C6899">
      <w:pPr>
        <w:spacing w:before="0" w:after="120"/>
        <w:rPr>
          <w:rFonts w:ascii="Arial" w:hAnsi="Arial" w:cs="Arial"/>
          <w:szCs w:val="24"/>
        </w:rPr>
      </w:pPr>
      <w:r w:rsidRPr="004F7F40">
        <w:rPr>
          <w:rFonts w:ascii="Arial" w:hAnsi="Arial" w:cs="Arial"/>
          <w:szCs w:val="24"/>
        </w:rPr>
        <w:t xml:space="preserve">Under the Giles government (2013–2016), the </w:t>
      </w:r>
      <w:r w:rsidR="000770AD" w:rsidRPr="004F7F40">
        <w:rPr>
          <w:rFonts w:ascii="Arial" w:hAnsi="Arial" w:cs="Arial"/>
          <w:szCs w:val="24"/>
        </w:rPr>
        <w:t>NT public sector increased by about 800 full-time equivalents</w:t>
      </w:r>
      <w:r w:rsidRPr="004F7F40">
        <w:rPr>
          <w:rFonts w:ascii="Arial" w:hAnsi="Arial" w:cs="Arial"/>
          <w:szCs w:val="24"/>
        </w:rPr>
        <w:t xml:space="preserve">, with the </w:t>
      </w:r>
      <w:r w:rsidR="000770AD" w:rsidRPr="004F7F40">
        <w:rPr>
          <w:rFonts w:ascii="Arial" w:hAnsi="Arial" w:cs="Arial"/>
          <w:szCs w:val="24"/>
        </w:rPr>
        <w:t xml:space="preserve">Department of the Chief Minister </w:t>
      </w:r>
      <w:r w:rsidRPr="004F7F40">
        <w:rPr>
          <w:rFonts w:ascii="Arial" w:hAnsi="Arial" w:cs="Arial"/>
          <w:szCs w:val="24"/>
        </w:rPr>
        <w:t xml:space="preserve">becoming its largest ever </w:t>
      </w:r>
      <w:r w:rsidR="000770AD" w:rsidRPr="004F7F40">
        <w:rPr>
          <w:rFonts w:ascii="Arial" w:hAnsi="Arial" w:cs="Arial"/>
          <w:szCs w:val="24"/>
        </w:rPr>
        <w:t>(Easton, 2016, May 26).</w:t>
      </w:r>
    </w:p>
    <w:p w14:paraId="31396F60" w14:textId="66B5A713" w:rsidR="0002278B" w:rsidRPr="004F7F40" w:rsidRDefault="0002278B" w:rsidP="001C6899">
      <w:pPr>
        <w:spacing w:before="0" w:after="120"/>
        <w:rPr>
          <w:rFonts w:ascii="Arial" w:hAnsi="Arial" w:cs="Arial"/>
          <w:szCs w:val="24"/>
        </w:rPr>
      </w:pPr>
      <w:r w:rsidRPr="004F7F40">
        <w:rPr>
          <w:rFonts w:ascii="Arial" w:hAnsi="Arial" w:cs="Arial"/>
          <w:szCs w:val="24"/>
        </w:rPr>
        <w:t>The Budget Repair Review tracked NTPS staffing levels from 1983 to 2018, noting that between the early 1980s and early 2000s, the size of the NTPS had remained relatively static (</w:t>
      </w:r>
      <w:proofErr w:type="spellStart"/>
      <w:r w:rsidRPr="004F7F40">
        <w:rPr>
          <w:rFonts w:ascii="Arial" w:hAnsi="Arial" w:cs="Arial"/>
          <w:szCs w:val="24"/>
        </w:rPr>
        <w:t>Langoulant</w:t>
      </w:r>
      <w:proofErr w:type="spellEnd"/>
      <w:r w:rsidRPr="004F7F40">
        <w:rPr>
          <w:rFonts w:ascii="Arial" w:hAnsi="Arial" w:cs="Arial"/>
          <w:szCs w:val="24"/>
        </w:rPr>
        <w:t xml:space="preserve"> et al., 2019, p. 92). Since the introduction of the GST and the NT Emergency Response in the 2000s, along with strong population growth, NTPS numbers “rose rapidly and have remained at elevated levels” (p. 92). In addition to growth, the average cost of NTPS employees had increased through ‘classification creep’</w:t>
      </w:r>
      <w:r w:rsidR="004026A2" w:rsidRPr="004F7F40">
        <w:rPr>
          <w:rFonts w:ascii="Arial" w:hAnsi="Arial" w:cs="Arial"/>
          <w:szCs w:val="24"/>
        </w:rPr>
        <w:t>, which had added an estimated $24 million per annum to the wages bill in the administrative stream alone</w:t>
      </w:r>
      <w:r w:rsidRPr="004F7F40">
        <w:rPr>
          <w:rFonts w:ascii="Arial" w:hAnsi="Arial" w:cs="Arial"/>
          <w:szCs w:val="24"/>
        </w:rPr>
        <w:t xml:space="preserve"> (</w:t>
      </w:r>
      <w:proofErr w:type="spellStart"/>
      <w:r w:rsidR="004026A2" w:rsidRPr="004F7F40">
        <w:rPr>
          <w:rFonts w:ascii="Arial" w:hAnsi="Arial" w:cs="Arial"/>
          <w:szCs w:val="24"/>
        </w:rPr>
        <w:t>Langoulant</w:t>
      </w:r>
      <w:proofErr w:type="spellEnd"/>
      <w:r w:rsidR="004026A2" w:rsidRPr="004F7F40">
        <w:rPr>
          <w:rFonts w:ascii="Arial" w:hAnsi="Arial" w:cs="Arial"/>
          <w:szCs w:val="24"/>
        </w:rPr>
        <w:t xml:space="preserve"> et al., 2019, </w:t>
      </w:r>
      <w:r w:rsidRPr="004F7F40">
        <w:rPr>
          <w:rFonts w:ascii="Arial" w:hAnsi="Arial" w:cs="Arial"/>
          <w:szCs w:val="24"/>
        </w:rPr>
        <w:t>p. 93).</w:t>
      </w:r>
      <w:r w:rsidR="004026A2" w:rsidRPr="004F7F40">
        <w:rPr>
          <w:rFonts w:ascii="Arial" w:hAnsi="Arial" w:cs="Arial"/>
          <w:szCs w:val="24"/>
        </w:rPr>
        <w:t xml:space="preserve"> </w:t>
      </w:r>
    </w:p>
    <w:p w14:paraId="509ED979" w14:textId="7FE59A66" w:rsidR="00B34C9C" w:rsidRPr="004F7F40" w:rsidRDefault="00C538F4" w:rsidP="001C6899">
      <w:pPr>
        <w:spacing w:before="0" w:after="120"/>
        <w:rPr>
          <w:rFonts w:ascii="Arial" w:hAnsi="Arial" w:cs="Arial"/>
        </w:rPr>
      </w:pPr>
      <w:r w:rsidRPr="004F7F40">
        <w:rPr>
          <w:rFonts w:ascii="Arial" w:hAnsi="Arial" w:cs="Arial"/>
        </w:rPr>
        <w:t>Since 2002, NTPS s</w:t>
      </w:r>
      <w:r w:rsidR="00B34C9C" w:rsidRPr="004F7F40">
        <w:rPr>
          <w:rFonts w:ascii="Arial" w:hAnsi="Arial" w:cs="Arial"/>
        </w:rPr>
        <w:t xml:space="preserve">taffing numbers </w:t>
      </w:r>
      <w:r w:rsidRPr="004F7F40">
        <w:rPr>
          <w:rFonts w:ascii="Arial" w:hAnsi="Arial" w:cs="Arial"/>
        </w:rPr>
        <w:t xml:space="preserve">have been published quarterly in one-page reports. </w:t>
      </w:r>
      <w:r w:rsidR="0098184F" w:rsidRPr="004F7F40">
        <w:rPr>
          <w:rFonts w:ascii="Arial" w:hAnsi="Arial" w:cs="Arial"/>
        </w:rPr>
        <w:t xml:space="preserve">NTPS workforce data has been reported annually in </w:t>
      </w:r>
      <w:r w:rsidR="0098184F" w:rsidRPr="004F7F40">
        <w:rPr>
          <w:rFonts w:ascii="Arial" w:hAnsi="Arial" w:cs="Arial"/>
          <w:i/>
          <w:iCs/>
        </w:rPr>
        <w:t>State of the Service</w:t>
      </w:r>
      <w:r w:rsidR="0098184F" w:rsidRPr="004F7F40">
        <w:rPr>
          <w:rFonts w:ascii="Arial" w:hAnsi="Arial" w:cs="Arial"/>
        </w:rPr>
        <w:t xml:space="preserve"> reports since 2005/06. </w:t>
      </w:r>
      <w:proofErr w:type="gramStart"/>
      <w:r w:rsidR="00B34C9C" w:rsidRPr="004F7F40">
        <w:rPr>
          <w:rFonts w:ascii="Arial" w:hAnsi="Arial" w:cs="Arial"/>
        </w:rPr>
        <w:t>At</w:t>
      </w:r>
      <w:proofErr w:type="gramEnd"/>
      <w:r w:rsidR="00B34C9C" w:rsidRPr="004F7F40">
        <w:rPr>
          <w:rFonts w:ascii="Arial" w:hAnsi="Arial" w:cs="Arial"/>
        </w:rPr>
        <w:t xml:space="preserve"> 30 September 20</w:t>
      </w:r>
      <w:r w:rsidRPr="004F7F40">
        <w:rPr>
          <w:rFonts w:ascii="Arial" w:hAnsi="Arial" w:cs="Arial"/>
        </w:rPr>
        <w:t>1</w:t>
      </w:r>
      <w:r w:rsidR="00B34C9C" w:rsidRPr="004F7F40">
        <w:rPr>
          <w:rFonts w:ascii="Arial" w:hAnsi="Arial" w:cs="Arial"/>
        </w:rPr>
        <w:t xml:space="preserve">9, the NTPS </w:t>
      </w:r>
      <w:r w:rsidR="00D34514" w:rsidRPr="004F7F40">
        <w:rPr>
          <w:rFonts w:ascii="Arial" w:hAnsi="Arial" w:cs="Arial"/>
        </w:rPr>
        <w:t xml:space="preserve">comprised 21,547 FTE positions, including almost 4000 externally funded positions (OCPE, 2020). Consistent with other jurisdictions, the largest agency is Health. Comprising one-third of the workforce, NT Health has more than 7000 FTE positions, more than 2000 of which are externally funded. </w:t>
      </w:r>
    </w:p>
    <w:p w14:paraId="26614047" w14:textId="26AC391D" w:rsidR="00B20D6E" w:rsidRPr="004F7F40" w:rsidRDefault="00B20D6E" w:rsidP="001C6899">
      <w:pPr>
        <w:spacing w:before="0" w:after="120"/>
        <w:rPr>
          <w:rFonts w:ascii="Arial" w:hAnsi="Arial" w:cs="Arial"/>
        </w:rPr>
      </w:pPr>
      <w:r w:rsidRPr="004F7F40">
        <w:rPr>
          <w:rFonts w:ascii="Arial" w:hAnsi="Arial" w:cs="Arial"/>
        </w:rPr>
        <w:t>In 2018–19, 4742 employees left the NTPS, including 2505 resignations, 142 retirements, 123 retrenchments and 42 dismissals. An additional 1878 temporary positions ceased (OCPE, 2019, p. 76).</w:t>
      </w:r>
    </w:p>
    <w:p w14:paraId="72855F53" w14:textId="32848AA7" w:rsidR="00813DB4" w:rsidRPr="004F7F40" w:rsidRDefault="00813DB4" w:rsidP="001C6899">
      <w:pPr>
        <w:spacing w:before="0" w:after="120"/>
        <w:rPr>
          <w:rFonts w:ascii="Arial" w:hAnsi="Arial" w:cs="Arial"/>
        </w:rPr>
      </w:pPr>
      <w:r w:rsidRPr="004F7F40">
        <w:rPr>
          <w:rFonts w:ascii="Arial" w:hAnsi="Arial" w:cs="Arial"/>
        </w:rPr>
        <w:lastRenderedPageBreak/>
        <w:t xml:space="preserve">In December 2020, the NT public sector employed 22,226 FTE, with 75.1% </w:t>
      </w:r>
      <w:r w:rsidR="00DE50FB" w:rsidRPr="004F7F40">
        <w:rPr>
          <w:rFonts w:ascii="Arial" w:hAnsi="Arial" w:cs="Arial"/>
        </w:rPr>
        <w:t>i</w:t>
      </w:r>
      <w:r w:rsidRPr="004F7F40">
        <w:rPr>
          <w:rFonts w:ascii="Arial" w:hAnsi="Arial" w:cs="Arial"/>
        </w:rPr>
        <w:t xml:space="preserve">n ongoing </w:t>
      </w:r>
      <w:r w:rsidR="00DE50FB" w:rsidRPr="004F7F40">
        <w:rPr>
          <w:rFonts w:ascii="Arial" w:hAnsi="Arial" w:cs="Arial"/>
        </w:rPr>
        <w:t xml:space="preserve">employment </w:t>
      </w:r>
      <w:r w:rsidRPr="004F7F40">
        <w:rPr>
          <w:rFonts w:ascii="Arial" w:hAnsi="Arial" w:cs="Arial"/>
        </w:rPr>
        <w:t xml:space="preserve">contracts and 67% </w:t>
      </w:r>
      <w:r w:rsidR="00DE50FB" w:rsidRPr="004F7F40">
        <w:rPr>
          <w:rFonts w:ascii="Arial" w:hAnsi="Arial" w:cs="Arial"/>
        </w:rPr>
        <w:t xml:space="preserve">of positions </w:t>
      </w:r>
      <w:r w:rsidRPr="004F7F40">
        <w:rPr>
          <w:rFonts w:ascii="Arial" w:hAnsi="Arial" w:cs="Arial"/>
        </w:rPr>
        <w:t>based in Darwin (OCPE, 2020b). Women made up almost two-thirds (64%) of the workforce, but men dominate salary ranges over $120,000, with women holding less than half the top-bracket positions (OCPE, 2020b: Figure 4).</w:t>
      </w:r>
    </w:p>
    <w:p w14:paraId="330AA50A" w14:textId="34A10A1D" w:rsidR="00F523A0" w:rsidRPr="004F7F40" w:rsidRDefault="00F523A0" w:rsidP="001C6899">
      <w:pPr>
        <w:spacing w:before="0" w:after="120"/>
        <w:rPr>
          <w:rFonts w:ascii="Arial" w:hAnsi="Arial" w:cs="Arial"/>
        </w:rPr>
      </w:pPr>
      <w:r w:rsidRPr="004F7F40">
        <w:rPr>
          <w:rFonts w:ascii="Arial" w:hAnsi="Arial" w:cs="Arial"/>
        </w:rPr>
        <w:t xml:space="preserve">An analysis by the </w:t>
      </w:r>
      <w:r w:rsidRPr="004F7F40">
        <w:rPr>
          <w:rFonts w:ascii="Arial" w:hAnsi="Arial" w:cs="Arial"/>
          <w:i/>
          <w:iCs/>
        </w:rPr>
        <w:t>NT Independent</w:t>
      </w:r>
      <w:r w:rsidRPr="004F7F40">
        <w:rPr>
          <w:rFonts w:ascii="Arial" w:hAnsi="Arial" w:cs="Arial"/>
        </w:rPr>
        <w:t xml:space="preserve"> found that the Gunner Government spent $121 million on private consultancies between 2017–18 and 2019–20, with a 65% increase since 2018–19 (Walsh, 202</w:t>
      </w:r>
      <w:r w:rsidR="001C4B5B" w:rsidRPr="004F7F40">
        <w:rPr>
          <w:rFonts w:ascii="Arial" w:hAnsi="Arial" w:cs="Arial"/>
        </w:rPr>
        <w:t>0</w:t>
      </w:r>
      <w:r w:rsidRPr="004F7F40">
        <w:rPr>
          <w:rFonts w:ascii="Arial" w:hAnsi="Arial" w:cs="Arial"/>
        </w:rPr>
        <w:t>b). I</w:t>
      </w:r>
      <w:r w:rsidR="006D55CE" w:rsidRPr="004F7F40">
        <w:rPr>
          <w:rFonts w:ascii="Arial" w:hAnsi="Arial" w:cs="Arial"/>
        </w:rPr>
        <w:t>t</w:t>
      </w:r>
      <w:r w:rsidRPr="004F7F40">
        <w:rPr>
          <w:rFonts w:ascii="Arial" w:hAnsi="Arial" w:cs="Arial"/>
        </w:rPr>
        <w:t xml:space="preserve"> has been argued that the necessary expertise for m</w:t>
      </w:r>
      <w:r w:rsidR="00DE50FB" w:rsidRPr="004F7F40">
        <w:rPr>
          <w:rFonts w:ascii="Arial" w:hAnsi="Arial" w:cs="Arial"/>
        </w:rPr>
        <w:t>any of these consultancy</w:t>
      </w:r>
      <w:r w:rsidRPr="004F7F40">
        <w:rPr>
          <w:rFonts w:ascii="Arial" w:hAnsi="Arial" w:cs="Arial"/>
        </w:rPr>
        <w:t xml:space="preserve"> contracts (including the development of a housing policy) ought to be held within the public service. </w:t>
      </w:r>
    </w:p>
    <w:p w14:paraId="3B941776" w14:textId="57037296" w:rsidR="00F523A0" w:rsidRPr="004F7F40" w:rsidRDefault="00F523A0" w:rsidP="001C6899">
      <w:pPr>
        <w:spacing w:before="0" w:after="120"/>
        <w:rPr>
          <w:rFonts w:ascii="Arial" w:hAnsi="Arial" w:cs="Arial"/>
        </w:rPr>
      </w:pPr>
      <w:r w:rsidRPr="004F7F40">
        <w:rPr>
          <w:rFonts w:ascii="Arial" w:hAnsi="Arial" w:cs="Arial"/>
        </w:rPr>
        <w:t>The key workforce challenges identified in 2020 were “inadequate resources for changing business needs” and recruiting and retaining “appropriately skilled people” (OCPE, 2020</w:t>
      </w:r>
      <w:r w:rsidR="00B63D00" w:rsidRPr="004F7F40">
        <w:rPr>
          <w:rFonts w:ascii="Arial" w:hAnsi="Arial" w:cs="Arial"/>
        </w:rPr>
        <w:t>b</w:t>
      </w:r>
      <w:r w:rsidRPr="004F7F40">
        <w:rPr>
          <w:rFonts w:ascii="Arial" w:hAnsi="Arial" w:cs="Arial"/>
        </w:rPr>
        <w:t>: 24).  Recruitment from the private sector and other jurisdictions were the main strategies for addressing capacity gaps (</w:t>
      </w:r>
      <w:proofErr w:type="spellStart"/>
      <w:r w:rsidRPr="004F7F40">
        <w:rPr>
          <w:rFonts w:ascii="Arial" w:hAnsi="Arial" w:cs="Arial"/>
        </w:rPr>
        <w:t>OCPE</w:t>
      </w:r>
      <w:r w:rsidR="00B63D00" w:rsidRPr="004F7F40">
        <w:rPr>
          <w:rFonts w:ascii="Arial" w:hAnsi="Arial" w:cs="Arial"/>
        </w:rPr>
        <w:t>b</w:t>
      </w:r>
      <w:proofErr w:type="spellEnd"/>
      <w:r w:rsidRPr="004F7F40">
        <w:rPr>
          <w:rFonts w:ascii="Arial" w:hAnsi="Arial" w:cs="Arial"/>
        </w:rPr>
        <w:t xml:space="preserve">, 2020: 25). </w:t>
      </w:r>
    </w:p>
    <w:p w14:paraId="5727E186" w14:textId="2EE8BB64" w:rsidR="00C2065D" w:rsidRPr="004F7F40" w:rsidRDefault="00C2065D" w:rsidP="00C2065D">
      <w:pPr>
        <w:pStyle w:val="Heading2"/>
        <w:rPr>
          <w:rFonts w:cs="Arial"/>
          <w:szCs w:val="24"/>
        </w:rPr>
      </w:pPr>
      <w:bookmarkStart w:id="14" w:name="_Toc77243220"/>
      <w:r w:rsidRPr="004F7F40">
        <w:rPr>
          <w:rFonts w:cs="Arial"/>
        </w:rPr>
        <w:t>Executive Contract Officers</w:t>
      </w:r>
      <w:bookmarkEnd w:id="14"/>
    </w:p>
    <w:p w14:paraId="1ECEF96D" w14:textId="6FC212ED" w:rsidR="00595008" w:rsidRPr="004F7F40" w:rsidRDefault="00595E0C" w:rsidP="00595E0C">
      <w:pPr>
        <w:spacing w:before="0" w:after="120"/>
        <w:rPr>
          <w:rFonts w:ascii="Arial" w:hAnsi="Arial" w:cs="Arial"/>
          <w:bCs/>
          <w:szCs w:val="24"/>
        </w:rPr>
      </w:pPr>
      <w:r w:rsidRPr="004F7F40">
        <w:rPr>
          <w:rFonts w:ascii="Arial" w:hAnsi="Arial" w:cs="Arial"/>
        </w:rPr>
        <w:t>In December 2018, there were 640 FTE executive officers across the NTPS, representing about 3% of the NTPS workforce (</w:t>
      </w:r>
      <w:proofErr w:type="spellStart"/>
      <w:r w:rsidRPr="004F7F40">
        <w:rPr>
          <w:rFonts w:ascii="Arial" w:hAnsi="Arial" w:cs="Arial"/>
        </w:rPr>
        <w:t>Langoulant</w:t>
      </w:r>
      <w:proofErr w:type="spellEnd"/>
      <w:r w:rsidRPr="004F7F40">
        <w:rPr>
          <w:rFonts w:ascii="Arial" w:hAnsi="Arial" w:cs="Arial"/>
        </w:rPr>
        <w:t xml:space="preserve"> et al., 2019, p.96).</w:t>
      </w:r>
      <w:r w:rsidR="00E2260E" w:rsidRPr="004F7F40">
        <w:rPr>
          <w:rFonts w:ascii="Arial" w:hAnsi="Arial" w:cs="Arial"/>
        </w:rPr>
        <w:t xml:space="preserve"> </w:t>
      </w:r>
      <w:r w:rsidR="00396753" w:rsidRPr="004F7F40">
        <w:rPr>
          <w:rFonts w:ascii="Arial" w:hAnsi="Arial" w:cs="Arial"/>
        </w:rPr>
        <w:t xml:space="preserve">This figure may have included Executive Contract Principals, </w:t>
      </w:r>
      <w:proofErr w:type="gramStart"/>
      <w:r w:rsidR="00396753" w:rsidRPr="004F7F40">
        <w:rPr>
          <w:rFonts w:ascii="Arial" w:hAnsi="Arial" w:cs="Arial"/>
        </w:rPr>
        <w:t>e.g.</w:t>
      </w:r>
      <w:proofErr w:type="gramEnd"/>
      <w:r w:rsidR="00396753" w:rsidRPr="004F7F40">
        <w:rPr>
          <w:rFonts w:ascii="Arial" w:hAnsi="Arial" w:cs="Arial"/>
        </w:rPr>
        <w:t xml:space="preserve"> those in the education sector. </w:t>
      </w:r>
      <w:r w:rsidR="00E2260E" w:rsidRPr="004F7F40">
        <w:rPr>
          <w:rFonts w:ascii="Arial" w:hAnsi="Arial" w:cs="Arial"/>
          <w:bCs/>
          <w:szCs w:val="24"/>
        </w:rPr>
        <w:t>The Budget Repair Review noted a “a clear gap between actual and perceived growth in executive numbers”, which it found were lower in 2018 than in 2012 – despite a 7% increase in the NTPS in that time</w:t>
      </w:r>
      <w:r w:rsidR="0039033B" w:rsidRPr="004F7F40">
        <w:rPr>
          <w:rFonts w:ascii="Arial" w:hAnsi="Arial" w:cs="Arial"/>
          <w:bCs/>
          <w:szCs w:val="24"/>
        </w:rPr>
        <w:t xml:space="preserve"> </w:t>
      </w:r>
      <w:r w:rsidR="00E2260E" w:rsidRPr="004F7F40">
        <w:rPr>
          <w:rFonts w:ascii="Arial" w:hAnsi="Arial" w:cs="Arial"/>
          <w:bCs/>
          <w:szCs w:val="24"/>
        </w:rPr>
        <w:t>– and unchanged in terms of proportion of total staff (</w:t>
      </w:r>
      <w:proofErr w:type="spellStart"/>
      <w:r w:rsidR="00E2260E" w:rsidRPr="004F7F40">
        <w:rPr>
          <w:rFonts w:ascii="Arial" w:hAnsi="Arial" w:cs="Arial"/>
          <w:bCs/>
          <w:szCs w:val="24"/>
        </w:rPr>
        <w:t>Langoulant</w:t>
      </w:r>
      <w:proofErr w:type="spellEnd"/>
      <w:r w:rsidR="00E2260E" w:rsidRPr="004F7F40">
        <w:rPr>
          <w:rFonts w:ascii="Arial" w:hAnsi="Arial" w:cs="Arial"/>
          <w:bCs/>
          <w:szCs w:val="24"/>
        </w:rPr>
        <w:t xml:space="preserve"> et al., 2019, p. 97).</w:t>
      </w:r>
    </w:p>
    <w:p w14:paraId="4181424D" w14:textId="233620AB" w:rsidR="009C1EE1" w:rsidRPr="004F7F40" w:rsidRDefault="009C1EE1" w:rsidP="001C6899">
      <w:pPr>
        <w:spacing w:before="0" w:after="120"/>
        <w:rPr>
          <w:rFonts w:ascii="Arial" w:hAnsi="Arial" w:cs="Arial"/>
        </w:rPr>
      </w:pPr>
      <w:r w:rsidRPr="004F7F40">
        <w:rPr>
          <w:rFonts w:ascii="Arial" w:hAnsi="Arial" w:cs="Arial"/>
        </w:rPr>
        <w:t xml:space="preserve">By June 2019, the </w:t>
      </w:r>
      <w:r w:rsidR="00396753" w:rsidRPr="004F7F40">
        <w:rPr>
          <w:rFonts w:ascii="Arial" w:hAnsi="Arial" w:cs="Arial"/>
        </w:rPr>
        <w:t xml:space="preserve">number of Executive Contract Officers (administrative) </w:t>
      </w:r>
      <w:r w:rsidRPr="004F7F40">
        <w:rPr>
          <w:rFonts w:ascii="Arial" w:hAnsi="Arial" w:cs="Arial"/>
        </w:rPr>
        <w:t>was 495</w:t>
      </w:r>
      <w:r w:rsidR="00B20D6E" w:rsidRPr="004F7F40">
        <w:rPr>
          <w:rFonts w:ascii="Arial" w:hAnsi="Arial" w:cs="Arial"/>
        </w:rPr>
        <w:t>, 47% of whom were women</w:t>
      </w:r>
      <w:r w:rsidR="00396753" w:rsidRPr="004F7F40">
        <w:rPr>
          <w:rFonts w:ascii="Arial" w:hAnsi="Arial" w:cs="Arial"/>
        </w:rPr>
        <w:t xml:space="preserve"> (OCPE, 2019).</w:t>
      </w:r>
      <w:r w:rsidR="00181DF9" w:rsidRPr="004F7F40">
        <w:rPr>
          <w:rFonts w:ascii="Arial" w:hAnsi="Arial" w:cs="Arial"/>
        </w:rPr>
        <w:t xml:space="preserve"> </w:t>
      </w:r>
      <w:r w:rsidR="00B20D6E" w:rsidRPr="004F7F40">
        <w:rPr>
          <w:rFonts w:ascii="Arial" w:hAnsi="Arial" w:cs="Arial"/>
        </w:rPr>
        <w:t>As the table below shows, the largest numbers of ECOs are in the lowest ranks, with only 11 ECOs (only 2.2%) in the top salary bracket (ECO6).</w:t>
      </w:r>
    </w:p>
    <w:p w14:paraId="17284AF0" w14:textId="7D24AA87" w:rsidR="009C1EE1" w:rsidRPr="004F7F40" w:rsidRDefault="00396753" w:rsidP="00396753">
      <w:pPr>
        <w:spacing w:before="0" w:after="120"/>
        <w:ind w:left="720"/>
        <w:rPr>
          <w:rFonts w:ascii="Arial" w:hAnsi="Arial" w:cs="Arial"/>
          <w:b/>
          <w:i/>
          <w:iCs/>
          <w:szCs w:val="24"/>
        </w:rPr>
      </w:pPr>
      <w:r w:rsidRPr="004F7F40">
        <w:rPr>
          <w:rFonts w:ascii="Arial" w:hAnsi="Arial" w:cs="Arial"/>
          <w:b/>
          <w:i/>
          <w:iCs/>
          <w:szCs w:val="24"/>
        </w:rPr>
        <w:t xml:space="preserve">NTPS </w:t>
      </w:r>
      <w:r w:rsidR="009C1EE1" w:rsidRPr="004F7F40">
        <w:rPr>
          <w:rFonts w:ascii="Arial" w:hAnsi="Arial" w:cs="Arial"/>
          <w:b/>
          <w:i/>
          <w:iCs/>
          <w:szCs w:val="24"/>
        </w:rPr>
        <w:t xml:space="preserve">Executive </w:t>
      </w:r>
      <w:r w:rsidRPr="004F7F40">
        <w:rPr>
          <w:rFonts w:ascii="Arial" w:hAnsi="Arial" w:cs="Arial"/>
          <w:b/>
          <w:i/>
          <w:iCs/>
          <w:szCs w:val="24"/>
        </w:rPr>
        <w:t>C</w:t>
      </w:r>
      <w:r w:rsidR="009C1EE1" w:rsidRPr="004F7F40">
        <w:rPr>
          <w:rFonts w:ascii="Arial" w:hAnsi="Arial" w:cs="Arial"/>
          <w:b/>
          <w:i/>
          <w:iCs/>
          <w:szCs w:val="24"/>
        </w:rPr>
        <w:t xml:space="preserve">ontract </w:t>
      </w:r>
      <w:r w:rsidRPr="004F7F40">
        <w:rPr>
          <w:rFonts w:ascii="Arial" w:hAnsi="Arial" w:cs="Arial"/>
          <w:b/>
          <w:i/>
          <w:iCs/>
          <w:szCs w:val="24"/>
        </w:rPr>
        <w:t>O</w:t>
      </w:r>
      <w:r w:rsidR="009C1EE1" w:rsidRPr="004F7F40">
        <w:rPr>
          <w:rFonts w:ascii="Arial" w:hAnsi="Arial" w:cs="Arial"/>
          <w:b/>
          <w:i/>
          <w:iCs/>
          <w:szCs w:val="24"/>
        </w:rPr>
        <w:t>fficers by classification and gender – June 2019</w:t>
      </w:r>
    </w:p>
    <w:tbl>
      <w:tblPr>
        <w:tblStyle w:val="TableGrid"/>
        <w:tblW w:w="0" w:type="auto"/>
        <w:tblInd w:w="1327" w:type="dxa"/>
        <w:tblLook w:val="04A0" w:firstRow="1" w:lastRow="0" w:firstColumn="1" w:lastColumn="0" w:noHBand="0" w:noVBand="1"/>
      </w:tblPr>
      <w:tblGrid>
        <w:gridCol w:w="2038"/>
        <w:gridCol w:w="1218"/>
        <w:gridCol w:w="1275"/>
        <w:gridCol w:w="1276"/>
        <w:gridCol w:w="1276"/>
      </w:tblGrid>
      <w:tr w:rsidR="00B20D6E" w:rsidRPr="004F7F40" w14:paraId="32B4FDB7" w14:textId="77777777" w:rsidTr="00396753">
        <w:tc>
          <w:tcPr>
            <w:tcW w:w="2038" w:type="dxa"/>
          </w:tcPr>
          <w:p w14:paraId="328F1AE9" w14:textId="1041FB00" w:rsidR="009C1EE1" w:rsidRPr="004F7F40" w:rsidRDefault="009C1EE1" w:rsidP="00595E0C">
            <w:pPr>
              <w:spacing w:before="0" w:after="120"/>
              <w:rPr>
                <w:rFonts w:ascii="Arial" w:hAnsi="Arial" w:cs="Arial"/>
                <w:b/>
                <w:bCs/>
              </w:rPr>
            </w:pPr>
            <w:r w:rsidRPr="004F7F40">
              <w:rPr>
                <w:rFonts w:ascii="Arial" w:hAnsi="Arial" w:cs="Arial"/>
                <w:b/>
                <w:bCs/>
              </w:rPr>
              <w:t>Classification</w:t>
            </w:r>
          </w:p>
        </w:tc>
        <w:tc>
          <w:tcPr>
            <w:tcW w:w="1218" w:type="dxa"/>
          </w:tcPr>
          <w:p w14:paraId="37081A03" w14:textId="3CACF648" w:rsidR="009C1EE1" w:rsidRPr="004F7F40" w:rsidRDefault="009C1EE1" w:rsidP="00595E0C">
            <w:pPr>
              <w:spacing w:before="0" w:after="120"/>
              <w:rPr>
                <w:rFonts w:ascii="Arial" w:hAnsi="Arial" w:cs="Arial"/>
                <w:b/>
                <w:bCs/>
              </w:rPr>
            </w:pPr>
            <w:r w:rsidRPr="004F7F40">
              <w:rPr>
                <w:rFonts w:ascii="Arial" w:hAnsi="Arial" w:cs="Arial"/>
                <w:b/>
                <w:bCs/>
              </w:rPr>
              <w:t>Women</w:t>
            </w:r>
          </w:p>
        </w:tc>
        <w:tc>
          <w:tcPr>
            <w:tcW w:w="1275" w:type="dxa"/>
          </w:tcPr>
          <w:p w14:paraId="4CDAB5DD" w14:textId="5F7DC777" w:rsidR="009C1EE1" w:rsidRPr="004F7F40" w:rsidRDefault="009C1EE1" w:rsidP="00595E0C">
            <w:pPr>
              <w:spacing w:before="0" w:after="120"/>
              <w:rPr>
                <w:rFonts w:ascii="Arial" w:hAnsi="Arial" w:cs="Arial"/>
                <w:b/>
                <w:bCs/>
              </w:rPr>
            </w:pPr>
            <w:r w:rsidRPr="004F7F40">
              <w:rPr>
                <w:rFonts w:ascii="Arial" w:hAnsi="Arial" w:cs="Arial"/>
                <w:b/>
                <w:bCs/>
              </w:rPr>
              <w:t>Men</w:t>
            </w:r>
          </w:p>
        </w:tc>
        <w:tc>
          <w:tcPr>
            <w:tcW w:w="1276" w:type="dxa"/>
          </w:tcPr>
          <w:p w14:paraId="7D7FB1C7" w14:textId="0EFCE373" w:rsidR="009C1EE1" w:rsidRPr="004F7F40" w:rsidRDefault="009C1EE1" w:rsidP="00595E0C">
            <w:pPr>
              <w:spacing w:before="0" w:after="120"/>
              <w:rPr>
                <w:rFonts w:ascii="Arial" w:hAnsi="Arial" w:cs="Arial"/>
                <w:b/>
                <w:bCs/>
              </w:rPr>
            </w:pPr>
            <w:r w:rsidRPr="004F7F40">
              <w:rPr>
                <w:rFonts w:ascii="Arial" w:hAnsi="Arial" w:cs="Arial"/>
                <w:b/>
                <w:bCs/>
              </w:rPr>
              <w:t>Total</w:t>
            </w:r>
          </w:p>
        </w:tc>
        <w:tc>
          <w:tcPr>
            <w:tcW w:w="1276" w:type="dxa"/>
          </w:tcPr>
          <w:p w14:paraId="26D41EF9" w14:textId="6EA8FA64" w:rsidR="009C1EE1" w:rsidRPr="004F7F40" w:rsidRDefault="009C1EE1" w:rsidP="00595E0C">
            <w:pPr>
              <w:spacing w:before="0" w:after="120"/>
              <w:rPr>
                <w:rFonts w:ascii="Arial" w:hAnsi="Arial" w:cs="Arial"/>
                <w:b/>
                <w:bCs/>
              </w:rPr>
            </w:pPr>
            <w:r w:rsidRPr="004F7F40">
              <w:rPr>
                <w:rFonts w:ascii="Arial" w:hAnsi="Arial" w:cs="Arial"/>
                <w:b/>
                <w:bCs/>
              </w:rPr>
              <w:t xml:space="preserve">% </w:t>
            </w:r>
            <w:proofErr w:type="gramStart"/>
            <w:r w:rsidRPr="004F7F40">
              <w:rPr>
                <w:rFonts w:ascii="Arial" w:hAnsi="Arial" w:cs="Arial"/>
                <w:b/>
                <w:bCs/>
              </w:rPr>
              <w:t>female</w:t>
            </w:r>
            <w:proofErr w:type="gramEnd"/>
          </w:p>
        </w:tc>
      </w:tr>
      <w:tr w:rsidR="00B20D6E" w:rsidRPr="004F7F40" w14:paraId="0821395E" w14:textId="77777777" w:rsidTr="00396753">
        <w:tc>
          <w:tcPr>
            <w:tcW w:w="2038" w:type="dxa"/>
          </w:tcPr>
          <w:p w14:paraId="6476255A" w14:textId="4850D6C3" w:rsidR="009C1EE1" w:rsidRPr="004F7F40" w:rsidRDefault="009C1EE1" w:rsidP="00595E0C">
            <w:pPr>
              <w:spacing w:before="0" w:after="120"/>
              <w:rPr>
                <w:rFonts w:ascii="Arial" w:hAnsi="Arial" w:cs="Arial"/>
                <w:b/>
                <w:bCs/>
                <w:sz w:val="22"/>
              </w:rPr>
            </w:pPr>
            <w:r w:rsidRPr="004F7F40">
              <w:rPr>
                <w:rFonts w:ascii="Arial" w:hAnsi="Arial" w:cs="Arial"/>
                <w:b/>
                <w:bCs/>
                <w:sz w:val="22"/>
              </w:rPr>
              <w:t>Executive Officer 1</w:t>
            </w:r>
          </w:p>
        </w:tc>
        <w:tc>
          <w:tcPr>
            <w:tcW w:w="1218" w:type="dxa"/>
          </w:tcPr>
          <w:p w14:paraId="2383DFAA" w14:textId="7EA643B5" w:rsidR="009C1EE1" w:rsidRPr="004F7F40" w:rsidRDefault="009C1EE1" w:rsidP="00B20D6E">
            <w:pPr>
              <w:spacing w:before="0" w:after="120"/>
              <w:jc w:val="right"/>
              <w:rPr>
                <w:rFonts w:ascii="Arial" w:hAnsi="Arial" w:cs="Arial"/>
              </w:rPr>
            </w:pPr>
            <w:r w:rsidRPr="004F7F40">
              <w:rPr>
                <w:rFonts w:ascii="Arial" w:hAnsi="Arial" w:cs="Arial"/>
              </w:rPr>
              <w:t>124</w:t>
            </w:r>
          </w:p>
        </w:tc>
        <w:tc>
          <w:tcPr>
            <w:tcW w:w="1275" w:type="dxa"/>
          </w:tcPr>
          <w:p w14:paraId="15283ACD" w14:textId="5F44A384" w:rsidR="009C1EE1" w:rsidRPr="004F7F40" w:rsidRDefault="009C1EE1" w:rsidP="00B20D6E">
            <w:pPr>
              <w:spacing w:before="0" w:after="120"/>
              <w:jc w:val="right"/>
              <w:rPr>
                <w:rFonts w:ascii="Arial" w:hAnsi="Arial" w:cs="Arial"/>
              </w:rPr>
            </w:pPr>
            <w:r w:rsidRPr="004F7F40">
              <w:rPr>
                <w:rFonts w:ascii="Arial" w:hAnsi="Arial" w:cs="Arial"/>
              </w:rPr>
              <w:t>125</w:t>
            </w:r>
          </w:p>
        </w:tc>
        <w:tc>
          <w:tcPr>
            <w:tcW w:w="1276" w:type="dxa"/>
          </w:tcPr>
          <w:p w14:paraId="43648D3C" w14:textId="36445C40" w:rsidR="009C1EE1" w:rsidRPr="004F7F40" w:rsidRDefault="009C1EE1" w:rsidP="009C1EE1">
            <w:pPr>
              <w:spacing w:before="0" w:after="120"/>
              <w:jc w:val="right"/>
              <w:rPr>
                <w:rFonts w:ascii="Arial" w:hAnsi="Arial" w:cs="Arial"/>
                <w:b/>
                <w:bCs/>
              </w:rPr>
            </w:pPr>
            <w:r w:rsidRPr="004F7F40">
              <w:rPr>
                <w:rFonts w:ascii="Arial" w:hAnsi="Arial" w:cs="Arial"/>
                <w:b/>
                <w:bCs/>
              </w:rPr>
              <w:t>249</w:t>
            </w:r>
          </w:p>
        </w:tc>
        <w:tc>
          <w:tcPr>
            <w:tcW w:w="1276" w:type="dxa"/>
          </w:tcPr>
          <w:p w14:paraId="038B0A92" w14:textId="664CBA1E" w:rsidR="009C1EE1" w:rsidRPr="004F7F40" w:rsidRDefault="009C1EE1" w:rsidP="009C1EE1">
            <w:pPr>
              <w:spacing w:before="0" w:after="120"/>
              <w:ind w:left="720"/>
              <w:jc w:val="right"/>
              <w:rPr>
                <w:rFonts w:ascii="Arial" w:hAnsi="Arial" w:cs="Arial"/>
              </w:rPr>
            </w:pPr>
            <w:r w:rsidRPr="004F7F40">
              <w:rPr>
                <w:rFonts w:ascii="Arial" w:hAnsi="Arial" w:cs="Arial"/>
              </w:rPr>
              <w:t>50</w:t>
            </w:r>
          </w:p>
        </w:tc>
      </w:tr>
      <w:tr w:rsidR="00B20D6E" w:rsidRPr="004F7F40" w14:paraId="3E517135" w14:textId="77777777" w:rsidTr="00396753">
        <w:tc>
          <w:tcPr>
            <w:tcW w:w="2038" w:type="dxa"/>
          </w:tcPr>
          <w:p w14:paraId="7DA272B5" w14:textId="0B0067CD" w:rsidR="009C1EE1" w:rsidRPr="004F7F40" w:rsidRDefault="009C1EE1" w:rsidP="00595E0C">
            <w:pPr>
              <w:spacing w:before="0" w:after="120"/>
              <w:rPr>
                <w:rFonts w:ascii="Arial" w:hAnsi="Arial" w:cs="Arial"/>
                <w:b/>
                <w:bCs/>
              </w:rPr>
            </w:pPr>
            <w:r w:rsidRPr="004F7F40">
              <w:rPr>
                <w:rFonts w:ascii="Arial" w:hAnsi="Arial" w:cs="Arial"/>
                <w:b/>
                <w:bCs/>
                <w:sz w:val="22"/>
              </w:rPr>
              <w:t>Executive Officer 2</w:t>
            </w:r>
          </w:p>
        </w:tc>
        <w:tc>
          <w:tcPr>
            <w:tcW w:w="1218" w:type="dxa"/>
          </w:tcPr>
          <w:p w14:paraId="5C17865C" w14:textId="2193F076" w:rsidR="009C1EE1" w:rsidRPr="004F7F40" w:rsidRDefault="009C1EE1" w:rsidP="00B20D6E">
            <w:pPr>
              <w:spacing w:before="0" w:after="120"/>
              <w:jc w:val="right"/>
              <w:rPr>
                <w:rFonts w:ascii="Arial" w:hAnsi="Arial" w:cs="Arial"/>
              </w:rPr>
            </w:pPr>
            <w:r w:rsidRPr="004F7F40">
              <w:rPr>
                <w:rFonts w:ascii="Arial" w:hAnsi="Arial" w:cs="Arial"/>
              </w:rPr>
              <w:t>72</w:t>
            </w:r>
          </w:p>
        </w:tc>
        <w:tc>
          <w:tcPr>
            <w:tcW w:w="1275" w:type="dxa"/>
          </w:tcPr>
          <w:p w14:paraId="0D8A53F6" w14:textId="640436F8" w:rsidR="009C1EE1" w:rsidRPr="004F7F40" w:rsidRDefault="009C1EE1" w:rsidP="00B20D6E">
            <w:pPr>
              <w:spacing w:before="0" w:after="120"/>
              <w:jc w:val="right"/>
              <w:rPr>
                <w:rFonts w:ascii="Arial" w:hAnsi="Arial" w:cs="Arial"/>
              </w:rPr>
            </w:pPr>
            <w:r w:rsidRPr="004F7F40">
              <w:rPr>
                <w:rFonts w:ascii="Arial" w:hAnsi="Arial" w:cs="Arial"/>
              </w:rPr>
              <w:t>87</w:t>
            </w:r>
          </w:p>
        </w:tc>
        <w:tc>
          <w:tcPr>
            <w:tcW w:w="1276" w:type="dxa"/>
          </w:tcPr>
          <w:p w14:paraId="0EC3C45C" w14:textId="53B09C0C" w:rsidR="009C1EE1" w:rsidRPr="004F7F40" w:rsidRDefault="00396753" w:rsidP="009C1EE1">
            <w:pPr>
              <w:spacing w:before="0" w:after="120"/>
              <w:jc w:val="right"/>
              <w:rPr>
                <w:rFonts w:ascii="Arial" w:hAnsi="Arial" w:cs="Arial"/>
                <w:b/>
                <w:bCs/>
              </w:rPr>
            </w:pPr>
            <w:r w:rsidRPr="004F7F40">
              <w:rPr>
                <w:rFonts w:ascii="Arial" w:hAnsi="Arial" w:cs="Arial"/>
                <w:b/>
                <w:bCs/>
              </w:rPr>
              <w:t>159</w:t>
            </w:r>
          </w:p>
        </w:tc>
        <w:tc>
          <w:tcPr>
            <w:tcW w:w="1276" w:type="dxa"/>
          </w:tcPr>
          <w:p w14:paraId="0750B58C" w14:textId="7622D80D" w:rsidR="009C1EE1" w:rsidRPr="004F7F40" w:rsidRDefault="00396753" w:rsidP="00396753">
            <w:pPr>
              <w:spacing w:before="0" w:after="120"/>
              <w:jc w:val="right"/>
              <w:rPr>
                <w:rFonts w:ascii="Arial" w:hAnsi="Arial" w:cs="Arial"/>
              </w:rPr>
            </w:pPr>
            <w:r w:rsidRPr="004F7F40">
              <w:rPr>
                <w:rFonts w:ascii="Arial" w:hAnsi="Arial" w:cs="Arial"/>
              </w:rPr>
              <w:t>45</w:t>
            </w:r>
          </w:p>
        </w:tc>
      </w:tr>
      <w:tr w:rsidR="00B20D6E" w:rsidRPr="004F7F40" w14:paraId="50F18B81" w14:textId="77777777" w:rsidTr="00396753">
        <w:tc>
          <w:tcPr>
            <w:tcW w:w="2038" w:type="dxa"/>
          </w:tcPr>
          <w:p w14:paraId="5570E4AE" w14:textId="31EC0445" w:rsidR="009C1EE1" w:rsidRPr="004F7F40" w:rsidRDefault="009C1EE1" w:rsidP="00595E0C">
            <w:pPr>
              <w:spacing w:before="0" w:after="120"/>
              <w:rPr>
                <w:rFonts w:ascii="Arial" w:hAnsi="Arial" w:cs="Arial"/>
                <w:b/>
                <w:bCs/>
              </w:rPr>
            </w:pPr>
            <w:r w:rsidRPr="004F7F40">
              <w:rPr>
                <w:rFonts w:ascii="Arial" w:hAnsi="Arial" w:cs="Arial"/>
                <w:b/>
                <w:bCs/>
                <w:sz w:val="22"/>
              </w:rPr>
              <w:t>Executive Officer 3</w:t>
            </w:r>
          </w:p>
        </w:tc>
        <w:tc>
          <w:tcPr>
            <w:tcW w:w="1218" w:type="dxa"/>
          </w:tcPr>
          <w:p w14:paraId="6701CCA9" w14:textId="21A4767D" w:rsidR="009C1EE1" w:rsidRPr="004F7F40" w:rsidRDefault="009C1EE1" w:rsidP="00B20D6E">
            <w:pPr>
              <w:spacing w:before="0" w:after="120"/>
              <w:jc w:val="right"/>
              <w:rPr>
                <w:rFonts w:ascii="Arial" w:hAnsi="Arial" w:cs="Arial"/>
              </w:rPr>
            </w:pPr>
            <w:r w:rsidRPr="004F7F40">
              <w:rPr>
                <w:rFonts w:ascii="Arial" w:hAnsi="Arial" w:cs="Arial"/>
              </w:rPr>
              <w:t>15</w:t>
            </w:r>
          </w:p>
        </w:tc>
        <w:tc>
          <w:tcPr>
            <w:tcW w:w="1275" w:type="dxa"/>
          </w:tcPr>
          <w:p w14:paraId="4B156D59" w14:textId="57924D21" w:rsidR="009C1EE1" w:rsidRPr="004F7F40" w:rsidRDefault="009C1EE1" w:rsidP="00B20D6E">
            <w:pPr>
              <w:spacing w:before="0" w:after="120"/>
              <w:jc w:val="right"/>
              <w:rPr>
                <w:rFonts w:ascii="Arial" w:hAnsi="Arial" w:cs="Arial"/>
              </w:rPr>
            </w:pPr>
            <w:r w:rsidRPr="004F7F40">
              <w:rPr>
                <w:rFonts w:ascii="Arial" w:hAnsi="Arial" w:cs="Arial"/>
              </w:rPr>
              <w:t>25</w:t>
            </w:r>
          </w:p>
        </w:tc>
        <w:tc>
          <w:tcPr>
            <w:tcW w:w="1276" w:type="dxa"/>
          </w:tcPr>
          <w:p w14:paraId="1010D623" w14:textId="0FBE92A0" w:rsidR="009C1EE1" w:rsidRPr="004F7F40" w:rsidRDefault="009C1EE1" w:rsidP="009C1EE1">
            <w:pPr>
              <w:spacing w:before="0" w:after="120"/>
              <w:jc w:val="right"/>
              <w:rPr>
                <w:rFonts w:ascii="Arial" w:hAnsi="Arial" w:cs="Arial"/>
                <w:b/>
                <w:bCs/>
              </w:rPr>
            </w:pPr>
            <w:r w:rsidRPr="004F7F40">
              <w:rPr>
                <w:rFonts w:ascii="Arial" w:hAnsi="Arial" w:cs="Arial"/>
                <w:b/>
                <w:bCs/>
              </w:rPr>
              <w:t>40</w:t>
            </w:r>
          </w:p>
        </w:tc>
        <w:tc>
          <w:tcPr>
            <w:tcW w:w="1276" w:type="dxa"/>
          </w:tcPr>
          <w:p w14:paraId="70F3B848" w14:textId="7EE604C0" w:rsidR="009C1EE1" w:rsidRPr="004F7F40" w:rsidRDefault="00396753" w:rsidP="00396753">
            <w:pPr>
              <w:spacing w:before="0" w:after="120"/>
              <w:jc w:val="right"/>
              <w:rPr>
                <w:rFonts w:ascii="Arial" w:hAnsi="Arial" w:cs="Arial"/>
              </w:rPr>
            </w:pPr>
            <w:r w:rsidRPr="004F7F40">
              <w:rPr>
                <w:rFonts w:ascii="Arial" w:hAnsi="Arial" w:cs="Arial"/>
              </w:rPr>
              <w:t>37.5</w:t>
            </w:r>
          </w:p>
        </w:tc>
      </w:tr>
      <w:tr w:rsidR="00B20D6E" w:rsidRPr="004F7F40" w14:paraId="7E3639EE" w14:textId="77777777" w:rsidTr="00396753">
        <w:tc>
          <w:tcPr>
            <w:tcW w:w="2038" w:type="dxa"/>
          </w:tcPr>
          <w:p w14:paraId="5D81BCB0" w14:textId="4D408515" w:rsidR="009C1EE1" w:rsidRPr="004F7F40" w:rsidRDefault="009C1EE1" w:rsidP="00595E0C">
            <w:pPr>
              <w:spacing w:before="0" w:after="120"/>
              <w:rPr>
                <w:rFonts w:ascii="Arial" w:hAnsi="Arial" w:cs="Arial"/>
                <w:b/>
                <w:bCs/>
              </w:rPr>
            </w:pPr>
            <w:r w:rsidRPr="004F7F40">
              <w:rPr>
                <w:rFonts w:ascii="Arial" w:hAnsi="Arial" w:cs="Arial"/>
                <w:b/>
                <w:bCs/>
                <w:sz w:val="22"/>
              </w:rPr>
              <w:t>Executive Officer 4</w:t>
            </w:r>
          </w:p>
        </w:tc>
        <w:tc>
          <w:tcPr>
            <w:tcW w:w="1218" w:type="dxa"/>
          </w:tcPr>
          <w:p w14:paraId="55308A32" w14:textId="03FD9AA9" w:rsidR="009C1EE1" w:rsidRPr="004F7F40" w:rsidRDefault="009C1EE1" w:rsidP="00B20D6E">
            <w:pPr>
              <w:spacing w:before="0" w:after="120"/>
              <w:jc w:val="right"/>
              <w:rPr>
                <w:rFonts w:ascii="Arial" w:hAnsi="Arial" w:cs="Arial"/>
              </w:rPr>
            </w:pPr>
            <w:r w:rsidRPr="004F7F40">
              <w:rPr>
                <w:rFonts w:ascii="Arial" w:hAnsi="Arial" w:cs="Arial"/>
              </w:rPr>
              <w:t>11</w:t>
            </w:r>
          </w:p>
        </w:tc>
        <w:tc>
          <w:tcPr>
            <w:tcW w:w="1275" w:type="dxa"/>
          </w:tcPr>
          <w:p w14:paraId="42328D56" w14:textId="50B59A0F" w:rsidR="009C1EE1" w:rsidRPr="004F7F40" w:rsidRDefault="009C1EE1" w:rsidP="00B20D6E">
            <w:pPr>
              <w:spacing w:before="0" w:after="120"/>
              <w:jc w:val="right"/>
              <w:rPr>
                <w:rFonts w:ascii="Arial" w:hAnsi="Arial" w:cs="Arial"/>
              </w:rPr>
            </w:pPr>
            <w:r w:rsidRPr="004F7F40">
              <w:rPr>
                <w:rFonts w:ascii="Arial" w:hAnsi="Arial" w:cs="Arial"/>
              </w:rPr>
              <w:t>13</w:t>
            </w:r>
          </w:p>
        </w:tc>
        <w:tc>
          <w:tcPr>
            <w:tcW w:w="1276" w:type="dxa"/>
          </w:tcPr>
          <w:p w14:paraId="2864E8AC" w14:textId="4D14AB69" w:rsidR="009C1EE1" w:rsidRPr="004F7F40" w:rsidRDefault="009C1EE1" w:rsidP="009C1EE1">
            <w:pPr>
              <w:spacing w:before="0" w:after="120"/>
              <w:jc w:val="right"/>
              <w:rPr>
                <w:rFonts w:ascii="Arial" w:hAnsi="Arial" w:cs="Arial"/>
                <w:b/>
                <w:bCs/>
              </w:rPr>
            </w:pPr>
            <w:r w:rsidRPr="004F7F40">
              <w:rPr>
                <w:rFonts w:ascii="Arial" w:hAnsi="Arial" w:cs="Arial"/>
                <w:b/>
                <w:bCs/>
              </w:rPr>
              <w:t>24</w:t>
            </w:r>
          </w:p>
        </w:tc>
        <w:tc>
          <w:tcPr>
            <w:tcW w:w="1276" w:type="dxa"/>
          </w:tcPr>
          <w:p w14:paraId="423ECC73" w14:textId="1CCFCFE4" w:rsidR="009C1EE1" w:rsidRPr="004F7F40" w:rsidRDefault="00396753" w:rsidP="00396753">
            <w:pPr>
              <w:spacing w:before="0" w:after="120"/>
              <w:jc w:val="right"/>
              <w:rPr>
                <w:rFonts w:ascii="Arial" w:hAnsi="Arial" w:cs="Arial"/>
              </w:rPr>
            </w:pPr>
            <w:r w:rsidRPr="004F7F40">
              <w:rPr>
                <w:rFonts w:ascii="Arial" w:hAnsi="Arial" w:cs="Arial"/>
              </w:rPr>
              <w:t>46</w:t>
            </w:r>
          </w:p>
        </w:tc>
      </w:tr>
      <w:tr w:rsidR="00B20D6E" w:rsidRPr="004F7F40" w14:paraId="5A5886E8" w14:textId="77777777" w:rsidTr="00396753">
        <w:tc>
          <w:tcPr>
            <w:tcW w:w="2038" w:type="dxa"/>
          </w:tcPr>
          <w:p w14:paraId="5328DD69" w14:textId="00F66A41" w:rsidR="009C1EE1" w:rsidRPr="004F7F40" w:rsidRDefault="009C1EE1" w:rsidP="00595E0C">
            <w:pPr>
              <w:spacing w:before="0" w:after="120"/>
              <w:rPr>
                <w:rFonts w:ascii="Arial" w:hAnsi="Arial" w:cs="Arial"/>
                <w:b/>
                <w:bCs/>
                <w:sz w:val="22"/>
              </w:rPr>
            </w:pPr>
            <w:r w:rsidRPr="004F7F40">
              <w:rPr>
                <w:rFonts w:ascii="Arial" w:hAnsi="Arial" w:cs="Arial"/>
                <w:b/>
                <w:bCs/>
                <w:sz w:val="22"/>
              </w:rPr>
              <w:t>Executive Officer 5</w:t>
            </w:r>
          </w:p>
        </w:tc>
        <w:tc>
          <w:tcPr>
            <w:tcW w:w="1218" w:type="dxa"/>
          </w:tcPr>
          <w:p w14:paraId="61C2F7A2" w14:textId="3322F533" w:rsidR="009C1EE1" w:rsidRPr="004F7F40" w:rsidRDefault="009C1EE1" w:rsidP="00B20D6E">
            <w:pPr>
              <w:spacing w:before="0" w:after="120"/>
              <w:jc w:val="right"/>
              <w:rPr>
                <w:rFonts w:ascii="Arial" w:hAnsi="Arial" w:cs="Arial"/>
              </w:rPr>
            </w:pPr>
            <w:r w:rsidRPr="004F7F40">
              <w:rPr>
                <w:rFonts w:ascii="Arial" w:hAnsi="Arial" w:cs="Arial"/>
              </w:rPr>
              <w:t>6</w:t>
            </w:r>
          </w:p>
        </w:tc>
        <w:tc>
          <w:tcPr>
            <w:tcW w:w="1275" w:type="dxa"/>
          </w:tcPr>
          <w:p w14:paraId="0FA2F0AC" w14:textId="61E42237" w:rsidR="009C1EE1" w:rsidRPr="004F7F40" w:rsidRDefault="009C1EE1" w:rsidP="00B20D6E">
            <w:pPr>
              <w:spacing w:before="0" w:after="120"/>
              <w:jc w:val="right"/>
              <w:rPr>
                <w:rFonts w:ascii="Arial" w:hAnsi="Arial" w:cs="Arial"/>
              </w:rPr>
            </w:pPr>
            <w:r w:rsidRPr="004F7F40">
              <w:rPr>
                <w:rFonts w:ascii="Arial" w:hAnsi="Arial" w:cs="Arial"/>
              </w:rPr>
              <w:t>6</w:t>
            </w:r>
          </w:p>
        </w:tc>
        <w:tc>
          <w:tcPr>
            <w:tcW w:w="1276" w:type="dxa"/>
          </w:tcPr>
          <w:p w14:paraId="78F7C2C2" w14:textId="6C26AE07" w:rsidR="009C1EE1" w:rsidRPr="004F7F40" w:rsidRDefault="009C1EE1" w:rsidP="009C1EE1">
            <w:pPr>
              <w:spacing w:before="0" w:after="120"/>
              <w:jc w:val="right"/>
              <w:rPr>
                <w:rFonts w:ascii="Arial" w:hAnsi="Arial" w:cs="Arial"/>
                <w:b/>
                <w:bCs/>
              </w:rPr>
            </w:pPr>
            <w:r w:rsidRPr="004F7F40">
              <w:rPr>
                <w:rFonts w:ascii="Arial" w:hAnsi="Arial" w:cs="Arial"/>
                <w:b/>
                <w:bCs/>
              </w:rPr>
              <w:t>12</w:t>
            </w:r>
          </w:p>
        </w:tc>
        <w:tc>
          <w:tcPr>
            <w:tcW w:w="1276" w:type="dxa"/>
          </w:tcPr>
          <w:p w14:paraId="53F7893B" w14:textId="6BB69304" w:rsidR="009C1EE1" w:rsidRPr="004F7F40" w:rsidRDefault="00396753" w:rsidP="00396753">
            <w:pPr>
              <w:spacing w:before="0" w:after="120"/>
              <w:jc w:val="right"/>
              <w:rPr>
                <w:rFonts w:ascii="Arial" w:hAnsi="Arial" w:cs="Arial"/>
              </w:rPr>
            </w:pPr>
            <w:r w:rsidRPr="004F7F40">
              <w:rPr>
                <w:rFonts w:ascii="Arial" w:hAnsi="Arial" w:cs="Arial"/>
              </w:rPr>
              <w:t>50</w:t>
            </w:r>
          </w:p>
        </w:tc>
      </w:tr>
      <w:tr w:rsidR="00B20D6E" w:rsidRPr="004F7F40" w14:paraId="429EA912" w14:textId="77777777" w:rsidTr="00396753">
        <w:tc>
          <w:tcPr>
            <w:tcW w:w="2038" w:type="dxa"/>
          </w:tcPr>
          <w:p w14:paraId="54EC175F" w14:textId="4E8F0FB4" w:rsidR="009C1EE1" w:rsidRPr="004F7F40" w:rsidRDefault="009C1EE1" w:rsidP="00595E0C">
            <w:pPr>
              <w:spacing w:before="0" w:after="120"/>
              <w:rPr>
                <w:rFonts w:ascii="Arial" w:hAnsi="Arial" w:cs="Arial"/>
                <w:b/>
                <w:bCs/>
                <w:sz w:val="22"/>
              </w:rPr>
            </w:pPr>
            <w:r w:rsidRPr="004F7F40">
              <w:rPr>
                <w:rFonts w:ascii="Arial" w:hAnsi="Arial" w:cs="Arial"/>
                <w:b/>
                <w:bCs/>
                <w:sz w:val="22"/>
              </w:rPr>
              <w:t>Executive Officer 6</w:t>
            </w:r>
          </w:p>
        </w:tc>
        <w:tc>
          <w:tcPr>
            <w:tcW w:w="1218" w:type="dxa"/>
          </w:tcPr>
          <w:p w14:paraId="00497015" w14:textId="5F257B05" w:rsidR="009C1EE1" w:rsidRPr="004F7F40" w:rsidRDefault="009C1EE1" w:rsidP="00B20D6E">
            <w:pPr>
              <w:spacing w:before="0" w:after="120"/>
              <w:jc w:val="right"/>
              <w:rPr>
                <w:rFonts w:ascii="Arial" w:hAnsi="Arial" w:cs="Arial"/>
              </w:rPr>
            </w:pPr>
            <w:r w:rsidRPr="004F7F40">
              <w:rPr>
                <w:rFonts w:ascii="Arial" w:hAnsi="Arial" w:cs="Arial"/>
              </w:rPr>
              <w:t>4</w:t>
            </w:r>
          </w:p>
        </w:tc>
        <w:tc>
          <w:tcPr>
            <w:tcW w:w="1275" w:type="dxa"/>
          </w:tcPr>
          <w:p w14:paraId="1C5D7D91" w14:textId="08017FFC" w:rsidR="009C1EE1" w:rsidRPr="004F7F40" w:rsidRDefault="009C1EE1" w:rsidP="00B20D6E">
            <w:pPr>
              <w:spacing w:before="0" w:after="120"/>
              <w:jc w:val="right"/>
              <w:rPr>
                <w:rFonts w:ascii="Arial" w:hAnsi="Arial" w:cs="Arial"/>
              </w:rPr>
            </w:pPr>
            <w:r w:rsidRPr="004F7F40">
              <w:rPr>
                <w:rFonts w:ascii="Arial" w:hAnsi="Arial" w:cs="Arial"/>
              </w:rPr>
              <w:t>7</w:t>
            </w:r>
          </w:p>
        </w:tc>
        <w:tc>
          <w:tcPr>
            <w:tcW w:w="1276" w:type="dxa"/>
          </w:tcPr>
          <w:p w14:paraId="49A6F666" w14:textId="44E49A7E" w:rsidR="009C1EE1" w:rsidRPr="004F7F40" w:rsidRDefault="009C1EE1" w:rsidP="009C1EE1">
            <w:pPr>
              <w:spacing w:before="0" w:after="120"/>
              <w:jc w:val="right"/>
              <w:rPr>
                <w:rFonts w:ascii="Arial" w:hAnsi="Arial" w:cs="Arial"/>
                <w:b/>
                <w:bCs/>
              </w:rPr>
            </w:pPr>
            <w:r w:rsidRPr="004F7F40">
              <w:rPr>
                <w:rFonts w:ascii="Arial" w:hAnsi="Arial" w:cs="Arial"/>
                <w:b/>
                <w:bCs/>
              </w:rPr>
              <w:t>11</w:t>
            </w:r>
          </w:p>
        </w:tc>
        <w:tc>
          <w:tcPr>
            <w:tcW w:w="1276" w:type="dxa"/>
          </w:tcPr>
          <w:p w14:paraId="25477D4D" w14:textId="79C4ABC8" w:rsidR="009C1EE1" w:rsidRPr="004F7F40" w:rsidRDefault="00396753" w:rsidP="00396753">
            <w:pPr>
              <w:spacing w:before="0" w:after="120"/>
              <w:jc w:val="right"/>
              <w:rPr>
                <w:rFonts w:ascii="Arial" w:hAnsi="Arial" w:cs="Arial"/>
              </w:rPr>
            </w:pPr>
            <w:r w:rsidRPr="004F7F40">
              <w:rPr>
                <w:rFonts w:ascii="Arial" w:hAnsi="Arial" w:cs="Arial"/>
              </w:rPr>
              <w:t>36</w:t>
            </w:r>
          </w:p>
        </w:tc>
      </w:tr>
      <w:tr w:rsidR="00B20D6E" w:rsidRPr="004F7F40" w14:paraId="17D3D36E" w14:textId="77777777" w:rsidTr="00396753">
        <w:tc>
          <w:tcPr>
            <w:tcW w:w="2038" w:type="dxa"/>
          </w:tcPr>
          <w:p w14:paraId="1F1B4F78" w14:textId="4CA60415" w:rsidR="009C1EE1" w:rsidRPr="004F7F40" w:rsidRDefault="009C1EE1" w:rsidP="00595E0C">
            <w:pPr>
              <w:spacing w:before="0" w:after="120"/>
              <w:rPr>
                <w:rFonts w:ascii="Arial" w:hAnsi="Arial" w:cs="Arial"/>
                <w:b/>
                <w:bCs/>
                <w:sz w:val="22"/>
              </w:rPr>
            </w:pPr>
            <w:r w:rsidRPr="004F7F40">
              <w:rPr>
                <w:rFonts w:ascii="Arial" w:hAnsi="Arial" w:cs="Arial"/>
                <w:b/>
                <w:bCs/>
                <w:sz w:val="22"/>
              </w:rPr>
              <w:t>Total</w:t>
            </w:r>
          </w:p>
        </w:tc>
        <w:tc>
          <w:tcPr>
            <w:tcW w:w="1218" w:type="dxa"/>
          </w:tcPr>
          <w:p w14:paraId="75C47493" w14:textId="2B1C4BB0" w:rsidR="009C1EE1" w:rsidRPr="004F7F40" w:rsidRDefault="009C1EE1" w:rsidP="00B20D6E">
            <w:pPr>
              <w:spacing w:before="0" w:after="120"/>
              <w:jc w:val="right"/>
              <w:rPr>
                <w:rFonts w:ascii="Arial" w:hAnsi="Arial" w:cs="Arial"/>
                <w:b/>
                <w:bCs/>
              </w:rPr>
            </w:pPr>
            <w:r w:rsidRPr="004F7F40">
              <w:rPr>
                <w:rFonts w:ascii="Arial" w:hAnsi="Arial" w:cs="Arial"/>
                <w:b/>
                <w:bCs/>
              </w:rPr>
              <w:t>232</w:t>
            </w:r>
          </w:p>
        </w:tc>
        <w:tc>
          <w:tcPr>
            <w:tcW w:w="1275" w:type="dxa"/>
          </w:tcPr>
          <w:p w14:paraId="0CB91E45" w14:textId="368DBB07" w:rsidR="009C1EE1" w:rsidRPr="004F7F40" w:rsidRDefault="009C1EE1" w:rsidP="00B20D6E">
            <w:pPr>
              <w:spacing w:before="0" w:after="120"/>
              <w:jc w:val="right"/>
              <w:rPr>
                <w:rFonts w:ascii="Arial" w:hAnsi="Arial" w:cs="Arial"/>
                <w:b/>
                <w:bCs/>
              </w:rPr>
            </w:pPr>
            <w:r w:rsidRPr="004F7F40">
              <w:rPr>
                <w:rFonts w:ascii="Arial" w:hAnsi="Arial" w:cs="Arial"/>
                <w:b/>
                <w:bCs/>
              </w:rPr>
              <w:t>263</w:t>
            </w:r>
          </w:p>
        </w:tc>
        <w:tc>
          <w:tcPr>
            <w:tcW w:w="1276" w:type="dxa"/>
          </w:tcPr>
          <w:p w14:paraId="34CB0214" w14:textId="0357E310" w:rsidR="009C1EE1" w:rsidRPr="004F7F40" w:rsidRDefault="009C1EE1" w:rsidP="009C1EE1">
            <w:pPr>
              <w:spacing w:before="0" w:after="120"/>
              <w:jc w:val="right"/>
              <w:rPr>
                <w:rFonts w:ascii="Arial" w:hAnsi="Arial" w:cs="Arial"/>
                <w:b/>
                <w:bCs/>
              </w:rPr>
            </w:pPr>
            <w:r w:rsidRPr="004F7F40">
              <w:rPr>
                <w:rFonts w:ascii="Arial" w:hAnsi="Arial" w:cs="Arial"/>
                <w:b/>
                <w:bCs/>
              </w:rPr>
              <w:t>495</w:t>
            </w:r>
          </w:p>
        </w:tc>
        <w:tc>
          <w:tcPr>
            <w:tcW w:w="1276" w:type="dxa"/>
          </w:tcPr>
          <w:p w14:paraId="6B1B77E7" w14:textId="3AB0E25C" w:rsidR="009C1EE1" w:rsidRPr="004F7F40" w:rsidRDefault="00396753" w:rsidP="00396753">
            <w:pPr>
              <w:spacing w:before="0" w:after="120"/>
              <w:jc w:val="right"/>
              <w:rPr>
                <w:rFonts w:ascii="Arial" w:hAnsi="Arial" w:cs="Arial"/>
                <w:b/>
                <w:bCs/>
              </w:rPr>
            </w:pPr>
            <w:r w:rsidRPr="004F7F40">
              <w:rPr>
                <w:rFonts w:ascii="Arial" w:hAnsi="Arial" w:cs="Arial"/>
                <w:b/>
                <w:bCs/>
              </w:rPr>
              <w:t>47</w:t>
            </w:r>
          </w:p>
        </w:tc>
      </w:tr>
    </w:tbl>
    <w:p w14:paraId="23C3B9C7" w14:textId="1A088AB6" w:rsidR="00B20D6E" w:rsidRPr="004F7F40" w:rsidRDefault="00396753" w:rsidP="00396753">
      <w:pPr>
        <w:spacing w:before="0" w:after="120"/>
        <w:ind w:left="1440"/>
        <w:rPr>
          <w:rFonts w:ascii="Arial" w:hAnsi="Arial" w:cs="Arial"/>
        </w:rPr>
      </w:pPr>
      <w:r w:rsidRPr="004F7F40">
        <w:rPr>
          <w:rFonts w:ascii="Arial" w:hAnsi="Arial" w:cs="Arial"/>
        </w:rPr>
        <w:t xml:space="preserve">Source: OCPE (2019). </w:t>
      </w:r>
      <w:r w:rsidRPr="004F7F40">
        <w:rPr>
          <w:rFonts w:ascii="Arial" w:hAnsi="Arial" w:cs="Arial"/>
          <w:i/>
          <w:iCs/>
        </w:rPr>
        <w:t>State of the Service Report 2018–19</w:t>
      </w:r>
      <w:r w:rsidRPr="004F7F40">
        <w:rPr>
          <w:rFonts w:ascii="Arial" w:hAnsi="Arial" w:cs="Arial"/>
        </w:rPr>
        <w:t>, p. 74</w:t>
      </w:r>
      <w:r w:rsidR="003D5B61" w:rsidRPr="004F7F40">
        <w:rPr>
          <w:rFonts w:ascii="Arial" w:hAnsi="Arial" w:cs="Arial"/>
        </w:rPr>
        <w:br/>
      </w:r>
      <w:r w:rsidR="00B20D6E" w:rsidRPr="004F7F40">
        <w:rPr>
          <w:rFonts w:ascii="Arial" w:hAnsi="Arial" w:cs="Arial"/>
        </w:rPr>
        <w:t xml:space="preserve">Note: Sums and percentages </w:t>
      </w:r>
      <w:r w:rsidR="00F73283" w:rsidRPr="004F7F40">
        <w:rPr>
          <w:rFonts w:ascii="Arial" w:hAnsi="Arial" w:cs="Arial"/>
        </w:rPr>
        <w:t xml:space="preserve">were </w:t>
      </w:r>
      <w:r w:rsidR="00B20D6E" w:rsidRPr="004F7F40">
        <w:rPr>
          <w:rFonts w:ascii="Arial" w:hAnsi="Arial" w:cs="Arial"/>
        </w:rPr>
        <w:t>calculated from raw numbers.</w:t>
      </w:r>
    </w:p>
    <w:p w14:paraId="3658F930" w14:textId="42179E17" w:rsidR="00813DB4" w:rsidRPr="004F7F40" w:rsidRDefault="00813DB4" w:rsidP="001C6899">
      <w:pPr>
        <w:spacing w:before="0" w:after="120"/>
        <w:rPr>
          <w:rFonts w:ascii="Arial" w:hAnsi="Arial" w:cs="Arial"/>
        </w:rPr>
      </w:pPr>
      <w:r w:rsidRPr="004F7F40">
        <w:rPr>
          <w:rFonts w:ascii="Arial" w:hAnsi="Arial" w:cs="Arial"/>
        </w:rPr>
        <w:t>In 2019, a Fiscal Strategy Panel led by former WA Under</w:t>
      </w:r>
      <w:r w:rsidR="00B10C19" w:rsidRPr="004F7F40">
        <w:rPr>
          <w:rFonts w:ascii="Arial" w:hAnsi="Arial" w:cs="Arial"/>
        </w:rPr>
        <w:t>-</w:t>
      </w:r>
      <w:r w:rsidRPr="004F7F40">
        <w:rPr>
          <w:rFonts w:ascii="Arial" w:hAnsi="Arial" w:cs="Arial"/>
        </w:rPr>
        <w:t xml:space="preserve">Treasurer John </w:t>
      </w:r>
      <w:proofErr w:type="spellStart"/>
      <w:r w:rsidRPr="004F7F40">
        <w:rPr>
          <w:rFonts w:ascii="Arial" w:hAnsi="Arial" w:cs="Arial"/>
        </w:rPr>
        <w:t>Langoulant</w:t>
      </w:r>
      <w:proofErr w:type="spellEnd"/>
      <w:r w:rsidRPr="004F7F40">
        <w:rPr>
          <w:rFonts w:ascii="Arial" w:hAnsi="Arial" w:cs="Arial"/>
        </w:rPr>
        <w:t xml:space="preserve"> recommended a cap on executive staffing pending the outcomes of an executive classification review, and that lowest executive positions be converted to the highest administrative classification, which would have halved the number of ECOs. A recommended </w:t>
      </w:r>
      <w:r w:rsidRPr="004F7F40">
        <w:rPr>
          <w:rFonts w:ascii="Arial" w:hAnsi="Arial" w:cs="Arial"/>
        </w:rPr>
        <w:lastRenderedPageBreak/>
        <w:t xml:space="preserve">ECO wage freeze was accepted by the government, which also agreed to a 10% reduction in ECOs and a reduction in salary bands from six to five. </w:t>
      </w:r>
    </w:p>
    <w:p w14:paraId="0E5C842D" w14:textId="1E8F70C2" w:rsidR="00813DB4" w:rsidRPr="004F7F40" w:rsidRDefault="00813DB4" w:rsidP="001C6899">
      <w:pPr>
        <w:spacing w:before="0" w:after="120"/>
        <w:rPr>
          <w:rFonts w:ascii="Arial" w:hAnsi="Arial" w:cs="Arial"/>
        </w:rPr>
      </w:pPr>
      <w:r w:rsidRPr="004F7F40">
        <w:rPr>
          <w:rFonts w:ascii="Arial" w:hAnsi="Arial" w:cs="Arial"/>
        </w:rPr>
        <w:t>A recent analysis of public service executive contracts found the NT had a disproportionately high number of executives (643) compared to Tasmania (164) and the ACT (265) (Walsh, 2020</w:t>
      </w:r>
      <w:r w:rsidR="001C4B5B" w:rsidRPr="004F7F40">
        <w:rPr>
          <w:rFonts w:ascii="Arial" w:hAnsi="Arial" w:cs="Arial"/>
        </w:rPr>
        <w:t>a</w:t>
      </w:r>
      <w:r w:rsidRPr="004F7F40">
        <w:rPr>
          <w:rFonts w:ascii="Arial" w:hAnsi="Arial" w:cs="Arial"/>
        </w:rPr>
        <w:t>). Official data from June 2020 shows 450 executive contract officer positions (Executive Officers grade 1 to 6) in the administrative stream (i.e.</w:t>
      </w:r>
      <w:r w:rsidR="001858AD" w:rsidRPr="004F7F40">
        <w:rPr>
          <w:rFonts w:ascii="Arial" w:hAnsi="Arial" w:cs="Arial"/>
        </w:rPr>
        <w:t>,</w:t>
      </w:r>
      <w:r w:rsidRPr="004F7F40">
        <w:rPr>
          <w:rFonts w:ascii="Arial" w:hAnsi="Arial" w:cs="Arial"/>
        </w:rPr>
        <w:t xml:space="preserve"> excluding Education, Police, and Power and Water) of a total 593 (down from 646 in June 2019) (OCPE, 2020b, Figure 9, p. 14). Of the 13 ECOs in the top bracket, 6 were women.</w:t>
      </w:r>
    </w:p>
    <w:p w14:paraId="337381CA" w14:textId="77777777" w:rsidR="00C94F99" w:rsidRPr="004F7F40" w:rsidRDefault="00C94F99" w:rsidP="0022758A">
      <w:pPr>
        <w:rPr>
          <w:rFonts w:ascii="Arial" w:hAnsi="Arial" w:cs="Arial"/>
          <w:color w:val="FF0000"/>
        </w:rPr>
      </w:pPr>
      <w:r w:rsidRPr="004F7F40">
        <w:rPr>
          <w:rFonts w:ascii="Arial" w:hAnsi="Arial" w:cs="Arial"/>
          <w:color w:val="FF0000"/>
        </w:rPr>
        <w:br w:type="page"/>
      </w:r>
    </w:p>
    <w:p w14:paraId="071E4E01" w14:textId="43FA5210" w:rsidR="00844AC6" w:rsidRPr="004F7F40" w:rsidRDefault="00E60292" w:rsidP="00844AC6">
      <w:pPr>
        <w:pStyle w:val="Heading1"/>
        <w:rPr>
          <w:rFonts w:ascii="Arial" w:hAnsi="Arial" w:cs="Arial"/>
          <w:u w:val="none"/>
        </w:rPr>
      </w:pPr>
      <w:bookmarkStart w:id="15" w:name="_Toc77243221"/>
      <w:r w:rsidRPr="004F7F40">
        <w:rPr>
          <w:rFonts w:ascii="Arial" w:hAnsi="Arial" w:cs="Arial"/>
          <w:u w:val="none"/>
        </w:rPr>
        <w:lastRenderedPageBreak/>
        <w:t>References</w:t>
      </w:r>
      <w:bookmarkEnd w:id="15"/>
    </w:p>
    <w:p w14:paraId="47CE7A2C" w14:textId="77777777" w:rsidR="00844AC6" w:rsidRPr="004F7F40" w:rsidRDefault="00844AC6" w:rsidP="00844AC6">
      <w:pPr>
        <w:rPr>
          <w:rFonts w:ascii="Arial" w:hAnsi="Arial" w:cs="Arial"/>
        </w:rPr>
      </w:pPr>
    </w:p>
    <w:p w14:paraId="4699542F" w14:textId="317DB821" w:rsidR="00310CC9" w:rsidRPr="004F7F40" w:rsidRDefault="00310CC9" w:rsidP="00310CC9">
      <w:pPr>
        <w:spacing w:before="120" w:after="120"/>
        <w:ind w:left="720" w:hanging="720"/>
        <w:rPr>
          <w:rFonts w:ascii="Arial" w:hAnsi="Arial" w:cs="Arial"/>
          <w:sz w:val="20"/>
          <w:szCs w:val="20"/>
        </w:rPr>
      </w:pPr>
      <w:r w:rsidRPr="004F7F40">
        <w:rPr>
          <w:rFonts w:ascii="Arial" w:hAnsi="Arial" w:cs="Arial"/>
          <w:sz w:val="20"/>
          <w:szCs w:val="20"/>
        </w:rPr>
        <w:t xml:space="preserve">ABC News (2020, Dec 10). NT to keep two federal House of Representative seats at next election after legislation passes Parliament. Retrieved from </w:t>
      </w:r>
      <w:hyperlink r:id="rId14" w:history="1">
        <w:r w:rsidRPr="004F7F40">
          <w:rPr>
            <w:rStyle w:val="Hyperlink"/>
            <w:rFonts w:ascii="Arial" w:hAnsi="Arial" w:cs="Arial"/>
            <w:sz w:val="20"/>
            <w:szCs w:val="20"/>
          </w:rPr>
          <w:t>https://www.abc.net.au/news/2020-12-10/nt-keeps-two-federal-seats-after-electoral-amendment-bill-passes/12969366</w:t>
        </w:r>
      </w:hyperlink>
      <w:r w:rsidRPr="004F7F40">
        <w:rPr>
          <w:rFonts w:ascii="Arial" w:hAnsi="Arial" w:cs="Arial"/>
          <w:sz w:val="20"/>
          <w:szCs w:val="20"/>
        </w:rPr>
        <w:t xml:space="preserve"> on 24 Jun 2021.</w:t>
      </w:r>
    </w:p>
    <w:p w14:paraId="088ECCCF" w14:textId="6C734BA1" w:rsidR="00301FA5" w:rsidRPr="004F7F40" w:rsidRDefault="00301FA5" w:rsidP="00E60292">
      <w:pPr>
        <w:spacing w:before="0" w:after="120"/>
        <w:ind w:left="720" w:hanging="720"/>
        <w:rPr>
          <w:rFonts w:ascii="Arial" w:hAnsi="Arial" w:cs="Arial"/>
          <w:sz w:val="20"/>
          <w:szCs w:val="20"/>
        </w:rPr>
      </w:pPr>
      <w:r w:rsidRPr="004F7F40">
        <w:rPr>
          <w:rFonts w:ascii="Arial" w:hAnsi="Arial" w:cs="Arial"/>
          <w:sz w:val="20"/>
          <w:szCs w:val="20"/>
        </w:rPr>
        <w:t xml:space="preserve">ABS (2021). Public sector debt analysis 2019-20. Australian Bureau of Statistics, 27 April. Retrieved from </w:t>
      </w:r>
      <w:hyperlink r:id="rId15" w:history="1">
        <w:r w:rsidRPr="004F7F40">
          <w:rPr>
            <w:rStyle w:val="Hyperlink"/>
            <w:rFonts w:ascii="Arial" w:hAnsi="Arial" w:cs="Arial"/>
            <w:sz w:val="20"/>
            <w:szCs w:val="20"/>
          </w:rPr>
          <w:t>https://www.abs.gov.au/articles/public-sector-debt-analysis-2019-20</w:t>
        </w:r>
      </w:hyperlink>
      <w:r w:rsidRPr="004F7F40">
        <w:rPr>
          <w:rFonts w:ascii="Arial" w:hAnsi="Arial" w:cs="Arial"/>
          <w:sz w:val="20"/>
          <w:szCs w:val="20"/>
        </w:rPr>
        <w:t xml:space="preserve"> in July 2021.</w:t>
      </w:r>
    </w:p>
    <w:p w14:paraId="4D627A69" w14:textId="1F1876B5" w:rsidR="00A31E8A" w:rsidRPr="004F7F40" w:rsidRDefault="00A31E8A" w:rsidP="00E60292">
      <w:pPr>
        <w:spacing w:before="0" w:after="120"/>
        <w:ind w:left="720" w:hanging="720"/>
        <w:rPr>
          <w:rFonts w:ascii="Arial" w:hAnsi="Arial" w:cs="Arial"/>
          <w:sz w:val="20"/>
          <w:szCs w:val="20"/>
        </w:rPr>
      </w:pPr>
      <w:r w:rsidRPr="004F7F40">
        <w:rPr>
          <w:rFonts w:ascii="Arial" w:hAnsi="Arial" w:cs="Arial"/>
          <w:sz w:val="20"/>
          <w:szCs w:val="20"/>
        </w:rPr>
        <w:t xml:space="preserve">Allen, C. (2016, Mar 7). Streamlining the selection process: the NT experience. </w:t>
      </w:r>
      <w:r w:rsidRPr="004F7F40">
        <w:rPr>
          <w:rFonts w:ascii="Arial" w:hAnsi="Arial" w:cs="Arial"/>
          <w:i/>
          <w:iCs/>
          <w:sz w:val="20"/>
          <w:szCs w:val="20"/>
        </w:rPr>
        <w:t>The Mandarin</w:t>
      </w:r>
      <w:r w:rsidRPr="004F7F40">
        <w:rPr>
          <w:rFonts w:ascii="Arial" w:hAnsi="Arial" w:cs="Arial"/>
          <w:sz w:val="20"/>
          <w:szCs w:val="20"/>
        </w:rPr>
        <w:t xml:space="preserve">. Retrieved from </w:t>
      </w:r>
      <w:hyperlink r:id="rId16" w:history="1">
        <w:r w:rsidR="000466E2" w:rsidRPr="004F7F40">
          <w:rPr>
            <w:rStyle w:val="Hyperlink"/>
            <w:rFonts w:ascii="Arial" w:hAnsi="Arial" w:cs="Arial"/>
            <w:sz w:val="20"/>
            <w:szCs w:val="20"/>
          </w:rPr>
          <w:t>https://www.themandarin.com.au/61444-streamlining-selection-processes-nt-experience/</w:t>
        </w:r>
      </w:hyperlink>
      <w:r w:rsidRPr="004F7F40">
        <w:rPr>
          <w:rFonts w:ascii="Arial" w:hAnsi="Arial" w:cs="Arial"/>
          <w:sz w:val="20"/>
          <w:szCs w:val="20"/>
        </w:rPr>
        <w:t xml:space="preserve"> on 20 May 2020.</w:t>
      </w:r>
    </w:p>
    <w:p w14:paraId="073073A1" w14:textId="357A4B6D" w:rsidR="000466E2" w:rsidRPr="004F7F40" w:rsidRDefault="000466E2" w:rsidP="00E60292">
      <w:pPr>
        <w:spacing w:before="0" w:after="120"/>
        <w:ind w:left="720" w:hanging="720"/>
        <w:rPr>
          <w:rFonts w:ascii="Arial" w:hAnsi="Arial" w:cs="Arial"/>
          <w:sz w:val="20"/>
          <w:szCs w:val="20"/>
        </w:rPr>
      </w:pPr>
      <w:r w:rsidRPr="004F7F40">
        <w:rPr>
          <w:rFonts w:ascii="Arial" w:hAnsi="Arial" w:cs="Arial"/>
          <w:sz w:val="20"/>
          <w:szCs w:val="20"/>
        </w:rPr>
        <w:t xml:space="preserve">CPSU (2021). NT Chief Minister not a gun on economics. </w:t>
      </w:r>
      <w:r w:rsidR="007B1C80" w:rsidRPr="004F7F40">
        <w:rPr>
          <w:rFonts w:ascii="Arial" w:hAnsi="Arial" w:cs="Arial"/>
          <w:sz w:val="20"/>
          <w:szCs w:val="20"/>
        </w:rPr>
        <w:t xml:space="preserve">Media release. Community &amp; Public Sector Union. Retrieved from </w:t>
      </w:r>
      <w:hyperlink r:id="rId17" w:history="1">
        <w:r w:rsidR="007B1C80" w:rsidRPr="004F7F40">
          <w:rPr>
            <w:rStyle w:val="Hyperlink"/>
            <w:rFonts w:ascii="Arial" w:hAnsi="Arial" w:cs="Arial"/>
            <w:sz w:val="20"/>
            <w:szCs w:val="20"/>
          </w:rPr>
          <w:t>https://www.cpsu.org.au/content/nt-chief-minister-not-gun-economics</w:t>
        </w:r>
      </w:hyperlink>
      <w:r w:rsidR="007B1C80" w:rsidRPr="004F7F40">
        <w:rPr>
          <w:rFonts w:ascii="Arial" w:hAnsi="Arial" w:cs="Arial"/>
          <w:sz w:val="20"/>
          <w:szCs w:val="20"/>
        </w:rPr>
        <w:t xml:space="preserve"> on 2 Jun 2021.</w:t>
      </w:r>
    </w:p>
    <w:p w14:paraId="304A0ACC" w14:textId="77777777" w:rsidR="00756D6B" w:rsidRPr="004F7F40" w:rsidRDefault="00756D6B" w:rsidP="00756D6B">
      <w:pPr>
        <w:spacing w:before="0" w:after="120"/>
        <w:ind w:left="720" w:hanging="720"/>
        <w:rPr>
          <w:rFonts w:ascii="Arial" w:hAnsi="Arial" w:cs="Arial"/>
          <w:sz w:val="20"/>
          <w:szCs w:val="20"/>
        </w:rPr>
      </w:pPr>
      <w:r w:rsidRPr="004F7F40">
        <w:rPr>
          <w:rFonts w:ascii="Arial" w:hAnsi="Arial" w:cs="Arial"/>
          <w:sz w:val="20"/>
          <w:szCs w:val="20"/>
        </w:rPr>
        <w:t xml:space="preserve">Donaldson, D. (2016, Jan 22). Reforming the selection process: NT ahead of the game. </w:t>
      </w:r>
      <w:r w:rsidRPr="004F7F40">
        <w:rPr>
          <w:rFonts w:ascii="Arial" w:hAnsi="Arial" w:cs="Arial"/>
          <w:i/>
          <w:iCs/>
          <w:sz w:val="20"/>
          <w:szCs w:val="20"/>
        </w:rPr>
        <w:t>The Mandarin</w:t>
      </w:r>
      <w:r w:rsidRPr="004F7F40">
        <w:rPr>
          <w:rFonts w:ascii="Arial" w:hAnsi="Arial" w:cs="Arial"/>
          <w:sz w:val="20"/>
          <w:szCs w:val="20"/>
        </w:rPr>
        <w:t xml:space="preserve">. Retrieved from </w:t>
      </w:r>
      <w:hyperlink r:id="rId18" w:history="1">
        <w:r w:rsidRPr="004F7F40">
          <w:rPr>
            <w:rStyle w:val="Hyperlink"/>
            <w:rFonts w:ascii="Arial" w:hAnsi="Arial" w:cs="Arial"/>
            <w:color w:val="auto"/>
            <w:sz w:val="20"/>
            <w:szCs w:val="20"/>
          </w:rPr>
          <w:t>https://www.themandarin.com.au/59280-single-page-applications-nt-ahead-game/</w:t>
        </w:r>
      </w:hyperlink>
      <w:r w:rsidRPr="004F7F40">
        <w:rPr>
          <w:rStyle w:val="Hyperlink"/>
          <w:rFonts w:ascii="Arial" w:hAnsi="Arial" w:cs="Arial"/>
          <w:color w:val="auto"/>
          <w:sz w:val="20"/>
          <w:szCs w:val="20"/>
          <w:u w:val="none"/>
        </w:rPr>
        <w:t xml:space="preserve"> </w:t>
      </w:r>
      <w:r w:rsidRPr="004F7F40">
        <w:rPr>
          <w:rFonts w:ascii="Arial" w:hAnsi="Arial" w:cs="Arial"/>
          <w:sz w:val="20"/>
          <w:szCs w:val="20"/>
        </w:rPr>
        <w:t>on 20 May 2020.</w:t>
      </w:r>
    </w:p>
    <w:p w14:paraId="301374D7" w14:textId="77777777" w:rsidR="00A31E8A" w:rsidRPr="004F7F40" w:rsidRDefault="00A31E8A" w:rsidP="00E60292">
      <w:pPr>
        <w:spacing w:before="0" w:after="120"/>
        <w:ind w:left="720" w:hanging="720"/>
        <w:rPr>
          <w:rFonts w:ascii="Arial" w:hAnsi="Arial" w:cs="Arial"/>
          <w:sz w:val="20"/>
          <w:szCs w:val="20"/>
        </w:rPr>
      </w:pPr>
      <w:r w:rsidRPr="004F7F40">
        <w:rPr>
          <w:rFonts w:ascii="Arial" w:hAnsi="Arial" w:cs="Arial"/>
          <w:sz w:val="20"/>
          <w:szCs w:val="20"/>
        </w:rPr>
        <w:t xml:space="preserve">Donaldson, D. (2016, Jan 20). Public servant complaints rise in the Northern Territory. </w:t>
      </w:r>
      <w:r w:rsidRPr="004F7F40">
        <w:rPr>
          <w:rFonts w:ascii="Arial" w:hAnsi="Arial" w:cs="Arial"/>
          <w:i/>
          <w:iCs/>
          <w:sz w:val="20"/>
          <w:szCs w:val="20"/>
        </w:rPr>
        <w:t>The Mandarin</w:t>
      </w:r>
      <w:r w:rsidRPr="004F7F40">
        <w:rPr>
          <w:rFonts w:ascii="Arial" w:hAnsi="Arial" w:cs="Arial"/>
          <w:sz w:val="20"/>
          <w:szCs w:val="20"/>
        </w:rPr>
        <w:t xml:space="preserve">. Retrieved from </w:t>
      </w:r>
      <w:hyperlink r:id="rId19" w:history="1">
        <w:r w:rsidRPr="004F7F40">
          <w:rPr>
            <w:rStyle w:val="Hyperlink"/>
            <w:rFonts w:ascii="Arial" w:hAnsi="Arial" w:cs="Arial"/>
            <w:color w:val="auto"/>
            <w:sz w:val="20"/>
            <w:szCs w:val="20"/>
          </w:rPr>
          <w:t>https://www.themandarin.com.au/59193-public-servant-complaints-rise-nt/</w:t>
        </w:r>
      </w:hyperlink>
      <w:r w:rsidRPr="004F7F40">
        <w:rPr>
          <w:rFonts w:ascii="Arial" w:hAnsi="Arial" w:cs="Arial"/>
          <w:sz w:val="20"/>
          <w:szCs w:val="20"/>
        </w:rPr>
        <w:t xml:space="preserve"> on 20 May 2020.</w:t>
      </w:r>
    </w:p>
    <w:p w14:paraId="74A54A85" w14:textId="77777777" w:rsidR="000B5001" w:rsidRPr="004F7F40" w:rsidRDefault="000B5001" w:rsidP="00E60292">
      <w:pPr>
        <w:spacing w:before="0" w:after="120"/>
        <w:ind w:left="720" w:hanging="720"/>
        <w:rPr>
          <w:rFonts w:ascii="Arial" w:hAnsi="Arial" w:cs="Arial"/>
          <w:sz w:val="20"/>
          <w:szCs w:val="20"/>
        </w:rPr>
      </w:pPr>
      <w:r w:rsidRPr="004F7F40">
        <w:rPr>
          <w:rFonts w:ascii="Arial" w:hAnsi="Arial" w:cs="Arial"/>
          <w:sz w:val="20"/>
          <w:szCs w:val="20"/>
        </w:rPr>
        <w:t xml:space="preserve">Donaldson, D. (2019, Apr 16). NT to cut 10% of public service executives. </w:t>
      </w:r>
      <w:r w:rsidRPr="004F7F40">
        <w:rPr>
          <w:rFonts w:ascii="Arial" w:hAnsi="Arial" w:cs="Arial"/>
          <w:i/>
          <w:iCs/>
          <w:sz w:val="20"/>
          <w:szCs w:val="20"/>
        </w:rPr>
        <w:t>The Mandarin</w:t>
      </w:r>
      <w:r w:rsidRPr="004F7F40">
        <w:rPr>
          <w:rFonts w:ascii="Arial" w:hAnsi="Arial" w:cs="Arial"/>
          <w:sz w:val="20"/>
          <w:szCs w:val="20"/>
        </w:rPr>
        <w:t xml:space="preserve">. Retrieved from </w:t>
      </w:r>
      <w:hyperlink r:id="rId20" w:history="1">
        <w:r w:rsidRPr="004F7F40">
          <w:rPr>
            <w:rStyle w:val="Hyperlink"/>
            <w:rFonts w:ascii="Arial" w:hAnsi="Arial" w:cs="Arial"/>
            <w:color w:val="auto"/>
            <w:sz w:val="20"/>
            <w:szCs w:val="20"/>
          </w:rPr>
          <w:t>https://www.themandarin.com.au/107274-nt-to-cut-10-of-public-service-executives/</w:t>
        </w:r>
      </w:hyperlink>
      <w:r w:rsidRPr="004F7F40">
        <w:rPr>
          <w:rFonts w:ascii="Arial" w:hAnsi="Arial" w:cs="Arial"/>
          <w:sz w:val="20"/>
          <w:szCs w:val="20"/>
        </w:rPr>
        <w:t xml:space="preserve"> on 3 Apr 2020.</w:t>
      </w:r>
    </w:p>
    <w:p w14:paraId="3EC5860F" w14:textId="77777777" w:rsidR="00756D6B" w:rsidRPr="004F7F40" w:rsidRDefault="00756D6B" w:rsidP="00756D6B">
      <w:pPr>
        <w:spacing w:before="0" w:after="120"/>
        <w:ind w:left="720" w:hanging="720"/>
        <w:rPr>
          <w:rFonts w:ascii="Arial" w:hAnsi="Arial" w:cs="Arial"/>
          <w:sz w:val="20"/>
          <w:szCs w:val="20"/>
        </w:rPr>
      </w:pPr>
      <w:r w:rsidRPr="004F7F40">
        <w:rPr>
          <w:rFonts w:ascii="Arial" w:hAnsi="Arial" w:cs="Arial"/>
          <w:sz w:val="20"/>
          <w:szCs w:val="20"/>
          <w:shd w:val="clear" w:color="auto" w:fill="FAF9F8"/>
        </w:rPr>
        <w:t xml:space="preserve">Easton, S. (2019, Sep 10). NT Chief Minister denies pay freeze is fuelling high executive turnover. </w:t>
      </w:r>
      <w:r w:rsidRPr="004F7F40">
        <w:rPr>
          <w:rFonts w:ascii="Arial" w:hAnsi="Arial" w:cs="Arial"/>
          <w:i/>
          <w:iCs/>
          <w:sz w:val="20"/>
          <w:szCs w:val="20"/>
          <w:shd w:val="clear" w:color="auto" w:fill="FAF9F8"/>
        </w:rPr>
        <w:t>The Mandarin</w:t>
      </w:r>
      <w:r w:rsidRPr="004F7F40">
        <w:rPr>
          <w:rFonts w:ascii="Arial" w:hAnsi="Arial" w:cs="Arial"/>
          <w:sz w:val="20"/>
          <w:szCs w:val="20"/>
          <w:shd w:val="clear" w:color="auto" w:fill="FAF9F8"/>
        </w:rPr>
        <w:t xml:space="preserve">. Retrieved from </w:t>
      </w:r>
      <w:hyperlink r:id="rId21" w:tgtFrame="_blank" w:history="1">
        <w:r w:rsidRPr="004F7F40">
          <w:rPr>
            <w:rStyle w:val="Hyperlink"/>
            <w:rFonts w:ascii="Arial" w:hAnsi="Arial" w:cs="Arial"/>
            <w:color w:val="auto"/>
            <w:sz w:val="20"/>
            <w:szCs w:val="20"/>
            <w:bdr w:val="none" w:sz="0" w:space="0" w:color="auto" w:frame="1"/>
            <w:shd w:val="clear" w:color="auto" w:fill="FFFFFF"/>
          </w:rPr>
          <w:t>https://www.themandarin.com.au/115600-nt-chief-minister-denies-pay-freeze-is-fuelling-high-executive-turnover/</w:t>
        </w:r>
      </w:hyperlink>
      <w:r w:rsidRPr="004F7F40">
        <w:rPr>
          <w:rFonts w:ascii="Arial" w:hAnsi="Arial" w:cs="Arial"/>
          <w:sz w:val="20"/>
          <w:szCs w:val="20"/>
          <w:shd w:val="clear" w:color="auto" w:fill="FFFFFF"/>
        </w:rPr>
        <w:t xml:space="preserve">  on 20 May 2020. </w:t>
      </w:r>
    </w:p>
    <w:p w14:paraId="6E9E72BE" w14:textId="77777777" w:rsidR="00756D6B" w:rsidRPr="004F7F40" w:rsidRDefault="00756D6B" w:rsidP="00756D6B">
      <w:pPr>
        <w:spacing w:before="0" w:after="120"/>
        <w:ind w:left="720" w:hanging="720"/>
        <w:rPr>
          <w:rFonts w:ascii="Arial" w:hAnsi="Arial" w:cs="Arial"/>
          <w:sz w:val="20"/>
          <w:szCs w:val="20"/>
        </w:rPr>
      </w:pPr>
      <w:r w:rsidRPr="004F7F40">
        <w:rPr>
          <w:rFonts w:ascii="Arial" w:hAnsi="Arial" w:cs="Arial"/>
          <w:sz w:val="20"/>
          <w:szCs w:val="20"/>
        </w:rPr>
        <w:t xml:space="preserve">Easton, S. (2019, Jul 3). NT public service executive pay freeze: government will get its money, now or later. The Mandarin. Retrieved from </w:t>
      </w:r>
      <w:hyperlink r:id="rId22" w:history="1">
        <w:r w:rsidRPr="004F7F40">
          <w:rPr>
            <w:rStyle w:val="Hyperlink"/>
            <w:rFonts w:ascii="Arial" w:hAnsi="Arial" w:cs="Arial"/>
            <w:color w:val="auto"/>
            <w:sz w:val="20"/>
            <w:szCs w:val="20"/>
          </w:rPr>
          <w:t>https://www.themandarin.com.au/111012-nt-public-service-executive-pay-freeze-government-will-get-its-money-now-or-later/</w:t>
        </w:r>
      </w:hyperlink>
      <w:r w:rsidRPr="004F7F40">
        <w:rPr>
          <w:rFonts w:ascii="Arial" w:hAnsi="Arial" w:cs="Arial"/>
          <w:sz w:val="20"/>
          <w:szCs w:val="20"/>
        </w:rPr>
        <w:t xml:space="preserve"> on 20 May 2020.</w:t>
      </w:r>
    </w:p>
    <w:p w14:paraId="558882A5" w14:textId="77777777" w:rsidR="00756D6B" w:rsidRPr="004F7F40" w:rsidRDefault="00756D6B" w:rsidP="00756D6B">
      <w:pPr>
        <w:spacing w:before="0" w:after="120"/>
        <w:ind w:left="720" w:hanging="720"/>
        <w:rPr>
          <w:rFonts w:ascii="Arial" w:hAnsi="Arial" w:cs="Arial"/>
          <w:sz w:val="20"/>
          <w:szCs w:val="20"/>
        </w:rPr>
      </w:pPr>
      <w:r w:rsidRPr="004F7F40">
        <w:rPr>
          <w:rFonts w:ascii="Arial" w:hAnsi="Arial" w:cs="Arial"/>
          <w:sz w:val="20"/>
          <w:szCs w:val="20"/>
          <w:shd w:val="clear" w:color="auto" w:fill="FAF9F8"/>
        </w:rPr>
        <w:t xml:space="preserve">Easton, S. (2016, May 26). NT budget spares public service jobs, indigenous recruitment steams ahead. </w:t>
      </w:r>
      <w:r w:rsidRPr="004F7F40">
        <w:rPr>
          <w:rFonts w:ascii="Arial" w:hAnsi="Arial" w:cs="Arial"/>
          <w:i/>
          <w:iCs/>
          <w:sz w:val="20"/>
          <w:szCs w:val="20"/>
          <w:shd w:val="clear" w:color="auto" w:fill="FAF9F8"/>
        </w:rPr>
        <w:t>The Mandarin</w:t>
      </w:r>
      <w:r w:rsidRPr="004F7F40">
        <w:rPr>
          <w:rFonts w:ascii="Arial" w:hAnsi="Arial" w:cs="Arial"/>
          <w:sz w:val="20"/>
          <w:szCs w:val="20"/>
          <w:shd w:val="clear" w:color="auto" w:fill="FAF9F8"/>
        </w:rPr>
        <w:t xml:space="preserve">. Retrieved from </w:t>
      </w:r>
      <w:hyperlink r:id="rId23" w:history="1">
        <w:r w:rsidRPr="004F7F40">
          <w:rPr>
            <w:rStyle w:val="Hyperlink"/>
            <w:rFonts w:ascii="Arial" w:hAnsi="Arial" w:cs="Arial"/>
            <w:color w:val="auto"/>
            <w:sz w:val="20"/>
            <w:szCs w:val="20"/>
          </w:rPr>
          <w:t>https://www.themandarin.com.au/65603-nt-budget-spares-public-service-jobs-indigenous-recruitment-steams-ahead/</w:t>
        </w:r>
      </w:hyperlink>
      <w:r w:rsidRPr="004F7F40">
        <w:rPr>
          <w:rFonts w:ascii="Arial" w:hAnsi="Arial" w:cs="Arial"/>
          <w:sz w:val="20"/>
          <w:szCs w:val="20"/>
        </w:rPr>
        <w:t xml:space="preserve"> on 20 May 2020.</w:t>
      </w:r>
    </w:p>
    <w:p w14:paraId="699C77C7" w14:textId="449A9CB5" w:rsidR="005547EE" w:rsidRPr="004F7F40" w:rsidRDefault="005547EE" w:rsidP="00E60292">
      <w:pPr>
        <w:widowControl w:val="0"/>
        <w:tabs>
          <w:tab w:val="left" w:pos="2482"/>
        </w:tabs>
        <w:spacing w:before="0" w:after="120"/>
        <w:ind w:left="720" w:hanging="720"/>
        <w:rPr>
          <w:rFonts w:ascii="Arial" w:hAnsi="Arial" w:cs="Arial"/>
          <w:sz w:val="20"/>
          <w:szCs w:val="20"/>
        </w:rPr>
      </w:pPr>
      <w:r w:rsidRPr="004F7F40">
        <w:rPr>
          <w:rFonts w:ascii="Arial" w:hAnsi="Arial" w:cs="Arial"/>
          <w:sz w:val="20"/>
          <w:szCs w:val="20"/>
        </w:rPr>
        <w:t>Fiscal Strategy Panel</w:t>
      </w:r>
      <w:r w:rsidR="001F73FC" w:rsidRPr="004F7F40">
        <w:rPr>
          <w:rFonts w:ascii="Arial" w:hAnsi="Arial" w:cs="Arial"/>
          <w:sz w:val="20"/>
          <w:szCs w:val="20"/>
        </w:rPr>
        <w:t xml:space="preserve"> (</w:t>
      </w:r>
      <w:r w:rsidRPr="004F7F40">
        <w:rPr>
          <w:rFonts w:ascii="Arial" w:hAnsi="Arial" w:cs="Arial"/>
          <w:sz w:val="20"/>
          <w:szCs w:val="20"/>
        </w:rPr>
        <w:t>2019</w:t>
      </w:r>
      <w:r w:rsidR="001F73FC" w:rsidRPr="004F7F40">
        <w:rPr>
          <w:rFonts w:ascii="Arial" w:hAnsi="Arial" w:cs="Arial"/>
          <w:sz w:val="20"/>
          <w:szCs w:val="20"/>
        </w:rPr>
        <w:t>)</w:t>
      </w:r>
      <w:r w:rsidRPr="004F7F40">
        <w:rPr>
          <w:rFonts w:ascii="Arial" w:hAnsi="Arial" w:cs="Arial"/>
          <w:sz w:val="20"/>
          <w:szCs w:val="20"/>
        </w:rPr>
        <w:t xml:space="preserve">. </w:t>
      </w:r>
      <w:r w:rsidRPr="004F7F40">
        <w:rPr>
          <w:rFonts w:ascii="Arial" w:hAnsi="Arial" w:cs="Arial"/>
          <w:i/>
          <w:sz w:val="20"/>
          <w:szCs w:val="20"/>
        </w:rPr>
        <w:t>Budget Repair Final Report</w:t>
      </w:r>
      <w:r w:rsidRPr="004F7F40">
        <w:rPr>
          <w:rFonts w:ascii="Arial" w:hAnsi="Arial" w:cs="Arial"/>
          <w:sz w:val="20"/>
          <w:szCs w:val="20"/>
        </w:rPr>
        <w:t xml:space="preserve">. </w:t>
      </w:r>
      <w:r w:rsidR="000D4294" w:rsidRPr="004F7F40">
        <w:rPr>
          <w:rFonts w:ascii="Arial" w:hAnsi="Arial" w:cs="Arial"/>
          <w:sz w:val="20"/>
          <w:szCs w:val="20"/>
        </w:rPr>
        <w:t xml:space="preserve">Retrieved from </w:t>
      </w:r>
      <w:hyperlink r:id="rId24" w:history="1">
        <w:r w:rsidR="000D4294" w:rsidRPr="004F7F40">
          <w:rPr>
            <w:rStyle w:val="Hyperlink"/>
            <w:rFonts w:ascii="Arial" w:hAnsi="Arial" w:cs="Arial"/>
            <w:sz w:val="20"/>
            <w:szCs w:val="20"/>
          </w:rPr>
          <w:t>https://treasury.nt.gov.au/__data/assets/pdf_file/0010/683461/budget-repair-final-report.pdf</w:t>
        </w:r>
      </w:hyperlink>
    </w:p>
    <w:p w14:paraId="369C2542" w14:textId="64F6C086" w:rsidR="000B5001" w:rsidRPr="004F7F40" w:rsidRDefault="000B5001" w:rsidP="00E60292">
      <w:pPr>
        <w:spacing w:before="0" w:after="120"/>
        <w:ind w:left="720" w:hanging="720"/>
        <w:rPr>
          <w:rFonts w:ascii="Arial" w:hAnsi="Arial" w:cs="Arial"/>
          <w:sz w:val="20"/>
          <w:szCs w:val="20"/>
        </w:rPr>
      </w:pPr>
      <w:r w:rsidRPr="004F7F40">
        <w:rPr>
          <w:rFonts w:ascii="Arial" w:hAnsi="Arial" w:cs="Arial"/>
          <w:sz w:val="20"/>
          <w:szCs w:val="20"/>
        </w:rPr>
        <w:t xml:space="preserve">Gibson, J. (2019, Jun 13). Gunner Government's pay freeze plan to fix budget stuck in limbo. </w:t>
      </w:r>
      <w:r w:rsidRPr="004F7F40">
        <w:rPr>
          <w:rFonts w:ascii="Arial" w:hAnsi="Arial" w:cs="Arial"/>
          <w:i/>
          <w:iCs/>
          <w:sz w:val="20"/>
          <w:szCs w:val="20"/>
        </w:rPr>
        <w:t>ABC News</w:t>
      </w:r>
      <w:r w:rsidRPr="004F7F40">
        <w:rPr>
          <w:rFonts w:ascii="Arial" w:hAnsi="Arial" w:cs="Arial"/>
          <w:sz w:val="20"/>
          <w:szCs w:val="20"/>
        </w:rPr>
        <w:t xml:space="preserve">. Retrieved from </w:t>
      </w:r>
      <w:hyperlink r:id="rId25" w:history="1">
        <w:r w:rsidRPr="004F7F40">
          <w:rPr>
            <w:rStyle w:val="Hyperlink"/>
            <w:rFonts w:ascii="Arial" w:hAnsi="Arial" w:cs="Arial"/>
            <w:color w:val="auto"/>
            <w:sz w:val="20"/>
            <w:szCs w:val="20"/>
          </w:rPr>
          <w:t>https://www.abc.net.au/news/2019-06-13/public-service-freeze-criticised-australian-education-union-nt/11207568</w:t>
        </w:r>
      </w:hyperlink>
      <w:r w:rsidRPr="004F7F40">
        <w:rPr>
          <w:rFonts w:ascii="Arial" w:hAnsi="Arial" w:cs="Arial"/>
          <w:sz w:val="20"/>
          <w:szCs w:val="20"/>
        </w:rPr>
        <w:t xml:space="preserve"> on 20 May 2020.</w:t>
      </w:r>
    </w:p>
    <w:p w14:paraId="1DDE8E0D" w14:textId="77777777" w:rsidR="000D4294" w:rsidRPr="004F7F40" w:rsidRDefault="000D4294" w:rsidP="000D4294">
      <w:pPr>
        <w:spacing w:before="0" w:after="120"/>
        <w:ind w:left="720" w:hanging="720"/>
        <w:rPr>
          <w:rFonts w:ascii="Arial" w:hAnsi="Arial" w:cs="Arial"/>
          <w:sz w:val="20"/>
          <w:szCs w:val="20"/>
        </w:rPr>
      </w:pPr>
      <w:r w:rsidRPr="004F7F40">
        <w:rPr>
          <w:rFonts w:ascii="Arial" w:hAnsi="Arial" w:cs="Arial"/>
          <w:sz w:val="20"/>
          <w:szCs w:val="20"/>
        </w:rPr>
        <w:t>Hawkes, D. (2019). Meeting with Brian Head, 4 April 2019, 10:30-11:30am</w:t>
      </w:r>
    </w:p>
    <w:p w14:paraId="6CFAF68F" w14:textId="77777777" w:rsidR="000D4294" w:rsidRPr="004F7F40" w:rsidRDefault="000D4294" w:rsidP="000D4294">
      <w:pPr>
        <w:spacing w:before="0" w:after="120"/>
        <w:ind w:left="720" w:hanging="720"/>
        <w:rPr>
          <w:rFonts w:ascii="Arial" w:hAnsi="Arial" w:cs="Arial"/>
          <w:sz w:val="20"/>
          <w:szCs w:val="20"/>
        </w:rPr>
      </w:pPr>
      <w:r w:rsidRPr="004F7F40">
        <w:rPr>
          <w:rFonts w:ascii="Arial" w:hAnsi="Arial" w:cs="Arial"/>
          <w:sz w:val="20"/>
          <w:szCs w:val="20"/>
        </w:rPr>
        <w:t>Hawkes, D. (2019). Telephone discussion with Prue Brown, 26 March 2019, 2:00-2:30pm.</w:t>
      </w:r>
    </w:p>
    <w:p w14:paraId="3EEBC987" w14:textId="58C1BCB7" w:rsidR="005547EE" w:rsidRPr="004F7F40" w:rsidRDefault="005547EE" w:rsidP="00E60292">
      <w:pPr>
        <w:spacing w:before="0" w:after="120"/>
        <w:ind w:left="720" w:hanging="720"/>
        <w:rPr>
          <w:rFonts w:ascii="Arial" w:hAnsi="Arial" w:cs="Arial"/>
          <w:sz w:val="20"/>
          <w:szCs w:val="20"/>
        </w:rPr>
      </w:pPr>
      <w:r w:rsidRPr="004F7F40">
        <w:rPr>
          <w:rFonts w:ascii="Arial" w:hAnsi="Arial" w:cs="Arial"/>
          <w:sz w:val="20"/>
          <w:szCs w:val="20"/>
        </w:rPr>
        <w:t xml:space="preserve">Hawkes, D. </w:t>
      </w:r>
      <w:r w:rsidR="001F73FC" w:rsidRPr="004F7F40">
        <w:rPr>
          <w:rFonts w:ascii="Arial" w:hAnsi="Arial" w:cs="Arial"/>
          <w:sz w:val="20"/>
          <w:szCs w:val="20"/>
        </w:rPr>
        <w:t>(</w:t>
      </w:r>
      <w:r w:rsidRPr="004F7F40">
        <w:rPr>
          <w:rFonts w:ascii="Arial" w:hAnsi="Arial" w:cs="Arial"/>
          <w:sz w:val="20"/>
          <w:szCs w:val="20"/>
        </w:rPr>
        <w:t>1995</w:t>
      </w:r>
      <w:r w:rsidR="001F73FC" w:rsidRPr="004F7F40">
        <w:rPr>
          <w:rFonts w:ascii="Arial" w:hAnsi="Arial" w:cs="Arial"/>
          <w:sz w:val="20"/>
          <w:szCs w:val="20"/>
        </w:rPr>
        <w:t>)</w:t>
      </w:r>
      <w:r w:rsidRPr="004F7F40">
        <w:rPr>
          <w:rFonts w:ascii="Arial" w:hAnsi="Arial" w:cs="Arial"/>
          <w:sz w:val="20"/>
          <w:szCs w:val="20"/>
        </w:rPr>
        <w:t xml:space="preserve">. Extending the </w:t>
      </w:r>
      <w:r w:rsidR="00916794" w:rsidRPr="004F7F40">
        <w:rPr>
          <w:rFonts w:ascii="Arial" w:hAnsi="Arial" w:cs="Arial"/>
          <w:sz w:val="20"/>
          <w:szCs w:val="20"/>
        </w:rPr>
        <w:t>v</w:t>
      </w:r>
      <w:r w:rsidRPr="004F7F40">
        <w:rPr>
          <w:rFonts w:ascii="Arial" w:hAnsi="Arial" w:cs="Arial"/>
          <w:sz w:val="20"/>
          <w:szCs w:val="20"/>
        </w:rPr>
        <w:t xml:space="preserve">ision of </w:t>
      </w:r>
      <w:r w:rsidR="00916794" w:rsidRPr="004F7F40">
        <w:rPr>
          <w:rFonts w:ascii="Arial" w:hAnsi="Arial" w:cs="Arial"/>
          <w:sz w:val="20"/>
          <w:szCs w:val="20"/>
        </w:rPr>
        <w:t>r</w:t>
      </w:r>
      <w:r w:rsidRPr="004F7F40">
        <w:rPr>
          <w:rFonts w:ascii="Arial" w:hAnsi="Arial" w:cs="Arial"/>
          <w:sz w:val="20"/>
          <w:szCs w:val="20"/>
        </w:rPr>
        <w:t>eform</w:t>
      </w:r>
      <w:r w:rsidR="00916794" w:rsidRPr="004F7F40">
        <w:rPr>
          <w:rFonts w:ascii="Arial" w:hAnsi="Arial" w:cs="Arial"/>
          <w:sz w:val="20"/>
          <w:szCs w:val="20"/>
        </w:rPr>
        <w:t>:</w:t>
      </w:r>
      <w:r w:rsidRPr="004F7F40">
        <w:rPr>
          <w:rFonts w:ascii="Arial" w:hAnsi="Arial" w:cs="Arial"/>
          <w:sz w:val="20"/>
          <w:szCs w:val="20"/>
        </w:rPr>
        <w:t xml:space="preserve"> The Northern Territory </w:t>
      </w:r>
      <w:r w:rsidR="00916794" w:rsidRPr="004F7F40">
        <w:rPr>
          <w:rFonts w:ascii="Arial" w:hAnsi="Arial" w:cs="Arial"/>
          <w:sz w:val="20"/>
          <w:szCs w:val="20"/>
        </w:rPr>
        <w:t>p</w:t>
      </w:r>
      <w:r w:rsidRPr="004F7F40">
        <w:rPr>
          <w:rFonts w:ascii="Arial" w:hAnsi="Arial" w:cs="Arial"/>
          <w:sz w:val="20"/>
          <w:szCs w:val="20"/>
        </w:rPr>
        <w:t xml:space="preserve">erspective. </w:t>
      </w:r>
      <w:r w:rsidRPr="004F7F40">
        <w:rPr>
          <w:rFonts w:ascii="Arial" w:hAnsi="Arial" w:cs="Arial"/>
          <w:i/>
          <w:sz w:val="20"/>
          <w:szCs w:val="20"/>
        </w:rPr>
        <w:t>Australian Journal of Public Administration</w:t>
      </w:r>
      <w:r w:rsidRPr="004F7F40">
        <w:rPr>
          <w:rFonts w:ascii="Arial" w:hAnsi="Arial" w:cs="Arial"/>
          <w:sz w:val="20"/>
          <w:szCs w:val="20"/>
        </w:rPr>
        <w:t>, 54(4)</w:t>
      </w:r>
      <w:r w:rsidR="001F73FC" w:rsidRPr="004F7F40">
        <w:rPr>
          <w:rFonts w:ascii="Arial" w:hAnsi="Arial" w:cs="Arial"/>
          <w:sz w:val="20"/>
          <w:szCs w:val="20"/>
        </w:rPr>
        <w:t>:</w:t>
      </w:r>
      <w:r w:rsidRPr="004F7F40">
        <w:rPr>
          <w:rFonts w:ascii="Arial" w:hAnsi="Arial" w:cs="Arial"/>
          <w:sz w:val="20"/>
          <w:szCs w:val="20"/>
        </w:rPr>
        <w:t xml:space="preserve"> </w:t>
      </w:r>
      <w:r w:rsidR="001F73FC" w:rsidRPr="004F7F40">
        <w:rPr>
          <w:rFonts w:ascii="Arial" w:hAnsi="Arial" w:cs="Arial"/>
          <w:sz w:val="20"/>
          <w:szCs w:val="20"/>
        </w:rPr>
        <w:t xml:space="preserve">pp </w:t>
      </w:r>
      <w:r w:rsidRPr="004F7F40">
        <w:rPr>
          <w:rFonts w:ascii="Arial" w:hAnsi="Arial" w:cs="Arial"/>
          <w:sz w:val="20"/>
          <w:szCs w:val="20"/>
        </w:rPr>
        <w:t>415</w:t>
      </w:r>
      <w:r w:rsidR="001F73FC" w:rsidRPr="004F7F40">
        <w:rPr>
          <w:rFonts w:ascii="Arial" w:hAnsi="Arial" w:cs="Arial"/>
          <w:sz w:val="20"/>
          <w:szCs w:val="20"/>
        </w:rPr>
        <w:t>–</w:t>
      </w:r>
      <w:r w:rsidRPr="004F7F40">
        <w:rPr>
          <w:rFonts w:ascii="Arial" w:hAnsi="Arial" w:cs="Arial"/>
          <w:sz w:val="20"/>
          <w:szCs w:val="20"/>
        </w:rPr>
        <w:t>420</w:t>
      </w:r>
      <w:r w:rsidR="001F73FC" w:rsidRPr="004F7F40">
        <w:rPr>
          <w:rFonts w:ascii="Arial" w:hAnsi="Arial" w:cs="Arial"/>
          <w:sz w:val="20"/>
          <w:szCs w:val="20"/>
        </w:rPr>
        <w:t>.</w:t>
      </w:r>
    </w:p>
    <w:p w14:paraId="769F2771" w14:textId="3723E10C" w:rsidR="005547EE" w:rsidRPr="004F7F40" w:rsidRDefault="005547EE" w:rsidP="00E60292">
      <w:pPr>
        <w:spacing w:before="0" w:after="120"/>
        <w:ind w:left="720" w:hanging="720"/>
        <w:rPr>
          <w:rFonts w:ascii="Arial" w:hAnsi="Arial" w:cs="Arial"/>
          <w:sz w:val="20"/>
          <w:szCs w:val="20"/>
        </w:rPr>
      </w:pPr>
      <w:bookmarkStart w:id="16" w:name="_Hlk42501410"/>
      <w:r w:rsidRPr="004F7F40">
        <w:rPr>
          <w:rFonts w:ascii="Arial" w:hAnsi="Arial" w:cs="Arial"/>
          <w:sz w:val="20"/>
          <w:szCs w:val="20"/>
        </w:rPr>
        <w:t xml:space="preserve">Hawkes, D. </w:t>
      </w:r>
      <w:r w:rsidR="001F73FC" w:rsidRPr="004F7F40">
        <w:rPr>
          <w:rFonts w:ascii="Arial" w:hAnsi="Arial" w:cs="Arial"/>
          <w:sz w:val="20"/>
          <w:szCs w:val="20"/>
        </w:rPr>
        <w:t>(</w:t>
      </w:r>
      <w:r w:rsidR="00226ECA" w:rsidRPr="004F7F40">
        <w:rPr>
          <w:rFonts w:ascii="Arial" w:hAnsi="Arial" w:cs="Arial"/>
          <w:sz w:val="20"/>
          <w:szCs w:val="20"/>
        </w:rPr>
        <w:t>1999</w:t>
      </w:r>
      <w:r w:rsidR="001F73FC" w:rsidRPr="004F7F40">
        <w:rPr>
          <w:rFonts w:ascii="Arial" w:hAnsi="Arial" w:cs="Arial"/>
          <w:sz w:val="20"/>
          <w:szCs w:val="20"/>
        </w:rPr>
        <w:t>)</w:t>
      </w:r>
      <w:r w:rsidRPr="004F7F40">
        <w:rPr>
          <w:rFonts w:ascii="Arial" w:hAnsi="Arial" w:cs="Arial"/>
          <w:sz w:val="20"/>
          <w:szCs w:val="20"/>
        </w:rPr>
        <w:t xml:space="preserve">. Partnership and </w:t>
      </w:r>
      <w:r w:rsidR="00916794" w:rsidRPr="004F7F40">
        <w:rPr>
          <w:rFonts w:ascii="Arial" w:hAnsi="Arial" w:cs="Arial"/>
          <w:sz w:val="20"/>
          <w:szCs w:val="20"/>
        </w:rPr>
        <w:t>p</w:t>
      </w:r>
      <w:r w:rsidRPr="004F7F40">
        <w:rPr>
          <w:rFonts w:ascii="Arial" w:hAnsi="Arial" w:cs="Arial"/>
          <w:sz w:val="20"/>
          <w:szCs w:val="20"/>
        </w:rPr>
        <w:t xml:space="preserve">oliticisation: </w:t>
      </w:r>
      <w:proofErr w:type="gramStart"/>
      <w:r w:rsidRPr="004F7F40">
        <w:rPr>
          <w:rFonts w:ascii="Arial" w:hAnsi="Arial" w:cs="Arial"/>
          <w:sz w:val="20"/>
          <w:szCs w:val="20"/>
        </w:rPr>
        <w:t>New</w:t>
      </w:r>
      <w:proofErr w:type="gramEnd"/>
      <w:r w:rsidRPr="004F7F40">
        <w:rPr>
          <w:rFonts w:ascii="Arial" w:hAnsi="Arial" w:cs="Arial"/>
          <w:sz w:val="20"/>
          <w:szCs w:val="20"/>
        </w:rPr>
        <w:t xml:space="preserve"> </w:t>
      </w:r>
      <w:r w:rsidR="00916794" w:rsidRPr="004F7F40">
        <w:rPr>
          <w:rFonts w:ascii="Arial" w:hAnsi="Arial" w:cs="Arial"/>
          <w:sz w:val="20"/>
          <w:szCs w:val="20"/>
        </w:rPr>
        <w:t>r</w:t>
      </w:r>
      <w:r w:rsidRPr="004F7F40">
        <w:rPr>
          <w:rFonts w:ascii="Arial" w:hAnsi="Arial" w:cs="Arial"/>
          <w:sz w:val="20"/>
          <w:szCs w:val="20"/>
        </w:rPr>
        <w:t xml:space="preserve">elationships for </w:t>
      </w:r>
      <w:r w:rsidR="00916794" w:rsidRPr="004F7F40">
        <w:rPr>
          <w:rFonts w:ascii="Arial" w:hAnsi="Arial" w:cs="Arial"/>
          <w:sz w:val="20"/>
          <w:szCs w:val="20"/>
        </w:rPr>
        <w:t>s</w:t>
      </w:r>
      <w:r w:rsidRPr="004F7F40">
        <w:rPr>
          <w:rFonts w:ascii="Arial" w:hAnsi="Arial" w:cs="Arial"/>
          <w:sz w:val="20"/>
          <w:szCs w:val="20"/>
        </w:rPr>
        <w:t xml:space="preserve">enior </w:t>
      </w:r>
      <w:r w:rsidR="00916794" w:rsidRPr="004F7F40">
        <w:rPr>
          <w:rFonts w:ascii="Arial" w:hAnsi="Arial" w:cs="Arial"/>
          <w:sz w:val="20"/>
          <w:szCs w:val="20"/>
        </w:rPr>
        <w:t>e</w:t>
      </w:r>
      <w:r w:rsidRPr="004F7F40">
        <w:rPr>
          <w:rFonts w:ascii="Arial" w:hAnsi="Arial" w:cs="Arial"/>
          <w:sz w:val="20"/>
          <w:szCs w:val="20"/>
        </w:rPr>
        <w:t>xecutives</w:t>
      </w:r>
      <w:r w:rsidR="00226ECA" w:rsidRPr="004F7F40">
        <w:rPr>
          <w:rFonts w:ascii="Arial" w:hAnsi="Arial" w:cs="Arial"/>
          <w:sz w:val="20"/>
          <w:szCs w:val="20"/>
        </w:rPr>
        <w:t xml:space="preserve"> in the NT</w:t>
      </w:r>
      <w:r w:rsidRPr="004F7F40">
        <w:rPr>
          <w:rFonts w:ascii="Arial" w:hAnsi="Arial" w:cs="Arial"/>
          <w:sz w:val="20"/>
          <w:szCs w:val="20"/>
        </w:rPr>
        <w:t xml:space="preserve">. </w:t>
      </w:r>
      <w:r w:rsidRPr="004F7F40">
        <w:rPr>
          <w:rFonts w:ascii="Arial" w:hAnsi="Arial" w:cs="Arial"/>
          <w:i/>
          <w:sz w:val="20"/>
          <w:szCs w:val="20"/>
        </w:rPr>
        <w:t>Australian Journal of Public Administration</w:t>
      </w:r>
      <w:r w:rsidRPr="004F7F40">
        <w:rPr>
          <w:rFonts w:ascii="Arial" w:hAnsi="Arial" w:cs="Arial"/>
          <w:sz w:val="20"/>
          <w:szCs w:val="20"/>
        </w:rPr>
        <w:t>, 58(3)</w:t>
      </w:r>
      <w:r w:rsidR="001F73FC" w:rsidRPr="004F7F40">
        <w:rPr>
          <w:rFonts w:ascii="Arial" w:hAnsi="Arial" w:cs="Arial"/>
          <w:sz w:val="20"/>
          <w:szCs w:val="20"/>
        </w:rPr>
        <w:t>:</w:t>
      </w:r>
      <w:r w:rsidRPr="004F7F40">
        <w:rPr>
          <w:rFonts w:ascii="Arial" w:hAnsi="Arial" w:cs="Arial"/>
          <w:sz w:val="20"/>
          <w:szCs w:val="20"/>
        </w:rPr>
        <w:t xml:space="preserve"> </w:t>
      </w:r>
      <w:r w:rsidR="001F73FC" w:rsidRPr="004F7F40">
        <w:rPr>
          <w:rFonts w:ascii="Arial" w:hAnsi="Arial" w:cs="Arial"/>
          <w:sz w:val="20"/>
          <w:szCs w:val="20"/>
        </w:rPr>
        <w:t xml:space="preserve">pp </w:t>
      </w:r>
      <w:r w:rsidRPr="004F7F40">
        <w:rPr>
          <w:rFonts w:ascii="Arial" w:hAnsi="Arial" w:cs="Arial"/>
          <w:sz w:val="20"/>
          <w:szCs w:val="20"/>
        </w:rPr>
        <w:t>80</w:t>
      </w:r>
      <w:r w:rsidR="001F73FC" w:rsidRPr="004F7F40">
        <w:rPr>
          <w:rFonts w:ascii="Arial" w:hAnsi="Arial" w:cs="Arial"/>
          <w:sz w:val="20"/>
          <w:szCs w:val="20"/>
        </w:rPr>
        <w:t>–</w:t>
      </w:r>
      <w:r w:rsidRPr="004F7F40">
        <w:rPr>
          <w:rFonts w:ascii="Arial" w:hAnsi="Arial" w:cs="Arial"/>
          <w:sz w:val="20"/>
          <w:szCs w:val="20"/>
        </w:rPr>
        <w:t>88</w:t>
      </w:r>
      <w:r w:rsidR="001F73FC" w:rsidRPr="004F7F40">
        <w:rPr>
          <w:rFonts w:ascii="Arial" w:hAnsi="Arial" w:cs="Arial"/>
          <w:sz w:val="20"/>
          <w:szCs w:val="20"/>
        </w:rPr>
        <w:t>.</w:t>
      </w:r>
    </w:p>
    <w:bookmarkEnd w:id="16"/>
    <w:p w14:paraId="4E80849D" w14:textId="77777777" w:rsidR="000D4294" w:rsidRPr="004F7F40" w:rsidRDefault="000D4294" w:rsidP="000D4294">
      <w:pPr>
        <w:spacing w:before="0" w:after="120"/>
        <w:ind w:left="720" w:hanging="720"/>
        <w:rPr>
          <w:rFonts w:ascii="Arial" w:hAnsi="Arial" w:cs="Arial"/>
          <w:sz w:val="20"/>
          <w:szCs w:val="20"/>
        </w:rPr>
      </w:pPr>
      <w:r w:rsidRPr="004F7F40">
        <w:rPr>
          <w:rFonts w:ascii="Arial" w:hAnsi="Arial" w:cs="Arial"/>
          <w:sz w:val="20"/>
          <w:szCs w:val="20"/>
        </w:rPr>
        <w:t xml:space="preserve">Hawkes, D. (1991). </w:t>
      </w:r>
      <w:r w:rsidRPr="004F7F40">
        <w:rPr>
          <w:rFonts w:ascii="Arial" w:hAnsi="Arial" w:cs="Arial"/>
          <w:i/>
          <w:sz w:val="20"/>
          <w:szCs w:val="20"/>
        </w:rPr>
        <w:t>The Proposed Public Sector Management Act: An Address by David Hawkes to the Industrial Relations Society of the Northern Territory</w:t>
      </w:r>
      <w:r w:rsidRPr="004F7F40">
        <w:rPr>
          <w:rFonts w:ascii="Arial" w:hAnsi="Arial" w:cs="Arial"/>
          <w:sz w:val="20"/>
          <w:szCs w:val="20"/>
        </w:rPr>
        <w:t xml:space="preserve"> (unpublished).</w:t>
      </w:r>
    </w:p>
    <w:p w14:paraId="52B90D5D" w14:textId="2686E942" w:rsidR="005547EE" w:rsidRPr="004F7F40" w:rsidRDefault="005547EE" w:rsidP="00E60292">
      <w:pPr>
        <w:spacing w:before="0" w:after="120"/>
        <w:ind w:left="720" w:hanging="720"/>
        <w:rPr>
          <w:rFonts w:ascii="Arial" w:hAnsi="Arial" w:cs="Arial"/>
          <w:sz w:val="20"/>
          <w:szCs w:val="20"/>
        </w:rPr>
      </w:pPr>
      <w:r w:rsidRPr="004F7F40">
        <w:rPr>
          <w:rFonts w:ascii="Arial" w:hAnsi="Arial" w:cs="Arial"/>
          <w:sz w:val="20"/>
          <w:szCs w:val="20"/>
        </w:rPr>
        <w:t>Hawkes, D</w:t>
      </w:r>
      <w:r w:rsidR="001F73FC" w:rsidRPr="004F7F40">
        <w:rPr>
          <w:rFonts w:ascii="Arial" w:hAnsi="Arial" w:cs="Arial"/>
          <w:sz w:val="20"/>
          <w:szCs w:val="20"/>
        </w:rPr>
        <w:t>.</w:t>
      </w:r>
      <w:r w:rsidRPr="004F7F40">
        <w:rPr>
          <w:rFonts w:ascii="Arial" w:hAnsi="Arial" w:cs="Arial"/>
          <w:sz w:val="20"/>
          <w:szCs w:val="20"/>
        </w:rPr>
        <w:t xml:space="preserve"> </w:t>
      </w:r>
      <w:r w:rsidR="001F73FC" w:rsidRPr="004F7F40">
        <w:rPr>
          <w:rFonts w:ascii="Arial" w:hAnsi="Arial" w:cs="Arial"/>
          <w:sz w:val="20"/>
          <w:szCs w:val="20"/>
        </w:rPr>
        <w:t>&amp; K. Moir (1997)</w:t>
      </w:r>
      <w:r w:rsidRPr="004F7F40">
        <w:rPr>
          <w:rFonts w:ascii="Arial" w:hAnsi="Arial" w:cs="Arial"/>
          <w:sz w:val="20"/>
          <w:szCs w:val="20"/>
        </w:rPr>
        <w:t xml:space="preserve">. Australia’s Northern Territory perspectives of public sector reform. </w:t>
      </w:r>
      <w:r w:rsidRPr="004F7F40">
        <w:rPr>
          <w:rFonts w:ascii="Arial" w:hAnsi="Arial" w:cs="Arial"/>
          <w:i/>
          <w:iCs/>
          <w:sz w:val="20"/>
          <w:szCs w:val="20"/>
        </w:rPr>
        <w:t>Public Administration and Development 17</w:t>
      </w:r>
      <w:r w:rsidRPr="004F7F40">
        <w:rPr>
          <w:rFonts w:ascii="Arial" w:hAnsi="Arial" w:cs="Arial"/>
          <w:sz w:val="20"/>
          <w:szCs w:val="20"/>
        </w:rPr>
        <w:t xml:space="preserve">, </w:t>
      </w:r>
      <w:r w:rsidR="001F73FC" w:rsidRPr="004F7F40">
        <w:rPr>
          <w:rFonts w:ascii="Arial" w:hAnsi="Arial" w:cs="Arial"/>
          <w:sz w:val="20"/>
          <w:szCs w:val="20"/>
        </w:rPr>
        <w:t xml:space="preserve">pp </w:t>
      </w:r>
      <w:r w:rsidRPr="004F7F40">
        <w:rPr>
          <w:rFonts w:ascii="Arial" w:hAnsi="Arial" w:cs="Arial"/>
          <w:sz w:val="20"/>
          <w:szCs w:val="20"/>
        </w:rPr>
        <w:t>181</w:t>
      </w:r>
      <w:r w:rsidR="001F73FC" w:rsidRPr="004F7F40">
        <w:rPr>
          <w:rFonts w:ascii="Arial" w:hAnsi="Arial" w:cs="Arial"/>
          <w:sz w:val="20"/>
          <w:szCs w:val="20"/>
        </w:rPr>
        <w:softHyphen/>
        <w:t>–</w:t>
      </w:r>
      <w:r w:rsidRPr="004F7F40">
        <w:rPr>
          <w:rFonts w:ascii="Arial" w:hAnsi="Arial" w:cs="Arial"/>
          <w:sz w:val="20"/>
          <w:szCs w:val="20"/>
        </w:rPr>
        <w:t>195.</w:t>
      </w:r>
    </w:p>
    <w:p w14:paraId="4EC7365F" w14:textId="2ADFC594" w:rsidR="00741854" w:rsidRPr="004F7F40" w:rsidRDefault="0061533C" w:rsidP="00741854">
      <w:pPr>
        <w:ind w:left="720" w:hanging="720"/>
        <w:rPr>
          <w:rFonts w:ascii="Arial" w:hAnsi="Arial" w:cs="Arial"/>
          <w:sz w:val="20"/>
          <w:szCs w:val="20"/>
        </w:rPr>
      </w:pPr>
      <w:bookmarkStart w:id="17" w:name="_Hlk40862864"/>
      <w:r w:rsidRPr="004F7F40">
        <w:rPr>
          <w:rFonts w:ascii="Arial" w:hAnsi="Arial" w:cs="Arial"/>
          <w:sz w:val="20"/>
          <w:szCs w:val="20"/>
        </w:rPr>
        <w:t xml:space="preserve">Horne, N. (2007). </w:t>
      </w:r>
      <w:r w:rsidRPr="004F7F40">
        <w:rPr>
          <w:rFonts w:ascii="Arial" w:hAnsi="Arial" w:cs="Arial"/>
          <w:i/>
          <w:iCs/>
          <w:sz w:val="20"/>
          <w:szCs w:val="20"/>
        </w:rPr>
        <w:t>A Chronology of Northern Territory Constitutional and Statehood Milestones 1825–2007</w:t>
      </w:r>
      <w:r w:rsidRPr="004F7F40">
        <w:rPr>
          <w:rFonts w:ascii="Arial" w:hAnsi="Arial" w:cs="Arial"/>
          <w:sz w:val="20"/>
          <w:szCs w:val="20"/>
        </w:rPr>
        <w:t xml:space="preserve">. Australian Parliamentary Library. Retrieved from </w:t>
      </w:r>
      <w:hyperlink r:id="rId26" w:history="1">
        <w:r w:rsidRPr="004F7F40">
          <w:rPr>
            <w:rStyle w:val="Hyperlink"/>
            <w:rFonts w:ascii="Arial" w:hAnsi="Arial" w:cs="Arial"/>
            <w:color w:val="auto"/>
            <w:sz w:val="20"/>
            <w:szCs w:val="20"/>
          </w:rPr>
          <w:t>https://www.aph.gov.au/About_Parliament/Parliamentary_Departments/Parliamentary_Library/Publications_Archive/online/NTConstitutionalMilestones</w:t>
        </w:r>
      </w:hyperlink>
      <w:r w:rsidRPr="004F7F40">
        <w:rPr>
          <w:rFonts w:ascii="Arial" w:hAnsi="Arial" w:cs="Arial"/>
          <w:sz w:val="20"/>
          <w:szCs w:val="20"/>
        </w:rPr>
        <w:t xml:space="preserve"> on 20 May 2020.</w:t>
      </w:r>
      <w:bookmarkEnd w:id="17"/>
      <w:r w:rsidR="00741854" w:rsidRPr="004F7F40">
        <w:rPr>
          <w:rFonts w:ascii="Arial" w:hAnsi="Arial" w:cs="Arial"/>
          <w:sz w:val="20"/>
          <w:szCs w:val="20"/>
        </w:rPr>
        <w:t xml:space="preserve">James, F. (2020) NT Government increases cap on public service jobs despite budget repair advice. ABC News, 2 November. Retrieved from </w:t>
      </w:r>
      <w:hyperlink r:id="rId27" w:history="1">
        <w:r w:rsidR="00741854" w:rsidRPr="004F7F40">
          <w:rPr>
            <w:rStyle w:val="Hyperlink"/>
            <w:rFonts w:ascii="Arial" w:hAnsi="Arial" w:cs="Arial"/>
            <w:sz w:val="20"/>
            <w:szCs w:val="20"/>
          </w:rPr>
          <w:t>https://www.abc.net.au/news/2020-11-02/nt-government-increases-cap-on-public-sector-jobs/12833458</w:t>
        </w:r>
      </w:hyperlink>
    </w:p>
    <w:p w14:paraId="77C1B5B9" w14:textId="77499ABA" w:rsidR="00ED1B1C" w:rsidRPr="004F7F40" w:rsidRDefault="00ED1B1C" w:rsidP="00B63D00">
      <w:pPr>
        <w:spacing w:before="0" w:after="120"/>
        <w:ind w:left="720" w:hanging="720"/>
        <w:rPr>
          <w:rFonts w:ascii="Arial" w:hAnsi="Arial" w:cs="Arial"/>
          <w:sz w:val="20"/>
          <w:szCs w:val="20"/>
        </w:rPr>
      </w:pPr>
      <w:r w:rsidRPr="004F7F40">
        <w:rPr>
          <w:rFonts w:ascii="Arial" w:hAnsi="Arial" w:cs="Arial"/>
          <w:sz w:val="20"/>
          <w:szCs w:val="20"/>
        </w:rPr>
        <w:lastRenderedPageBreak/>
        <w:t xml:space="preserve">House of Representatives (2009). </w:t>
      </w:r>
      <w:r w:rsidRPr="004F7F40">
        <w:rPr>
          <w:rFonts w:ascii="Arial" w:hAnsi="Arial" w:cs="Arial"/>
          <w:i/>
          <w:iCs/>
          <w:sz w:val="20"/>
          <w:szCs w:val="20"/>
        </w:rPr>
        <w:t>The Global Financial Crisis and Regional Australia</w:t>
      </w:r>
      <w:r w:rsidRPr="004F7F40">
        <w:rPr>
          <w:rFonts w:ascii="Arial" w:hAnsi="Arial" w:cs="Arial"/>
          <w:sz w:val="20"/>
          <w:szCs w:val="20"/>
        </w:rPr>
        <w:t xml:space="preserve">. Standing Committee on Infrastructure, </w:t>
      </w:r>
      <w:proofErr w:type="spellStart"/>
      <w:r w:rsidRPr="004F7F40">
        <w:rPr>
          <w:rFonts w:ascii="Arial" w:hAnsi="Arial" w:cs="Arial"/>
          <w:sz w:val="20"/>
          <w:szCs w:val="20"/>
        </w:rPr>
        <w:t>Trasnport</w:t>
      </w:r>
      <w:proofErr w:type="spellEnd"/>
      <w:r w:rsidRPr="004F7F40">
        <w:rPr>
          <w:rFonts w:ascii="Arial" w:hAnsi="Arial" w:cs="Arial"/>
          <w:sz w:val="20"/>
          <w:szCs w:val="20"/>
        </w:rPr>
        <w:t xml:space="preserve">, Regional Development &amp; Local Government. Retrieved from </w:t>
      </w:r>
      <w:hyperlink r:id="rId28" w:history="1">
        <w:r w:rsidRPr="004F7F40">
          <w:rPr>
            <w:rStyle w:val="Hyperlink"/>
            <w:rFonts w:ascii="Arial" w:hAnsi="Arial" w:cs="Arial"/>
            <w:sz w:val="20"/>
            <w:szCs w:val="20"/>
          </w:rPr>
          <w:t>https://www.aph.gov.au/binaries/house/committee/itrdlg/financialcrisis/report/gfc%20final%20report.pdf</w:t>
        </w:r>
      </w:hyperlink>
      <w:r w:rsidRPr="004F7F40">
        <w:rPr>
          <w:rFonts w:ascii="Arial" w:hAnsi="Arial" w:cs="Arial"/>
          <w:sz w:val="20"/>
          <w:szCs w:val="20"/>
        </w:rPr>
        <w:t xml:space="preserve"> in July 2021.</w:t>
      </w:r>
    </w:p>
    <w:p w14:paraId="3CD3CC4B" w14:textId="70012A53" w:rsidR="0061533C" w:rsidRPr="004F7F40" w:rsidRDefault="005F16DF" w:rsidP="00B10C19">
      <w:pPr>
        <w:spacing w:before="0" w:after="120"/>
        <w:ind w:left="720" w:hanging="578"/>
        <w:rPr>
          <w:rFonts w:ascii="Arial" w:hAnsi="Arial" w:cs="Arial"/>
          <w:sz w:val="20"/>
          <w:szCs w:val="20"/>
        </w:rPr>
      </w:pPr>
      <w:proofErr w:type="spellStart"/>
      <w:r w:rsidRPr="004F7F40">
        <w:rPr>
          <w:rFonts w:ascii="Arial" w:hAnsi="Arial" w:cs="Arial"/>
          <w:sz w:val="20"/>
          <w:szCs w:val="20"/>
        </w:rPr>
        <w:t>Langoulant</w:t>
      </w:r>
      <w:proofErr w:type="spellEnd"/>
      <w:r w:rsidRPr="004F7F40">
        <w:rPr>
          <w:rFonts w:ascii="Arial" w:hAnsi="Arial" w:cs="Arial"/>
          <w:sz w:val="20"/>
          <w:szCs w:val="20"/>
        </w:rPr>
        <w:t xml:space="preserve">, J. and the Fiscal Strategy Panel (2019). </w:t>
      </w:r>
      <w:r w:rsidRPr="004F7F40">
        <w:rPr>
          <w:rFonts w:ascii="Arial" w:hAnsi="Arial" w:cs="Arial"/>
          <w:i/>
          <w:iCs/>
          <w:sz w:val="20"/>
          <w:szCs w:val="20"/>
        </w:rPr>
        <w:t>A Plan for Budget Repair: Final Report</w:t>
      </w:r>
      <w:r w:rsidRPr="004F7F40">
        <w:rPr>
          <w:rFonts w:ascii="Arial" w:hAnsi="Arial" w:cs="Arial"/>
          <w:sz w:val="20"/>
          <w:szCs w:val="20"/>
        </w:rPr>
        <w:t xml:space="preserve">. Retrieved from </w:t>
      </w:r>
      <w:hyperlink r:id="rId29" w:history="1">
        <w:r w:rsidRPr="004F7F40">
          <w:rPr>
            <w:rFonts w:ascii="Arial" w:hAnsi="Arial" w:cs="Arial"/>
            <w:sz w:val="20"/>
            <w:szCs w:val="20"/>
            <w:u w:val="single"/>
          </w:rPr>
          <w:t>https://treasury.nt.gov.au/__data/assets/pdf_file/0010/683461/Budget-Repair-Final-Report.pdf</w:t>
        </w:r>
      </w:hyperlink>
      <w:r w:rsidRPr="004F7F40">
        <w:rPr>
          <w:rFonts w:ascii="Arial" w:hAnsi="Arial" w:cs="Arial"/>
          <w:sz w:val="20"/>
          <w:szCs w:val="20"/>
        </w:rPr>
        <w:t xml:space="preserve"> on 2 June 2020.</w:t>
      </w:r>
    </w:p>
    <w:p w14:paraId="38CC50D8" w14:textId="77777777" w:rsidR="000A6581" w:rsidRPr="004F7F40" w:rsidRDefault="006D55CE" w:rsidP="00E60292">
      <w:pPr>
        <w:spacing w:before="0" w:after="120"/>
        <w:ind w:left="862" w:hanging="720"/>
        <w:rPr>
          <w:rStyle w:val="Hyperlink"/>
          <w:rFonts w:ascii="Arial" w:hAnsi="Arial" w:cs="Arial"/>
          <w:sz w:val="20"/>
          <w:szCs w:val="20"/>
        </w:rPr>
      </w:pPr>
      <w:proofErr w:type="spellStart"/>
      <w:r w:rsidRPr="004F7F40">
        <w:rPr>
          <w:rFonts w:ascii="Arial" w:hAnsi="Arial" w:cs="Arial"/>
          <w:sz w:val="20"/>
          <w:szCs w:val="20"/>
        </w:rPr>
        <w:t>Manison</w:t>
      </w:r>
      <w:proofErr w:type="spellEnd"/>
      <w:r w:rsidRPr="004F7F40">
        <w:rPr>
          <w:rFonts w:ascii="Arial" w:hAnsi="Arial" w:cs="Arial"/>
          <w:sz w:val="20"/>
          <w:szCs w:val="20"/>
        </w:rPr>
        <w:t>, N. (2019). Plan to fix the budget: Pay freeze implemented. Media Statement, Treasurer, 11 June. Retrieved from https://newsroom.nt.gov.au/mediaRelease/30118</w:t>
      </w:r>
      <w:r w:rsidRPr="004F7F40">
        <w:rPr>
          <w:rFonts w:ascii="Arial" w:hAnsi="Arial" w:cs="Arial"/>
        </w:rPr>
        <w:t xml:space="preserve"> </w:t>
      </w:r>
      <w:hyperlink r:id="rId30" w:history="1">
        <w:r w:rsidRPr="004F7F40">
          <w:rPr>
            <w:rStyle w:val="Hyperlink"/>
            <w:rFonts w:ascii="Arial" w:hAnsi="Arial" w:cs="Arial"/>
            <w:sz w:val="20"/>
            <w:szCs w:val="20"/>
          </w:rPr>
          <w:t>https://newsroom.nt.gov.au/mediaRelease/30118</w:t>
        </w:r>
      </w:hyperlink>
    </w:p>
    <w:p w14:paraId="32B657AC" w14:textId="52D10C29" w:rsidR="00A33078" w:rsidRPr="004F7F40" w:rsidRDefault="00A33078" w:rsidP="00E60292">
      <w:pPr>
        <w:spacing w:before="0" w:after="120"/>
        <w:ind w:left="862" w:hanging="720"/>
        <w:rPr>
          <w:rFonts w:ascii="Arial" w:hAnsi="Arial" w:cs="Arial"/>
          <w:sz w:val="20"/>
          <w:szCs w:val="20"/>
        </w:rPr>
      </w:pPr>
      <w:r w:rsidRPr="004F7F40">
        <w:rPr>
          <w:rFonts w:ascii="Arial" w:hAnsi="Arial" w:cs="Arial"/>
          <w:sz w:val="20"/>
          <w:szCs w:val="20"/>
        </w:rPr>
        <w:t xml:space="preserve">NT Treasury </w:t>
      </w:r>
      <w:r w:rsidR="004A17A9" w:rsidRPr="004F7F40">
        <w:rPr>
          <w:rFonts w:ascii="Arial" w:hAnsi="Arial" w:cs="Arial"/>
          <w:sz w:val="20"/>
          <w:szCs w:val="20"/>
        </w:rPr>
        <w:t>(</w:t>
      </w:r>
      <w:r w:rsidRPr="004F7F40">
        <w:rPr>
          <w:rFonts w:ascii="Arial" w:hAnsi="Arial" w:cs="Arial"/>
          <w:sz w:val="20"/>
          <w:szCs w:val="20"/>
        </w:rPr>
        <w:t>2019</w:t>
      </w:r>
      <w:r w:rsidR="004A17A9" w:rsidRPr="004F7F40">
        <w:rPr>
          <w:rFonts w:ascii="Arial" w:hAnsi="Arial" w:cs="Arial"/>
          <w:sz w:val="20"/>
          <w:szCs w:val="20"/>
        </w:rPr>
        <w:t>).</w:t>
      </w:r>
      <w:r w:rsidRPr="004F7F40">
        <w:rPr>
          <w:rFonts w:ascii="Arial" w:hAnsi="Arial" w:cs="Arial"/>
          <w:sz w:val="20"/>
          <w:szCs w:val="20"/>
        </w:rPr>
        <w:t xml:space="preserve"> </w:t>
      </w:r>
      <w:r w:rsidRPr="004F7F40">
        <w:rPr>
          <w:rFonts w:ascii="Arial" w:hAnsi="Arial" w:cs="Arial"/>
          <w:i/>
          <w:sz w:val="20"/>
          <w:szCs w:val="20"/>
        </w:rPr>
        <w:t>NT Government response to the Fiscal Strategy Panel: Final report</w:t>
      </w:r>
      <w:r w:rsidRPr="004F7F40">
        <w:rPr>
          <w:rFonts w:ascii="Arial" w:hAnsi="Arial" w:cs="Arial"/>
          <w:sz w:val="20"/>
          <w:szCs w:val="20"/>
        </w:rPr>
        <w:t xml:space="preserve">, </w:t>
      </w:r>
      <w:hyperlink r:id="rId31" w:history="1">
        <w:r w:rsidRPr="004F7F40">
          <w:rPr>
            <w:rStyle w:val="Hyperlink"/>
            <w:rFonts w:ascii="Arial" w:hAnsi="Arial" w:cs="Arial"/>
            <w:color w:val="auto"/>
            <w:sz w:val="20"/>
            <w:szCs w:val="20"/>
          </w:rPr>
          <w:t>https://treasury.nt.gov.au/__data/assets/pdf_file/0009/683838/Recommendations.pdf</w:t>
        </w:r>
      </w:hyperlink>
    </w:p>
    <w:p w14:paraId="529F2FE7" w14:textId="364C7C44" w:rsidR="007B1C80" w:rsidRPr="004F7F40" w:rsidRDefault="007B1C80" w:rsidP="007B1C80">
      <w:pPr>
        <w:spacing w:after="120"/>
        <w:ind w:left="720" w:hanging="720"/>
        <w:rPr>
          <w:rFonts w:ascii="Arial" w:hAnsi="Arial" w:cs="Arial"/>
          <w:sz w:val="20"/>
          <w:szCs w:val="20"/>
        </w:rPr>
      </w:pPr>
      <w:r w:rsidRPr="004F7F40">
        <w:rPr>
          <w:rFonts w:ascii="Arial" w:hAnsi="Arial" w:cs="Arial"/>
          <w:sz w:val="20"/>
          <w:szCs w:val="20"/>
        </w:rPr>
        <w:t xml:space="preserve">  OCPE (2021). NTPS Bargaining Policy 2021-2024 released. Commissioner’s Bulletin, 9 March. Retrieved from </w:t>
      </w:r>
      <w:hyperlink r:id="rId32" w:history="1">
        <w:r w:rsidRPr="004F7F40">
          <w:rPr>
            <w:rStyle w:val="Hyperlink"/>
            <w:rFonts w:ascii="Arial" w:hAnsi="Arial" w:cs="Arial"/>
            <w:sz w:val="20"/>
            <w:szCs w:val="20"/>
          </w:rPr>
          <w:t>https://ocpe.nt.gov.au/__data/assets/pdf_file/0005/981743/commissioners-bulletin-ntps-bargaining-policy2021-2024.pdf</w:t>
        </w:r>
      </w:hyperlink>
    </w:p>
    <w:p w14:paraId="3FF09BC9" w14:textId="77777777" w:rsidR="007B1C80" w:rsidRPr="004F7F40" w:rsidRDefault="007B1C80" w:rsidP="007B1C80">
      <w:pPr>
        <w:widowControl w:val="0"/>
        <w:tabs>
          <w:tab w:val="left" w:pos="2482"/>
        </w:tabs>
        <w:spacing w:before="0" w:after="120"/>
        <w:ind w:left="862" w:hanging="720"/>
        <w:rPr>
          <w:rFonts w:ascii="Arial" w:hAnsi="Arial" w:cs="Arial"/>
          <w:sz w:val="20"/>
          <w:szCs w:val="20"/>
        </w:rPr>
      </w:pPr>
      <w:r w:rsidRPr="004F7F40">
        <w:rPr>
          <w:rFonts w:ascii="Arial" w:hAnsi="Arial" w:cs="Arial"/>
          <w:sz w:val="20"/>
          <w:szCs w:val="20"/>
        </w:rPr>
        <w:t xml:space="preserve">OCPE (2020a). Public Sector Employment and Management Act and Regulations (PSEMA). </w:t>
      </w:r>
      <w:hyperlink r:id="rId33" w:history="1">
        <w:r w:rsidRPr="004F7F40">
          <w:rPr>
            <w:rStyle w:val="Hyperlink"/>
            <w:rFonts w:ascii="Arial" w:hAnsi="Arial" w:cs="Arial"/>
            <w:sz w:val="20"/>
            <w:szCs w:val="20"/>
          </w:rPr>
          <w:t>https://ocpe.nt.gov.au/employment-law/public-sector-employment-and-management-act-and-regulations</w:t>
        </w:r>
      </w:hyperlink>
    </w:p>
    <w:p w14:paraId="750A5799" w14:textId="1F18A443" w:rsidR="007B1C80" w:rsidRPr="004F7F40" w:rsidRDefault="007B1C80" w:rsidP="007B1C80">
      <w:pPr>
        <w:spacing w:before="0" w:after="120"/>
        <w:ind w:left="862" w:hanging="720"/>
        <w:rPr>
          <w:rFonts w:ascii="Arial" w:hAnsi="Arial" w:cs="Arial"/>
          <w:sz w:val="20"/>
          <w:szCs w:val="20"/>
        </w:rPr>
      </w:pPr>
      <w:r w:rsidRPr="004F7F40">
        <w:rPr>
          <w:rFonts w:ascii="Arial" w:hAnsi="Arial" w:cs="Arial"/>
          <w:sz w:val="20"/>
          <w:szCs w:val="20"/>
        </w:rPr>
        <w:t xml:space="preserve">OCPE (2020b). </w:t>
      </w:r>
      <w:r w:rsidRPr="004F7F40">
        <w:rPr>
          <w:rFonts w:ascii="Arial" w:hAnsi="Arial" w:cs="Arial"/>
          <w:i/>
          <w:iCs/>
          <w:sz w:val="20"/>
          <w:szCs w:val="20"/>
        </w:rPr>
        <w:t>State of the Service Report 2019–20</w:t>
      </w:r>
      <w:r w:rsidRPr="004F7F40">
        <w:rPr>
          <w:rFonts w:ascii="Arial" w:hAnsi="Arial" w:cs="Arial"/>
          <w:sz w:val="20"/>
          <w:szCs w:val="20"/>
        </w:rPr>
        <w:t xml:space="preserve">. Darwin: Office of the Commissioner for Public Employment. Retrieved from </w:t>
      </w:r>
      <w:hyperlink r:id="rId34" w:history="1">
        <w:r w:rsidRPr="004F7F40">
          <w:rPr>
            <w:rStyle w:val="Hyperlink"/>
            <w:rFonts w:ascii="Arial" w:hAnsi="Arial" w:cs="Arial"/>
            <w:sz w:val="20"/>
            <w:szCs w:val="20"/>
          </w:rPr>
          <w:t>https://ocpe.nt.gov.au/__data/assets/pdf_file/0007/944494/ocpe-2019-20-state-of-service-report.pdf</w:t>
        </w:r>
      </w:hyperlink>
    </w:p>
    <w:p w14:paraId="62F3BB88" w14:textId="77777777" w:rsidR="007B1C80" w:rsidRPr="004F7F40" w:rsidRDefault="007B1C80" w:rsidP="007B1C80">
      <w:pPr>
        <w:widowControl w:val="0"/>
        <w:tabs>
          <w:tab w:val="left" w:pos="2482"/>
        </w:tabs>
        <w:spacing w:before="0" w:after="120"/>
        <w:ind w:left="862" w:hanging="720"/>
        <w:rPr>
          <w:rFonts w:ascii="Arial" w:hAnsi="Arial" w:cs="Arial"/>
          <w:sz w:val="20"/>
          <w:szCs w:val="20"/>
        </w:rPr>
      </w:pPr>
      <w:r w:rsidRPr="004F7F40">
        <w:rPr>
          <w:rFonts w:ascii="Arial" w:hAnsi="Arial" w:cs="Arial"/>
          <w:sz w:val="20"/>
          <w:szCs w:val="20"/>
        </w:rPr>
        <w:t xml:space="preserve">OCPE (2019). </w:t>
      </w:r>
      <w:r w:rsidRPr="004F7F40">
        <w:rPr>
          <w:rFonts w:ascii="Arial" w:hAnsi="Arial" w:cs="Arial"/>
          <w:i/>
          <w:iCs/>
          <w:sz w:val="20"/>
          <w:szCs w:val="20"/>
        </w:rPr>
        <w:t>State of the Service Report 2018–19</w:t>
      </w:r>
      <w:r w:rsidRPr="004F7F40">
        <w:rPr>
          <w:rFonts w:ascii="Arial" w:hAnsi="Arial" w:cs="Arial"/>
          <w:sz w:val="20"/>
          <w:szCs w:val="20"/>
        </w:rPr>
        <w:t>. Office of the Commissioner for Public Employment.</w:t>
      </w:r>
    </w:p>
    <w:p w14:paraId="7E8A79FD" w14:textId="77777777" w:rsidR="007B1C80" w:rsidRPr="004F7F40" w:rsidRDefault="007B1C80" w:rsidP="007B1C80">
      <w:pPr>
        <w:widowControl w:val="0"/>
        <w:tabs>
          <w:tab w:val="left" w:pos="2482"/>
        </w:tabs>
        <w:spacing w:before="0" w:after="120"/>
        <w:ind w:left="142"/>
        <w:rPr>
          <w:rFonts w:ascii="Arial" w:hAnsi="Arial" w:cs="Arial"/>
          <w:sz w:val="20"/>
          <w:szCs w:val="20"/>
        </w:rPr>
      </w:pPr>
      <w:r w:rsidRPr="004F7F40">
        <w:rPr>
          <w:rFonts w:ascii="Arial" w:hAnsi="Arial" w:cs="Arial"/>
          <w:sz w:val="20"/>
          <w:szCs w:val="20"/>
        </w:rPr>
        <w:t xml:space="preserve">OCPE (2017). </w:t>
      </w:r>
      <w:r w:rsidRPr="004F7F40">
        <w:rPr>
          <w:rFonts w:ascii="Arial" w:hAnsi="Arial" w:cs="Arial"/>
          <w:i/>
          <w:sz w:val="20"/>
          <w:szCs w:val="20"/>
        </w:rPr>
        <w:t>OCPE Strategic Plan</w:t>
      </w:r>
      <w:r w:rsidRPr="004F7F40">
        <w:rPr>
          <w:rFonts w:ascii="Arial" w:hAnsi="Arial" w:cs="Arial"/>
          <w:sz w:val="20"/>
          <w:szCs w:val="20"/>
        </w:rPr>
        <w:t>. Northern Territory Government: Darwin</w:t>
      </w:r>
    </w:p>
    <w:p w14:paraId="1751C0D4" w14:textId="77777777" w:rsidR="007B1C80" w:rsidRPr="004F7F40" w:rsidRDefault="007B1C80" w:rsidP="007B1C80">
      <w:pPr>
        <w:widowControl w:val="0"/>
        <w:tabs>
          <w:tab w:val="left" w:pos="2482"/>
        </w:tabs>
        <w:spacing w:before="0" w:after="120"/>
        <w:ind w:left="862" w:hanging="720"/>
        <w:rPr>
          <w:rFonts w:ascii="Arial" w:hAnsi="Arial" w:cs="Arial"/>
          <w:sz w:val="20"/>
          <w:szCs w:val="20"/>
        </w:rPr>
      </w:pPr>
      <w:r w:rsidRPr="004F7F40">
        <w:rPr>
          <w:rFonts w:ascii="Arial" w:hAnsi="Arial" w:cs="Arial"/>
          <w:sz w:val="20"/>
          <w:szCs w:val="20"/>
        </w:rPr>
        <w:t xml:space="preserve">OCPE (2015). </w:t>
      </w:r>
      <w:r w:rsidRPr="004F7F40">
        <w:rPr>
          <w:rFonts w:ascii="Arial" w:hAnsi="Arial" w:cs="Arial"/>
          <w:i/>
          <w:sz w:val="20"/>
          <w:szCs w:val="20"/>
        </w:rPr>
        <w:t>Human Resources Capability Framework 2015-20</w:t>
      </w:r>
      <w:r w:rsidRPr="004F7F40">
        <w:rPr>
          <w:rFonts w:ascii="Arial" w:hAnsi="Arial" w:cs="Arial"/>
          <w:sz w:val="20"/>
          <w:szCs w:val="20"/>
        </w:rPr>
        <w:t>. Northern Territory Government: Darwin</w:t>
      </w:r>
    </w:p>
    <w:p w14:paraId="155311D5" w14:textId="77777777" w:rsidR="007B1C80" w:rsidRPr="004F7F40" w:rsidRDefault="007B1C80" w:rsidP="007B1C80">
      <w:pPr>
        <w:spacing w:before="0" w:after="120"/>
        <w:ind w:left="862" w:hanging="720"/>
        <w:rPr>
          <w:rFonts w:ascii="Arial" w:hAnsi="Arial" w:cs="Arial"/>
          <w:sz w:val="20"/>
          <w:szCs w:val="20"/>
        </w:rPr>
      </w:pPr>
      <w:r w:rsidRPr="004F7F40">
        <w:rPr>
          <w:rFonts w:ascii="Arial" w:hAnsi="Arial" w:cs="Arial"/>
          <w:sz w:val="20"/>
          <w:szCs w:val="20"/>
        </w:rPr>
        <w:t xml:space="preserve">OCPE (2011). </w:t>
      </w:r>
      <w:r w:rsidRPr="004F7F40">
        <w:rPr>
          <w:rFonts w:ascii="Arial" w:hAnsi="Arial" w:cs="Arial"/>
          <w:i/>
          <w:iCs/>
          <w:sz w:val="20"/>
          <w:szCs w:val="20"/>
        </w:rPr>
        <w:t>Executive Contract Employment in the Northern Territory Public Sector</w:t>
      </w:r>
      <w:r w:rsidRPr="004F7F40">
        <w:rPr>
          <w:rFonts w:ascii="Arial" w:hAnsi="Arial" w:cs="Arial"/>
          <w:sz w:val="20"/>
          <w:szCs w:val="20"/>
        </w:rPr>
        <w:t xml:space="preserve">. Retrieved from </w:t>
      </w:r>
      <w:hyperlink r:id="rId35" w:history="1">
        <w:r w:rsidRPr="004F7F40">
          <w:rPr>
            <w:rStyle w:val="Hyperlink"/>
            <w:rFonts w:ascii="Arial" w:hAnsi="Arial" w:cs="Arial"/>
            <w:color w:val="auto"/>
            <w:sz w:val="20"/>
            <w:szCs w:val="20"/>
          </w:rPr>
          <w:t>https://ocpe.nt.gov.au/__data/assets/pdf_file/0010/244675/NEW_Booklet_ECE_in_the_NTPS.pdf</w:t>
        </w:r>
      </w:hyperlink>
      <w:r w:rsidRPr="004F7F40">
        <w:rPr>
          <w:rStyle w:val="Hyperlink"/>
          <w:rFonts w:ascii="Arial" w:hAnsi="Arial" w:cs="Arial"/>
          <w:color w:val="auto"/>
          <w:sz w:val="20"/>
          <w:szCs w:val="20"/>
        </w:rPr>
        <w:t xml:space="preserve"> </w:t>
      </w:r>
      <w:r w:rsidRPr="004F7F40">
        <w:rPr>
          <w:rStyle w:val="Hyperlink"/>
          <w:rFonts w:ascii="Arial" w:hAnsi="Arial" w:cs="Arial"/>
          <w:color w:val="auto"/>
          <w:sz w:val="20"/>
          <w:szCs w:val="20"/>
          <w:u w:val="none"/>
        </w:rPr>
        <w:t>on 20 May 2020.</w:t>
      </w:r>
    </w:p>
    <w:p w14:paraId="4F8E503C" w14:textId="60B73BDB" w:rsidR="007B1C80" w:rsidRPr="004F7F40" w:rsidRDefault="007B1C80" w:rsidP="007B1C80">
      <w:pPr>
        <w:widowControl w:val="0"/>
        <w:tabs>
          <w:tab w:val="left" w:pos="2482"/>
        </w:tabs>
        <w:spacing w:before="0" w:after="120"/>
        <w:ind w:left="856" w:hanging="714"/>
        <w:rPr>
          <w:rFonts w:ascii="Arial" w:hAnsi="Arial" w:cs="Arial"/>
          <w:iCs/>
          <w:sz w:val="20"/>
          <w:szCs w:val="20"/>
        </w:rPr>
      </w:pPr>
      <w:r w:rsidRPr="004F7F40">
        <w:rPr>
          <w:rFonts w:ascii="Arial" w:hAnsi="Arial" w:cs="Arial"/>
          <w:sz w:val="20"/>
          <w:szCs w:val="20"/>
        </w:rPr>
        <w:t xml:space="preserve">OCPE (2009). </w:t>
      </w:r>
      <w:r w:rsidRPr="004F7F40">
        <w:rPr>
          <w:rFonts w:ascii="Arial" w:hAnsi="Arial" w:cs="Arial"/>
          <w:i/>
          <w:sz w:val="20"/>
          <w:szCs w:val="20"/>
        </w:rPr>
        <w:t>A review of the Northern Territory Public Sector Employment and Management Act, July 2009</w:t>
      </w:r>
      <w:r w:rsidR="000D4294" w:rsidRPr="004F7F40">
        <w:rPr>
          <w:rFonts w:ascii="Arial" w:hAnsi="Arial" w:cs="Arial"/>
          <w:i/>
          <w:sz w:val="20"/>
          <w:szCs w:val="20"/>
        </w:rPr>
        <w:t xml:space="preserve">. </w:t>
      </w:r>
      <w:r w:rsidR="000D4294" w:rsidRPr="004F7F40">
        <w:rPr>
          <w:rFonts w:ascii="Arial" w:hAnsi="Arial" w:cs="Arial"/>
          <w:iCs/>
          <w:sz w:val="20"/>
          <w:szCs w:val="20"/>
        </w:rPr>
        <w:t>Darwin:</w:t>
      </w:r>
      <w:r w:rsidRPr="004F7F40">
        <w:rPr>
          <w:rFonts w:ascii="Arial" w:hAnsi="Arial" w:cs="Arial"/>
          <w:iCs/>
          <w:sz w:val="20"/>
          <w:szCs w:val="20"/>
        </w:rPr>
        <w:t xml:space="preserve"> Northern Territory Government</w:t>
      </w:r>
      <w:r w:rsidR="000D4294" w:rsidRPr="004F7F40">
        <w:rPr>
          <w:rFonts w:ascii="Arial" w:hAnsi="Arial" w:cs="Arial"/>
          <w:iCs/>
          <w:sz w:val="20"/>
          <w:szCs w:val="20"/>
        </w:rPr>
        <w:t>.</w:t>
      </w:r>
    </w:p>
    <w:p w14:paraId="515CFF33" w14:textId="77777777" w:rsidR="007B1C80" w:rsidRPr="004F7F40" w:rsidRDefault="007B1C80" w:rsidP="007B1C80">
      <w:pPr>
        <w:spacing w:before="0" w:after="120"/>
        <w:ind w:left="142"/>
        <w:rPr>
          <w:rFonts w:ascii="Arial" w:hAnsi="Arial" w:cs="Arial"/>
          <w:sz w:val="20"/>
          <w:szCs w:val="20"/>
        </w:rPr>
      </w:pPr>
      <w:r w:rsidRPr="004F7F40">
        <w:rPr>
          <w:rFonts w:ascii="Arial" w:hAnsi="Arial" w:cs="Arial"/>
          <w:sz w:val="20"/>
          <w:szCs w:val="20"/>
        </w:rPr>
        <w:t xml:space="preserve">OCPE (2006–2019). </w:t>
      </w:r>
      <w:r w:rsidRPr="004F7F40">
        <w:rPr>
          <w:rFonts w:ascii="Arial" w:hAnsi="Arial" w:cs="Arial"/>
          <w:i/>
          <w:sz w:val="20"/>
          <w:szCs w:val="20"/>
        </w:rPr>
        <w:t>State of the Service Report 2005-06 to 2018–19.</w:t>
      </w:r>
    </w:p>
    <w:p w14:paraId="2EC6BDC5" w14:textId="77777777" w:rsidR="007B1C80" w:rsidRPr="004F7F40" w:rsidRDefault="007B1C80" w:rsidP="007B1C80">
      <w:pPr>
        <w:spacing w:before="0" w:after="120"/>
        <w:ind w:left="862" w:hanging="720"/>
        <w:rPr>
          <w:rFonts w:ascii="Arial" w:hAnsi="Arial" w:cs="Arial"/>
          <w:sz w:val="20"/>
          <w:szCs w:val="20"/>
        </w:rPr>
      </w:pPr>
      <w:r w:rsidRPr="004F7F40">
        <w:rPr>
          <w:rFonts w:ascii="Arial" w:hAnsi="Arial" w:cs="Arial"/>
          <w:sz w:val="20"/>
          <w:szCs w:val="20"/>
        </w:rPr>
        <w:t xml:space="preserve">OCPE (2003, 2009, 2019). OCPE </w:t>
      </w:r>
      <w:r w:rsidRPr="004F7F40">
        <w:rPr>
          <w:rFonts w:ascii="Arial" w:hAnsi="Arial" w:cs="Arial"/>
          <w:i/>
          <w:iCs/>
          <w:sz w:val="20"/>
          <w:szCs w:val="20"/>
        </w:rPr>
        <w:t xml:space="preserve">Northern Territory Public Sector Staffing: September Quarter. </w:t>
      </w:r>
    </w:p>
    <w:p w14:paraId="48DFFC8A" w14:textId="2D314A29" w:rsidR="00CE3A5E" w:rsidRPr="004F7F40" w:rsidRDefault="00D3656A" w:rsidP="00E60292">
      <w:pPr>
        <w:spacing w:before="0" w:after="120"/>
        <w:ind w:left="862" w:hanging="720"/>
        <w:rPr>
          <w:rFonts w:ascii="Arial" w:hAnsi="Arial" w:cs="Arial"/>
          <w:sz w:val="20"/>
          <w:szCs w:val="20"/>
        </w:rPr>
      </w:pPr>
      <w:r w:rsidRPr="004F7F40">
        <w:rPr>
          <w:rFonts w:ascii="Arial" w:hAnsi="Arial" w:cs="Arial"/>
          <w:sz w:val="20"/>
          <w:szCs w:val="20"/>
        </w:rPr>
        <w:t>OCPE</w:t>
      </w:r>
      <w:r w:rsidR="009B6B83" w:rsidRPr="004F7F40">
        <w:rPr>
          <w:rFonts w:ascii="Arial" w:hAnsi="Arial" w:cs="Arial"/>
          <w:sz w:val="20"/>
          <w:szCs w:val="20"/>
        </w:rPr>
        <w:t xml:space="preserve"> (2000</w:t>
      </w:r>
      <w:r w:rsidR="00CB67F0" w:rsidRPr="004F7F40">
        <w:rPr>
          <w:rFonts w:ascii="Arial" w:hAnsi="Arial" w:cs="Arial"/>
          <w:sz w:val="20"/>
          <w:szCs w:val="20"/>
        </w:rPr>
        <w:t>–</w:t>
      </w:r>
      <w:r w:rsidR="009B6B83" w:rsidRPr="004F7F40">
        <w:rPr>
          <w:rFonts w:ascii="Arial" w:hAnsi="Arial" w:cs="Arial"/>
          <w:sz w:val="20"/>
          <w:szCs w:val="20"/>
        </w:rPr>
        <w:t>2018)</w:t>
      </w:r>
      <w:r w:rsidRPr="004F7F40">
        <w:rPr>
          <w:rFonts w:ascii="Arial" w:hAnsi="Arial" w:cs="Arial"/>
          <w:sz w:val="20"/>
          <w:szCs w:val="20"/>
        </w:rPr>
        <w:t xml:space="preserve">, 2000. </w:t>
      </w:r>
      <w:r w:rsidRPr="004F7F40">
        <w:rPr>
          <w:rFonts w:ascii="Arial" w:hAnsi="Arial" w:cs="Arial"/>
          <w:i/>
          <w:sz w:val="20"/>
          <w:szCs w:val="20"/>
        </w:rPr>
        <w:t xml:space="preserve">Office of the Commissioner for Public Employment – Annual Report </w:t>
      </w:r>
      <w:r w:rsidRPr="004F7F40">
        <w:rPr>
          <w:rFonts w:ascii="Arial" w:hAnsi="Arial" w:cs="Arial"/>
          <w:sz w:val="20"/>
          <w:szCs w:val="20"/>
        </w:rPr>
        <w:t>NT Government: Darwin</w:t>
      </w:r>
    </w:p>
    <w:p w14:paraId="4BCA05E0" w14:textId="1F05F51D" w:rsidR="00A33078" w:rsidRPr="004F7F40" w:rsidRDefault="00A33078" w:rsidP="00E60292">
      <w:pPr>
        <w:widowControl w:val="0"/>
        <w:tabs>
          <w:tab w:val="left" w:pos="2482"/>
        </w:tabs>
        <w:spacing w:before="0" w:after="120"/>
        <w:ind w:left="862" w:hanging="720"/>
        <w:rPr>
          <w:rFonts w:ascii="Arial" w:hAnsi="Arial" w:cs="Arial"/>
          <w:sz w:val="20"/>
          <w:szCs w:val="20"/>
        </w:rPr>
      </w:pPr>
      <w:r w:rsidRPr="004F7F40">
        <w:rPr>
          <w:rFonts w:ascii="Arial" w:hAnsi="Arial" w:cs="Arial"/>
          <w:sz w:val="20"/>
          <w:szCs w:val="20"/>
        </w:rPr>
        <w:t xml:space="preserve">PAC </w:t>
      </w:r>
      <w:r w:rsidR="004A17A9" w:rsidRPr="004F7F40">
        <w:rPr>
          <w:rFonts w:ascii="Arial" w:hAnsi="Arial" w:cs="Arial"/>
          <w:sz w:val="20"/>
          <w:szCs w:val="20"/>
        </w:rPr>
        <w:t>(</w:t>
      </w:r>
      <w:r w:rsidRPr="004F7F40">
        <w:rPr>
          <w:rFonts w:ascii="Arial" w:hAnsi="Arial" w:cs="Arial"/>
          <w:sz w:val="20"/>
          <w:szCs w:val="20"/>
        </w:rPr>
        <w:t>2004</w:t>
      </w:r>
      <w:r w:rsidR="004A17A9" w:rsidRPr="004F7F40">
        <w:rPr>
          <w:rFonts w:ascii="Arial" w:hAnsi="Arial" w:cs="Arial"/>
          <w:sz w:val="20"/>
          <w:szCs w:val="20"/>
        </w:rPr>
        <w:t>)</w:t>
      </w:r>
      <w:r w:rsidRPr="004F7F40">
        <w:rPr>
          <w:rFonts w:ascii="Arial" w:hAnsi="Arial" w:cs="Arial"/>
          <w:sz w:val="20"/>
          <w:szCs w:val="20"/>
        </w:rPr>
        <w:t xml:space="preserve">. </w:t>
      </w:r>
      <w:r w:rsidRPr="004F7F40">
        <w:rPr>
          <w:rFonts w:ascii="Arial" w:hAnsi="Arial" w:cs="Arial"/>
          <w:i/>
          <w:sz w:val="20"/>
          <w:szCs w:val="20"/>
        </w:rPr>
        <w:t>Public Accounts Committee: Report on Termination Payments for CEOs and ECOs, Report Number 42</w:t>
      </w:r>
      <w:r w:rsidRPr="004F7F40">
        <w:rPr>
          <w:rFonts w:ascii="Arial" w:hAnsi="Arial" w:cs="Arial"/>
          <w:sz w:val="20"/>
          <w:szCs w:val="20"/>
        </w:rPr>
        <w:t>, Northern Territory Government: Darwin</w:t>
      </w:r>
    </w:p>
    <w:p w14:paraId="590D3DD7" w14:textId="118D1D3F" w:rsidR="00D3656A" w:rsidRPr="004F7F40" w:rsidRDefault="00D3656A" w:rsidP="00E60292">
      <w:pPr>
        <w:spacing w:before="0" w:after="120"/>
        <w:ind w:left="862" w:hanging="720"/>
        <w:rPr>
          <w:rFonts w:ascii="Arial" w:hAnsi="Arial" w:cs="Arial"/>
          <w:sz w:val="20"/>
          <w:szCs w:val="20"/>
        </w:rPr>
      </w:pPr>
      <w:r w:rsidRPr="004F7F40">
        <w:rPr>
          <w:rFonts w:ascii="Arial" w:hAnsi="Arial" w:cs="Arial"/>
          <w:sz w:val="20"/>
          <w:szCs w:val="20"/>
        </w:rPr>
        <w:t xml:space="preserve">PSC </w:t>
      </w:r>
      <w:r w:rsidR="004A17A9" w:rsidRPr="004F7F40">
        <w:rPr>
          <w:rFonts w:ascii="Arial" w:hAnsi="Arial" w:cs="Arial"/>
          <w:sz w:val="20"/>
          <w:szCs w:val="20"/>
        </w:rPr>
        <w:t>(</w:t>
      </w:r>
      <w:r w:rsidRPr="004F7F40">
        <w:rPr>
          <w:rFonts w:ascii="Arial" w:hAnsi="Arial" w:cs="Arial"/>
          <w:sz w:val="20"/>
          <w:szCs w:val="20"/>
        </w:rPr>
        <w:t>1991</w:t>
      </w:r>
      <w:r w:rsidR="004A17A9" w:rsidRPr="004F7F40">
        <w:rPr>
          <w:rFonts w:ascii="Arial" w:hAnsi="Arial" w:cs="Arial"/>
          <w:sz w:val="20"/>
          <w:szCs w:val="20"/>
        </w:rPr>
        <w:t>)</w:t>
      </w:r>
      <w:r w:rsidRPr="004F7F40">
        <w:rPr>
          <w:rFonts w:ascii="Arial" w:hAnsi="Arial" w:cs="Arial"/>
          <w:sz w:val="20"/>
          <w:szCs w:val="20"/>
        </w:rPr>
        <w:t>. Annual Report 1990/91 Public Service Commissioner</w:t>
      </w:r>
      <w:r w:rsidR="004B14F7" w:rsidRPr="004F7F40">
        <w:rPr>
          <w:rFonts w:ascii="Arial" w:hAnsi="Arial" w:cs="Arial"/>
          <w:sz w:val="20"/>
          <w:szCs w:val="20"/>
        </w:rPr>
        <w:t>/</w:t>
      </w:r>
      <w:r w:rsidRPr="004F7F40">
        <w:rPr>
          <w:rFonts w:ascii="Arial" w:hAnsi="Arial" w:cs="Arial"/>
          <w:sz w:val="20"/>
          <w:szCs w:val="20"/>
        </w:rPr>
        <w:t xml:space="preserve">Department </w:t>
      </w:r>
      <w:r w:rsidR="004B14F7" w:rsidRPr="004F7F40">
        <w:rPr>
          <w:rFonts w:ascii="Arial" w:hAnsi="Arial" w:cs="Arial"/>
          <w:sz w:val="20"/>
          <w:szCs w:val="20"/>
        </w:rPr>
        <w:t>o</w:t>
      </w:r>
      <w:r w:rsidRPr="004F7F40">
        <w:rPr>
          <w:rFonts w:ascii="Arial" w:hAnsi="Arial" w:cs="Arial"/>
          <w:sz w:val="20"/>
          <w:szCs w:val="20"/>
        </w:rPr>
        <w:t xml:space="preserve">f Labour </w:t>
      </w:r>
      <w:r w:rsidR="004B14F7" w:rsidRPr="004F7F40">
        <w:rPr>
          <w:rFonts w:ascii="Arial" w:hAnsi="Arial" w:cs="Arial"/>
          <w:sz w:val="20"/>
          <w:szCs w:val="20"/>
        </w:rPr>
        <w:t>a</w:t>
      </w:r>
      <w:r w:rsidRPr="004F7F40">
        <w:rPr>
          <w:rFonts w:ascii="Arial" w:hAnsi="Arial" w:cs="Arial"/>
          <w:sz w:val="20"/>
          <w:szCs w:val="20"/>
        </w:rPr>
        <w:t>nd Administrative Services</w:t>
      </w:r>
      <w:r w:rsidR="004B14F7" w:rsidRPr="004F7F40">
        <w:rPr>
          <w:rFonts w:ascii="Arial" w:hAnsi="Arial" w:cs="Arial"/>
          <w:sz w:val="20"/>
          <w:szCs w:val="20"/>
        </w:rPr>
        <w:t>.</w:t>
      </w:r>
      <w:r w:rsidRPr="004F7F40">
        <w:rPr>
          <w:rFonts w:ascii="Arial" w:hAnsi="Arial" w:cs="Arial"/>
          <w:sz w:val="20"/>
          <w:szCs w:val="20"/>
        </w:rPr>
        <w:t xml:space="preserve"> </w:t>
      </w:r>
      <w:hyperlink r:id="rId36" w:history="1">
        <w:r w:rsidRPr="004F7F40">
          <w:rPr>
            <w:rStyle w:val="Hyperlink"/>
            <w:rFonts w:ascii="Arial" w:hAnsi="Arial" w:cs="Arial"/>
            <w:color w:val="auto"/>
            <w:sz w:val="20"/>
            <w:szCs w:val="20"/>
          </w:rPr>
          <w:t>http://www.territorystories.nt.gov.au/jspui/bitstream/10070/292672/1/Annual_Reports_Public_Service_Commissioner_and_the_Department_of_Labour_and_Administrative_Services_1990-91.PDF</w:t>
        </w:r>
      </w:hyperlink>
    </w:p>
    <w:p w14:paraId="567C5203" w14:textId="0143BD18" w:rsidR="00A33078" w:rsidRPr="004F7F40" w:rsidRDefault="00A33078" w:rsidP="00E60292">
      <w:pPr>
        <w:spacing w:before="0" w:after="120"/>
        <w:ind w:left="862" w:hanging="720"/>
        <w:rPr>
          <w:rFonts w:ascii="Arial" w:hAnsi="Arial" w:cs="Arial"/>
          <w:sz w:val="20"/>
          <w:szCs w:val="20"/>
        </w:rPr>
      </w:pPr>
      <w:r w:rsidRPr="004F7F40">
        <w:rPr>
          <w:rFonts w:ascii="Arial" w:hAnsi="Arial" w:cs="Arial"/>
          <w:sz w:val="20"/>
          <w:szCs w:val="20"/>
        </w:rPr>
        <w:t xml:space="preserve">Roberts, G. (2019, Apr 16). NT govt to axed jobs, cut spending by $11b. </w:t>
      </w:r>
      <w:r w:rsidRPr="004F7F40">
        <w:rPr>
          <w:rFonts w:ascii="Arial" w:hAnsi="Arial" w:cs="Arial"/>
          <w:i/>
          <w:iCs/>
          <w:sz w:val="20"/>
          <w:szCs w:val="20"/>
        </w:rPr>
        <w:t>The Canberra Times.</w:t>
      </w:r>
      <w:r w:rsidRPr="004F7F40">
        <w:rPr>
          <w:rFonts w:ascii="Arial" w:hAnsi="Arial" w:cs="Arial"/>
          <w:sz w:val="20"/>
          <w:szCs w:val="20"/>
        </w:rPr>
        <w:t xml:space="preserve"> Retrieved from </w:t>
      </w:r>
      <w:hyperlink r:id="rId37" w:history="1">
        <w:r w:rsidRPr="004F7F40">
          <w:rPr>
            <w:rStyle w:val="Hyperlink"/>
            <w:rFonts w:ascii="Arial" w:hAnsi="Arial" w:cs="Arial"/>
            <w:color w:val="auto"/>
            <w:sz w:val="20"/>
            <w:szCs w:val="20"/>
          </w:rPr>
          <w:t>https://www.canberratimes.com.au/story/6056007/nt-govt-to-axe-jobs-cut-spending-by-11-b/?cs=14231</w:t>
        </w:r>
      </w:hyperlink>
      <w:r w:rsidRPr="004F7F40">
        <w:rPr>
          <w:rFonts w:ascii="Arial" w:hAnsi="Arial" w:cs="Arial"/>
          <w:sz w:val="20"/>
          <w:szCs w:val="20"/>
        </w:rPr>
        <w:t xml:space="preserve"> on 21 May 2020.</w:t>
      </w:r>
    </w:p>
    <w:p w14:paraId="0E874D21" w14:textId="77777777" w:rsidR="000D4294" w:rsidRPr="004F7F40" w:rsidRDefault="000D4294" w:rsidP="000D4294">
      <w:pPr>
        <w:spacing w:before="0" w:after="120"/>
        <w:ind w:left="862" w:hanging="720"/>
        <w:rPr>
          <w:rFonts w:ascii="Arial" w:hAnsi="Arial" w:cs="Arial"/>
          <w:sz w:val="20"/>
          <w:szCs w:val="20"/>
        </w:rPr>
      </w:pPr>
      <w:r w:rsidRPr="004F7F40">
        <w:rPr>
          <w:rFonts w:ascii="Arial" w:hAnsi="Arial" w:cs="Arial"/>
          <w:sz w:val="20"/>
          <w:szCs w:val="20"/>
        </w:rPr>
        <w:t xml:space="preserve">Smith, E. (2019, Jun 16). Growth in NT public service politically dangerous to curb despite budget woes, experts say. </w:t>
      </w:r>
      <w:r w:rsidRPr="004F7F40">
        <w:rPr>
          <w:rFonts w:ascii="Arial" w:hAnsi="Arial" w:cs="Arial"/>
          <w:i/>
          <w:iCs/>
          <w:sz w:val="20"/>
          <w:szCs w:val="20"/>
        </w:rPr>
        <w:t>ABC News</w:t>
      </w:r>
      <w:r w:rsidRPr="004F7F40">
        <w:rPr>
          <w:rFonts w:ascii="Arial" w:hAnsi="Arial" w:cs="Arial"/>
          <w:sz w:val="20"/>
          <w:szCs w:val="20"/>
        </w:rPr>
        <w:t xml:space="preserve">. Retrieved from </w:t>
      </w:r>
      <w:hyperlink r:id="rId38" w:history="1">
        <w:r w:rsidRPr="004F7F40">
          <w:rPr>
            <w:rStyle w:val="Hyperlink"/>
            <w:rFonts w:ascii="Arial" w:hAnsi="Arial" w:cs="Arial"/>
            <w:color w:val="auto"/>
            <w:sz w:val="20"/>
            <w:szCs w:val="20"/>
          </w:rPr>
          <w:t>https://www.abc.net.au/news/2019-06-16/nt-public-service-servants-territory-government-budget-state/11195558</w:t>
        </w:r>
      </w:hyperlink>
      <w:r w:rsidRPr="004F7F40">
        <w:rPr>
          <w:rFonts w:ascii="Arial" w:hAnsi="Arial" w:cs="Arial"/>
          <w:sz w:val="20"/>
          <w:szCs w:val="20"/>
        </w:rPr>
        <w:t xml:space="preserve"> on 20 May 2020. </w:t>
      </w:r>
    </w:p>
    <w:p w14:paraId="69D1B5FD" w14:textId="413AFCEC" w:rsidR="001C2B76" w:rsidRPr="004F7F40" w:rsidRDefault="001C2B76" w:rsidP="00E60292">
      <w:pPr>
        <w:spacing w:before="0" w:after="120"/>
        <w:ind w:left="862" w:hanging="720"/>
        <w:rPr>
          <w:rFonts w:ascii="Arial" w:hAnsi="Arial" w:cs="Arial"/>
          <w:sz w:val="20"/>
          <w:szCs w:val="20"/>
        </w:rPr>
      </w:pPr>
      <w:r w:rsidRPr="004F7F40">
        <w:rPr>
          <w:rFonts w:ascii="Arial" w:hAnsi="Arial" w:cs="Arial"/>
          <w:sz w:val="20"/>
          <w:szCs w:val="20"/>
        </w:rPr>
        <w:t xml:space="preserve">Smith, E. (2019, Jan 16). NT Chief Minister threatens disciplinary action against agency heads for budget blowouts. </w:t>
      </w:r>
      <w:r w:rsidRPr="004F7F40">
        <w:rPr>
          <w:rFonts w:ascii="Arial" w:hAnsi="Arial" w:cs="Arial"/>
          <w:i/>
          <w:iCs/>
          <w:sz w:val="20"/>
          <w:szCs w:val="20"/>
        </w:rPr>
        <w:t>ABC News</w:t>
      </w:r>
      <w:r w:rsidRPr="004F7F40">
        <w:rPr>
          <w:rFonts w:ascii="Arial" w:hAnsi="Arial" w:cs="Arial"/>
          <w:sz w:val="20"/>
          <w:szCs w:val="20"/>
        </w:rPr>
        <w:t xml:space="preserve">. Retrieved from </w:t>
      </w:r>
      <w:hyperlink r:id="rId39" w:history="1">
        <w:r w:rsidRPr="004F7F40">
          <w:rPr>
            <w:rStyle w:val="Hyperlink"/>
            <w:rFonts w:ascii="Arial" w:hAnsi="Arial" w:cs="Arial"/>
            <w:color w:val="auto"/>
            <w:sz w:val="20"/>
            <w:szCs w:val="20"/>
          </w:rPr>
          <w:t>https://www.abc.net.au/news/2019-01-16/budget-crisis-nt-department-disciplinary-action-blowout/10720214</w:t>
        </w:r>
      </w:hyperlink>
      <w:r w:rsidRPr="004F7F40">
        <w:rPr>
          <w:rFonts w:ascii="Arial" w:hAnsi="Arial" w:cs="Arial"/>
          <w:sz w:val="20"/>
          <w:szCs w:val="20"/>
        </w:rPr>
        <w:t xml:space="preserve"> on </w:t>
      </w:r>
      <w:r w:rsidR="00A33078" w:rsidRPr="004F7F40">
        <w:rPr>
          <w:rFonts w:ascii="Arial" w:hAnsi="Arial" w:cs="Arial"/>
          <w:sz w:val="20"/>
          <w:szCs w:val="20"/>
        </w:rPr>
        <w:t>21 May 2020</w:t>
      </w:r>
      <w:r w:rsidRPr="004F7F40">
        <w:rPr>
          <w:rFonts w:ascii="Arial" w:hAnsi="Arial" w:cs="Arial"/>
          <w:sz w:val="20"/>
          <w:szCs w:val="20"/>
        </w:rPr>
        <w:t>.</w:t>
      </w:r>
    </w:p>
    <w:p w14:paraId="592CD2AB" w14:textId="221CC36F" w:rsidR="00B63D00" w:rsidRPr="004F7F40" w:rsidRDefault="00B63D00" w:rsidP="004C6308">
      <w:pPr>
        <w:spacing w:before="0" w:after="120"/>
        <w:ind w:left="862" w:hanging="720"/>
        <w:rPr>
          <w:rFonts w:ascii="Arial" w:hAnsi="Arial" w:cs="Arial"/>
          <w:sz w:val="20"/>
          <w:szCs w:val="20"/>
        </w:rPr>
      </w:pPr>
      <w:r w:rsidRPr="004F7F40">
        <w:rPr>
          <w:rFonts w:ascii="Arial" w:hAnsi="Arial" w:cs="Arial"/>
          <w:sz w:val="20"/>
          <w:szCs w:val="20"/>
        </w:rPr>
        <w:t>TERC (</w:t>
      </w:r>
      <w:r w:rsidR="00FA163B" w:rsidRPr="004F7F40">
        <w:rPr>
          <w:rFonts w:ascii="Arial" w:hAnsi="Arial" w:cs="Arial"/>
          <w:sz w:val="20"/>
          <w:szCs w:val="20"/>
        </w:rPr>
        <w:t>2020</w:t>
      </w:r>
      <w:r w:rsidRPr="004F7F40">
        <w:rPr>
          <w:rFonts w:ascii="Arial" w:hAnsi="Arial" w:cs="Arial"/>
          <w:sz w:val="20"/>
          <w:szCs w:val="20"/>
        </w:rPr>
        <w:t xml:space="preserve">). Territory Economic Reconstruction Commission: Final Report. Retrieved from </w:t>
      </w:r>
      <w:hyperlink r:id="rId40" w:history="1">
        <w:r w:rsidRPr="004F7F40">
          <w:rPr>
            <w:rFonts w:ascii="Arial" w:hAnsi="Arial" w:cs="Arial"/>
            <w:sz w:val="20"/>
            <w:szCs w:val="20"/>
            <w:u w:val="single"/>
          </w:rPr>
          <w:t>https://ntrebound.nt.gov.au/__data/assets/pdf_file/0020/952301/terc-final-report.pdf</w:t>
        </w:r>
      </w:hyperlink>
    </w:p>
    <w:p w14:paraId="47C4AAB5" w14:textId="4BDBBFC7" w:rsidR="000126A6" w:rsidRPr="004F7F40" w:rsidRDefault="000126A6" w:rsidP="00E60292">
      <w:pPr>
        <w:spacing w:before="0" w:after="120"/>
        <w:ind w:left="862" w:hanging="720"/>
        <w:rPr>
          <w:rFonts w:ascii="Arial" w:hAnsi="Arial" w:cs="Arial"/>
          <w:sz w:val="20"/>
          <w:szCs w:val="20"/>
        </w:rPr>
      </w:pPr>
      <w:r w:rsidRPr="004F7F40">
        <w:rPr>
          <w:rFonts w:ascii="Arial" w:hAnsi="Arial" w:cs="Arial"/>
          <w:sz w:val="20"/>
          <w:szCs w:val="20"/>
        </w:rPr>
        <w:lastRenderedPageBreak/>
        <w:t xml:space="preserve">Treasury (2011). </w:t>
      </w:r>
      <w:r w:rsidRPr="004F7F40">
        <w:rPr>
          <w:rFonts w:ascii="Arial" w:hAnsi="Arial" w:cs="Arial"/>
          <w:i/>
          <w:iCs/>
          <w:sz w:val="20"/>
          <w:szCs w:val="20"/>
        </w:rPr>
        <w:t>Northern Territory Budget 2011–12</w:t>
      </w:r>
      <w:r w:rsidRPr="004F7F40">
        <w:rPr>
          <w:rFonts w:ascii="Arial" w:hAnsi="Arial" w:cs="Arial"/>
          <w:sz w:val="20"/>
          <w:szCs w:val="20"/>
        </w:rPr>
        <w:t xml:space="preserve">. Retrieved from </w:t>
      </w:r>
      <w:hyperlink r:id="rId41" w:history="1">
        <w:r w:rsidRPr="004F7F40">
          <w:rPr>
            <w:rFonts w:ascii="Arial" w:hAnsi="Arial" w:cs="Arial"/>
            <w:sz w:val="20"/>
            <w:szCs w:val="20"/>
          </w:rPr>
          <w:t>https://treasury.nt.gov.au/__data/assets/pdf_file/0011/477245/I-BP06-1112.pdf</w:t>
        </w:r>
      </w:hyperlink>
      <w:r w:rsidRPr="004F7F40">
        <w:rPr>
          <w:rFonts w:ascii="Arial" w:hAnsi="Arial" w:cs="Arial"/>
          <w:sz w:val="20"/>
          <w:szCs w:val="20"/>
        </w:rPr>
        <w:t>.</w:t>
      </w:r>
    </w:p>
    <w:p w14:paraId="662BFCE5" w14:textId="2B827B65" w:rsidR="004F6598" w:rsidRPr="004F7F40" w:rsidRDefault="004F6598" w:rsidP="00E60292">
      <w:pPr>
        <w:spacing w:before="0" w:after="120"/>
        <w:ind w:left="862" w:hanging="720"/>
        <w:rPr>
          <w:rFonts w:ascii="Arial" w:hAnsi="Arial" w:cs="Arial"/>
          <w:sz w:val="20"/>
          <w:szCs w:val="20"/>
        </w:rPr>
      </w:pPr>
      <w:proofErr w:type="spellStart"/>
      <w:r w:rsidRPr="004F7F40">
        <w:rPr>
          <w:rFonts w:ascii="Arial" w:hAnsi="Arial" w:cs="Arial"/>
          <w:sz w:val="20"/>
          <w:szCs w:val="20"/>
        </w:rPr>
        <w:t>Vanovac</w:t>
      </w:r>
      <w:proofErr w:type="spellEnd"/>
      <w:r w:rsidRPr="004F7F40">
        <w:rPr>
          <w:rFonts w:ascii="Arial" w:hAnsi="Arial" w:cs="Arial"/>
          <w:sz w:val="20"/>
          <w:szCs w:val="20"/>
        </w:rPr>
        <w:t xml:space="preserve">, N. (2018, Aug 28). Why do NT public servants work from 8:00am to 4:21pm instead of 9:00am to 5:00pm 'like normal people'? ABC News. Retrieved from </w:t>
      </w:r>
      <w:hyperlink r:id="rId42" w:history="1">
        <w:r w:rsidR="00D83001" w:rsidRPr="004F7F40">
          <w:rPr>
            <w:rFonts w:ascii="Arial" w:hAnsi="Arial" w:cs="Arial"/>
            <w:sz w:val="20"/>
            <w:szCs w:val="20"/>
            <w:u w:val="single"/>
          </w:rPr>
          <w:t>https://www.abc.net.au/news/2018-08-28/nt-public-service-working-day-investigated-curious-darwin/10082152</w:t>
        </w:r>
        <w:r w:rsidR="00D83001" w:rsidRPr="004F7F40">
          <w:rPr>
            <w:rFonts w:ascii="Arial" w:hAnsi="Arial" w:cs="Arial"/>
          </w:rPr>
          <w:t xml:space="preserve"> on 20 May 2020</w:t>
        </w:r>
      </w:hyperlink>
      <w:r w:rsidRPr="004F7F40">
        <w:rPr>
          <w:rFonts w:ascii="Arial" w:hAnsi="Arial" w:cs="Arial"/>
          <w:sz w:val="20"/>
          <w:szCs w:val="20"/>
        </w:rPr>
        <w:t>.</w:t>
      </w:r>
    </w:p>
    <w:p w14:paraId="319032A7" w14:textId="77777777" w:rsidR="00D83001" w:rsidRPr="004F7F40" w:rsidRDefault="00D83001" w:rsidP="004C6308">
      <w:pPr>
        <w:spacing w:before="0" w:after="120"/>
        <w:ind w:left="862" w:hanging="720"/>
        <w:rPr>
          <w:rFonts w:ascii="Arial" w:hAnsi="Arial" w:cs="Arial"/>
        </w:rPr>
      </w:pPr>
      <w:r w:rsidRPr="004F7F40">
        <w:rPr>
          <w:rFonts w:ascii="Arial" w:hAnsi="Arial" w:cs="Arial"/>
          <w:sz w:val="20"/>
          <w:szCs w:val="20"/>
        </w:rPr>
        <w:t xml:space="preserve">Walsh, C. (2020a). Bloated public service: Northern Territory blows away comparable states on executive contracts. NT Independent, July 26. Retrieved from </w:t>
      </w:r>
      <w:hyperlink r:id="rId43" w:history="1">
        <w:r w:rsidRPr="004F7F40">
          <w:rPr>
            <w:rFonts w:ascii="Arial" w:hAnsi="Arial" w:cs="Arial"/>
            <w:sz w:val="20"/>
            <w:szCs w:val="20"/>
            <w:u w:val="single"/>
          </w:rPr>
          <w:t>https://ntindependent.com.au/bloated-public-service-northern-territory-blows-away-comparable-states-on-public-service-executive-contracts/</w:t>
        </w:r>
      </w:hyperlink>
    </w:p>
    <w:p w14:paraId="03F40BB6" w14:textId="77777777" w:rsidR="00D83001" w:rsidRPr="004F7F40" w:rsidRDefault="00D83001" w:rsidP="004C6308">
      <w:pPr>
        <w:spacing w:before="0" w:after="120"/>
        <w:ind w:left="862" w:hanging="720"/>
        <w:rPr>
          <w:rStyle w:val="Hyperlink"/>
          <w:rFonts w:ascii="Arial" w:hAnsi="Arial" w:cs="Arial"/>
          <w:sz w:val="20"/>
          <w:szCs w:val="20"/>
        </w:rPr>
      </w:pPr>
      <w:r w:rsidRPr="004F7F40">
        <w:rPr>
          <w:rFonts w:ascii="Arial" w:hAnsi="Arial" w:cs="Arial"/>
          <w:sz w:val="20"/>
          <w:szCs w:val="20"/>
        </w:rPr>
        <w:t>Walsh, C. (2020b). ‘Wonder why we have a huge debt’: Private consultancy contracts balloon as NT public service grows. NT</w:t>
      </w:r>
      <w:r w:rsidRPr="004F7F40">
        <w:rPr>
          <w:rStyle w:val="Hyperlink"/>
          <w:rFonts w:ascii="Arial" w:hAnsi="Arial" w:cs="Arial"/>
          <w:i/>
          <w:iCs/>
          <w:color w:val="auto"/>
          <w:sz w:val="20"/>
          <w:szCs w:val="20"/>
          <w:u w:val="none"/>
        </w:rPr>
        <w:t xml:space="preserve"> Independent</w:t>
      </w:r>
      <w:r w:rsidRPr="004F7F40">
        <w:rPr>
          <w:rStyle w:val="Hyperlink"/>
          <w:rFonts w:ascii="Arial" w:hAnsi="Arial" w:cs="Arial"/>
          <w:color w:val="auto"/>
          <w:sz w:val="20"/>
          <w:szCs w:val="20"/>
          <w:u w:val="none"/>
        </w:rPr>
        <w:t>, September 17. Retrieved from</w:t>
      </w:r>
      <w:r w:rsidRPr="004F7F40">
        <w:rPr>
          <w:rStyle w:val="Hyperlink"/>
          <w:rFonts w:ascii="Arial" w:hAnsi="Arial" w:cs="Arial"/>
          <w:color w:val="auto"/>
          <w:sz w:val="20"/>
          <w:szCs w:val="20"/>
        </w:rPr>
        <w:t xml:space="preserve"> </w:t>
      </w:r>
      <w:hyperlink r:id="rId44" w:history="1">
        <w:r w:rsidRPr="004F7F40">
          <w:rPr>
            <w:rStyle w:val="Hyperlink"/>
            <w:rFonts w:ascii="Arial" w:hAnsi="Arial" w:cs="Arial"/>
            <w:sz w:val="20"/>
            <w:szCs w:val="20"/>
          </w:rPr>
          <w:t>https://ntindependent.com.au/wonder-why-we-have-a-huge-debt-private-consultancy-contracts-balloon-as-nt-public-service-grows/</w:t>
        </w:r>
      </w:hyperlink>
    </w:p>
    <w:p w14:paraId="4D79BB04" w14:textId="30D7ECD3" w:rsidR="00582942" w:rsidRPr="004F7F40" w:rsidRDefault="00DD0DBE">
      <w:pPr>
        <w:spacing w:before="0" w:after="200" w:line="276" w:lineRule="auto"/>
        <w:rPr>
          <w:rFonts w:ascii="Arial" w:hAnsi="Arial" w:cs="Arial"/>
        </w:rPr>
        <w:sectPr w:rsidR="00582942" w:rsidRPr="004F7F40" w:rsidSect="001906AB">
          <w:headerReference w:type="even" r:id="rId45"/>
          <w:headerReference w:type="default" r:id="rId46"/>
          <w:footerReference w:type="even" r:id="rId47"/>
          <w:footerReference w:type="default" r:id="rId48"/>
          <w:headerReference w:type="first" r:id="rId49"/>
          <w:footerReference w:type="first" r:id="rId50"/>
          <w:pgSz w:w="11906" w:h="16838"/>
          <w:pgMar w:top="1701" w:right="851" w:bottom="680" w:left="1077" w:header="709" w:footer="709" w:gutter="0"/>
          <w:pgNumType w:start="0"/>
          <w:cols w:space="708"/>
          <w:titlePg/>
          <w:docGrid w:linePitch="360"/>
        </w:sectPr>
      </w:pPr>
      <w:r w:rsidRPr="004F7F40">
        <w:rPr>
          <w:rFonts w:ascii="Arial" w:hAnsi="Arial" w:cs="Arial"/>
        </w:rPr>
        <w:br w:type="page"/>
      </w:r>
    </w:p>
    <w:p w14:paraId="20C048DA" w14:textId="77777777" w:rsidR="001131E1" w:rsidRPr="00ED2C0A" w:rsidRDefault="00CD1740" w:rsidP="008B0374">
      <w:pPr>
        <w:pStyle w:val="Heading1"/>
        <w:rPr>
          <w:rFonts w:ascii="Arial" w:hAnsi="Arial" w:cs="Arial"/>
          <w:u w:val="none"/>
        </w:rPr>
      </w:pPr>
      <w:bookmarkStart w:id="18" w:name="_Toc77243222"/>
      <w:r w:rsidRPr="00ED2C0A">
        <w:rPr>
          <w:rFonts w:ascii="Arial" w:hAnsi="Arial" w:cs="Arial"/>
          <w:u w:val="none"/>
        </w:rPr>
        <w:lastRenderedPageBreak/>
        <w:t>SUMMARY TABLE</w:t>
      </w:r>
      <w:bookmarkEnd w:id="18"/>
    </w:p>
    <w:p w14:paraId="297F2FCF" w14:textId="352648C2" w:rsidR="00580791" w:rsidRPr="004F7F40" w:rsidRDefault="00580791" w:rsidP="00CD1740">
      <w:pPr>
        <w:rPr>
          <w:rFonts w:ascii="Arial" w:hAnsi="Arial" w:cs="Arial"/>
        </w:rPr>
      </w:pPr>
    </w:p>
    <w:tbl>
      <w:tblPr>
        <w:tblStyle w:val="TableGrid"/>
        <w:tblW w:w="15055" w:type="dxa"/>
        <w:tblInd w:w="-176" w:type="dxa"/>
        <w:tblLayout w:type="fixed"/>
        <w:tblLook w:val="04A0" w:firstRow="1" w:lastRow="0" w:firstColumn="1" w:lastColumn="0" w:noHBand="0" w:noVBand="1"/>
      </w:tblPr>
      <w:tblGrid>
        <w:gridCol w:w="1022"/>
        <w:gridCol w:w="5670"/>
        <w:gridCol w:w="3969"/>
        <w:gridCol w:w="4394"/>
      </w:tblGrid>
      <w:tr w:rsidR="001131E1" w:rsidRPr="004F7F40" w14:paraId="7B374A2C" w14:textId="12385E6D" w:rsidTr="00453BF5">
        <w:trPr>
          <w:tblHeader/>
        </w:trPr>
        <w:tc>
          <w:tcPr>
            <w:tcW w:w="1022" w:type="dxa"/>
            <w:tcBorders>
              <w:bottom w:val="single" w:sz="4" w:space="0" w:color="auto"/>
            </w:tcBorders>
            <w:shd w:val="clear" w:color="auto" w:fill="8DB3E2" w:themeFill="text2" w:themeFillTint="66"/>
          </w:tcPr>
          <w:p w14:paraId="0F59D079" w14:textId="77777777" w:rsidR="001131E1" w:rsidRPr="004F7F40" w:rsidRDefault="001131E1" w:rsidP="00580791">
            <w:pPr>
              <w:jc w:val="center"/>
              <w:rPr>
                <w:rFonts w:ascii="Arial" w:hAnsi="Arial" w:cs="Arial"/>
                <w:b/>
                <w:szCs w:val="24"/>
              </w:rPr>
            </w:pPr>
            <w:r w:rsidRPr="004F7F40">
              <w:rPr>
                <w:rFonts w:ascii="Arial" w:hAnsi="Arial" w:cs="Arial"/>
                <w:b/>
                <w:szCs w:val="24"/>
              </w:rPr>
              <w:t>Year</w:t>
            </w:r>
          </w:p>
        </w:tc>
        <w:tc>
          <w:tcPr>
            <w:tcW w:w="5670" w:type="dxa"/>
            <w:tcBorders>
              <w:bottom w:val="single" w:sz="4" w:space="0" w:color="auto"/>
            </w:tcBorders>
            <w:shd w:val="clear" w:color="auto" w:fill="8DB3E2" w:themeFill="text2" w:themeFillTint="66"/>
          </w:tcPr>
          <w:p w14:paraId="18B86AF5" w14:textId="65725540" w:rsidR="001131E1" w:rsidRPr="004F7F40" w:rsidRDefault="001131E1" w:rsidP="00F31195">
            <w:pPr>
              <w:jc w:val="center"/>
              <w:rPr>
                <w:rFonts w:ascii="Arial" w:hAnsi="Arial" w:cs="Arial"/>
                <w:b/>
                <w:szCs w:val="24"/>
              </w:rPr>
            </w:pPr>
            <w:r w:rsidRPr="004F7F40">
              <w:rPr>
                <w:rFonts w:ascii="Arial" w:hAnsi="Arial" w:cs="Arial"/>
                <w:b/>
                <w:szCs w:val="24"/>
              </w:rPr>
              <w:t>Annual Reports</w:t>
            </w:r>
          </w:p>
        </w:tc>
        <w:tc>
          <w:tcPr>
            <w:tcW w:w="3969" w:type="dxa"/>
            <w:tcBorders>
              <w:bottom w:val="single" w:sz="4" w:space="0" w:color="auto"/>
            </w:tcBorders>
            <w:shd w:val="clear" w:color="auto" w:fill="8DB3E2" w:themeFill="text2" w:themeFillTint="66"/>
          </w:tcPr>
          <w:p w14:paraId="75EC098D" w14:textId="36B2BCB6" w:rsidR="001131E1" w:rsidRPr="004F7F40" w:rsidRDefault="00F432E7" w:rsidP="00F432E7">
            <w:pPr>
              <w:jc w:val="center"/>
              <w:rPr>
                <w:rFonts w:ascii="Arial" w:hAnsi="Arial" w:cs="Arial"/>
                <w:b/>
                <w:szCs w:val="24"/>
              </w:rPr>
            </w:pPr>
            <w:r w:rsidRPr="004F7F40">
              <w:rPr>
                <w:rFonts w:ascii="Arial" w:hAnsi="Arial" w:cs="Arial"/>
                <w:b/>
                <w:szCs w:val="24"/>
              </w:rPr>
              <w:t>Legislation</w:t>
            </w:r>
          </w:p>
        </w:tc>
        <w:tc>
          <w:tcPr>
            <w:tcW w:w="4394" w:type="dxa"/>
            <w:tcBorders>
              <w:bottom w:val="single" w:sz="4" w:space="0" w:color="auto"/>
            </w:tcBorders>
            <w:shd w:val="clear" w:color="auto" w:fill="8DB3E2" w:themeFill="text2" w:themeFillTint="66"/>
          </w:tcPr>
          <w:p w14:paraId="178B43AE" w14:textId="57A4B878" w:rsidR="001131E1" w:rsidRPr="004F7F40" w:rsidRDefault="00F432E7" w:rsidP="00F432E7">
            <w:pPr>
              <w:jc w:val="center"/>
              <w:rPr>
                <w:rFonts w:ascii="Arial" w:hAnsi="Arial" w:cs="Arial"/>
                <w:b/>
                <w:szCs w:val="24"/>
              </w:rPr>
            </w:pPr>
            <w:r w:rsidRPr="004F7F40">
              <w:rPr>
                <w:rFonts w:ascii="Arial" w:hAnsi="Arial" w:cs="Arial"/>
                <w:b/>
                <w:szCs w:val="24"/>
              </w:rPr>
              <w:t>Policy</w:t>
            </w:r>
          </w:p>
        </w:tc>
      </w:tr>
      <w:tr w:rsidR="001435EB" w:rsidRPr="004F7F40" w14:paraId="3D896FFA" w14:textId="77777777" w:rsidTr="00453BF5">
        <w:tc>
          <w:tcPr>
            <w:tcW w:w="1022" w:type="dxa"/>
          </w:tcPr>
          <w:p w14:paraId="66267261" w14:textId="10A8D5DA" w:rsidR="001435EB" w:rsidRPr="004F7F40" w:rsidRDefault="006C664A" w:rsidP="00580791">
            <w:pPr>
              <w:rPr>
                <w:rFonts w:ascii="Arial" w:hAnsi="Arial" w:cs="Arial"/>
                <w:sz w:val="18"/>
                <w:szCs w:val="18"/>
              </w:rPr>
            </w:pPr>
            <w:r w:rsidRPr="004F7F40">
              <w:rPr>
                <w:rFonts w:ascii="Arial" w:hAnsi="Arial" w:cs="Arial"/>
                <w:b/>
                <w:bCs/>
                <w:sz w:val="20"/>
                <w:szCs w:val="20"/>
              </w:rPr>
              <w:t>1985</w:t>
            </w:r>
          </w:p>
        </w:tc>
        <w:tc>
          <w:tcPr>
            <w:tcW w:w="5670" w:type="dxa"/>
          </w:tcPr>
          <w:p w14:paraId="6BFEE5E0" w14:textId="77777777" w:rsidR="001435EB" w:rsidRPr="004F7F40" w:rsidRDefault="001435EB" w:rsidP="001131E1">
            <w:pPr>
              <w:rPr>
                <w:rFonts w:ascii="Arial" w:hAnsi="Arial" w:cs="Arial"/>
                <w:sz w:val="18"/>
                <w:szCs w:val="18"/>
              </w:rPr>
            </w:pPr>
          </w:p>
        </w:tc>
        <w:tc>
          <w:tcPr>
            <w:tcW w:w="3969" w:type="dxa"/>
          </w:tcPr>
          <w:p w14:paraId="2CC5BF22" w14:textId="06F4FB1A" w:rsidR="001435EB" w:rsidRPr="004F7F40" w:rsidRDefault="001435EB" w:rsidP="00580791">
            <w:pPr>
              <w:rPr>
                <w:rFonts w:ascii="Arial" w:hAnsi="Arial" w:cs="Arial"/>
                <w:i/>
                <w:iCs/>
                <w:sz w:val="20"/>
                <w:szCs w:val="20"/>
              </w:rPr>
            </w:pPr>
            <w:r w:rsidRPr="004F7F40">
              <w:rPr>
                <w:rFonts w:ascii="Arial" w:hAnsi="Arial" w:cs="Arial"/>
                <w:i/>
                <w:iCs/>
                <w:sz w:val="20"/>
                <w:szCs w:val="20"/>
              </w:rPr>
              <w:t>Public Service Act 1985</w:t>
            </w:r>
          </w:p>
        </w:tc>
        <w:tc>
          <w:tcPr>
            <w:tcW w:w="4394" w:type="dxa"/>
          </w:tcPr>
          <w:p w14:paraId="39423F76" w14:textId="77777777" w:rsidR="001435EB" w:rsidRPr="004F7F40" w:rsidRDefault="001435EB" w:rsidP="00580791">
            <w:pPr>
              <w:rPr>
                <w:rFonts w:ascii="Arial" w:hAnsi="Arial" w:cs="Arial"/>
                <w:sz w:val="18"/>
                <w:szCs w:val="18"/>
              </w:rPr>
            </w:pPr>
          </w:p>
        </w:tc>
      </w:tr>
      <w:tr w:rsidR="001131E1" w:rsidRPr="004F7F40" w14:paraId="31D87281" w14:textId="54B03A02" w:rsidTr="00453BF5">
        <w:tc>
          <w:tcPr>
            <w:tcW w:w="1022" w:type="dxa"/>
          </w:tcPr>
          <w:p w14:paraId="29092D43" w14:textId="261E6BDE" w:rsidR="001131E1" w:rsidRPr="004F7F40" w:rsidRDefault="001131E1" w:rsidP="00580791">
            <w:pPr>
              <w:rPr>
                <w:rFonts w:ascii="Arial" w:hAnsi="Arial" w:cs="Arial"/>
                <w:b/>
                <w:bCs/>
                <w:sz w:val="20"/>
                <w:szCs w:val="20"/>
              </w:rPr>
            </w:pPr>
            <w:r w:rsidRPr="004F7F40">
              <w:rPr>
                <w:rFonts w:ascii="Arial" w:hAnsi="Arial" w:cs="Arial"/>
                <w:b/>
                <w:bCs/>
                <w:sz w:val="20"/>
                <w:szCs w:val="20"/>
              </w:rPr>
              <w:t>1991</w:t>
            </w:r>
          </w:p>
        </w:tc>
        <w:tc>
          <w:tcPr>
            <w:tcW w:w="5670" w:type="dxa"/>
          </w:tcPr>
          <w:p w14:paraId="0FBFCE61" w14:textId="478E135B" w:rsidR="001131E1" w:rsidRPr="004F7F40" w:rsidRDefault="001131E1" w:rsidP="001131E1">
            <w:pPr>
              <w:rPr>
                <w:rStyle w:val="Hyperlink"/>
                <w:rFonts w:ascii="Arial" w:hAnsi="Arial" w:cs="Arial"/>
                <w:sz w:val="20"/>
                <w:szCs w:val="20"/>
              </w:rPr>
            </w:pPr>
            <w:r w:rsidRPr="004F7F40">
              <w:rPr>
                <w:rFonts w:ascii="Arial" w:hAnsi="Arial" w:cs="Arial"/>
                <w:sz w:val="20"/>
                <w:szCs w:val="20"/>
              </w:rPr>
              <w:t xml:space="preserve">Annual Report 1990/91 </w:t>
            </w:r>
            <w:r w:rsidR="00875DC0" w:rsidRPr="004F7F40">
              <w:rPr>
                <w:rFonts w:ascii="Arial" w:hAnsi="Arial" w:cs="Arial"/>
                <w:sz w:val="20"/>
                <w:szCs w:val="20"/>
              </w:rPr>
              <w:t xml:space="preserve">– </w:t>
            </w:r>
            <w:r w:rsidRPr="004F7F40">
              <w:rPr>
                <w:rFonts w:ascii="Arial" w:hAnsi="Arial" w:cs="Arial"/>
                <w:sz w:val="20"/>
                <w:szCs w:val="20"/>
              </w:rPr>
              <w:t xml:space="preserve">Public Service Commissioner </w:t>
            </w:r>
            <w:r w:rsidR="00875DC0" w:rsidRPr="004F7F40">
              <w:rPr>
                <w:rFonts w:ascii="Arial" w:hAnsi="Arial" w:cs="Arial"/>
                <w:sz w:val="20"/>
                <w:szCs w:val="20"/>
              </w:rPr>
              <w:t>and t</w:t>
            </w:r>
            <w:r w:rsidRPr="004F7F40">
              <w:rPr>
                <w:rFonts w:ascii="Arial" w:hAnsi="Arial" w:cs="Arial"/>
                <w:sz w:val="20"/>
                <w:szCs w:val="20"/>
              </w:rPr>
              <w:t xml:space="preserve">he Department </w:t>
            </w:r>
            <w:r w:rsidR="00875DC0" w:rsidRPr="004F7F40">
              <w:rPr>
                <w:rFonts w:ascii="Arial" w:hAnsi="Arial" w:cs="Arial"/>
                <w:sz w:val="20"/>
                <w:szCs w:val="20"/>
              </w:rPr>
              <w:t>f</w:t>
            </w:r>
            <w:r w:rsidRPr="004F7F40">
              <w:rPr>
                <w:rFonts w:ascii="Arial" w:hAnsi="Arial" w:cs="Arial"/>
                <w:sz w:val="20"/>
                <w:szCs w:val="20"/>
              </w:rPr>
              <w:t xml:space="preserve">f Labour </w:t>
            </w:r>
            <w:r w:rsidR="00B82BBB" w:rsidRPr="004F7F40">
              <w:rPr>
                <w:rFonts w:ascii="Arial" w:hAnsi="Arial" w:cs="Arial"/>
                <w:sz w:val="20"/>
                <w:szCs w:val="20"/>
              </w:rPr>
              <w:t>a</w:t>
            </w:r>
            <w:r w:rsidRPr="004F7F40">
              <w:rPr>
                <w:rFonts w:ascii="Arial" w:hAnsi="Arial" w:cs="Arial"/>
                <w:sz w:val="20"/>
                <w:szCs w:val="20"/>
              </w:rPr>
              <w:t>nd Administrative Services</w:t>
            </w:r>
            <w:r w:rsidR="00B82BBB" w:rsidRPr="004F7F40">
              <w:rPr>
                <w:rFonts w:ascii="Arial" w:hAnsi="Arial" w:cs="Arial"/>
                <w:sz w:val="20"/>
                <w:szCs w:val="20"/>
              </w:rPr>
              <w:t>.</w:t>
            </w:r>
            <w:r w:rsidRPr="004F7F40">
              <w:rPr>
                <w:rFonts w:ascii="Arial" w:hAnsi="Arial" w:cs="Arial"/>
                <w:sz w:val="20"/>
                <w:szCs w:val="20"/>
              </w:rPr>
              <w:t xml:space="preserve"> </w:t>
            </w:r>
            <w:hyperlink r:id="rId51" w:history="1">
              <w:r w:rsidRPr="004F7F40">
                <w:rPr>
                  <w:rStyle w:val="Hyperlink"/>
                  <w:rFonts w:ascii="Arial" w:hAnsi="Arial" w:cs="Arial"/>
                  <w:sz w:val="20"/>
                  <w:szCs w:val="20"/>
                </w:rPr>
                <w:t>http://www.territorystories.nt.gov.au/jspui/bitstream/10070/292672/1/Annual_Reports_Public_Service_Commissioner_and_the_Department_of_Labour_and_Administrative_Services_1990-91.PDF</w:t>
              </w:r>
            </w:hyperlink>
          </w:p>
          <w:p w14:paraId="4C5D2AFE" w14:textId="0A81B4E8" w:rsidR="001131E1" w:rsidRPr="004F7F40" w:rsidRDefault="001131E1" w:rsidP="001131E1">
            <w:pPr>
              <w:pStyle w:val="ListParagraph"/>
              <w:widowControl w:val="0"/>
              <w:numPr>
                <w:ilvl w:val="0"/>
                <w:numId w:val="18"/>
              </w:numPr>
              <w:rPr>
                <w:rFonts w:ascii="Arial" w:hAnsi="Arial" w:cs="Arial"/>
                <w:sz w:val="20"/>
                <w:szCs w:val="20"/>
              </w:rPr>
            </w:pPr>
            <w:r w:rsidRPr="004F7F40">
              <w:rPr>
                <w:rFonts w:ascii="Arial" w:hAnsi="Arial" w:cs="Arial"/>
                <w:sz w:val="20"/>
                <w:szCs w:val="20"/>
              </w:rPr>
              <w:t xml:space="preserve">Provides some information on the lead up to PSEMA: </w:t>
            </w:r>
            <w:r w:rsidRPr="004F7F40">
              <w:rPr>
                <w:rFonts w:ascii="Arial" w:hAnsi="Arial" w:cs="Arial"/>
                <w:i/>
                <w:sz w:val="20"/>
                <w:szCs w:val="20"/>
              </w:rPr>
              <w:t>In October 1990</w:t>
            </w:r>
            <w:r w:rsidRPr="004F7F40">
              <w:rPr>
                <w:rFonts w:ascii="Arial" w:hAnsi="Arial" w:cs="Arial"/>
                <w:sz w:val="20"/>
                <w:szCs w:val="20"/>
              </w:rPr>
              <w:t xml:space="preserve"> </w:t>
            </w:r>
            <w:r w:rsidRPr="004F7F40">
              <w:rPr>
                <w:rFonts w:ascii="Arial" w:hAnsi="Arial" w:cs="Arial"/>
                <w:i/>
                <w:sz w:val="20"/>
                <w:szCs w:val="20"/>
              </w:rPr>
              <w:t>I circulated a discussion paper on the role of the Commissioner's Office and on the question of role relationships which led to considerable useful and positive discussion with senior managers in agencies. This paper formed the base of a subsequent proposal for a new Public Sector Employment and Management Act, as it is quite clear that the structural issues associated with the identification of roles and role relationships need to be clarified in legislation in the first instance.</w:t>
            </w:r>
            <w:r w:rsidRPr="004F7F40">
              <w:rPr>
                <w:rFonts w:ascii="Arial" w:hAnsi="Arial" w:cs="Arial"/>
                <w:sz w:val="20"/>
                <w:szCs w:val="20"/>
              </w:rPr>
              <w:t xml:space="preserve"> (p</w:t>
            </w:r>
            <w:r w:rsidR="00B82BBB" w:rsidRPr="004F7F40">
              <w:rPr>
                <w:rFonts w:ascii="Arial" w:hAnsi="Arial" w:cs="Arial"/>
                <w:sz w:val="20"/>
                <w:szCs w:val="20"/>
              </w:rPr>
              <w:t xml:space="preserve">. </w:t>
            </w:r>
            <w:r w:rsidRPr="004F7F40">
              <w:rPr>
                <w:rFonts w:ascii="Arial" w:hAnsi="Arial" w:cs="Arial"/>
                <w:sz w:val="20"/>
                <w:szCs w:val="20"/>
              </w:rPr>
              <w:t>2)</w:t>
            </w:r>
          </w:p>
          <w:p w14:paraId="601A1A8F" w14:textId="7DB7D052" w:rsidR="001131E1" w:rsidRPr="004F7F40" w:rsidRDefault="001131E1" w:rsidP="001131E1">
            <w:pPr>
              <w:rPr>
                <w:rFonts w:ascii="Arial" w:hAnsi="Arial" w:cs="Arial"/>
                <w:sz w:val="20"/>
                <w:szCs w:val="20"/>
              </w:rPr>
            </w:pPr>
          </w:p>
        </w:tc>
        <w:tc>
          <w:tcPr>
            <w:tcW w:w="3969" w:type="dxa"/>
          </w:tcPr>
          <w:p w14:paraId="6479DB21" w14:textId="0634DCCC" w:rsidR="001131E1" w:rsidRPr="004F7F40" w:rsidRDefault="0015494E" w:rsidP="00580791">
            <w:pPr>
              <w:rPr>
                <w:rFonts w:ascii="Arial" w:hAnsi="Arial" w:cs="Arial"/>
                <w:sz w:val="20"/>
                <w:szCs w:val="20"/>
              </w:rPr>
            </w:pPr>
            <w:r w:rsidRPr="004F7F40">
              <w:rPr>
                <w:rFonts w:ascii="Arial" w:hAnsi="Arial" w:cs="Arial"/>
                <w:sz w:val="20"/>
                <w:szCs w:val="20"/>
              </w:rPr>
              <w:t xml:space="preserve">In a speech to the Industrial Relations Society of the Northern Territory, then Public Service Commissioner David Hawkes (1991) outlined the rationale for the development of what was to become the </w:t>
            </w:r>
            <w:r w:rsidRPr="004F7F40">
              <w:rPr>
                <w:rFonts w:ascii="Arial" w:hAnsi="Arial" w:cs="Arial"/>
                <w:i/>
                <w:iCs/>
                <w:sz w:val="20"/>
                <w:szCs w:val="20"/>
              </w:rPr>
              <w:t>Public Sector Employment and Management Act 1993</w:t>
            </w:r>
            <w:r w:rsidRPr="004F7F40">
              <w:rPr>
                <w:rFonts w:ascii="Arial" w:hAnsi="Arial" w:cs="Arial"/>
                <w:sz w:val="20"/>
                <w:szCs w:val="20"/>
              </w:rPr>
              <w:t xml:space="preserve"> (PSEMA).</w:t>
            </w:r>
          </w:p>
        </w:tc>
        <w:tc>
          <w:tcPr>
            <w:tcW w:w="4394" w:type="dxa"/>
          </w:tcPr>
          <w:p w14:paraId="07AE49BA" w14:textId="4BEE0B50" w:rsidR="001131E1" w:rsidRPr="004F7F40" w:rsidRDefault="001131E1" w:rsidP="00580791">
            <w:pPr>
              <w:rPr>
                <w:rFonts w:ascii="Arial" w:hAnsi="Arial" w:cs="Arial"/>
                <w:color w:val="FF0000"/>
                <w:sz w:val="20"/>
                <w:szCs w:val="20"/>
              </w:rPr>
            </w:pPr>
          </w:p>
        </w:tc>
      </w:tr>
      <w:tr w:rsidR="00683894" w:rsidRPr="004F7F40" w14:paraId="7DC2ADE7" w14:textId="77777777" w:rsidTr="00453BF5">
        <w:tc>
          <w:tcPr>
            <w:tcW w:w="1022" w:type="dxa"/>
          </w:tcPr>
          <w:p w14:paraId="3CDAF0E0" w14:textId="3B4DEC73" w:rsidR="00683894" w:rsidRPr="004F7F40" w:rsidRDefault="00683894" w:rsidP="00580791">
            <w:pPr>
              <w:rPr>
                <w:rFonts w:ascii="Arial" w:hAnsi="Arial" w:cs="Arial"/>
                <w:b/>
                <w:bCs/>
                <w:sz w:val="20"/>
                <w:szCs w:val="20"/>
              </w:rPr>
            </w:pPr>
            <w:r w:rsidRPr="004F7F40">
              <w:rPr>
                <w:rFonts w:ascii="Arial" w:hAnsi="Arial" w:cs="Arial"/>
                <w:b/>
                <w:bCs/>
                <w:sz w:val="20"/>
                <w:szCs w:val="20"/>
              </w:rPr>
              <w:t>1993</w:t>
            </w:r>
          </w:p>
        </w:tc>
        <w:tc>
          <w:tcPr>
            <w:tcW w:w="5670" w:type="dxa"/>
          </w:tcPr>
          <w:p w14:paraId="36579C0A" w14:textId="77777777" w:rsidR="00683894" w:rsidRPr="004F7F40" w:rsidRDefault="00683894" w:rsidP="001131E1">
            <w:pPr>
              <w:rPr>
                <w:rFonts w:ascii="Arial" w:hAnsi="Arial" w:cs="Arial"/>
                <w:sz w:val="20"/>
                <w:szCs w:val="20"/>
              </w:rPr>
            </w:pPr>
          </w:p>
        </w:tc>
        <w:tc>
          <w:tcPr>
            <w:tcW w:w="3969" w:type="dxa"/>
          </w:tcPr>
          <w:p w14:paraId="1539EB0C" w14:textId="77777777" w:rsidR="00683894" w:rsidRPr="004F7F40" w:rsidRDefault="00683894" w:rsidP="00683894">
            <w:pPr>
              <w:rPr>
                <w:rFonts w:ascii="Arial" w:hAnsi="Arial" w:cs="Arial"/>
                <w:i/>
                <w:iCs/>
                <w:sz w:val="20"/>
                <w:szCs w:val="20"/>
              </w:rPr>
            </w:pPr>
            <w:r w:rsidRPr="004F7F40">
              <w:rPr>
                <w:rFonts w:ascii="Arial" w:hAnsi="Arial" w:cs="Arial"/>
                <w:i/>
                <w:iCs/>
                <w:sz w:val="20"/>
                <w:szCs w:val="20"/>
              </w:rPr>
              <w:t>Anti-Discrimination Act 1993</w:t>
            </w:r>
          </w:p>
          <w:p w14:paraId="20C9D96B" w14:textId="77777777" w:rsidR="00683894" w:rsidRPr="004F7F40" w:rsidRDefault="00683894" w:rsidP="00580791">
            <w:pPr>
              <w:rPr>
                <w:rFonts w:ascii="Arial" w:hAnsi="Arial" w:cs="Arial"/>
                <w:i/>
                <w:iCs/>
                <w:sz w:val="20"/>
                <w:szCs w:val="20"/>
              </w:rPr>
            </w:pPr>
            <w:r w:rsidRPr="004F7F40">
              <w:rPr>
                <w:rFonts w:ascii="Arial" w:hAnsi="Arial" w:cs="Arial"/>
                <w:i/>
                <w:iCs/>
                <w:sz w:val="20"/>
                <w:szCs w:val="20"/>
              </w:rPr>
              <w:t>Public Sector Employment and Management Act 1993</w:t>
            </w:r>
          </w:p>
          <w:p w14:paraId="5A09FD3A" w14:textId="7AA696AA" w:rsidR="00683894" w:rsidRPr="004F7F40" w:rsidRDefault="00683894" w:rsidP="00580791">
            <w:pPr>
              <w:rPr>
                <w:rFonts w:ascii="Arial" w:hAnsi="Arial" w:cs="Arial"/>
                <w:i/>
                <w:iCs/>
                <w:sz w:val="20"/>
                <w:szCs w:val="20"/>
              </w:rPr>
            </w:pPr>
            <w:r w:rsidRPr="004F7F40">
              <w:rPr>
                <w:rFonts w:ascii="Arial" w:hAnsi="Arial" w:cs="Arial"/>
                <w:i/>
                <w:iCs/>
                <w:sz w:val="20"/>
                <w:szCs w:val="20"/>
              </w:rPr>
              <w:t>Public Sector Employment and Management Act – Regulations 1993</w:t>
            </w:r>
          </w:p>
        </w:tc>
        <w:tc>
          <w:tcPr>
            <w:tcW w:w="4394" w:type="dxa"/>
          </w:tcPr>
          <w:p w14:paraId="4C4492DB" w14:textId="77777777" w:rsidR="00683894" w:rsidRPr="004F7F40" w:rsidRDefault="00683894" w:rsidP="00580791">
            <w:pPr>
              <w:rPr>
                <w:rFonts w:ascii="Arial" w:hAnsi="Arial" w:cs="Arial"/>
                <w:sz w:val="20"/>
                <w:szCs w:val="20"/>
              </w:rPr>
            </w:pPr>
          </w:p>
        </w:tc>
      </w:tr>
      <w:tr w:rsidR="0015494E" w:rsidRPr="004F7F40" w14:paraId="68F44A16" w14:textId="77777777" w:rsidTr="00453BF5">
        <w:tc>
          <w:tcPr>
            <w:tcW w:w="1022" w:type="dxa"/>
          </w:tcPr>
          <w:p w14:paraId="7306EDC9" w14:textId="096F9D55" w:rsidR="0015494E" w:rsidRPr="004F7F40" w:rsidRDefault="0015494E" w:rsidP="00580791">
            <w:pPr>
              <w:rPr>
                <w:rFonts w:ascii="Arial" w:hAnsi="Arial" w:cs="Arial"/>
                <w:b/>
                <w:bCs/>
                <w:sz w:val="20"/>
                <w:szCs w:val="20"/>
              </w:rPr>
            </w:pPr>
            <w:r w:rsidRPr="004F7F40">
              <w:rPr>
                <w:rFonts w:ascii="Arial" w:hAnsi="Arial" w:cs="Arial"/>
                <w:b/>
                <w:bCs/>
                <w:sz w:val="20"/>
                <w:szCs w:val="20"/>
              </w:rPr>
              <w:t>1995</w:t>
            </w:r>
          </w:p>
        </w:tc>
        <w:tc>
          <w:tcPr>
            <w:tcW w:w="5670" w:type="dxa"/>
          </w:tcPr>
          <w:p w14:paraId="6BDD2DBB" w14:textId="77777777" w:rsidR="0015494E" w:rsidRPr="004F7F40" w:rsidRDefault="0015494E" w:rsidP="001131E1">
            <w:pPr>
              <w:rPr>
                <w:rFonts w:ascii="Arial" w:hAnsi="Arial" w:cs="Arial"/>
                <w:sz w:val="20"/>
                <w:szCs w:val="20"/>
              </w:rPr>
            </w:pPr>
          </w:p>
        </w:tc>
        <w:tc>
          <w:tcPr>
            <w:tcW w:w="3969" w:type="dxa"/>
          </w:tcPr>
          <w:p w14:paraId="1F304690" w14:textId="267010F0" w:rsidR="0015494E" w:rsidRPr="004F7F40" w:rsidRDefault="0015494E" w:rsidP="00683894">
            <w:pPr>
              <w:rPr>
                <w:rFonts w:ascii="Arial" w:hAnsi="Arial" w:cs="Arial"/>
                <w:sz w:val="20"/>
                <w:szCs w:val="20"/>
              </w:rPr>
            </w:pPr>
            <w:r w:rsidRPr="004F7F40">
              <w:rPr>
                <w:rFonts w:ascii="Arial" w:hAnsi="Arial" w:cs="Arial"/>
                <w:sz w:val="20"/>
                <w:szCs w:val="20"/>
              </w:rPr>
              <w:t xml:space="preserve">In an article published in the </w:t>
            </w:r>
            <w:r w:rsidRPr="004F7F40">
              <w:rPr>
                <w:rFonts w:ascii="Arial" w:hAnsi="Arial" w:cs="Arial"/>
                <w:i/>
                <w:iCs/>
                <w:sz w:val="20"/>
                <w:szCs w:val="20"/>
              </w:rPr>
              <w:t>Australian Journal of Public Administration</w:t>
            </w:r>
            <w:r w:rsidRPr="004F7F40">
              <w:rPr>
                <w:rFonts w:ascii="Arial" w:hAnsi="Arial" w:cs="Arial"/>
                <w:sz w:val="20"/>
                <w:szCs w:val="20"/>
              </w:rPr>
              <w:t xml:space="preserve">, David Hawkes (1995) – then Commissioner for Public Employment – outlined the rationale and major features of PSEMA and its subordinate legislation. </w:t>
            </w:r>
          </w:p>
        </w:tc>
        <w:tc>
          <w:tcPr>
            <w:tcW w:w="4394" w:type="dxa"/>
          </w:tcPr>
          <w:p w14:paraId="1A0FBDE2" w14:textId="3D9A413A" w:rsidR="0015494E" w:rsidRPr="004F7F40" w:rsidRDefault="0015494E" w:rsidP="00580791">
            <w:pPr>
              <w:rPr>
                <w:rFonts w:ascii="Arial" w:hAnsi="Arial" w:cs="Arial"/>
                <w:color w:val="FF0000"/>
                <w:sz w:val="20"/>
                <w:szCs w:val="20"/>
              </w:rPr>
            </w:pPr>
          </w:p>
        </w:tc>
      </w:tr>
      <w:tr w:rsidR="00916794" w:rsidRPr="004F7F40" w14:paraId="7D2D2478" w14:textId="77777777" w:rsidTr="00453BF5">
        <w:tc>
          <w:tcPr>
            <w:tcW w:w="1022" w:type="dxa"/>
          </w:tcPr>
          <w:p w14:paraId="2588F03A" w14:textId="4C40E990" w:rsidR="00916794" w:rsidRPr="004F7F40" w:rsidRDefault="00916794" w:rsidP="00580791">
            <w:pPr>
              <w:rPr>
                <w:rFonts w:ascii="Arial" w:hAnsi="Arial" w:cs="Arial"/>
                <w:b/>
                <w:bCs/>
                <w:sz w:val="20"/>
                <w:szCs w:val="20"/>
              </w:rPr>
            </w:pPr>
            <w:r w:rsidRPr="004F7F40">
              <w:rPr>
                <w:rFonts w:ascii="Arial" w:hAnsi="Arial" w:cs="Arial"/>
                <w:b/>
                <w:bCs/>
                <w:sz w:val="20"/>
                <w:szCs w:val="20"/>
              </w:rPr>
              <w:lastRenderedPageBreak/>
              <w:t>1997</w:t>
            </w:r>
          </w:p>
        </w:tc>
        <w:tc>
          <w:tcPr>
            <w:tcW w:w="5670" w:type="dxa"/>
          </w:tcPr>
          <w:p w14:paraId="1174B8D1" w14:textId="77777777" w:rsidR="00916794" w:rsidRPr="004F7F40" w:rsidRDefault="00916794" w:rsidP="001131E1">
            <w:pPr>
              <w:rPr>
                <w:rFonts w:ascii="Arial" w:hAnsi="Arial" w:cs="Arial"/>
                <w:sz w:val="20"/>
                <w:szCs w:val="20"/>
              </w:rPr>
            </w:pPr>
          </w:p>
        </w:tc>
        <w:tc>
          <w:tcPr>
            <w:tcW w:w="3969" w:type="dxa"/>
          </w:tcPr>
          <w:p w14:paraId="45E2D1F0" w14:textId="77777777" w:rsidR="00916794" w:rsidRPr="004F7F40" w:rsidRDefault="00916794" w:rsidP="00683894">
            <w:pPr>
              <w:rPr>
                <w:rFonts w:ascii="Arial" w:hAnsi="Arial" w:cs="Arial"/>
                <w:color w:val="FF0000"/>
                <w:sz w:val="20"/>
                <w:szCs w:val="20"/>
              </w:rPr>
            </w:pPr>
          </w:p>
        </w:tc>
        <w:tc>
          <w:tcPr>
            <w:tcW w:w="4394" w:type="dxa"/>
          </w:tcPr>
          <w:p w14:paraId="6B9CF2F7" w14:textId="412D19ED" w:rsidR="00916794" w:rsidRPr="004F7F40" w:rsidRDefault="00916794" w:rsidP="00580791">
            <w:pPr>
              <w:rPr>
                <w:rFonts w:ascii="Arial" w:hAnsi="Arial" w:cs="Arial"/>
                <w:sz w:val="20"/>
                <w:szCs w:val="20"/>
              </w:rPr>
            </w:pPr>
            <w:r w:rsidRPr="004F7F40">
              <w:rPr>
                <w:rFonts w:ascii="Arial" w:hAnsi="Arial" w:cs="Arial"/>
                <w:sz w:val="20"/>
                <w:szCs w:val="20"/>
              </w:rPr>
              <w:t xml:space="preserve">In an article published in the </w:t>
            </w:r>
            <w:r w:rsidRPr="004F7F40">
              <w:rPr>
                <w:rFonts w:ascii="Arial" w:hAnsi="Arial" w:cs="Arial"/>
                <w:i/>
                <w:iCs/>
                <w:sz w:val="20"/>
                <w:szCs w:val="20"/>
              </w:rPr>
              <w:t>Australian Journal of Public Administration</w:t>
            </w:r>
            <w:r w:rsidRPr="004F7F40">
              <w:rPr>
                <w:rFonts w:ascii="Arial" w:hAnsi="Arial" w:cs="Arial"/>
                <w:sz w:val="20"/>
                <w:szCs w:val="20"/>
              </w:rPr>
              <w:t>, the Commissioner for Public Employment provides some historical background on the NTPS and public sector reform, including the strengths and weaknesses of PSEMA three years into its operation.</w:t>
            </w:r>
          </w:p>
          <w:p w14:paraId="299CBDE1" w14:textId="7F21EADB" w:rsidR="00916794" w:rsidRPr="004F7F40" w:rsidRDefault="00916794" w:rsidP="00580791">
            <w:pPr>
              <w:rPr>
                <w:rFonts w:ascii="Arial" w:hAnsi="Arial" w:cs="Arial"/>
                <w:sz w:val="20"/>
                <w:szCs w:val="20"/>
              </w:rPr>
            </w:pPr>
            <w:r w:rsidRPr="004F7F40">
              <w:rPr>
                <w:rFonts w:ascii="Arial" w:hAnsi="Arial" w:cs="Arial"/>
                <w:sz w:val="20"/>
                <w:szCs w:val="20"/>
              </w:rPr>
              <w:t>(Hawkes &amp; Moir, 1997).</w:t>
            </w:r>
          </w:p>
        </w:tc>
      </w:tr>
      <w:tr w:rsidR="0015494E" w:rsidRPr="004F7F40" w14:paraId="587B26A0" w14:textId="77777777" w:rsidTr="00453BF5">
        <w:tc>
          <w:tcPr>
            <w:tcW w:w="1022" w:type="dxa"/>
          </w:tcPr>
          <w:p w14:paraId="699EAD1D" w14:textId="3B0C1E7C" w:rsidR="0015494E" w:rsidRPr="004F7F40" w:rsidRDefault="0015494E" w:rsidP="00580791">
            <w:pPr>
              <w:rPr>
                <w:rFonts w:ascii="Arial" w:hAnsi="Arial" w:cs="Arial"/>
                <w:b/>
                <w:bCs/>
                <w:sz w:val="20"/>
                <w:szCs w:val="20"/>
              </w:rPr>
            </w:pPr>
            <w:r w:rsidRPr="004F7F40">
              <w:rPr>
                <w:rFonts w:ascii="Arial" w:hAnsi="Arial" w:cs="Arial"/>
                <w:b/>
                <w:bCs/>
                <w:sz w:val="20"/>
                <w:szCs w:val="20"/>
              </w:rPr>
              <w:t>199</w:t>
            </w:r>
            <w:r w:rsidR="00916794" w:rsidRPr="004F7F40">
              <w:rPr>
                <w:rFonts w:ascii="Arial" w:hAnsi="Arial" w:cs="Arial"/>
                <w:b/>
                <w:bCs/>
                <w:sz w:val="20"/>
                <w:szCs w:val="20"/>
              </w:rPr>
              <w:t>9</w:t>
            </w:r>
          </w:p>
        </w:tc>
        <w:tc>
          <w:tcPr>
            <w:tcW w:w="5670" w:type="dxa"/>
          </w:tcPr>
          <w:p w14:paraId="07641921" w14:textId="77777777" w:rsidR="0015494E" w:rsidRPr="004F7F40" w:rsidRDefault="0015494E" w:rsidP="001131E1">
            <w:pPr>
              <w:rPr>
                <w:rFonts w:ascii="Arial" w:hAnsi="Arial" w:cs="Arial"/>
                <w:sz w:val="20"/>
                <w:szCs w:val="20"/>
              </w:rPr>
            </w:pPr>
          </w:p>
        </w:tc>
        <w:tc>
          <w:tcPr>
            <w:tcW w:w="3969" w:type="dxa"/>
          </w:tcPr>
          <w:p w14:paraId="2624ABDB" w14:textId="77777777" w:rsidR="0015494E" w:rsidRPr="004F7F40" w:rsidRDefault="0015494E" w:rsidP="00683894">
            <w:pPr>
              <w:rPr>
                <w:rFonts w:ascii="Arial" w:hAnsi="Arial" w:cs="Arial"/>
                <w:color w:val="FF0000"/>
                <w:sz w:val="20"/>
                <w:szCs w:val="20"/>
              </w:rPr>
            </w:pPr>
          </w:p>
        </w:tc>
        <w:tc>
          <w:tcPr>
            <w:tcW w:w="4394" w:type="dxa"/>
          </w:tcPr>
          <w:p w14:paraId="4F3182F9" w14:textId="3F7F13AA" w:rsidR="0015494E" w:rsidRPr="004F7F40" w:rsidRDefault="0015494E" w:rsidP="00580791">
            <w:pPr>
              <w:rPr>
                <w:rFonts w:ascii="Arial" w:hAnsi="Arial" w:cs="Arial"/>
                <w:sz w:val="20"/>
                <w:szCs w:val="20"/>
              </w:rPr>
            </w:pPr>
            <w:r w:rsidRPr="004F7F40">
              <w:rPr>
                <w:rFonts w:ascii="Arial" w:hAnsi="Arial" w:cs="Arial"/>
                <w:sz w:val="20"/>
                <w:szCs w:val="20"/>
              </w:rPr>
              <w:t xml:space="preserve">In an article published in the </w:t>
            </w:r>
            <w:r w:rsidRPr="004F7F40">
              <w:rPr>
                <w:rFonts w:ascii="Arial" w:hAnsi="Arial" w:cs="Arial"/>
                <w:i/>
                <w:iCs/>
                <w:sz w:val="20"/>
                <w:szCs w:val="20"/>
              </w:rPr>
              <w:t>Australian Journal of Public Administration</w:t>
            </w:r>
            <w:r w:rsidRPr="004F7F40">
              <w:rPr>
                <w:rFonts w:ascii="Arial" w:hAnsi="Arial" w:cs="Arial"/>
                <w:sz w:val="20"/>
                <w:szCs w:val="20"/>
              </w:rPr>
              <w:t xml:space="preserve">, the Commissioner for Public Employment claims the NTPS </w:t>
            </w:r>
            <w:r w:rsidR="00916794" w:rsidRPr="004F7F40">
              <w:rPr>
                <w:rFonts w:ascii="Arial" w:hAnsi="Arial" w:cs="Arial"/>
                <w:sz w:val="20"/>
                <w:szCs w:val="20"/>
              </w:rPr>
              <w:t>has not been politicised through the introduction of contracts for senior executives:</w:t>
            </w:r>
          </w:p>
          <w:p w14:paraId="67E1B21E" w14:textId="5ACAA5B0" w:rsidR="0015494E" w:rsidRPr="004F7F40" w:rsidRDefault="00916794" w:rsidP="00580791">
            <w:pPr>
              <w:rPr>
                <w:rFonts w:ascii="Arial" w:hAnsi="Arial" w:cs="Arial"/>
                <w:sz w:val="20"/>
                <w:szCs w:val="20"/>
              </w:rPr>
            </w:pPr>
            <w:r w:rsidRPr="004F7F40">
              <w:rPr>
                <w:rFonts w:ascii="Arial" w:hAnsi="Arial" w:cs="Arial"/>
                <w:sz w:val="20"/>
                <w:szCs w:val="20"/>
              </w:rPr>
              <w:t>“</w:t>
            </w:r>
            <w:r w:rsidRPr="004F7F40">
              <w:rPr>
                <w:rFonts w:ascii="Arial" w:hAnsi="Arial" w:cs="Arial"/>
                <w:i/>
                <w:iCs/>
                <w:sz w:val="20"/>
                <w:szCs w:val="20"/>
              </w:rPr>
              <w:t xml:space="preserve">There is no evidence to suggest that today’s CEOs are any less reluctant to offer ‘frank and fearless’ advice simply because, over time, some of their colleagues have lost their jobs through unsatisfactory performance or some of them are regularly moved to other positions. Nor are there any suggestions that an individual’s </w:t>
            </w:r>
            <w:proofErr w:type="gramStart"/>
            <w:r w:rsidRPr="004F7F40">
              <w:rPr>
                <w:rFonts w:ascii="Arial" w:hAnsi="Arial" w:cs="Arial"/>
                <w:i/>
                <w:iCs/>
                <w:sz w:val="20"/>
                <w:szCs w:val="20"/>
              </w:rPr>
              <w:t>party political</w:t>
            </w:r>
            <w:proofErr w:type="gramEnd"/>
            <w:r w:rsidRPr="004F7F40">
              <w:rPr>
                <w:rFonts w:ascii="Arial" w:hAnsi="Arial" w:cs="Arial"/>
                <w:i/>
                <w:iCs/>
                <w:sz w:val="20"/>
                <w:szCs w:val="20"/>
              </w:rPr>
              <w:t xml:space="preserve"> inclinations (of they are known as distinct from surmised) has ever influenced a promotion or appointment. In fact, the contrary is the case</w:t>
            </w:r>
            <w:r w:rsidRPr="004F7F40">
              <w:rPr>
                <w:rFonts w:ascii="Arial" w:hAnsi="Arial" w:cs="Arial"/>
                <w:sz w:val="20"/>
                <w:szCs w:val="20"/>
              </w:rPr>
              <w:t>” (Hawkes, 1999, p.85).</w:t>
            </w:r>
          </w:p>
        </w:tc>
      </w:tr>
      <w:tr w:rsidR="001131E1" w:rsidRPr="004F7F40" w14:paraId="7EAE8842" w14:textId="444F26BB" w:rsidTr="00453BF5">
        <w:tc>
          <w:tcPr>
            <w:tcW w:w="1022" w:type="dxa"/>
          </w:tcPr>
          <w:p w14:paraId="1325862E"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2000</w:t>
            </w:r>
          </w:p>
        </w:tc>
        <w:tc>
          <w:tcPr>
            <w:tcW w:w="5670" w:type="dxa"/>
          </w:tcPr>
          <w:p w14:paraId="4ADFA861"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1999-00</w:t>
            </w:r>
          </w:p>
          <w:p w14:paraId="70E6A8DE" w14:textId="412F33B6" w:rsidR="001131E1" w:rsidRPr="004F7F40" w:rsidRDefault="001131E1" w:rsidP="00580791">
            <w:pPr>
              <w:pStyle w:val="ListParagraph"/>
              <w:numPr>
                <w:ilvl w:val="0"/>
                <w:numId w:val="15"/>
              </w:numPr>
              <w:rPr>
                <w:rFonts w:ascii="Arial" w:hAnsi="Arial" w:cs="Arial"/>
                <w:sz w:val="20"/>
                <w:szCs w:val="20"/>
              </w:rPr>
            </w:pPr>
            <w:r w:rsidRPr="004F7F40">
              <w:rPr>
                <w:rFonts w:ascii="Arial" w:hAnsi="Arial" w:cs="Arial"/>
                <w:sz w:val="20"/>
                <w:szCs w:val="20"/>
              </w:rPr>
              <w:t>Executive Development Program (EDP) was deferred to 2001</w:t>
            </w:r>
          </w:p>
          <w:p w14:paraId="5BE94B20" w14:textId="77777777" w:rsidR="001131E1" w:rsidRPr="004F7F40" w:rsidRDefault="001131E1" w:rsidP="00580791">
            <w:pPr>
              <w:rPr>
                <w:rFonts w:ascii="Arial" w:hAnsi="Arial" w:cs="Arial"/>
                <w:sz w:val="20"/>
                <w:szCs w:val="20"/>
              </w:rPr>
            </w:pPr>
            <w:r w:rsidRPr="004F7F40">
              <w:rPr>
                <w:rFonts w:ascii="Arial" w:hAnsi="Arial" w:cs="Arial"/>
                <w:sz w:val="20"/>
                <w:szCs w:val="20"/>
              </w:rPr>
              <w:t>Succession management was reviewed:</w:t>
            </w:r>
          </w:p>
          <w:p w14:paraId="1FF3FBD8" w14:textId="77777777" w:rsidR="001131E1" w:rsidRPr="004F7F40" w:rsidRDefault="001131E1" w:rsidP="00580791">
            <w:pPr>
              <w:pStyle w:val="ListParagraph"/>
              <w:numPr>
                <w:ilvl w:val="0"/>
                <w:numId w:val="15"/>
              </w:numPr>
              <w:rPr>
                <w:rFonts w:ascii="Arial" w:hAnsi="Arial" w:cs="Arial"/>
                <w:sz w:val="20"/>
                <w:szCs w:val="20"/>
              </w:rPr>
            </w:pPr>
            <w:r w:rsidRPr="004F7F40">
              <w:rPr>
                <w:rFonts w:ascii="Arial" w:hAnsi="Arial" w:cs="Arial"/>
                <w:sz w:val="20"/>
                <w:szCs w:val="20"/>
              </w:rPr>
              <w:t>Most ECO1(about 280) were interviewed in April/May 1999</w:t>
            </w:r>
          </w:p>
          <w:p w14:paraId="6E11528D" w14:textId="77777777" w:rsidR="001131E1" w:rsidRPr="004F7F40" w:rsidRDefault="001131E1" w:rsidP="00580791">
            <w:pPr>
              <w:pStyle w:val="ListParagraph"/>
              <w:numPr>
                <w:ilvl w:val="0"/>
                <w:numId w:val="15"/>
              </w:numPr>
              <w:rPr>
                <w:rFonts w:ascii="Arial" w:hAnsi="Arial" w:cs="Arial"/>
                <w:sz w:val="20"/>
                <w:szCs w:val="20"/>
              </w:rPr>
            </w:pPr>
            <w:r w:rsidRPr="004F7F40">
              <w:rPr>
                <w:rFonts w:ascii="Arial" w:hAnsi="Arial" w:cs="Arial"/>
                <w:sz w:val="20"/>
                <w:szCs w:val="20"/>
              </w:rPr>
              <w:t>75% believed they were in the right job and were positive about career prospects</w:t>
            </w:r>
          </w:p>
          <w:p w14:paraId="2998D732" w14:textId="77777777" w:rsidR="001131E1" w:rsidRPr="004F7F40" w:rsidRDefault="001131E1" w:rsidP="00580791">
            <w:pPr>
              <w:pStyle w:val="ListParagraph"/>
              <w:numPr>
                <w:ilvl w:val="0"/>
                <w:numId w:val="15"/>
              </w:numPr>
              <w:rPr>
                <w:rFonts w:ascii="Arial" w:hAnsi="Arial" w:cs="Arial"/>
                <w:sz w:val="20"/>
                <w:szCs w:val="20"/>
              </w:rPr>
            </w:pPr>
            <w:r w:rsidRPr="004F7F40">
              <w:rPr>
                <w:rFonts w:ascii="Arial" w:hAnsi="Arial" w:cs="Arial"/>
                <w:sz w:val="20"/>
                <w:szCs w:val="20"/>
              </w:rPr>
              <w:lastRenderedPageBreak/>
              <w:t>Some were “clearly identified” as having the potential to advance</w:t>
            </w:r>
          </w:p>
          <w:p w14:paraId="67846943" w14:textId="77777777" w:rsidR="001131E1" w:rsidRPr="004F7F40" w:rsidRDefault="001131E1" w:rsidP="00580791">
            <w:pPr>
              <w:pStyle w:val="ListParagraph"/>
              <w:numPr>
                <w:ilvl w:val="0"/>
                <w:numId w:val="15"/>
              </w:numPr>
              <w:rPr>
                <w:rFonts w:ascii="Arial" w:hAnsi="Arial" w:cs="Arial"/>
                <w:sz w:val="20"/>
                <w:szCs w:val="20"/>
              </w:rPr>
            </w:pPr>
            <w:r w:rsidRPr="004F7F40">
              <w:rPr>
                <w:rFonts w:ascii="Arial" w:hAnsi="Arial" w:cs="Arial"/>
                <w:sz w:val="20"/>
                <w:szCs w:val="20"/>
              </w:rPr>
              <w:t>Most could identify their personal development needs</w:t>
            </w:r>
          </w:p>
          <w:p w14:paraId="5DC70FD9" w14:textId="77777777" w:rsidR="001131E1" w:rsidRPr="004F7F40" w:rsidRDefault="001131E1" w:rsidP="00580791">
            <w:pPr>
              <w:pStyle w:val="ListParagraph"/>
              <w:numPr>
                <w:ilvl w:val="0"/>
                <w:numId w:val="15"/>
              </w:numPr>
              <w:rPr>
                <w:rFonts w:ascii="Arial" w:hAnsi="Arial" w:cs="Arial"/>
                <w:sz w:val="20"/>
                <w:szCs w:val="20"/>
              </w:rPr>
            </w:pPr>
            <w:r w:rsidRPr="004F7F40">
              <w:rPr>
                <w:rFonts w:ascii="Arial" w:hAnsi="Arial" w:cs="Arial"/>
                <w:sz w:val="20"/>
                <w:szCs w:val="20"/>
              </w:rPr>
              <w:t>Further discussion with CEOs planned</w:t>
            </w:r>
          </w:p>
        </w:tc>
        <w:tc>
          <w:tcPr>
            <w:tcW w:w="3969" w:type="dxa"/>
          </w:tcPr>
          <w:p w14:paraId="38B7CFE0" w14:textId="77777777" w:rsidR="001131E1" w:rsidRPr="004F7F40" w:rsidRDefault="001131E1" w:rsidP="00580791">
            <w:pPr>
              <w:rPr>
                <w:rFonts w:ascii="Arial" w:hAnsi="Arial" w:cs="Arial"/>
                <w:sz w:val="20"/>
                <w:szCs w:val="20"/>
              </w:rPr>
            </w:pPr>
          </w:p>
        </w:tc>
        <w:tc>
          <w:tcPr>
            <w:tcW w:w="4394" w:type="dxa"/>
          </w:tcPr>
          <w:p w14:paraId="2B8DBCAF" w14:textId="77777777" w:rsidR="001131E1" w:rsidRPr="004F7F40" w:rsidRDefault="001131E1" w:rsidP="00580791">
            <w:pPr>
              <w:rPr>
                <w:rFonts w:ascii="Arial" w:hAnsi="Arial" w:cs="Arial"/>
                <w:sz w:val="20"/>
                <w:szCs w:val="20"/>
              </w:rPr>
            </w:pPr>
          </w:p>
        </w:tc>
      </w:tr>
      <w:tr w:rsidR="001131E1" w:rsidRPr="004F7F40" w14:paraId="3587BA9C" w14:textId="778C5CDD" w:rsidTr="00453BF5">
        <w:tc>
          <w:tcPr>
            <w:tcW w:w="1022" w:type="dxa"/>
          </w:tcPr>
          <w:p w14:paraId="08AE3B8C"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2001</w:t>
            </w:r>
          </w:p>
        </w:tc>
        <w:tc>
          <w:tcPr>
            <w:tcW w:w="5670" w:type="dxa"/>
          </w:tcPr>
          <w:p w14:paraId="3739F261" w14:textId="77777777" w:rsidR="001131E1" w:rsidRPr="004F7F40" w:rsidRDefault="001131E1" w:rsidP="00580791">
            <w:pPr>
              <w:rPr>
                <w:rFonts w:ascii="Arial" w:hAnsi="Arial" w:cs="Arial"/>
                <w:sz w:val="20"/>
                <w:szCs w:val="20"/>
              </w:rPr>
            </w:pPr>
            <w:r w:rsidRPr="004F7F40">
              <w:rPr>
                <w:rFonts w:ascii="Arial" w:hAnsi="Arial" w:cs="Arial"/>
                <w:sz w:val="20"/>
                <w:szCs w:val="20"/>
              </w:rPr>
              <w:t>Office of the Commissioner for Public Employment – Annual Report 2000-2001</w:t>
            </w:r>
          </w:p>
          <w:p w14:paraId="311B8560" w14:textId="7DDA3541" w:rsidR="001131E1" w:rsidRPr="004F7F40" w:rsidRDefault="001131E1" w:rsidP="00580791">
            <w:pPr>
              <w:pStyle w:val="ListParagraph"/>
              <w:numPr>
                <w:ilvl w:val="0"/>
                <w:numId w:val="16"/>
              </w:numPr>
              <w:rPr>
                <w:rFonts w:ascii="Arial" w:hAnsi="Arial" w:cs="Arial"/>
                <w:sz w:val="20"/>
                <w:szCs w:val="20"/>
              </w:rPr>
            </w:pPr>
            <w:r w:rsidRPr="004F7F40">
              <w:rPr>
                <w:rFonts w:ascii="Arial" w:hAnsi="Arial" w:cs="Arial"/>
                <w:sz w:val="20"/>
                <w:szCs w:val="20"/>
              </w:rPr>
              <w:t xml:space="preserve">ECO terms and conditions were </w:t>
            </w:r>
            <w:proofErr w:type="gramStart"/>
            <w:r w:rsidRPr="004F7F40">
              <w:rPr>
                <w:rFonts w:ascii="Arial" w:hAnsi="Arial" w:cs="Arial"/>
                <w:sz w:val="20"/>
                <w:szCs w:val="20"/>
              </w:rPr>
              <w:t>reviewed</w:t>
            </w:r>
            <w:proofErr w:type="gramEnd"/>
            <w:r w:rsidRPr="004F7F40">
              <w:rPr>
                <w:rFonts w:ascii="Arial" w:hAnsi="Arial" w:cs="Arial"/>
                <w:sz w:val="20"/>
                <w:szCs w:val="20"/>
              </w:rPr>
              <w:t xml:space="preserve"> and a new determination issued</w:t>
            </w:r>
          </w:p>
          <w:p w14:paraId="07D88E9E" w14:textId="77777777" w:rsidR="001131E1" w:rsidRPr="004F7F40" w:rsidRDefault="001131E1" w:rsidP="00580791">
            <w:pPr>
              <w:pStyle w:val="ListParagraph"/>
              <w:numPr>
                <w:ilvl w:val="0"/>
                <w:numId w:val="16"/>
              </w:numPr>
              <w:rPr>
                <w:rFonts w:ascii="Arial" w:hAnsi="Arial" w:cs="Arial"/>
                <w:sz w:val="20"/>
                <w:szCs w:val="20"/>
              </w:rPr>
            </w:pPr>
            <w:r w:rsidRPr="004F7F40">
              <w:rPr>
                <w:rFonts w:ascii="Arial" w:hAnsi="Arial" w:cs="Arial"/>
                <w:sz w:val="20"/>
                <w:szCs w:val="20"/>
              </w:rPr>
              <w:t>Executive Development Strategy – a new Leadership Development Program launched</w:t>
            </w:r>
          </w:p>
          <w:p w14:paraId="19E3F59A" w14:textId="77777777" w:rsidR="001131E1" w:rsidRPr="004F7F40" w:rsidRDefault="001131E1" w:rsidP="00580791">
            <w:pPr>
              <w:pStyle w:val="ListParagraph"/>
              <w:numPr>
                <w:ilvl w:val="0"/>
                <w:numId w:val="16"/>
              </w:numPr>
              <w:rPr>
                <w:rFonts w:ascii="Arial" w:hAnsi="Arial" w:cs="Arial"/>
                <w:sz w:val="20"/>
                <w:szCs w:val="20"/>
              </w:rPr>
            </w:pPr>
            <w:r w:rsidRPr="004F7F40">
              <w:rPr>
                <w:rFonts w:ascii="Arial" w:hAnsi="Arial" w:cs="Arial"/>
                <w:sz w:val="20"/>
                <w:szCs w:val="20"/>
              </w:rPr>
              <w:t>Employment Instruction 1 amended so that voluntary redundancies cannot be reemployed for 2 years</w:t>
            </w:r>
          </w:p>
        </w:tc>
        <w:tc>
          <w:tcPr>
            <w:tcW w:w="3969" w:type="dxa"/>
          </w:tcPr>
          <w:p w14:paraId="5951E33F" w14:textId="6D0DA405" w:rsidR="001131E1" w:rsidRPr="004F7F40" w:rsidRDefault="00B82BBB" w:rsidP="00580791">
            <w:pPr>
              <w:rPr>
                <w:rFonts w:ascii="Arial" w:hAnsi="Arial" w:cs="Arial"/>
                <w:sz w:val="20"/>
                <w:szCs w:val="20"/>
              </w:rPr>
            </w:pPr>
            <w:r w:rsidRPr="004F7F40">
              <w:rPr>
                <w:rFonts w:ascii="Arial" w:hAnsi="Arial" w:cs="Arial"/>
                <w:sz w:val="20"/>
                <w:szCs w:val="20"/>
              </w:rPr>
              <w:t>PSEMA amended in December 2001 “to facilitate implementation of the New Public Sector Arrangements” (PCPE 2002: 46) – mostly relating the amalgamations into mega-departments</w:t>
            </w:r>
          </w:p>
        </w:tc>
        <w:tc>
          <w:tcPr>
            <w:tcW w:w="4394" w:type="dxa"/>
          </w:tcPr>
          <w:p w14:paraId="5ED37B93" w14:textId="77777777" w:rsidR="001131E1" w:rsidRPr="004F7F40" w:rsidRDefault="001131E1" w:rsidP="00580791">
            <w:pPr>
              <w:rPr>
                <w:rFonts w:ascii="Arial" w:hAnsi="Arial" w:cs="Arial"/>
                <w:sz w:val="20"/>
                <w:szCs w:val="20"/>
              </w:rPr>
            </w:pPr>
          </w:p>
        </w:tc>
      </w:tr>
      <w:tr w:rsidR="001131E1" w:rsidRPr="004F7F40" w14:paraId="0DA5A424" w14:textId="7238A8D1" w:rsidTr="00453BF5">
        <w:tc>
          <w:tcPr>
            <w:tcW w:w="1022" w:type="dxa"/>
          </w:tcPr>
          <w:p w14:paraId="330EBA87"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2002</w:t>
            </w:r>
          </w:p>
        </w:tc>
        <w:tc>
          <w:tcPr>
            <w:tcW w:w="5670" w:type="dxa"/>
          </w:tcPr>
          <w:p w14:paraId="3BF53E1C" w14:textId="77777777" w:rsidR="001131E1" w:rsidRPr="004F7F40" w:rsidRDefault="001131E1" w:rsidP="00580791">
            <w:pPr>
              <w:rPr>
                <w:rFonts w:ascii="Arial" w:hAnsi="Arial" w:cs="Arial"/>
                <w:sz w:val="20"/>
                <w:szCs w:val="20"/>
              </w:rPr>
            </w:pPr>
            <w:r w:rsidRPr="004F7F40">
              <w:rPr>
                <w:rFonts w:ascii="Arial" w:hAnsi="Arial" w:cs="Arial"/>
                <w:sz w:val="20"/>
                <w:szCs w:val="20"/>
              </w:rPr>
              <w:t>Office of the Commissioner for Public Employment – Annual Report 2001-2002</w:t>
            </w:r>
          </w:p>
          <w:p w14:paraId="01AB6180" w14:textId="295BA5D2" w:rsidR="001131E1" w:rsidRPr="004F7F40" w:rsidRDefault="001131E1" w:rsidP="00580791">
            <w:pPr>
              <w:rPr>
                <w:rFonts w:ascii="Arial" w:hAnsi="Arial" w:cs="Arial"/>
                <w:sz w:val="20"/>
                <w:szCs w:val="20"/>
              </w:rPr>
            </w:pPr>
            <w:r w:rsidRPr="004F7F40">
              <w:rPr>
                <w:rFonts w:ascii="Arial" w:hAnsi="Arial" w:cs="Arial"/>
                <w:sz w:val="20"/>
                <w:szCs w:val="20"/>
              </w:rPr>
              <w:t xml:space="preserve">Auditor General </w:t>
            </w:r>
            <w:proofErr w:type="gramStart"/>
            <w:r w:rsidRPr="004F7F40">
              <w:rPr>
                <w:rFonts w:ascii="Arial" w:hAnsi="Arial" w:cs="Arial"/>
                <w:sz w:val="20"/>
                <w:szCs w:val="20"/>
              </w:rPr>
              <w:t>looked into</w:t>
            </w:r>
            <w:proofErr w:type="gramEnd"/>
            <w:r w:rsidRPr="004F7F40">
              <w:rPr>
                <w:rFonts w:ascii="Arial" w:hAnsi="Arial" w:cs="Arial"/>
                <w:sz w:val="20"/>
                <w:szCs w:val="20"/>
              </w:rPr>
              <w:t xml:space="preserve"> Early Termination Payments to CEOs and ECOs found that:</w:t>
            </w:r>
          </w:p>
          <w:p w14:paraId="26C81217" w14:textId="0EBB39DD" w:rsidR="001131E1" w:rsidRPr="004F7F40" w:rsidRDefault="001131E1" w:rsidP="00580791">
            <w:pPr>
              <w:pStyle w:val="ListParagraph"/>
              <w:numPr>
                <w:ilvl w:val="0"/>
                <w:numId w:val="18"/>
              </w:numPr>
              <w:rPr>
                <w:rFonts w:ascii="Arial" w:hAnsi="Arial" w:cs="Arial"/>
                <w:sz w:val="20"/>
                <w:szCs w:val="20"/>
              </w:rPr>
            </w:pPr>
            <w:r w:rsidRPr="004F7F40">
              <w:rPr>
                <w:rFonts w:ascii="Arial" w:hAnsi="Arial" w:cs="Arial"/>
                <w:sz w:val="20"/>
                <w:szCs w:val="20"/>
              </w:rPr>
              <w:t>Termination payments and payments additional to contract requirements were being approved and paid without sufficient records of why payments were being made</w:t>
            </w:r>
            <w:r w:rsidR="00EB394D" w:rsidRPr="004F7F40">
              <w:rPr>
                <w:rFonts w:ascii="Arial" w:hAnsi="Arial" w:cs="Arial"/>
                <w:sz w:val="20"/>
                <w:szCs w:val="20"/>
              </w:rPr>
              <w:t>.</w:t>
            </w:r>
          </w:p>
          <w:p w14:paraId="646AC4BD" w14:textId="3FA79E37" w:rsidR="001131E1" w:rsidRPr="004F7F40" w:rsidRDefault="001131E1" w:rsidP="00580791">
            <w:pPr>
              <w:pStyle w:val="ListParagraph"/>
              <w:numPr>
                <w:ilvl w:val="0"/>
                <w:numId w:val="18"/>
              </w:numPr>
              <w:rPr>
                <w:rFonts w:ascii="Arial" w:hAnsi="Arial" w:cs="Arial"/>
                <w:sz w:val="20"/>
                <w:szCs w:val="20"/>
              </w:rPr>
            </w:pPr>
            <w:r w:rsidRPr="004F7F40">
              <w:rPr>
                <w:rFonts w:ascii="Arial" w:hAnsi="Arial" w:cs="Arial"/>
                <w:sz w:val="20"/>
                <w:szCs w:val="20"/>
              </w:rPr>
              <w:t>There were no records of whether the variations were assessed as being “in the public interest”</w:t>
            </w:r>
            <w:r w:rsidR="00EB394D" w:rsidRPr="004F7F40">
              <w:rPr>
                <w:rFonts w:ascii="Arial" w:hAnsi="Arial" w:cs="Arial"/>
                <w:sz w:val="20"/>
                <w:szCs w:val="20"/>
              </w:rPr>
              <w:t>.</w:t>
            </w:r>
          </w:p>
          <w:p w14:paraId="6F0A62F8" w14:textId="121ABB6F" w:rsidR="001131E1" w:rsidRPr="004F7F40" w:rsidRDefault="001131E1" w:rsidP="00580791">
            <w:pPr>
              <w:rPr>
                <w:rFonts w:ascii="Arial" w:hAnsi="Arial" w:cs="Arial"/>
                <w:sz w:val="20"/>
                <w:szCs w:val="20"/>
              </w:rPr>
            </w:pPr>
            <w:r w:rsidRPr="004F7F40">
              <w:rPr>
                <w:rFonts w:ascii="Arial" w:hAnsi="Arial" w:cs="Arial"/>
                <w:sz w:val="20"/>
                <w:szCs w:val="20"/>
              </w:rPr>
              <w:t>OCPE reported that “procedures were put in place” to address the findings</w:t>
            </w:r>
            <w:r w:rsidR="00B82BBB" w:rsidRPr="004F7F40">
              <w:rPr>
                <w:rFonts w:ascii="Arial" w:hAnsi="Arial" w:cs="Arial"/>
                <w:sz w:val="20"/>
                <w:szCs w:val="20"/>
              </w:rPr>
              <w:t>,</w:t>
            </w:r>
            <w:r w:rsidRPr="004F7F40">
              <w:rPr>
                <w:rFonts w:ascii="Arial" w:hAnsi="Arial" w:cs="Arial"/>
                <w:sz w:val="20"/>
                <w:szCs w:val="20"/>
              </w:rPr>
              <w:t xml:space="preserve"> </w:t>
            </w:r>
          </w:p>
          <w:p w14:paraId="64CC77D7" w14:textId="48729018" w:rsidR="001131E1" w:rsidRPr="004F7F40" w:rsidRDefault="001131E1" w:rsidP="00580791">
            <w:pPr>
              <w:rPr>
                <w:rFonts w:ascii="Arial" w:hAnsi="Arial" w:cs="Arial"/>
                <w:sz w:val="20"/>
                <w:szCs w:val="20"/>
              </w:rPr>
            </w:pPr>
          </w:p>
        </w:tc>
        <w:tc>
          <w:tcPr>
            <w:tcW w:w="3969" w:type="dxa"/>
          </w:tcPr>
          <w:p w14:paraId="09E8E074" w14:textId="77777777" w:rsidR="00B82BBB" w:rsidRPr="004F7F40" w:rsidRDefault="00B82BBB" w:rsidP="00B82BBB">
            <w:pPr>
              <w:rPr>
                <w:rFonts w:ascii="Arial" w:hAnsi="Arial" w:cs="Arial"/>
                <w:sz w:val="20"/>
                <w:szCs w:val="20"/>
              </w:rPr>
            </w:pPr>
            <w:r w:rsidRPr="004F7F40">
              <w:rPr>
                <w:rFonts w:ascii="Arial" w:hAnsi="Arial" w:cs="Arial"/>
                <w:sz w:val="20"/>
                <w:szCs w:val="20"/>
              </w:rPr>
              <w:t>PSEMA Bill tabled June 2002 to remove compulsory retirement age (passed Aug 2003)</w:t>
            </w:r>
          </w:p>
          <w:p w14:paraId="131E54BD" w14:textId="77777777" w:rsidR="001131E1" w:rsidRPr="004F7F40" w:rsidRDefault="001131E1" w:rsidP="00580791">
            <w:pPr>
              <w:rPr>
                <w:rFonts w:ascii="Arial" w:hAnsi="Arial" w:cs="Arial"/>
                <w:sz w:val="20"/>
                <w:szCs w:val="20"/>
              </w:rPr>
            </w:pPr>
          </w:p>
        </w:tc>
        <w:tc>
          <w:tcPr>
            <w:tcW w:w="4394" w:type="dxa"/>
          </w:tcPr>
          <w:p w14:paraId="02B141C8" w14:textId="77777777" w:rsidR="001131E1" w:rsidRPr="004F7F40" w:rsidRDefault="001131E1" w:rsidP="00580791">
            <w:pPr>
              <w:rPr>
                <w:rFonts w:ascii="Arial" w:hAnsi="Arial" w:cs="Arial"/>
                <w:sz w:val="20"/>
                <w:szCs w:val="20"/>
              </w:rPr>
            </w:pPr>
          </w:p>
        </w:tc>
      </w:tr>
      <w:tr w:rsidR="001131E1" w:rsidRPr="004F7F40" w14:paraId="1BBFF0B4" w14:textId="65353FD7" w:rsidTr="00453BF5">
        <w:trPr>
          <w:trHeight w:val="1549"/>
        </w:trPr>
        <w:tc>
          <w:tcPr>
            <w:tcW w:w="1022" w:type="dxa"/>
          </w:tcPr>
          <w:p w14:paraId="2696A583"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2003</w:t>
            </w:r>
          </w:p>
        </w:tc>
        <w:tc>
          <w:tcPr>
            <w:tcW w:w="5670" w:type="dxa"/>
          </w:tcPr>
          <w:p w14:paraId="43081C1F"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2002-2003</w:t>
            </w:r>
          </w:p>
          <w:p w14:paraId="7A781BCF" w14:textId="77777777" w:rsidR="001131E1" w:rsidRPr="004F7F40" w:rsidRDefault="001131E1" w:rsidP="00580791">
            <w:pPr>
              <w:pStyle w:val="ListParagraph"/>
              <w:numPr>
                <w:ilvl w:val="0"/>
                <w:numId w:val="19"/>
              </w:numPr>
              <w:rPr>
                <w:rFonts w:ascii="Arial" w:hAnsi="Arial" w:cs="Arial"/>
                <w:sz w:val="20"/>
                <w:szCs w:val="20"/>
              </w:rPr>
            </w:pPr>
            <w:r w:rsidRPr="004F7F40">
              <w:rPr>
                <w:rFonts w:ascii="Arial" w:hAnsi="Arial" w:cs="Arial"/>
                <w:sz w:val="20"/>
                <w:szCs w:val="20"/>
              </w:rPr>
              <w:t>Developed draft sector wide policy for CEOs and employees to complete a declaration of financial and other interests where those interests may, or may appear to, conflict with the employee’s official duties</w:t>
            </w:r>
          </w:p>
          <w:p w14:paraId="6CCFD54C" w14:textId="77777777" w:rsidR="001131E1" w:rsidRPr="004F7F40" w:rsidRDefault="001131E1" w:rsidP="00580791">
            <w:pPr>
              <w:pStyle w:val="ListParagraph"/>
              <w:numPr>
                <w:ilvl w:val="0"/>
                <w:numId w:val="19"/>
              </w:numPr>
              <w:rPr>
                <w:rFonts w:ascii="Arial" w:hAnsi="Arial" w:cs="Arial"/>
                <w:sz w:val="20"/>
                <w:szCs w:val="20"/>
              </w:rPr>
            </w:pPr>
            <w:r w:rsidRPr="004F7F40">
              <w:rPr>
                <w:rFonts w:ascii="Arial" w:hAnsi="Arial" w:cs="Arial"/>
                <w:sz w:val="20"/>
                <w:szCs w:val="20"/>
              </w:rPr>
              <w:t xml:space="preserve">Noted that </w:t>
            </w:r>
            <w:proofErr w:type="gramStart"/>
            <w:r w:rsidRPr="004F7F40">
              <w:rPr>
                <w:rFonts w:ascii="Arial" w:hAnsi="Arial" w:cs="Arial"/>
                <w:sz w:val="20"/>
                <w:szCs w:val="20"/>
              </w:rPr>
              <w:t>as a result of</w:t>
            </w:r>
            <w:proofErr w:type="gramEnd"/>
            <w:r w:rsidRPr="004F7F40">
              <w:rPr>
                <w:rFonts w:ascii="Arial" w:hAnsi="Arial" w:cs="Arial"/>
                <w:sz w:val="20"/>
                <w:szCs w:val="20"/>
              </w:rPr>
              <w:t xml:space="preserve"> a review in 2002 by the Executive Remuneration Review Panel (ERRP) </w:t>
            </w:r>
            <w:r w:rsidRPr="004F7F40">
              <w:rPr>
                <w:rFonts w:ascii="Arial" w:hAnsi="Arial" w:cs="Arial"/>
                <w:sz w:val="20"/>
                <w:szCs w:val="20"/>
              </w:rPr>
              <w:lastRenderedPageBreak/>
              <w:t>implemented formal procedures for determining variations and for creating ECO1 positions</w:t>
            </w:r>
          </w:p>
          <w:p w14:paraId="7C36C39C" w14:textId="77777777" w:rsidR="001131E1" w:rsidRPr="004F7F40" w:rsidRDefault="001131E1" w:rsidP="00580791">
            <w:pPr>
              <w:pStyle w:val="ListParagraph"/>
              <w:numPr>
                <w:ilvl w:val="0"/>
                <w:numId w:val="19"/>
              </w:numPr>
              <w:rPr>
                <w:rFonts w:ascii="Arial" w:hAnsi="Arial" w:cs="Arial"/>
                <w:sz w:val="20"/>
                <w:szCs w:val="20"/>
              </w:rPr>
            </w:pPr>
            <w:r w:rsidRPr="004F7F40">
              <w:rPr>
                <w:rFonts w:ascii="Arial" w:hAnsi="Arial" w:cs="Arial"/>
                <w:sz w:val="20"/>
                <w:szCs w:val="20"/>
              </w:rPr>
              <w:t>Standard set of terms and conditions for ECO1-ECO4, principals and executive managers appointed by CEOs</w:t>
            </w:r>
          </w:p>
          <w:p w14:paraId="5BFB3361" w14:textId="77777777" w:rsidR="001131E1" w:rsidRPr="004F7F40" w:rsidRDefault="001131E1" w:rsidP="00580791">
            <w:pPr>
              <w:pStyle w:val="ListParagraph"/>
              <w:numPr>
                <w:ilvl w:val="0"/>
                <w:numId w:val="19"/>
              </w:numPr>
              <w:rPr>
                <w:rFonts w:ascii="Arial" w:hAnsi="Arial" w:cs="Arial"/>
                <w:sz w:val="20"/>
                <w:szCs w:val="20"/>
              </w:rPr>
            </w:pPr>
            <w:r w:rsidRPr="004F7F40">
              <w:rPr>
                <w:rFonts w:ascii="Arial" w:hAnsi="Arial" w:cs="Arial"/>
                <w:sz w:val="20"/>
                <w:szCs w:val="20"/>
              </w:rPr>
              <w:t>Provided advice to Department of Health and Community Services on job design and classification issues for executive level management</w:t>
            </w:r>
          </w:p>
          <w:p w14:paraId="4EEEE5E1" w14:textId="77777777" w:rsidR="001131E1" w:rsidRPr="004F7F40" w:rsidRDefault="001131E1" w:rsidP="00580791">
            <w:pPr>
              <w:pStyle w:val="ListParagraph"/>
              <w:numPr>
                <w:ilvl w:val="0"/>
                <w:numId w:val="19"/>
              </w:numPr>
              <w:rPr>
                <w:rFonts w:ascii="Arial" w:hAnsi="Arial" w:cs="Arial"/>
                <w:sz w:val="20"/>
                <w:szCs w:val="20"/>
              </w:rPr>
            </w:pPr>
            <w:r w:rsidRPr="004F7F40">
              <w:rPr>
                <w:rFonts w:ascii="Arial" w:hAnsi="Arial" w:cs="Arial"/>
                <w:sz w:val="20"/>
                <w:szCs w:val="20"/>
              </w:rPr>
              <w:t>Conflict of interest declarations “introduced” but not finalised</w:t>
            </w:r>
          </w:p>
        </w:tc>
        <w:tc>
          <w:tcPr>
            <w:tcW w:w="3969" w:type="dxa"/>
          </w:tcPr>
          <w:p w14:paraId="2D6FCAC2" w14:textId="77777777" w:rsidR="001131E1" w:rsidRPr="004F7F40" w:rsidRDefault="001131E1" w:rsidP="00580791">
            <w:pPr>
              <w:rPr>
                <w:rFonts w:ascii="Arial" w:hAnsi="Arial" w:cs="Arial"/>
                <w:sz w:val="20"/>
                <w:szCs w:val="20"/>
              </w:rPr>
            </w:pPr>
          </w:p>
          <w:p w14:paraId="1BD91B65" w14:textId="77777777" w:rsidR="00EB394D" w:rsidRPr="004F7F40" w:rsidRDefault="00EB394D" w:rsidP="00EB394D">
            <w:pPr>
              <w:rPr>
                <w:rFonts w:ascii="Arial" w:hAnsi="Arial" w:cs="Arial"/>
                <w:sz w:val="20"/>
                <w:szCs w:val="20"/>
              </w:rPr>
            </w:pPr>
          </w:p>
          <w:p w14:paraId="3DF5DA2E" w14:textId="72FCB93F" w:rsidR="00EB394D" w:rsidRPr="004F7F40" w:rsidRDefault="00EB394D" w:rsidP="00EB394D">
            <w:pPr>
              <w:ind w:firstLine="720"/>
              <w:rPr>
                <w:rFonts w:ascii="Arial" w:hAnsi="Arial" w:cs="Arial"/>
                <w:sz w:val="20"/>
                <w:szCs w:val="20"/>
              </w:rPr>
            </w:pPr>
            <w:r w:rsidRPr="004F7F40">
              <w:rPr>
                <w:rFonts w:ascii="Arial" w:hAnsi="Arial" w:cs="Arial"/>
                <w:sz w:val="20"/>
                <w:szCs w:val="20"/>
              </w:rPr>
              <w:t>.</w:t>
            </w:r>
          </w:p>
        </w:tc>
        <w:tc>
          <w:tcPr>
            <w:tcW w:w="4394" w:type="dxa"/>
          </w:tcPr>
          <w:p w14:paraId="46DEFF10" w14:textId="77777777" w:rsidR="001131E1" w:rsidRPr="004F7F40" w:rsidRDefault="001131E1" w:rsidP="00580791">
            <w:pPr>
              <w:rPr>
                <w:rFonts w:ascii="Arial" w:hAnsi="Arial" w:cs="Arial"/>
                <w:sz w:val="20"/>
                <w:szCs w:val="20"/>
              </w:rPr>
            </w:pPr>
          </w:p>
        </w:tc>
      </w:tr>
      <w:tr w:rsidR="001131E1" w:rsidRPr="004F7F40" w14:paraId="52FAFDFD" w14:textId="73EBDF21" w:rsidTr="00453BF5">
        <w:tc>
          <w:tcPr>
            <w:tcW w:w="1022" w:type="dxa"/>
          </w:tcPr>
          <w:p w14:paraId="2D81E2A3"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2004</w:t>
            </w:r>
          </w:p>
        </w:tc>
        <w:tc>
          <w:tcPr>
            <w:tcW w:w="5670" w:type="dxa"/>
          </w:tcPr>
          <w:p w14:paraId="7304B4AC"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2003-2004</w:t>
            </w:r>
          </w:p>
          <w:p w14:paraId="1F321BB4" w14:textId="0EABE1DE" w:rsidR="001131E1" w:rsidRPr="004F7F40" w:rsidRDefault="001131E1" w:rsidP="00580791">
            <w:pPr>
              <w:pStyle w:val="ListParagraph"/>
              <w:numPr>
                <w:ilvl w:val="0"/>
                <w:numId w:val="20"/>
              </w:numPr>
              <w:rPr>
                <w:rFonts w:ascii="Arial" w:hAnsi="Arial" w:cs="Arial"/>
                <w:sz w:val="20"/>
                <w:szCs w:val="20"/>
              </w:rPr>
            </w:pPr>
            <w:r w:rsidRPr="004F7F40">
              <w:rPr>
                <w:rFonts w:ascii="Arial" w:hAnsi="Arial" w:cs="Arial"/>
                <w:sz w:val="20"/>
                <w:szCs w:val="20"/>
              </w:rPr>
              <w:t>Executive Leadership Capabilities updated and implemented on 1 Jan 2004 (p80). These were an update of previous executive officer competencies</w:t>
            </w:r>
          </w:p>
          <w:p w14:paraId="605D7918" w14:textId="77777777" w:rsidR="001131E1" w:rsidRPr="004F7F40" w:rsidRDefault="001131E1" w:rsidP="00580791">
            <w:pPr>
              <w:pStyle w:val="ListParagraph"/>
              <w:numPr>
                <w:ilvl w:val="0"/>
                <w:numId w:val="20"/>
              </w:numPr>
              <w:rPr>
                <w:rFonts w:ascii="Arial" w:hAnsi="Arial" w:cs="Arial"/>
                <w:sz w:val="20"/>
                <w:szCs w:val="20"/>
              </w:rPr>
            </w:pPr>
            <w:r w:rsidRPr="004F7F40">
              <w:rPr>
                <w:rFonts w:ascii="Arial" w:hAnsi="Arial" w:cs="Arial"/>
                <w:sz w:val="20"/>
                <w:szCs w:val="20"/>
              </w:rPr>
              <w:t>Review of PSEMA foreshadowed, including CEO delegations</w:t>
            </w:r>
          </w:p>
          <w:p w14:paraId="7CFB6A1A" w14:textId="77777777" w:rsidR="001131E1" w:rsidRPr="004F7F40" w:rsidRDefault="001131E1" w:rsidP="00580791">
            <w:pPr>
              <w:pStyle w:val="ListParagraph"/>
              <w:numPr>
                <w:ilvl w:val="0"/>
                <w:numId w:val="20"/>
              </w:numPr>
              <w:rPr>
                <w:rFonts w:ascii="Arial" w:hAnsi="Arial" w:cs="Arial"/>
                <w:sz w:val="20"/>
                <w:szCs w:val="20"/>
              </w:rPr>
            </w:pPr>
            <w:r w:rsidRPr="004F7F40">
              <w:rPr>
                <w:rFonts w:ascii="Arial" w:hAnsi="Arial" w:cs="Arial"/>
                <w:sz w:val="20"/>
                <w:szCs w:val="20"/>
              </w:rPr>
              <w:t>Draft executive management development framework circulated for comment. Aim was to identify and develop a “nucleus of leaders” (p 133)</w:t>
            </w:r>
          </w:p>
          <w:p w14:paraId="54226639" w14:textId="77777777" w:rsidR="001131E1" w:rsidRPr="004F7F40" w:rsidRDefault="001131E1" w:rsidP="00580791">
            <w:pPr>
              <w:pStyle w:val="ListParagraph"/>
              <w:numPr>
                <w:ilvl w:val="0"/>
                <w:numId w:val="20"/>
              </w:numPr>
              <w:rPr>
                <w:rFonts w:ascii="Arial" w:hAnsi="Arial" w:cs="Arial"/>
                <w:sz w:val="20"/>
                <w:szCs w:val="20"/>
              </w:rPr>
            </w:pPr>
            <w:r w:rsidRPr="004F7F40">
              <w:rPr>
                <w:rFonts w:ascii="Arial" w:hAnsi="Arial" w:cs="Arial"/>
                <w:sz w:val="20"/>
                <w:szCs w:val="20"/>
              </w:rPr>
              <w:t>Salary packaging introduced April 2004</w:t>
            </w:r>
          </w:p>
          <w:p w14:paraId="46B87F6F" w14:textId="77777777" w:rsidR="001131E1" w:rsidRPr="004F7F40" w:rsidRDefault="001131E1" w:rsidP="00580791">
            <w:pPr>
              <w:pStyle w:val="ListParagraph"/>
              <w:numPr>
                <w:ilvl w:val="0"/>
                <w:numId w:val="20"/>
              </w:numPr>
              <w:rPr>
                <w:rFonts w:ascii="Arial" w:hAnsi="Arial" w:cs="Arial"/>
                <w:sz w:val="20"/>
                <w:szCs w:val="20"/>
              </w:rPr>
            </w:pPr>
            <w:r w:rsidRPr="004F7F40">
              <w:rPr>
                <w:rFonts w:ascii="Arial" w:hAnsi="Arial" w:cs="Arial"/>
                <w:sz w:val="20"/>
                <w:szCs w:val="20"/>
              </w:rPr>
              <w:t>ECO packages restructured to allow change in notional salary from 65% to 50% to allow for salary packaging</w:t>
            </w:r>
          </w:p>
        </w:tc>
        <w:tc>
          <w:tcPr>
            <w:tcW w:w="3969" w:type="dxa"/>
          </w:tcPr>
          <w:p w14:paraId="2EFDA04A" w14:textId="77777777" w:rsidR="001131E1" w:rsidRPr="004F7F40" w:rsidRDefault="001131E1" w:rsidP="00580791">
            <w:pPr>
              <w:rPr>
                <w:rFonts w:ascii="Arial" w:hAnsi="Arial" w:cs="Arial"/>
                <w:sz w:val="20"/>
                <w:szCs w:val="20"/>
              </w:rPr>
            </w:pPr>
          </w:p>
        </w:tc>
        <w:tc>
          <w:tcPr>
            <w:tcW w:w="4394" w:type="dxa"/>
          </w:tcPr>
          <w:p w14:paraId="377D360A" w14:textId="77777777" w:rsidR="001131E1" w:rsidRPr="004F7F40" w:rsidRDefault="00772E6C" w:rsidP="00580791">
            <w:pPr>
              <w:rPr>
                <w:rFonts w:ascii="Arial" w:hAnsi="Arial" w:cs="Arial"/>
                <w:sz w:val="20"/>
                <w:szCs w:val="20"/>
              </w:rPr>
            </w:pPr>
            <w:r w:rsidRPr="004F7F40">
              <w:rPr>
                <w:rFonts w:ascii="Arial" w:hAnsi="Arial" w:cs="Arial"/>
                <w:sz w:val="20"/>
                <w:szCs w:val="20"/>
              </w:rPr>
              <w:t>Public Accounts Committee: Report on Termination Payments for CEOs and ECOs, Report Number 42</w:t>
            </w:r>
          </w:p>
          <w:p w14:paraId="2050989A" w14:textId="77777777" w:rsidR="00772E6C" w:rsidRPr="004F7F40" w:rsidRDefault="00772E6C" w:rsidP="00772E6C">
            <w:pPr>
              <w:pStyle w:val="ListParagraph"/>
              <w:widowControl w:val="0"/>
              <w:numPr>
                <w:ilvl w:val="0"/>
                <w:numId w:val="18"/>
              </w:numPr>
              <w:rPr>
                <w:rFonts w:ascii="Arial" w:hAnsi="Arial" w:cs="Arial"/>
                <w:sz w:val="20"/>
                <w:szCs w:val="20"/>
              </w:rPr>
            </w:pPr>
            <w:r w:rsidRPr="004F7F40">
              <w:rPr>
                <w:rFonts w:ascii="Arial" w:hAnsi="Arial" w:cs="Arial"/>
                <w:sz w:val="20"/>
                <w:szCs w:val="20"/>
              </w:rPr>
              <w:t>Found that the process is now well managed by OCPE, but that good documentation needs to be maintained</w:t>
            </w:r>
          </w:p>
          <w:p w14:paraId="4EFAFF0C" w14:textId="77777777" w:rsidR="00772E6C" w:rsidRPr="004F7F40" w:rsidRDefault="00772E6C" w:rsidP="00772E6C">
            <w:pPr>
              <w:pStyle w:val="ListParagraph"/>
              <w:widowControl w:val="0"/>
              <w:numPr>
                <w:ilvl w:val="0"/>
                <w:numId w:val="18"/>
              </w:numPr>
              <w:rPr>
                <w:rFonts w:ascii="Arial" w:hAnsi="Arial" w:cs="Arial"/>
                <w:sz w:val="20"/>
                <w:szCs w:val="20"/>
              </w:rPr>
            </w:pPr>
            <w:r w:rsidRPr="004F7F40">
              <w:rPr>
                <w:rFonts w:ascii="Arial" w:hAnsi="Arial" w:cs="Arial"/>
                <w:sz w:val="20"/>
                <w:szCs w:val="20"/>
              </w:rPr>
              <w:t>Adopt a process where individual Ministers consult with ERRP before appointing CEOs</w:t>
            </w:r>
          </w:p>
          <w:p w14:paraId="0E17448E" w14:textId="77777777" w:rsidR="00772E6C" w:rsidRPr="004F7F40" w:rsidRDefault="00772E6C" w:rsidP="00772E6C">
            <w:pPr>
              <w:pStyle w:val="ListParagraph"/>
              <w:widowControl w:val="0"/>
              <w:numPr>
                <w:ilvl w:val="0"/>
                <w:numId w:val="18"/>
              </w:numPr>
              <w:rPr>
                <w:rFonts w:ascii="Arial" w:hAnsi="Arial" w:cs="Arial"/>
                <w:sz w:val="20"/>
                <w:szCs w:val="20"/>
              </w:rPr>
            </w:pPr>
            <w:r w:rsidRPr="004F7F40">
              <w:rPr>
                <w:rFonts w:ascii="Arial" w:hAnsi="Arial" w:cs="Arial"/>
                <w:sz w:val="20"/>
                <w:szCs w:val="20"/>
              </w:rPr>
              <w:t>Questioned level of transparency of contracts</w:t>
            </w:r>
          </w:p>
          <w:p w14:paraId="3ADBD86B" w14:textId="598EF9B8" w:rsidR="00772E6C" w:rsidRPr="004F7F40" w:rsidRDefault="00772E6C" w:rsidP="00580791">
            <w:pPr>
              <w:rPr>
                <w:rFonts w:ascii="Arial" w:hAnsi="Arial" w:cs="Arial"/>
                <w:sz w:val="20"/>
                <w:szCs w:val="20"/>
              </w:rPr>
            </w:pPr>
          </w:p>
        </w:tc>
      </w:tr>
      <w:tr w:rsidR="001131E1" w:rsidRPr="004F7F40" w14:paraId="2358AF7E" w14:textId="1F0A5C36" w:rsidTr="00453BF5">
        <w:tc>
          <w:tcPr>
            <w:tcW w:w="1022" w:type="dxa"/>
          </w:tcPr>
          <w:p w14:paraId="01EEBB37"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2005</w:t>
            </w:r>
          </w:p>
        </w:tc>
        <w:tc>
          <w:tcPr>
            <w:tcW w:w="5670" w:type="dxa"/>
          </w:tcPr>
          <w:p w14:paraId="71991763"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2004-2005</w:t>
            </w:r>
          </w:p>
          <w:p w14:paraId="3595297D" w14:textId="57159244" w:rsidR="001131E1" w:rsidRPr="004F7F40" w:rsidRDefault="001131E1" w:rsidP="00580791">
            <w:pPr>
              <w:pStyle w:val="ListParagraph"/>
              <w:numPr>
                <w:ilvl w:val="0"/>
                <w:numId w:val="21"/>
              </w:numPr>
              <w:rPr>
                <w:rFonts w:ascii="Arial" w:hAnsi="Arial" w:cs="Arial"/>
                <w:sz w:val="20"/>
                <w:szCs w:val="20"/>
              </w:rPr>
            </w:pPr>
            <w:r w:rsidRPr="004F7F40">
              <w:rPr>
                <w:rFonts w:ascii="Arial" w:hAnsi="Arial" w:cs="Arial"/>
                <w:sz w:val="20"/>
                <w:szCs w:val="20"/>
              </w:rPr>
              <w:t>Notice of review of PSEMA to enhance CEO flexibility in using legislation and greater delegation (with matched accountability) to occur in 2005/06</w:t>
            </w:r>
          </w:p>
          <w:p w14:paraId="36656DF6" w14:textId="77777777" w:rsidR="001131E1" w:rsidRPr="004F7F40" w:rsidRDefault="001131E1" w:rsidP="00580791">
            <w:pPr>
              <w:pStyle w:val="ListParagraph"/>
              <w:numPr>
                <w:ilvl w:val="0"/>
                <w:numId w:val="21"/>
              </w:numPr>
              <w:rPr>
                <w:rFonts w:ascii="Arial" w:hAnsi="Arial" w:cs="Arial"/>
                <w:sz w:val="20"/>
                <w:szCs w:val="20"/>
              </w:rPr>
            </w:pPr>
            <w:r w:rsidRPr="004F7F40">
              <w:rPr>
                <w:rFonts w:ascii="Arial" w:hAnsi="Arial" w:cs="Arial"/>
                <w:sz w:val="20"/>
                <w:szCs w:val="20"/>
              </w:rPr>
              <w:t xml:space="preserve">Finalisation of implementation of </w:t>
            </w:r>
            <w:proofErr w:type="gramStart"/>
            <w:r w:rsidRPr="004F7F40">
              <w:rPr>
                <w:rFonts w:ascii="Arial" w:hAnsi="Arial" w:cs="Arial"/>
                <w:sz w:val="20"/>
                <w:szCs w:val="20"/>
              </w:rPr>
              <w:t>conflict of interest</w:t>
            </w:r>
            <w:proofErr w:type="gramEnd"/>
            <w:r w:rsidRPr="004F7F40">
              <w:rPr>
                <w:rFonts w:ascii="Arial" w:hAnsi="Arial" w:cs="Arial"/>
                <w:sz w:val="20"/>
                <w:szCs w:val="20"/>
              </w:rPr>
              <w:t xml:space="preserve"> provision “will” occur, even though this is also flagged as a future priority (and it didn’t until 2006/07)</w:t>
            </w:r>
          </w:p>
          <w:p w14:paraId="6C385021" w14:textId="77777777" w:rsidR="001131E1" w:rsidRPr="004F7F40" w:rsidRDefault="001131E1" w:rsidP="00580791">
            <w:pPr>
              <w:pStyle w:val="ListParagraph"/>
              <w:numPr>
                <w:ilvl w:val="0"/>
                <w:numId w:val="21"/>
              </w:numPr>
              <w:rPr>
                <w:rFonts w:ascii="Arial" w:hAnsi="Arial" w:cs="Arial"/>
                <w:sz w:val="20"/>
                <w:szCs w:val="20"/>
              </w:rPr>
            </w:pPr>
            <w:r w:rsidRPr="004F7F40">
              <w:rPr>
                <w:rFonts w:ascii="Arial" w:hAnsi="Arial" w:cs="Arial"/>
                <w:sz w:val="20"/>
                <w:szCs w:val="20"/>
              </w:rPr>
              <w:t>Review of executive contracts at ECO1 level led to changes in previous policies and procedures for converting EO1/P4 to ECO1 to allow CEOs to do this without referring to ERRP</w:t>
            </w:r>
          </w:p>
          <w:p w14:paraId="4766F30E" w14:textId="77777777" w:rsidR="001131E1" w:rsidRPr="004F7F40" w:rsidRDefault="001131E1" w:rsidP="00580791">
            <w:pPr>
              <w:pStyle w:val="ListParagraph"/>
              <w:numPr>
                <w:ilvl w:val="0"/>
                <w:numId w:val="21"/>
              </w:numPr>
              <w:rPr>
                <w:rFonts w:ascii="Arial" w:hAnsi="Arial" w:cs="Arial"/>
                <w:sz w:val="20"/>
                <w:szCs w:val="20"/>
              </w:rPr>
            </w:pPr>
            <w:r w:rsidRPr="004F7F40">
              <w:rPr>
                <w:rFonts w:ascii="Arial" w:hAnsi="Arial" w:cs="Arial"/>
                <w:sz w:val="20"/>
                <w:szCs w:val="20"/>
              </w:rPr>
              <w:lastRenderedPageBreak/>
              <w:t>CEOs now able to approve contracts with “standard terms and conditions” (which appear to be standard remuneration package elements and total remuneration at the approved minimum standard package value) for ECO1 to ECO4 (but unclear how this is different to before)</w:t>
            </w:r>
          </w:p>
          <w:p w14:paraId="53873DAC" w14:textId="77777777" w:rsidR="001131E1" w:rsidRPr="004F7F40" w:rsidRDefault="001131E1" w:rsidP="00580791">
            <w:pPr>
              <w:pStyle w:val="ListParagraph"/>
              <w:numPr>
                <w:ilvl w:val="0"/>
                <w:numId w:val="21"/>
              </w:numPr>
              <w:rPr>
                <w:rFonts w:ascii="Arial" w:hAnsi="Arial" w:cs="Arial"/>
                <w:sz w:val="20"/>
                <w:szCs w:val="20"/>
              </w:rPr>
            </w:pPr>
            <w:r w:rsidRPr="004F7F40">
              <w:rPr>
                <w:rFonts w:ascii="Arial" w:hAnsi="Arial" w:cs="Arial"/>
                <w:sz w:val="20"/>
                <w:szCs w:val="20"/>
              </w:rPr>
              <w:t>ERRP approval still needed to variations up to ECO4</w:t>
            </w:r>
          </w:p>
        </w:tc>
        <w:tc>
          <w:tcPr>
            <w:tcW w:w="3969" w:type="dxa"/>
          </w:tcPr>
          <w:p w14:paraId="0655C44F" w14:textId="77777777" w:rsidR="001131E1" w:rsidRPr="004F7F40" w:rsidRDefault="001131E1" w:rsidP="00580791">
            <w:pPr>
              <w:rPr>
                <w:rFonts w:ascii="Arial" w:hAnsi="Arial" w:cs="Arial"/>
                <w:sz w:val="20"/>
                <w:szCs w:val="20"/>
              </w:rPr>
            </w:pPr>
          </w:p>
        </w:tc>
        <w:tc>
          <w:tcPr>
            <w:tcW w:w="4394" w:type="dxa"/>
          </w:tcPr>
          <w:p w14:paraId="6B804733" w14:textId="77777777" w:rsidR="001131E1" w:rsidRPr="004F7F40" w:rsidRDefault="001131E1" w:rsidP="00580791">
            <w:pPr>
              <w:rPr>
                <w:rFonts w:ascii="Arial" w:hAnsi="Arial" w:cs="Arial"/>
                <w:sz w:val="20"/>
                <w:szCs w:val="20"/>
              </w:rPr>
            </w:pPr>
          </w:p>
        </w:tc>
      </w:tr>
      <w:tr w:rsidR="001131E1" w:rsidRPr="004F7F40" w14:paraId="7667452A" w14:textId="33386996" w:rsidTr="00453BF5">
        <w:tc>
          <w:tcPr>
            <w:tcW w:w="1022" w:type="dxa"/>
          </w:tcPr>
          <w:p w14:paraId="1C512F5F"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2006</w:t>
            </w:r>
          </w:p>
        </w:tc>
        <w:tc>
          <w:tcPr>
            <w:tcW w:w="5670" w:type="dxa"/>
          </w:tcPr>
          <w:p w14:paraId="364F5379"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2005-2006</w:t>
            </w:r>
          </w:p>
          <w:p w14:paraId="3146C81D" w14:textId="2B4337D1" w:rsidR="001131E1" w:rsidRPr="004F7F40" w:rsidRDefault="001131E1" w:rsidP="00580791">
            <w:pPr>
              <w:pStyle w:val="ListParagraph"/>
              <w:numPr>
                <w:ilvl w:val="0"/>
                <w:numId w:val="22"/>
              </w:numPr>
              <w:rPr>
                <w:rFonts w:ascii="Arial" w:hAnsi="Arial" w:cs="Arial"/>
                <w:sz w:val="20"/>
                <w:szCs w:val="20"/>
              </w:rPr>
            </w:pPr>
            <w:r w:rsidRPr="004F7F40">
              <w:rPr>
                <w:rFonts w:ascii="Arial" w:hAnsi="Arial" w:cs="Arial"/>
                <w:sz w:val="20"/>
                <w:szCs w:val="20"/>
              </w:rPr>
              <w:t>Cabinet agreed that CEOs must report conflicts of interest but can decide which employees need to. Guidelines and draft declaration still not finalised</w:t>
            </w:r>
          </w:p>
          <w:p w14:paraId="0377D702" w14:textId="77777777" w:rsidR="001131E1" w:rsidRPr="004F7F40" w:rsidRDefault="001131E1" w:rsidP="00580791">
            <w:pPr>
              <w:pStyle w:val="ListParagraph"/>
              <w:ind w:left="360"/>
              <w:rPr>
                <w:rFonts w:ascii="Arial" w:hAnsi="Arial" w:cs="Arial"/>
                <w:sz w:val="20"/>
                <w:szCs w:val="20"/>
              </w:rPr>
            </w:pPr>
          </w:p>
        </w:tc>
        <w:tc>
          <w:tcPr>
            <w:tcW w:w="3969" w:type="dxa"/>
          </w:tcPr>
          <w:p w14:paraId="27800C5E" w14:textId="77777777" w:rsidR="001131E1" w:rsidRPr="004F7F40" w:rsidRDefault="001131E1" w:rsidP="00580791">
            <w:pPr>
              <w:rPr>
                <w:rFonts w:ascii="Arial" w:hAnsi="Arial" w:cs="Arial"/>
                <w:sz w:val="20"/>
                <w:szCs w:val="20"/>
              </w:rPr>
            </w:pPr>
          </w:p>
        </w:tc>
        <w:tc>
          <w:tcPr>
            <w:tcW w:w="4394" w:type="dxa"/>
          </w:tcPr>
          <w:p w14:paraId="1637754A" w14:textId="77777777" w:rsidR="001131E1" w:rsidRPr="004F7F40" w:rsidRDefault="001131E1" w:rsidP="00580791">
            <w:pPr>
              <w:rPr>
                <w:rFonts w:ascii="Arial" w:hAnsi="Arial" w:cs="Arial"/>
                <w:sz w:val="20"/>
                <w:szCs w:val="20"/>
              </w:rPr>
            </w:pPr>
          </w:p>
        </w:tc>
      </w:tr>
      <w:tr w:rsidR="001131E1" w:rsidRPr="004F7F40" w14:paraId="3C2D1150" w14:textId="689B4A88" w:rsidTr="00453BF5">
        <w:trPr>
          <w:trHeight w:val="405"/>
        </w:trPr>
        <w:tc>
          <w:tcPr>
            <w:tcW w:w="1022" w:type="dxa"/>
          </w:tcPr>
          <w:p w14:paraId="72D56659"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2007</w:t>
            </w:r>
          </w:p>
        </w:tc>
        <w:tc>
          <w:tcPr>
            <w:tcW w:w="5670" w:type="dxa"/>
          </w:tcPr>
          <w:p w14:paraId="288D3CA0"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2006-2007</w:t>
            </w:r>
          </w:p>
          <w:p w14:paraId="2378DE82" w14:textId="46222FB6" w:rsidR="001131E1" w:rsidRPr="004F7F40" w:rsidRDefault="001131E1" w:rsidP="00580791">
            <w:pPr>
              <w:pStyle w:val="ListParagraph"/>
              <w:numPr>
                <w:ilvl w:val="0"/>
                <w:numId w:val="22"/>
              </w:numPr>
              <w:rPr>
                <w:rFonts w:ascii="Arial" w:hAnsi="Arial" w:cs="Arial"/>
                <w:sz w:val="20"/>
                <w:szCs w:val="20"/>
              </w:rPr>
            </w:pPr>
            <w:r w:rsidRPr="004F7F40">
              <w:rPr>
                <w:rFonts w:ascii="Arial" w:hAnsi="Arial" w:cs="Arial"/>
                <w:sz w:val="20"/>
                <w:szCs w:val="20"/>
              </w:rPr>
              <w:t>Conflict of interest policy finally introduced</w:t>
            </w:r>
          </w:p>
          <w:p w14:paraId="6EFCEBB4" w14:textId="77777777" w:rsidR="001131E1" w:rsidRPr="004F7F40" w:rsidRDefault="001131E1" w:rsidP="00580791">
            <w:pPr>
              <w:pStyle w:val="ListParagraph"/>
              <w:numPr>
                <w:ilvl w:val="0"/>
                <w:numId w:val="22"/>
              </w:numPr>
              <w:rPr>
                <w:rFonts w:ascii="Arial" w:hAnsi="Arial" w:cs="Arial"/>
                <w:sz w:val="20"/>
                <w:szCs w:val="20"/>
              </w:rPr>
            </w:pPr>
            <w:r w:rsidRPr="004F7F40">
              <w:rPr>
                <w:rFonts w:ascii="Arial" w:hAnsi="Arial" w:cs="Arial"/>
                <w:sz w:val="20"/>
                <w:szCs w:val="20"/>
              </w:rPr>
              <w:t>Executive Leadership Development Strategy 2007-11 endorsed by Co-</w:t>
            </w:r>
            <w:proofErr w:type="spellStart"/>
            <w:r w:rsidRPr="004F7F40">
              <w:rPr>
                <w:rFonts w:ascii="Arial" w:hAnsi="Arial" w:cs="Arial"/>
                <w:sz w:val="20"/>
                <w:szCs w:val="20"/>
              </w:rPr>
              <w:t>ord</w:t>
            </w:r>
            <w:proofErr w:type="spellEnd"/>
            <w:r w:rsidRPr="004F7F40">
              <w:rPr>
                <w:rFonts w:ascii="Arial" w:hAnsi="Arial" w:cs="Arial"/>
                <w:sz w:val="20"/>
                <w:szCs w:val="20"/>
              </w:rPr>
              <w:t xml:space="preserve"> (the Chief Executives Coordination Committee). To go to Cabinet in 2007/08</w:t>
            </w:r>
          </w:p>
          <w:p w14:paraId="77EB475B" w14:textId="77777777" w:rsidR="001131E1" w:rsidRPr="004F7F40" w:rsidRDefault="001131E1" w:rsidP="00580791">
            <w:pPr>
              <w:pStyle w:val="ListParagraph"/>
              <w:numPr>
                <w:ilvl w:val="0"/>
                <w:numId w:val="22"/>
              </w:numPr>
              <w:rPr>
                <w:rFonts w:ascii="Arial" w:hAnsi="Arial" w:cs="Arial"/>
                <w:sz w:val="20"/>
                <w:szCs w:val="20"/>
              </w:rPr>
            </w:pPr>
            <w:r w:rsidRPr="004F7F40">
              <w:rPr>
                <w:rFonts w:ascii="Arial" w:hAnsi="Arial" w:cs="Arial"/>
                <w:sz w:val="20"/>
                <w:szCs w:val="20"/>
              </w:rPr>
              <w:t>Office of the NT Workplace Advocate established within OCPE</w:t>
            </w:r>
          </w:p>
        </w:tc>
        <w:tc>
          <w:tcPr>
            <w:tcW w:w="3969" w:type="dxa"/>
          </w:tcPr>
          <w:p w14:paraId="181D6EB7" w14:textId="77777777" w:rsidR="001131E1" w:rsidRPr="004F7F40" w:rsidRDefault="001131E1" w:rsidP="00580791">
            <w:pPr>
              <w:rPr>
                <w:rFonts w:ascii="Arial" w:hAnsi="Arial" w:cs="Arial"/>
                <w:sz w:val="20"/>
                <w:szCs w:val="20"/>
              </w:rPr>
            </w:pPr>
          </w:p>
        </w:tc>
        <w:tc>
          <w:tcPr>
            <w:tcW w:w="4394" w:type="dxa"/>
          </w:tcPr>
          <w:p w14:paraId="28873B85" w14:textId="77777777" w:rsidR="001131E1" w:rsidRPr="004F7F40" w:rsidRDefault="001131E1" w:rsidP="00580791">
            <w:pPr>
              <w:rPr>
                <w:rFonts w:ascii="Arial" w:hAnsi="Arial" w:cs="Arial"/>
                <w:sz w:val="20"/>
                <w:szCs w:val="20"/>
              </w:rPr>
            </w:pPr>
          </w:p>
        </w:tc>
      </w:tr>
      <w:tr w:rsidR="001131E1" w:rsidRPr="004F7F40" w14:paraId="0873C53F" w14:textId="6703174F" w:rsidTr="00453BF5">
        <w:trPr>
          <w:trHeight w:val="517"/>
        </w:trPr>
        <w:tc>
          <w:tcPr>
            <w:tcW w:w="1022" w:type="dxa"/>
          </w:tcPr>
          <w:p w14:paraId="27FDF1B2"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2008</w:t>
            </w:r>
          </w:p>
        </w:tc>
        <w:tc>
          <w:tcPr>
            <w:tcW w:w="5670" w:type="dxa"/>
          </w:tcPr>
          <w:p w14:paraId="15C1E619"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2007-2008</w:t>
            </w:r>
          </w:p>
          <w:p w14:paraId="7B24A5D6" w14:textId="6C8DC4C0" w:rsidR="001131E1" w:rsidRPr="004F7F40" w:rsidRDefault="001131E1" w:rsidP="00580791">
            <w:pPr>
              <w:pStyle w:val="ListParagraph"/>
              <w:numPr>
                <w:ilvl w:val="0"/>
                <w:numId w:val="22"/>
              </w:numPr>
              <w:rPr>
                <w:rFonts w:ascii="Arial" w:hAnsi="Arial" w:cs="Arial"/>
                <w:sz w:val="20"/>
                <w:szCs w:val="20"/>
              </w:rPr>
            </w:pPr>
            <w:r w:rsidRPr="004F7F40">
              <w:rPr>
                <w:rFonts w:ascii="Arial" w:hAnsi="Arial" w:cs="Arial"/>
                <w:sz w:val="20"/>
                <w:szCs w:val="20"/>
              </w:rPr>
              <w:t>Late 2007, government agreed to ‘NTPS Reform and Revitalisation Agenda’ (unable to locate a copy)</w:t>
            </w:r>
          </w:p>
          <w:p w14:paraId="47FB009F" w14:textId="77777777" w:rsidR="001131E1" w:rsidRPr="004F7F40" w:rsidRDefault="001131E1" w:rsidP="00580791">
            <w:pPr>
              <w:pStyle w:val="ListParagraph"/>
              <w:numPr>
                <w:ilvl w:val="0"/>
                <w:numId w:val="22"/>
              </w:numPr>
              <w:rPr>
                <w:rFonts w:ascii="Arial" w:hAnsi="Arial" w:cs="Arial"/>
                <w:sz w:val="20"/>
                <w:szCs w:val="20"/>
              </w:rPr>
            </w:pPr>
            <w:r w:rsidRPr="004F7F40">
              <w:rPr>
                <w:rFonts w:ascii="Arial" w:hAnsi="Arial" w:cs="Arial"/>
                <w:sz w:val="20"/>
                <w:szCs w:val="20"/>
              </w:rPr>
              <w:t>Review of the PSEMA foreshadowed again</w:t>
            </w:r>
          </w:p>
          <w:p w14:paraId="0353B399" w14:textId="77777777" w:rsidR="001131E1" w:rsidRPr="004F7F40" w:rsidRDefault="001131E1" w:rsidP="00580791">
            <w:pPr>
              <w:pStyle w:val="ListParagraph"/>
              <w:numPr>
                <w:ilvl w:val="0"/>
                <w:numId w:val="22"/>
              </w:numPr>
              <w:rPr>
                <w:rFonts w:ascii="Arial" w:hAnsi="Arial" w:cs="Arial"/>
                <w:sz w:val="20"/>
                <w:szCs w:val="20"/>
              </w:rPr>
            </w:pPr>
            <w:r w:rsidRPr="004F7F40">
              <w:rPr>
                <w:rFonts w:ascii="Arial" w:hAnsi="Arial" w:cs="Arial"/>
                <w:sz w:val="20"/>
                <w:szCs w:val="20"/>
              </w:rPr>
              <w:t>The Executive Leadership Development Strategy 2008-12 was approved by Cabinet and implementation commenced</w:t>
            </w:r>
          </w:p>
          <w:p w14:paraId="3D1DB446" w14:textId="77777777" w:rsidR="001131E1" w:rsidRPr="004F7F40" w:rsidRDefault="001131E1" w:rsidP="00580791">
            <w:pPr>
              <w:pStyle w:val="ListParagraph"/>
              <w:numPr>
                <w:ilvl w:val="0"/>
                <w:numId w:val="22"/>
              </w:numPr>
              <w:rPr>
                <w:rFonts w:ascii="Arial" w:hAnsi="Arial" w:cs="Arial"/>
                <w:sz w:val="20"/>
                <w:szCs w:val="20"/>
              </w:rPr>
            </w:pPr>
            <w:r w:rsidRPr="004F7F40">
              <w:rPr>
                <w:rFonts w:ascii="Arial" w:hAnsi="Arial" w:cs="Arial"/>
                <w:sz w:val="20"/>
                <w:szCs w:val="20"/>
              </w:rPr>
              <w:t>Foreshadowed a review of ECO terms and conditions</w:t>
            </w:r>
          </w:p>
          <w:p w14:paraId="3799A40B" w14:textId="77777777" w:rsidR="001131E1" w:rsidRPr="004F7F40" w:rsidRDefault="001131E1" w:rsidP="00580791">
            <w:pPr>
              <w:pStyle w:val="ListParagraph"/>
              <w:numPr>
                <w:ilvl w:val="0"/>
                <w:numId w:val="22"/>
              </w:numPr>
              <w:rPr>
                <w:rFonts w:ascii="Arial" w:hAnsi="Arial" w:cs="Arial"/>
                <w:sz w:val="20"/>
                <w:szCs w:val="20"/>
              </w:rPr>
            </w:pPr>
            <w:r w:rsidRPr="004F7F40">
              <w:rPr>
                <w:rFonts w:ascii="Arial" w:hAnsi="Arial" w:cs="Arial"/>
                <w:sz w:val="20"/>
                <w:szCs w:val="20"/>
              </w:rPr>
              <w:t>ANZSOG took over the Executive Development Program</w:t>
            </w:r>
          </w:p>
        </w:tc>
        <w:tc>
          <w:tcPr>
            <w:tcW w:w="3969" w:type="dxa"/>
          </w:tcPr>
          <w:p w14:paraId="1C3716D6" w14:textId="77777777" w:rsidR="001131E1" w:rsidRPr="004F7F40" w:rsidRDefault="001131E1" w:rsidP="00580791">
            <w:pPr>
              <w:pStyle w:val="ListParagraph"/>
              <w:ind w:left="227"/>
              <w:rPr>
                <w:rFonts w:ascii="Arial" w:hAnsi="Arial" w:cs="Arial"/>
                <w:sz w:val="20"/>
                <w:szCs w:val="20"/>
              </w:rPr>
            </w:pPr>
          </w:p>
        </w:tc>
        <w:tc>
          <w:tcPr>
            <w:tcW w:w="4394" w:type="dxa"/>
          </w:tcPr>
          <w:p w14:paraId="7CA2222A" w14:textId="77777777" w:rsidR="001131E1" w:rsidRPr="004F7F40" w:rsidRDefault="001131E1" w:rsidP="00580791">
            <w:pPr>
              <w:pStyle w:val="ListParagraph"/>
              <w:ind w:left="227"/>
              <w:rPr>
                <w:rFonts w:ascii="Arial" w:hAnsi="Arial" w:cs="Arial"/>
                <w:sz w:val="20"/>
                <w:szCs w:val="20"/>
              </w:rPr>
            </w:pPr>
          </w:p>
        </w:tc>
      </w:tr>
      <w:tr w:rsidR="001131E1" w:rsidRPr="004F7F40" w14:paraId="59C970AA" w14:textId="730597BF" w:rsidTr="00453BF5">
        <w:trPr>
          <w:trHeight w:val="517"/>
        </w:trPr>
        <w:tc>
          <w:tcPr>
            <w:tcW w:w="1022" w:type="dxa"/>
          </w:tcPr>
          <w:p w14:paraId="5C62A986"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2009</w:t>
            </w:r>
          </w:p>
        </w:tc>
        <w:tc>
          <w:tcPr>
            <w:tcW w:w="5670" w:type="dxa"/>
          </w:tcPr>
          <w:p w14:paraId="5AF04DF4" w14:textId="77777777" w:rsidR="001131E1" w:rsidRPr="004F7F40" w:rsidRDefault="001131E1" w:rsidP="00B82BBB">
            <w:pPr>
              <w:rPr>
                <w:rFonts w:ascii="Arial" w:hAnsi="Arial" w:cs="Arial"/>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2008-2009</w:t>
            </w:r>
          </w:p>
          <w:p w14:paraId="1058EE62" w14:textId="68BDF86D" w:rsidR="001131E1" w:rsidRPr="004F7F40" w:rsidRDefault="001131E1" w:rsidP="00F432E7">
            <w:pPr>
              <w:pStyle w:val="ListParagraph"/>
              <w:numPr>
                <w:ilvl w:val="0"/>
                <w:numId w:val="23"/>
              </w:numPr>
              <w:rPr>
                <w:rFonts w:ascii="Arial" w:hAnsi="Arial" w:cs="Arial"/>
                <w:sz w:val="20"/>
                <w:szCs w:val="20"/>
              </w:rPr>
            </w:pPr>
            <w:r w:rsidRPr="004F7F40">
              <w:rPr>
                <w:rFonts w:ascii="Arial" w:hAnsi="Arial" w:cs="Arial"/>
                <w:sz w:val="20"/>
                <w:szCs w:val="20"/>
              </w:rPr>
              <w:lastRenderedPageBreak/>
              <w:t>Provided recommendations for the review of the PSEMA to Minister (45 submissions were received)</w:t>
            </w:r>
          </w:p>
          <w:p w14:paraId="3EBDDE53" w14:textId="77777777" w:rsidR="001131E1" w:rsidRPr="004F7F40" w:rsidRDefault="001131E1" w:rsidP="00F432E7">
            <w:pPr>
              <w:pStyle w:val="ListParagraph"/>
              <w:numPr>
                <w:ilvl w:val="0"/>
                <w:numId w:val="23"/>
              </w:numPr>
              <w:rPr>
                <w:rFonts w:ascii="Arial" w:hAnsi="Arial" w:cs="Arial"/>
                <w:sz w:val="20"/>
                <w:szCs w:val="20"/>
              </w:rPr>
            </w:pPr>
            <w:r w:rsidRPr="004F7F40">
              <w:rPr>
                <w:rFonts w:ascii="Arial" w:hAnsi="Arial" w:cs="Arial"/>
                <w:sz w:val="20"/>
                <w:szCs w:val="20"/>
              </w:rPr>
              <w:t>Completed the review of CPE delegations to CEOs</w:t>
            </w:r>
          </w:p>
          <w:p w14:paraId="1506DCE3" w14:textId="257B0719" w:rsidR="001131E1" w:rsidRPr="004F7F40" w:rsidRDefault="001131E1" w:rsidP="00F432E7">
            <w:pPr>
              <w:pStyle w:val="ListParagraph"/>
              <w:numPr>
                <w:ilvl w:val="0"/>
                <w:numId w:val="23"/>
              </w:numPr>
              <w:rPr>
                <w:rFonts w:ascii="Arial" w:hAnsi="Arial" w:cs="Arial"/>
                <w:sz w:val="20"/>
                <w:szCs w:val="20"/>
              </w:rPr>
            </w:pPr>
            <w:r w:rsidRPr="004F7F40">
              <w:rPr>
                <w:rFonts w:ascii="Arial" w:hAnsi="Arial" w:cs="Arial"/>
                <w:sz w:val="20"/>
                <w:szCs w:val="20"/>
              </w:rPr>
              <w:t>Introduced the Executive Leadership Development Strategy. 72 nominations of future executives who underwent 360</w:t>
            </w:r>
            <w:r w:rsidR="00E60292" w:rsidRPr="004F7F40">
              <w:rPr>
                <w:rFonts w:ascii="Arial" w:hAnsi="Arial" w:cs="Arial"/>
                <w:sz w:val="20"/>
                <w:szCs w:val="20"/>
              </w:rPr>
              <w:t>-</w:t>
            </w:r>
            <w:r w:rsidRPr="004F7F40">
              <w:rPr>
                <w:rFonts w:ascii="Arial" w:hAnsi="Arial" w:cs="Arial"/>
                <w:sz w:val="20"/>
                <w:szCs w:val="20"/>
              </w:rPr>
              <w:t>degree feedback. Next stage to identify skill gaps</w:t>
            </w:r>
          </w:p>
          <w:p w14:paraId="4354B5EC" w14:textId="77777777" w:rsidR="001131E1" w:rsidRPr="004F7F40" w:rsidRDefault="001131E1" w:rsidP="00F432E7">
            <w:pPr>
              <w:pStyle w:val="ListParagraph"/>
              <w:numPr>
                <w:ilvl w:val="0"/>
                <w:numId w:val="23"/>
              </w:numPr>
              <w:rPr>
                <w:rFonts w:ascii="Arial" w:hAnsi="Arial" w:cs="Arial"/>
                <w:sz w:val="20"/>
                <w:szCs w:val="20"/>
              </w:rPr>
            </w:pPr>
            <w:r w:rsidRPr="004F7F40">
              <w:rPr>
                <w:rFonts w:ascii="Arial" w:hAnsi="Arial" w:cs="Arial"/>
                <w:sz w:val="20"/>
                <w:szCs w:val="20"/>
              </w:rPr>
              <w:t>Established Future Leaders Group – 26 executives across the NTPS and two from the APS to consider the future direction of NTPS</w:t>
            </w:r>
          </w:p>
          <w:p w14:paraId="23D40730" w14:textId="77777777" w:rsidR="001131E1" w:rsidRPr="004F7F40" w:rsidRDefault="001131E1" w:rsidP="00F432E7">
            <w:pPr>
              <w:pStyle w:val="ListParagraph"/>
              <w:numPr>
                <w:ilvl w:val="0"/>
                <w:numId w:val="23"/>
              </w:numPr>
              <w:rPr>
                <w:rFonts w:ascii="Arial" w:hAnsi="Arial" w:cs="Arial"/>
                <w:sz w:val="20"/>
                <w:szCs w:val="20"/>
              </w:rPr>
            </w:pPr>
            <w:r w:rsidRPr="004F7F40">
              <w:rPr>
                <w:rFonts w:ascii="Arial" w:hAnsi="Arial" w:cs="Arial"/>
                <w:sz w:val="20"/>
                <w:szCs w:val="20"/>
              </w:rPr>
              <w:t>Amended CEO Performance Agreement guidelines and templates to incorporate priorities for Closing the Gap and to align timing of CEO reports on achievements and new performance agreements on 1 August each year</w:t>
            </w:r>
          </w:p>
          <w:p w14:paraId="182477DC" w14:textId="77777777" w:rsidR="001131E1" w:rsidRPr="004F7F40" w:rsidRDefault="001131E1" w:rsidP="00F432E7">
            <w:pPr>
              <w:pStyle w:val="ListParagraph"/>
              <w:numPr>
                <w:ilvl w:val="0"/>
                <w:numId w:val="23"/>
              </w:numPr>
              <w:rPr>
                <w:rFonts w:ascii="Arial" w:hAnsi="Arial" w:cs="Arial"/>
                <w:sz w:val="20"/>
                <w:szCs w:val="20"/>
              </w:rPr>
            </w:pPr>
            <w:proofErr w:type="spellStart"/>
            <w:r w:rsidRPr="004F7F40">
              <w:rPr>
                <w:rFonts w:ascii="Arial" w:hAnsi="Arial" w:cs="Arial"/>
                <w:sz w:val="20"/>
                <w:szCs w:val="20"/>
              </w:rPr>
              <w:t>Whistleblower</w:t>
            </w:r>
            <w:proofErr w:type="spellEnd"/>
            <w:r w:rsidRPr="004F7F40">
              <w:rPr>
                <w:rFonts w:ascii="Arial" w:hAnsi="Arial" w:cs="Arial"/>
                <w:sz w:val="20"/>
                <w:szCs w:val="20"/>
              </w:rPr>
              <w:t xml:space="preserve"> legislation (the Public Interest Disclosure Act 2009) commenced 31 July 2009</w:t>
            </w:r>
          </w:p>
          <w:p w14:paraId="4A16E7F9" w14:textId="77777777" w:rsidR="001131E1" w:rsidRPr="004F7F40" w:rsidRDefault="001131E1" w:rsidP="00F432E7">
            <w:pPr>
              <w:pStyle w:val="ListParagraph"/>
              <w:numPr>
                <w:ilvl w:val="0"/>
                <w:numId w:val="23"/>
              </w:numPr>
              <w:rPr>
                <w:rFonts w:ascii="Arial" w:hAnsi="Arial" w:cs="Arial"/>
                <w:sz w:val="20"/>
                <w:szCs w:val="20"/>
              </w:rPr>
            </w:pPr>
            <w:r w:rsidRPr="004F7F40">
              <w:rPr>
                <w:rFonts w:ascii="Arial" w:hAnsi="Arial" w:cs="Arial"/>
                <w:sz w:val="20"/>
                <w:szCs w:val="20"/>
              </w:rPr>
              <w:t xml:space="preserve">Review of ECO terms and conditions expected in 2009/10 </w:t>
            </w:r>
          </w:p>
        </w:tc>
        <w:tc>
          <w:tcPr>
            <w:tcW w:w="3969" w:type="dxa"/>
          </w:tcPr>
          <w:p w14:paraId="345891A9" w14:textId="0C7B6EEF" w:rsidR="00B82BBB" w:rsidRPr="004F7F40" w:rsidRDefault="00B82BBB" w:rsidP="00B82BBB">
            <w:pPr>
              <w:rPr>
                <w:rFonts w:ascii="Arial" w:hAnsi="Arial" w:cs="Arial"/>
                <w:sz w:val="20"/>
                <w:szCs w:val="20"/>
              </w:rPr>
            </w:pPr>
            <w:r w:rsidRPr="004F7F40">
              <w:rPr>
                <w:rFonts w:ascii="Arial" w:hAnsi="Arial" w:cs="Arial"/>
                <w:sz w:val="20"/>
                <w:szCs w:val="20"/>
              </w:rPr>
              <w:lastRenderedPageBreak/>
              <w:t>A review of the Northern Territory Public Sector Employment and Management Act, July 2009</w:t>
            </w:r>
          </w:p>
          <w:p w14:paraId="765B8ED4" w14:textId="77777777" w:rsidR="00B82BBB" w:rsidRPr="004F7F40" w:rsidRDefault="00B82BBB" w:rsidP="00B82BBB">
            <w:pPr>
              <w:rPr>
                <w:rFonts w:ascii="Arial" w:hAnsi="Arial" w:cs="Arial"/>
                <w:sz w:val="20"/>
                <w:szCs w:val="20"/>
              </w:rPr>
            </w:pPr>
          </w:p>
          <w:p w14:paraId="6BCE0602" w14:textId="36597A8A" w:rsidR="001131E1" w:rsidRPr="004F7F40" w:rsidRDefault="001435EB" w:rsidP="00B82BBB">
            <w:pPr>
              <w:rPr>
                <w:rFonts w:ascii="Arial" w:hAnsi="Arial" w:cs="Arial"/>
                <w:sz w:val="20"/>
                <w:szCs w:val="20"/>
              </w:rPr>
            </w:pPr>
            <w:r w:rsidRPr="004F7F40">
              <w:rPr>
                <w:rFonts w:ascii="Arial" w:hAnsi="Arial" w:cs="Arial"/>
                <w:i/>
                <w:iCs/>
                <w:sz w:val="20"/>
                <w:szCs w:val="20"/>
              </w:rPr>
              <w:t>Public Sector Employment and Management Act 1993</w:t>
            </w:r>
            <w:r w:rsidR="00322E9D" w:rsidRPr="004F7F40">
              <w:rPr>
                <w:rFonts w:ascii="Arial" w:hAnsi="Arial" w:cs="Arial"/>
                <w:sz w:val="20"/>
                <w:szCs w:val="20"/>
              </w:rPr>
              <w:t xml:space="preserve"> </w:t>
            </w:r>
            <w:r w:rsidRPr="004F7F40">
              <w:rPr>
                <w:rFonts w:ascii="Arial" w:hAnsi="Arial" w:cs="Arial"/>
                <w:sz w:val="20"/>
                <w:szCs w:val="20"/>
              </w:rPr>
              <w:t>amended</w:t>
            </w:r>
          </w:p>
        </w:tc>
        <w:tc>
          <w:tcPr>
            <w:tcW w:w="4394" w:type="dxa"/>
          </w:tcPr>
          <w:p w14:paraId="389B6935" w14:textId="0FFEB27C" w:rsidR="001131E1" w:rsidRPr="004F7F40" w:rsidRDefault="00772E6C" w:rsidP="00F432E7">
            <w:pPr>
              <w:pStyle w:val="ListParagraph"/>
              <w:numPr>
                <w:ilvl w:val="0"/>
                <w:numId w:val="23"/>
              </w:numPr>
              <w:rPr>
                <w:rFonts w:ascii="Arial" w:hAnsi="Arial" w:cs="Arial"/>
                <w:sz w:val="20"/>
                <w:szCs w:val="20"/>
              </w:rPr>
            </w:pPr>
            <w:r w:rsidRPr="004F7F40">
              <w:rPr>
                <w:rFonts w:ascii="Arial" w:hAnsi="Arial" w:cs="Arial"/>
                <w:sz w:val="20"/>
                <w:szCs w:val="20"/>
              </w:rPr>
              <w:lastRenderedPageBreak/>
              <w:t xml:space="preserve">As well as OCPE </w:t>
            </w:r>
            <w:r w:rsidR="00E60292" w:rsidRPr="004F7F40">
              <w:rPr>
                <w:rFonts w:ascii="Arial" w:hAnsi="Arial" w:cs="Arial"/>
                <w:sz w:val="20"/>
                <w:szCs w:val="20"/>
              </w:rPr>
              <w:t>(2009a) – Attachment</w:t>
            </w:r>
          </w:p>
        </w:tc>
      </w:tr>
      <w:tr w:rsidR="001131E1" w:rsidRPr="004F7F40" w14:paraId="67B64C41" w14:textId="3D1FE29B" w:rsidTr="00453BF5">
        <w:trPr>
          <w:trHeight w:val="517"/>
        </w:trPr>
        <w:tc>
          <w:tcPr>
            <w:tcW w:w="1022" w:type="dxa"/>
          </w:tcPr>
          <w:p w14:paraId="1FF40001"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2010</w:t>
            </w:r>
          </w:p>
        </w:tc>
        <w:tc>
          <w:tcPr>
            <w:tcW w:w="5670" w:type="dxa"/>
          </w:tcPr>
          <w:p w14:paraId="78924FB1"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2009-2010</w:t>
            </w:r>
          </w:p>
          <w:p w14:paraId="3D784BC4" w14:textId="77777777" w:rsidR="001131E1" w:rsidRPr="004F7F40" w:rsidRDefault="001131E1" w:rsidP="00580791">
            <w:pPr>
              <w:pStyle w:val="ListParagraph"/>
              <w:numPr>
                <w:ilvl w:val="0"/>
                <w:numId w:val="24"/>
              </w:numPr>
              <w:rPr>
                <w:rFonts w:ascii="Arial" w:hAnsi="Arial" w:cs="Arial"/>
                <w:sz w:val="20"/>
                <w:szCs w:val="20"/>
              </w:rPr>
            </w:pPr>
            <w:r w:rsidRPr="004F7F40">
              <w:rPr>
                <w:rFonts w:ascii="Arial" w:hAnsi="Arial" w:cs="Arial"/>
                <w:sz w:val="20"/>
                <w:szCs w:val="20"/>
              </w:rPr>
              <w:t>Review of ECO terms and conditions nearing completion</w:t>
            </w:r>
          </w:p>
          <w:p w14:paraId="4AFF8408" w14:textId="77777777" w:rsidR="001131E1" w:rsidRPr="004F7F40" w:rsidRDefault="001131E1" w:rsidP="00580791">
            <w:pPr>
              <w:pStyle w:val="ListParagraph"/>
              <w:numPr>
                <w:ilvl w:val="0"/>
                <w:numId w:val="24"/>
              </w:numPr>
              <w:rPr>
                <w:rFonts w:ascii="Arial" w:hAnsi="Arial" w:cs="Arial"/>
                <w:sz w:val="20"/>
                <w:szCs w:val="20"/>
              </w:rPr>
            </w:pPr>
            <w:r w:rsidRPr="004F7F40">
              <w:rPr>
                <w:rFonts w:ascii="Arial" w:hAnsi="Arial" w:cs="Arial"/>
                <w:sz w:val="20"/>
                <w:szCs w:val="20"/>
              </w:rPr>
              <w:t>Biennial staff surveys commenced July-August 2009 (25% participation rate)</w:t>
            </w:r>
          </w:p>
          <w:p w14:paraId="4778FAFA" w14:textId="77777777" w:rsidR="001131E1" w:rsidRPr="004F7F40" w:rsidRDefault="001131E1" w:rsidP="00580791">
            <w:pPr>
              <w:pStyle w:val="ListParagraph"/>
              <w:numPr>
                <w:ilvl w:val="0"/>
                <w:numId w:val="24"/>
              </w:numPr>
              <w:rPr>
                <w:rFonts w:ascii="Arial" w:hAnsi="Arial" w:cs="Arial"/>
                <w:sz w:val="20"/>
                <w:szCs w:val="20"/>
              </w:rPr>
            </w:pPr>
            <w:r w:rsidRPr="004F7F40">
              <w:rPr>
                <w:rFonts w:ascii="Arial" w:hAnsi="Arial" w:cs="Arial"/>
                <w:sz w:val="20"/>
                <w:szCs w:val="20"/>
              </w:rPr>
              <w:t>Executive Leadership Development Strategy – work commenced to develop options to address leadership capability gaps</w:t>
            </w:r>
          </w:p>
        </w:tc>
        <w:tc>
          <w:tcPr>
            <w:tcW w:w="3969" w:type="dxa"/>
          </w:tcPr>
          <w:p w14:paraId="6A33DD34" w14:textId="13701AE6" w:rsidR="00390ECE" w:rsidRPr="004F7F40" w:rsidRDefault="00390ECE" w:rsidP="008E1B18">
            <w:pPr>
              <w:pStyle w:val="ListParagraph"/>
              <w:ind w:left="0"/>
              <w:rPr>
                <w:rFonts w:ascii="Arial" w:hAnsi="Arial" w:cs="Arial"/>
                <w:sz w:val="20"/>
                <w:szCs w:val="20"/>
              </w:rPr>
            </w:pPr>
            <w:r w:rsidRPr="004F7F40">
              <w:rPr>
                <w:rFonts w:ascii="Arial" w:hAnsi="Arial" w:cs="Arial"/>
                <w:bCs/>
                <w:sz w:val="20"/>
                <w:szCs w:val="20"/>
              </w:rPr>
              <w:t>Amendments of PSEMA relevant to the Commissioner of Public Employment</w:t>
            </w:r>
            <w:r w:rsidR="008E1B18" w:rsidRPr="004F7F40">
              <w:rPr>
                <w:rFonts w:ascii="Arial" w:hAnsi="Arial" w:cs="Arial"/>
                <w:bCs/>
                <w:sz w:val="20"/>
                <w:szCs w:val="20"/>
              </w:rPr>
              <w:t xml:space="preserve"> were</w:t>
            </w:r>
            <w:r w:rsidRPr="004F7F40">
              <w:rPr>
                <w:rFonts w:ascii="Arial" w:hAnsi="Arial" w:cs="Arial"/>
                <w:b/>
                <w:sz w:val="20"/>
                <w:szCs w:val="20"/>
              </w:rPr>
              <w:t xml:space="preserve"> </w:t>
            </w:r>
            <w:r w:rsidRPr="004F7F40">
              <w:rPr>
                <w:rFonts w:ascii="Arial" w:hAnsi="Arial" w:cs="Arial"/>
                <w:sz w:val="20"/>
                <w:szCs w:val="20"/>
              </w:rPr>
              <w:t>made in 2010 and 2011 (minor)</w:t>
            </w:r>
          </w:p>
          <w:p w14:paraId="1F16B548" w14:textId="77777777" w:rsidR="00B82BBB" w:rsidRPr="004F7F40" w:rsidRDefault="00B82BBB" w:rsidP="00B82BBB">
            <w:pPr>
              <w:rPr>
                <w:rFonts w:ascii="Arial" w:hAnsi="Arial" w:cs="Arial"/>
                <w:sz w:val="20"/>
                <w:szCs w:val="20"/>
              </w:rPr>
            </w:pPr>
            <w:r w:rsidRPr="004F7F40">
              <w:rPr>
                <w:rFonts w:ascii="Arial" w:hAnsi="Arial" w:cs="Arial"/>
                <w:sz w:val="20"/>
                <w:szCs w:val="20"/>
              </w:rPr>
              <w:t>Review of PSEMA complete and Bill being prepared for early 2011 (including changes on how merit is defined)</w:t>
            </w:r>
          </w:p>
          <w:p w14:paraId="07411B05" w14:textId="77777777" w:rsidR="001131E1" w:rsidRPr="004F7F40" w:rsidRDefault="001131E1" w:rsidP="00580791">
            <w:pPr>
              <w:pStyle w:val="ListParagraph"/>
              <w:ind w:left="227"/>
              <w:rPr>
                <w:rFonts w:ascii="Arial" w:hAnsi="Arial" w:cs="Arial"/>
                <w:sz w:val="20"/>
                <w:szCs w:val="20"/>
              </w:rPr>
            </w:pPr>
          </w:p>
        </w:tc>
        <w:tc>
          <w:tcPr>
            <w:tcW w:w="4394" w:type="dxa"/>
          </w:tcPr>
          <w:p w14:paraId="0B4531AC" w14:textId="77777777" w:rsidR="001131E1" w:rsidRPr="004F7F40" w:rsidRDefault="001131E1" w:rsidP="00580791">
            <w:pPr>
              <w:pStyle w:val="ListParagraph"/>
              <w:ind w:left="227"/>
              <w:rPr>
                <w:rFonts w:ascii="Arial" w:hAnsi="Arial" w:cs="Arial"/>
                <w:sz w:val="20"/>
                <w:szCs w:val="20"/>
              </w:rPr>
            </w:pPr>
          </w:p>
        </w:tc>
      </w:tr>
      <w:tr w:rsidR="001131E1" w:rsidRPr="004F7F40" w14:paraId="0DDB0B67" w14:textId="788F5365" w:rsidTr="00453BF5">
        <w:trPr>
          <w:trHeight w:val="517"/>
        </w:trPr>
        <w:tc>
          <w:tcPr>
            <w:tcW w:w="1022" w:type="dxa"/>
          </w:tcPr>
          <w:p w14:paraId="579857B7"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2011</w:t>
            </w:r>
          </w:p>
        </w:tc>
        <w:tc>
          <w:tcPr>
            <w:tcW w:w="5670" w:type="dxa"/>
          </w:tcPr>
          <w:p w14:paraId="6133A6E1"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2010-2011</w:t>
            </w:r>
          </w:p>
          <w:p w14:paraId="70E12AFE" w14:textId="77777777" w:rsidR="001131E1" w:rsidRPr="004F7F40" w:rsidRDefault="001131E1" w:rsidP="00580791">
            <w:pPr>
              <w:pStyle w:val="ListParagraph"/>
              <w:numPr>
                <w:ilvl w:val="0"/>
                <w:numId w:val="25"/>
              </w:numPr>
              <w:rPr>
                <w:rFonts w:ascii="Arial" w:hAnsi="Arial" w:cs="Arial"/>
                <w:sz w:val="20"/>
                <w:szCs w:val="20"/>
              </w:rPr>
            </w:pPr>
            <w:r w:rsidRPr="004F7F40">
              <w:rPr>
                <w:rFonts w:ascii="Arial" w:hAnsi="Arial" w:cs="Arial"/>
                <w:sz w:val="20"/>
                <w:szCs w:val="20"/>
              </w:rPr>
              <w:t>Tool tested to assess the overall “health” of agencies</w:t>
            </w:r>
          </w:p>
          <w:p w14:paraId="093B461E" w14:textId="77777777" w:rsidR="001131E1" w:rsidRPr="004F7F40" w:rsidRDefault="001131E1" w:rsidP="00580791">
            <w:pPr>
              <w:pStyle w:val="ListParagraph"/>
              <w:numPr>
                <w:ilvl w:val="0"/>
                <w:numId w:val="25"/>
              </w:numPr>
              <w:rPr>
                <w:rFonts w:ascii="Arial" w:hAnsi="Arial" w:cs="Arial"/>
                <w:sz w:val="20"/>
                <w:szCs w:val="20"/>
              </w:rPr>
            </w:pPr>
            <w:r w:rsidRPr="004F7F40">
              <w:rPr>
                <w:rFonts w:ascii="Arial" w:hAnsi="Arial" w:cs="Arial"/>
                <w:sz w:val="20"/>
                <w:szCs w:val="20"/>
              </w:rPr>
              <w:t>Apparently just about finished implementing the ‘NPTS Reform and Revitalisation Agenda’ which started in late 2007</w:t>
            </w:r>
          </w:p>
          <w:p w14:paraId="41FD997B" w14:textId="77777777" w:rsidR="001131E1" w:rsidRPr="004F7F40" w:rsidRDefault="001131E1" w:rsidP="00580791">
            <w:pPr>
              <w:pStyle w:val="ListParagraph"/>
              <w:numPr>
                <w:ilvl w:val="0"/>
                <w:numId w:val="25"/>
              </w:numPr>
              <w:rPr>
                <w:rFonts w:ascii="Arial" w:hAnsi="Arial" w:cs="Arial"/>
                <w:sz w:val="20"/>
                <w:szCs w:val="20"/>
              </w:rPr>
            </w:pPr>
            <w:r w:rsidRPr="004F7F40">
              <w:rPr>
                <w:rFonts w:ascii="Arial" w:hAnsi="Arial" w:cs="Arial"/>
                <w:sz w:val="20"/>
                <w:szCs w:val="20"/>
              </w:rPr>
              <w:t>Started work on a reward and recognition framework</w:t>
            </w:r>
          </w:p>
          <w:p w14:paraId="38F5E072" w14:textId="77777777" w:rsidR="001131E1" w:rsidRPr="004F7F40" w:rsidRDefault="001131E1" w:rsidP="00580791">
            <w:pPr>
              <w:pStyle w:val="ListParagraph"/>
              <w:numPr>
                <w:ilvl w:val="0"/>
                <w:numId w:val="25"/>
              </w:numPr>
              <w:rPr>
                <w:rFonts w:ascii="Arial" w:hAnsi="Arial" w:cs="Arial"/>
                <w:sz w:val="20"/>
                <w:szCs w:val="20"/>
              </w:rPr>
            </w:pPr>
            <w:r w:rsidRPr="004F7F40">
              <w:rPr>
                <w:rFonts w:ascii="Arial" w:hAnsi="Arial" w:cs="Arial"/>
                <w:sz w:val="20"/>
                <w:szCs w:val="20"/>
              </w:rPr>
              <w:t>Introduced Future Leaders (for AO7 to SAO2</w:t>
            </w:r>
            <w:proofErr w:type="gramStart"/>
            <w:r w:rsidRPr="004F7F40">
              <w:rPr>
                <w:rFonts w:ascii="Arial" w:hAnsi="Arial" w:cs="Arial"/>
                <w:sz w:val="20"/>
                <w:szCs w:val="20"/>
              </w:rPr>
              <w:t>)  and</w:t>
            </w:r>
            <w:proofErr w:type="gramEnd"/>
            <w:r w:rsidRPr="004F7F40">
              <w:rPr>
                <w:rFonts w:ascii="Arial" w:hAnsi="Arial" w:cs="Arial"/>
                <w:sz w:val="20"/>
                <w:szCs w:val="20"/>
              </w:rPr>
              <w:t xml:space="preserve"> Executive Leadership (for SAO2 and above) programs</w:t>
            </w:r>
          </w:p>
          <w:p w14:paraId="4BB04A4F" w14:textId="77777777" w:rsidR="001131E1" w:rsidRPr="004F7F40" w:rsidRDefault="001131E1" w:rsidP="00580791">
            <w:pPr>
              <w:pStyle w:val="ListParagraph"/>
              <w:numPr>
                <w:ilvl w:val="0"/>
                <w:numId w:val="25"/>
              </w:numPr>
              <w:rPr>
                <w:rFonts w:ascii="Arial" w:hAnsi="Arial" w:cs="Arial"/>
                <w:sz w:val="20"/>
                <w:szCs w:val="20"/>
              </w:rPr>
            </w:pPr>
            <w:r w:rsidRPr="004F7F40">
              <w:rPr>
                <w:rFonts w:ascii="Arial" w:hAnsi="Arial" w:cs="Arial"/>
                <w:sz w:val="20"/>
                <w:szCs w:val="20"/>
              </w:rPr>
              <w:lastRenderedPageBreak/>
              <w:t>Review of ECO terms and conditions finally completed – as a result:</w:t>
            </w:r>
          </w:p>
          <w:p w14:paraId="451F8AD2" w14:textId="77777777" w:rsidR="001131E1" w:rsidRPr="004F7F40" w:rsidRDefault="001131E1" w:rsidP="00580791">
            <w:pPr>
              <w:pStyle w:val="ListParagraph"/>
              <w:numPr>
                <w:ilvl w:val="1"/>
                <w:numId w:val="25"/>
              </w:numPr>
              <w:ind w:left="637" w:hanging="283"/>
              <w:rPr>
                <w:rFonts w:ascii="Arial" w:hAnsi="Arial" w:cs="Arial"/>
                <w:sz w:val="20"/>
                <w:szCs w:val="20"/>
              </w:rPr>
            </w:pPr>
            <w:r w:rsidRPr="004F7F40">
              <w:rPr>
                <w:rFonts w:ascii="Arial" w:hAnsi="Arial" w:cs="Arial"/>
                <w:sz w:val="20"/>
                <w:szCs w:val="20"/>
              </w:rPr>
              <w:t>various determinations were consolidated</w:t>
            </w:r>
          </w:p>
          <w:p w14:paraId="661D7720" w14:textId="77777777" w:rsidR="001131E1" w:rsidRPr="004F7F40" w:rsidRDefault="001131E1" w:rsidP="00580791">
            <w:pPr>
              <w:pStyle w:val="ListParagraph"/>
              <w:numPr>
                <w:ilvl w:val="1"/>
                <w:numId w:val="25"/>
              </w:numPr>
              <w:ind w:left="637" w:hanging="283"/>
              <w:rPr>
                <w:rFonts w:ascii="Arial" w:hAnsi="Arial" w:cs="Arial"/>
                <w:sz w:val="20"/>
                <w:szCs w:val="20"/>
              </w:rPr>
            </w:pPr>
            <w:r w:rsidRPr="004F7F40">
              <w:rPr>
                <w:rFonts w:ascii="Arial" w:hAnsi="Arial" w:cs="Arial"/>
                <w:sz w:val="20"/>
                <w:szCs w:val="20"/>
              </w:rPr>
              <w:t xml:space="preserve">Incorporation of minimum employment requirements (as required by the </w:t>
            </w:r>
            <w:r w:rsidRPr="004F7F40">
              <w:rPr>
                <w:rFonts w:ascii="Arial" w:hAnsi="Arial" w:cs="Arial"/>
                <w:i/>
                <w:sz w:val="20"/>
                <w:szCs w:val="20"/>
              </w:rPr>
              <w:t>Fair Work Act</w:t>
            </w:r>
            <w:r w:rsidRPr="004F7F40">
              <w:rPr>
                <w:rFonts w:ascii="Arial" w:hAnsi="Arial" w:cs="Arial"/>
                <w:sz w:val="20"/>
                <w:szCs w:val="20"/>
              </w:rPr>
              <w:t xml:space="preserve"> (</w:t>
            </w:r>
            <w:proofErr w:type="spellStart"/>
            <w:r w:rsidRPr="004F7F40">
              <w:rPr>
                <w:rFonts w:ascii="Arial" w:hAnsi="Arial" w:cs="Arial"/>
                <w:sz w:val="20"/>
                <w:szCs w:val="20"/>
              </w:rPr>
              <w:t>Cth</w:t>
            </w:r>
            <w:proofErr w:type="spellEnd"/>
            <w:r w:rsidRPr="004F7F40">
              <w:rPr>
                <w:rFonts w:ascii="Arial" w:hAnsi="Arial" w:cs="Arial"/>
                <w:sz w:val="20"/>
                <w:szCs w:val="20"/>
              </w:rPr>
              <w:t>))</w:t>
            </w:r>
          </w:p>
          <w:p w14:paraId="136FE27D" w14:textId="77777777" w:rsidR="001131E1" w:rsidRPr="004F7F40" w:rsidRDefault="001131E1" w:rsidP="00580791">
            <w:pPr>
              <w:pStyle w:val="ListParagraph"/>
              <w:numPr>
                <w:ilvl w:val="1"/>
                <w:numId w:val="25"/>
              </w:numPr>
              <w:ind w:left="637" w:hanging="283"/>
              <w:rPr>
                <w:rFonts w:ascii="Arial" w:hAnsi="Arial" w:cs="Arial"/>
                <w:sz w:val="20"/>
                <w:szCs w:val="20"/>
              </w:rPr>
            </w:pPr>
            <w:r w:rsidRPr="004F7F40">
              <w:rPr>
                <w:rFonts w:ascii="Arial" w:hAnsi="Arial" w:cs="Arial"/>
                <w:sz w:val="20"/>
                <w:szCs w:val="20"/>
              </w:rPr>
              <w:t>Incorporation of a range of common enterprise agreement provisions</w:t>
            </w:r>
          </w:p>
          <w:p w14:paraId="4650A369" w14:textId="77777777" w:rsidR="001131E1" w:rsidRPr="004F7F40" w:rsidRDefault="001131E1" w:rsidP="00580791">
            <w:pPr>
              <w:pStyle w:val="ListParagraph"/>
              <w:numPr>
                <w:ilvl w:val="1"/>
                <w:numId w:val="25"/>
              </w:numPr>
              <w:ind w:left="637" w:hanging="283"/>
              <w:rPr>
                <w:rFonts w:ascii="Arial" w:hAnsi="Arial" w:cs="Arial"/>
                <w:sz w:val="20"/>
                <w:szCs w:val="20"/>
              </w:rPr>
            </w:pPr>
            <w:r w:rsidRPr="004F7F40">
              <w:rPr>
                <w:rFonts w:ascii="Arial" w:hAnsi="Arial" w:cs="Arial"/>
                <w:sz w:val="20"/>
                <w:szCs w:val="20"/>
              </w:rPr>
              <w:t>New Executive Contract Principal Level structure introduced to provide flexibility for high calibre applicants and support career progression and mobility into ECO scheme</w:t>
            </w:r>
          </w:p>
        </w:tc>
        <w:tc>
          <w:tcPr>
            <w:tcW w:w="3969" w:type="dxa"/>
          </w:tcPr>
          <w:p w14:paraId="1E99D05C" w14:textId="0F5CF2ED" w:rsidR="001131E1" w:rsidRPr="004F7F40" w:rsidRDefault="00683894" w:rsidP="00683894">
            <w:pPr>
              <w:rPr>
                <w:rFonts w:ascii="Arial" w:hAnsi="Arial" w:cs="Arial"/>
                <w:sz w:val="20"/>
                <w:szCs w:val="20"/>
              </w:rPr>
            </w:pPr>
            <w:r w:rsidRPr="004F7F40">
              <w:rPr>
                <w:rFonts w:ascii="Arial" w:hAnsi="Arial" w:cs="Arial"/>
                <w:sz w:val="20"/>
                <w:szCs w:val="20"/>
              </w:rPr>
              <w:lastRenderedPageBreak/>
              <w:t>Public Sector Employment and Management Act – Regulations 2011</w:t>
            </w:r>
          </w:p>
        </w:tc>
        <w:tc>
          <w:tcPr>
            <w:tcW w:w="4394" w:type="dxa"/>
          </w:tcPr>
          <w:p w14:paraId="7D7863B0" w14:textId="77777777" w:rsidR="00D44E67" w:rsidRPr="004F7F40" w:rsidRDefault="00D44E67" w:rsidP="00E60292">
            <w:pPr>
              <w:pStyle w:val="ListParagraph"/>
              <w:ind w:left="0"/>
              <w:rPr>
                <w:rFonts w:ascii="Arial" w:hAnsi="Arial" w:cs="Arial"/>
                <w:i/>
                <w:iCs/>
                <w:sz w:val="20"/>
                <w:szCs w:val="20"/>
              </w:rPr>
            </w:pPr>
            <w:r w:rsidRPr="004F7F40">
              <w:rPr>
                <w:rFonts w:ascii="Arial" w:hAnsi="Arial" w:cs="Arial"/>
                <w:i/>
                <w:iCs/>
                <w:sz w:val="20"/>
                <w:szCs w:val="20"/>
              </w:rPr>
              <w:t xml:space="preserve">Determination 13 of 2011 </w:t>
            </w:r>
          </w:p>
          <w:p w14:paraId="4DE31051" w14:textId="1534F7B4" w:rsidR="00D44E67" w:rsidRPr="004F7F40" w:rsidRDefault="00D44E67" w:rsidP="00E60292">
            <w:pPr>
              <w:pStyle w:val="ListParagraph"/>
              <w:ind w:left="0"/>
              <w:rPr>
                <w:rFonts w:ascii="Arial" w:hAnsi="Arial" w:cs="Arial"/>
                <w:sz w:val="20"/>
                <w:szCs w:val="20"/>
              </w:rPr>
            </w:pPr>
            <w:r w:rsidRPr="004F7F40">
              <w:rPr>
                <w:rFonts w:ascii="Arial" w:hAnsi="Arial" w:cs="Arial"/>
                <w:sz w:val="20"/>
                <w:szCs w:val="20"/>
              </w:rPr>
              <w:t xml:space="preserve">ECO terms and conditions for contracts </w:t>
            </w:r>
          </w:p>
          <w:p w14:paraId="2D7F4793" w14:textId="6DDDB9A3" w:rsidR="001131E1" w:rsidRPr="004F7F40" w:rsidRDefault="00D44E67" w:rsidP="00E60292">
            <w:pPr>
              <w:pStyle w:val="ListParagraph"/>
              <w:ind w:left="0"/>
              <w:rPr>
                <w:rFonts w:ascii="Arial" w:hAnsi="Arial" w:cs="Arial"/>
                <w:sz w:val="20"/>
                <w:szCs w:val="20"/>
              </w:rPr>
            </w:pPr>
            <w:r w:rsidRPr="004F7F40">
              <w:rPr>
                <w:rFonts w:ascii="Arial" w:hAnsi="Arial" w:cs="Arial"/>
                <w:sz w:val="20"/>
                <w:szCs w:val="20"/>
              </w:rPr>
              <w:t xml:space="preserve">[now applies only to those </w:t>
            </w:r>
            <w:proofErr w:type="gramStart"/>
            <w:r w:rsidRPr="004F7F40">
              <w:rPr>
                <w:rFonts w:ascii="Arial" w:hAnsi="Arial" w:cs="Arial"/>
                <w:sz w:val="20"/>
                <w:szCs w:val="20"/>
              </w:rPr>
              <w:t>entered into</w:t>
            </w:r>
            <w:proofErr w:type="gramEnd"/>
            <w:r w:rsidRPr="004F7F40">
              <w:rPr>
                <w:rFonts w:ascii="Arial" w:hAnsi="Arial" w:cs="Arial"/>
                <w:sz w:val="20"/>
                <w:szCs w:val="20"/>
              </w:rPr>
              <w:t xml:space="preserve"> before 23 April 2019]</w:t>
            </w:r>
          </w:p>
        </w:tc>
      </w:tr>
      <w:tr w:rsidR="001131E1" w:rsidRPr="004F7F40" w14:paraId="01A9B3D1" w14:textId="06E98BE0" w:rsidTr="00453BF5">
        <w:trPr>
          <w:trHeight w:val="517"/>
        </w:trPr>
        <w:tc>
          <w:tcPr>
            <w:tcW w:w="1022" w:type="dxa"/>
          </w:tcPr>
          <w:p w14:paraId="275127D1"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2012</w:t>
            </w:r>
          </w:p>
        </w:tc>
        <w:tc>
          <w:tcPr>
            <w:tcW w:w="5670" w:type="dxa"/>
          </w:tcPr>
          <w:p w14:paraId="7918CCAC"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2011-2012</w:t>
            </w:r>
          </w:p>
          <w:p w14:paraId="2D898D18" w14:textId="7ABE7EF1" w:rsidR="001131E1" w:rsidRPr="004F7F40" w:rsidRDefault="001131E1" w:rsidP="00580791">
            <w:pPr>
              <w:pStyle w:val="ListParagraph"/>
              <w:numPr>
                <w:ilvl w:val="0"/>
                <w:numId w:val="26"/>
              </w:numPr>
              <w:rPr>
                <w:rFonts w:ascii="Arial" w:hAnsi="Arial" w:cs="Arial"/>
                <w:sz w:val="20"/>
                <w:szCs w:val="20"/>
              </w:rPr>
            </w:pPr>
            <w:r w:rsidRPr="004F7F40">
              <w:rPr>
                <w:rFonts w:ascii="Arial" w:hAnsi="Arial" w:cs="Arial"/>
                <w:sz w:val="20"/>
                <w:szCs w:val="20"/>
              </w:rPr>
              <w:t>Public Sector Development Board introduced from November 2001 to “provide assistance and advice to the CPE” and “to lead strategic reforms”. Comprises central agency CEOs and the VC of CDU</w:t>
            </w:r>
          </w:p>
          <w:p w14:paraId="10F693CF" w14:textId="77777777" w:rsidR="001131E1" w:rsidRPr="004F7F40" w:rsidRDefault="001131E1" w:rsidP="00580791">
            <w:pPr>
              <w:pStyle w:val="ListParagraph"/>
              <w:numPr>
                <w:ilvl w:val="0"/>
                <w:numId w:val="26"/>
              </w:numPr>
              <w:rPr>
                <w:rFonts w:ascii="Arial" w:hAnsi="Arial" w:cs="Arial"/>
                <w:sz w:val="20"/>
                <w:szCs w:val="20"/>
              </w:rPr>
            </w:pPr>
            <w:r w:rsidRPr="004F7F40">
              <w:rPr>
                <w:rFonts w:ascii="Arial" w:hAnsi="Arial" w:cs="Arial"/>
                <w:sz w:val="20"/>
                <w:szCs w:val="20"/>
              </w:rPr>
              <w:t>Note that all other annual reports had a section on ECOs – was dropped in this annual report only</w:t>
            </w:r>
          </w:p>
        </w:tc>
        <w:tc>
          <w:tcPr>
            <w:tcW w:w="3969" w:type="dxa"/>
          </w:tcPr>
          <w:p w14:paraId="5E91279E" w14:textId="77777777" w:rsidR="001131E1" w:rsidRPr="004F7F40" w:rsidRDefault="001131E1" w:rsidP="00580791">
            <w:pPr>
              <w:pStyle w:val="ListParagraph"/>
              <w:ind w:left="227"/>
              <w:rPr>
                <w:rFonts w:ascii="Arial" w:hAnsi="Arial" w:cs="Arial"/>
                <w:sz w:val="20"/>
                <w:szCs w:val="20"/>
              </w:rPr>
            </w:pPr>
          </w:p>
        </w:tc>
        <w:tc>
          <w:tcPr>
            <w:tcW w:w="4394" w:type="dxa"/>
          </w:tcPr>
          <w:p w14:paraId="48A7D010" w14:textId="77777777" w:rsidR="001131E1" w:rsidRPr="004F7F40" w:rsidRDefault="001131E1" w:rsidP="00580791">
            <w:pPr>
              <w:pStyle w:val="ListParagraph"/>
              <w:ind w:left="227"/>
              <w:rPr>
                <w:rFonts w:ascii="Arial" w:hAnsi="Arial" w:cs="Arial"/>
                <w:sz w:val="20"/>
                <w:szCs w:val="20"/>
              </w:rPr>
            </w:pPr>
          </w:p>
        </w:tc>
      </w:tr>
      <w:tr w:rsidR="001131E1" w:rsidRPr="004F7F40" w14:paraId="05CE4C55" w14:textId="68E5DEC9" w:rsidTr="00453BF5">
        <w:trPr>
          <w:trHeight w:val="517"/>
        </w:trPr>
        <w:tc>
          <w:tcPr>
            <w:tcW w:w="1022" w:type="dxa"/>
          </w:tcPr>
          <w:p w14:paraId="6663FD1D"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2013</w:t>
            </w:r>
          </w:p>
        </w:tc>
        <w:tc>
          <w:tcPr>
            <w:tcW w:w="5670" w:type="dxa"/>
          </w:tcPr>
          <w:p w14:paraId="11A300CD"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2012-2013</w:t>
            </w:r>
          </w:p>
          <w:p w14:paraId="6D9ED475" w14:textId="7DBB3311" w:rsidR="001131E1" w:rsidRPr="004F7F40" w:rsidRDefault="001131E1" w:rsidP="00580791">
            <w:pPr>
              <w:pStyle w:val="ListParagraph"/>
              <w:numPr>
                <w:ilvl w:val="0"/>
                <w:numId w:val="27"/>
              </w:numPr>
              <w:rPr>
                <w:rFonts w:ascii="Arial" w:hAnsi="Arial" w:cs="Arial"/>
                <w:sz w:val="20"/>
                <w:szCs w:val="20"/>
              </w:rPr>
            </w:pPr>
            <w:r w:rsidRPr="004F7F40">
              <w:rPr>
                <w:rFonts w:ascii="Arial" w:hAnsi="Arial" w:cs="Arial"/>
                <w:sz w:val="20"/>
                <w:szCs w:val="20"/>
              </w:rPr>
              <w:t>Change of government – too many staff in NTPS, especially ECOs, so staffing freeze for other than frontline staff</w:t>
            </w:r>
          </w:p>
          <w:p w14:paraId="014989DD" w14:textId="77777777" w:rsidR="001131E1" w:rsidRPr="004F7F40" w:rsidRDefault="001131E1" w:rsidP="00580791">
            <w:pPr>
              <w:pStyle w:val="ListParagraph"/>
              <w:numPr>
                <w:ilvl w:val="0"/>
                <w:numId w:val="27"/>
              </w:numPr>
              <w:rPr>
                <w:rFonts w:ascii="Arial" w:hAnsi="Arial" w:cs="Arial"/>
                <w:sz w:val="20"/>
                <w:szCs w:val="20"/>
              </w:rPr>
            </w:pPr>
            <w:r w:rsidRPr="004F7F40">
              <w:rPr>
                <w:rFonts w:ascii="Arial" w:hAnsi="Arial" w:cs="Arial"/>
                <w:sz w:val="20"/>
                <w:szCs w:val="20"/>
              </w:rPr>
              <w:t>But 11 new agencies so 11 new CEOs</w:t>
            </w:r>
          </w:p>
          <w:p w14:paraId="7D3A9269" w14:textId="77777777" w:rsidR="001131E1" w:rsidRPr="004F7F40" w:rsidRDefault="001131E1" w:rsidP="00580791">
            <w:pPr>
              <w:pStyle w:val="ListParagraph"/>
              <w:numPr>
                <w:ilvl w:val="0"/>
                <w:numId w:val="27"/>
              </w:numPr>
              <w:rPr>
                <w:rFonts w:ascii="Arial" w:hAnsi="Arial" w:cs="Arial"/>
                <w:sz w:val="20"/>
                <w:szCs w:val="20"/>
              </w:rPr>
            </w:pPr>
            <w:r w:rsidRPr="004F7F40">
              <w:rPr>
                <w:rFonts w:ascii="Arial" w:hAnsi="Arial" w:cs="Arial"/>
                <w:sz w:val="20"/>
                <w:szCs w:val="20"/>
              </w:rPr>
              <w:t>Executive mobility program developed for implementation in 2013/14</w:t>
            </w:r>
          </w:p>
          <w:p w14:paraId="4B0FD003" w14:textId="77777777" w:rsidR="001131E1" w:rsidRPr="004F7F40" w:rsidRDefault="001131E1" w:rsidP="00580791">
            <w:pPr>
              <w:pStyle w:val="ListParagraph"/>
              <w:numPr>
                <w:ilvl w:val="0"/>
                <w:numId w:val="27"/>
              </w:numPr>
              <w:rPr>
                <w:rFonts w:ascii="Arial" w:hAnsi="Arial" w:cs="Arial"/>
                <w:sz w:val="20"/>
                <w:szCs w:val="20"/>
              </w:rPr>
            </w:pPr>
            <w:r w:rsidRPr="004F7F40">
              <w:rPr>
                <w:rFonts w:ascii="Arial" w:hAnsi="Arial" w:cs="Arial"/>
                <w:sz w:val="20"/>
                <w:szCs w:val="20"/>
              </w:rPr>
              <w:t xml:space="preserve">New arrangements to assess performance of CEOs put in place. They need to demonstrate fulfilment of their responsibilities under 24(3) of PSEMA – </w:t>
            </w:r>
            <w:proofErr w:type="spellStart"/>
            <w:proofErr w:type="gramStart"/>
            <w:r w:rsidRPr="004F7F40">
              <w:rPr>
                <w:rFonts w:ascii="Arial" w:hAnsi="Arial" w:cs="Arial"/>
                <w:sz w:val="20"/>
                <w:szCs w:val="20"/>
              </w:rPr>
              <w:t>ie</w:t>
            </w:r>
            <w:proofErr w:type="spellEnd"/>
            <w:proofErr w:type="gramEnd"/>
            <w:r w:rsidRPr="004F7F40">
              <w:rPr>
                <w:rFonts w:ascii="Arial" w:hAnsi="Arial" w:cs="Arial"/>
                <w:sz w:val="20"/>
                <w:szCs w:val="20"/>
              </w:rPr>
              <w:t xml:space="preserve"> ensure that employee performance management systems are developed and implemented</w:t>
            </w:r>
          </w:p>
          <w:p w14:paraId="38ABF0DC" w14:textId="77777777" w:rsidR="001131E1" w:rsidRPr="004F7F40" w:rsidRDefault="001131E1" w:rsidP="00580791">
            <w:pPr>
              <w:pStyle w:val="ListParagraph"/>
              <w:numPr>
                <w:ilvl w:val="0"/>
                <w:numId w:val="27"/>
              </w:numPr>
              <w:rPr>
                <w:rFonts w:ascii="Arial" w:hAnsi="Arial" w:cs="Arial"/>
                <w:sz w:val="20"/>
                <w:szCs w:val="20"/>
              </w:rPr>
            </w:pPr>
            <w:r w:rsidRPr="004F7F40">
              <w:rPr>
                <w:rFonts w:ascii="Arial" w:hAnsi="Arial" w:cs="Arial"/>
                <w:sz w:val="20"/>
                <w:szCs w:val="20"/>
              </w:rPr>
              <w:t>To “plan, monitor and assess CEO performance”, performance agreements to include:</w:t>
            </w:r>
          </w:p>
          <w:p w14:paraId="374405BC" w14:textId="77777777" w:rsidR="001131E1" w:rsidRPr="004F7F40" w:rsidRDefault="001131E1" w:rsidP="00580791">
            <w:pPr>
              <w:pStyle w:val="ListParagraph"/>
              <w:numPr>
                <w:ilvl w:val="1"/>
                <w:numId w:val="27"/>
              </w:numPr>
              <w:ind w:left="637" w:hanging="283"/>
              <w:rPr>
                <w:rFonts w:ascii="Arial" w:hAnsi="Arial" w:cs="Arial"/>
                <w:sz w:val="20"/>
                <w:szCs w:val="20"/>
              </w:rPr>
            </w:pPr>
            <w:r w:rsidRPr="004F7F40">
              <w:rPr>
                <w:rFonts w:ascii="Arial" w:hAnsi="Arial" w:cs="Arial"/>
                <w:sz w:val="20"/>
                <w:szCs w:val="20"/>
              </w:rPr>
              <w:lastRenderedPageBreak/>
              <w:t>Portfolio priorities (as determined by Minister presumably)</w:t>
            </w:r>
          </w:p>
          <w:p w14:paraId="479CC0A8" w14:textId="77777777" w:rsidR="001131E1" w:rsidRPr="004F7F40" w:rsidRDefault="001131E1" w:rsidP="00580791">
            <w:pPr>
              <w:pStyle w:val="ListParagraph"/>
              <w:numPr>
                <w:ilvl w:val="1"/>
                <w:numId w:val="27"/>
              </w:numPr>
              <w:ind w:left="637" w:hanging="283"/>
              <w:rPr>
                <w:rFonts w:ascii="Arial" w:hAnsi="Arial" w:cs="Arial"/>
                <w:sz w:val="20"/>
                <w:szCs w:val="20"/>
              </w:rPr>
            </w:pPr>
            <w:r w:rsidRPr="004F7F40">
              <w:rPr>
                <w:rFonts w:ascii="Arial" w:hAnsi="Arial" w:cs="Arial"/>
                <w:sz w:val="20"/>
                <w:szCs w:val="20"/>
              </w:rPr>
              <w:t>Whole of government priorities (as determined by the Department of the Chief Minister)</w:t>
            </w:r>
          </w:p>
          <w:p w14:paraId="6397D22F" w14:textId="77777777" w:rsidR="001131E1" w:rsidRPr="004F7F40" w:rsidRDefault="001131E1" w:rsidP="00580791">
            <w:pPr>
              <w:pStyle w:val="ListParagraph"/>
              <w:numPr>
                <w:ilvl w:val="1"/>
                <w:numId w:val="27"/>
              </w:numPr>
              <w:ind w:left="637" w:hanging="283"/>
              <w:rPr>
                <w:rFonts w:ascii="Arial" w:hAnsi="Arial" w:cs="Arial"/>
                <w:sz w:val="20"/>
                <w:szCs w:val="20"/>
              </w:rPr>
            </w:pPr>
            <w:r w:rsidRPr="004F7F40">
              <w:rPr>
                <w:rFonts w:ascii="Arial" w:hAnsi="Arial" w:cs="Arial"/>
                <w:sz w:val="20"/>
                <w:szCs w:val="20"/>
              </w:rPr>
              <w:t>Financial leadership and governance outcomes (as determined by Treasury and Finance)</w:t>
            </w:r>
          </w:p>
          <w:p w14:paraId="52673728" w14:textId="77777777" w:rsidR="001131E1" w:rsidRPr="004F7F40" w:rsidRDefault="001131E1" w:rsidP="00580791">
            <w:pPr>
              <w:pStyle w:val="ListParagraph"/>
              <w:numPr>
                <w:ilvl w:val="1"/>
                <w:numId w:val="27"/>
              </w:numPr>
              <w:ind w:left="637" w:hanging="283"/>
              <w:rPr>
                <w:rFonts w:ascii="Arial" w:hAnsi="Arial" w:cs="Arial"/>
                <w:sz w:val="20"/>
                <w:szCs w:val="20"/>
              </w:rPr>
            </w:pPr>
            <w:r w:rsidRPr="004F7F40">
              <w:rPr>
                <w:rFonts w:ascii="Arial" w:hAnsi="Arial" w:cs="Arial"/>
                <w:sz w:val="20"/>
                <w:szCs w:val="20"/>
              </w:rPr>
              <w:t>People leadership and performance (as determined by OCPE)</w:t>
            </w:r>
          </w:p>
          <w:p w14:paraId="5CBBCA74" w14:textId="77777777" w:rsidR="001131E1" w:rsidRPr="004F7F40" w:rsidRDefault="001131E1" w:rsidP="00580791">
            <w:pPr>
              <w:pStyle w:val="ListParagraph"/>
              <w:numPr>
                <w:ilvl w:val="1"/>
                <w:numId w:val="27"/>
              </w:numPr>
              <w:ind w:left="637" w:hanging="283"/>
              <w:rPr>
                <w:rFonts w:ascii="Arial" w:hAnsi="Arial" w:cs="Arial"/>
                <w:sz w:val="20"/>
                <w:szCs w:val="20"/>
              </w:rPr>
            </w:pPr>
            <w:r w:rsidRPr="004F7F40">
              <w:rPr>
                <w:rFonts w:ascii="Arial" w:hAnsi="Arial" w:cs="Arial"/>
                <w:sz w:val="20"/>
                <w:szCs w:val="20"/>
              </w:rPr>
              <w:t xml:space="preserve">Professional growth and development (as a result of the Capability and Leadership Framework and </w:t>
            </w:r>
            <w:proofErr w:type="gramStart"/>
            <w:r w:rsidRPr="004F7F40">
              <w:rPr>
                <w:rFonts w:ascii="Arial" w:hAnsi="Arial" w:cs="Arial"/>
                <w:sz w:val="20"/>
                <w:szCs w:val="20"/>
              </w:rPr>
              <w:t>360 degree</w:t>
            </w:r>
            <w:proofErr w:type="gramEnd"/>
            <w:r w:rsidRPr="004F7F40">
              <w:rPr>
                <w:rFonts w:ascii="Arial" w:hAnsi="Arial" w:cs="Arial"/>
                <w:sz w:val="20"/>
                <w:szCs w:val="20"/>
              </w:rPr>
              <w:t xml:space="preserve"> feedback)</w:t>
            </w:r>
          </w:p>
          <w:p w14:paraId="2B52A493" w14:textId="77777777" w:rsidR="001131E1" w:rsidRPr="004F7F40" w:rsidRDefault="001131E1" w:rsidP="00580791">
            <w:pPr>
              <w:pStyle w:val="ListParagraph"/>
              <w:ind w:left="637"/>
              <w:rPr>
                <w:rFonts w:ascii="Arial" w:hAnsi="Arial" w:cs="Arial"/>
                <w:sz w:val="20"/>
                <w:szCs w:val="20"/>
              </w:rPr>
            </w:pPr>
          </w:p>
        </w:tc>
        <w:tc>
          <w:tcPr>
            <w:tcW w:w="3969" w:type="dxa"/>
          </w:tcPr>
          <w:p w14:paraId="1C806C7A" w14:textId="77777777" w:rsidR="001131E1" w:rsidRPr="004F7F40" w:rsidRDefault="001131E1" w:rsidP="00580791">
            <w:pPr>
              <w:pStyle w:val="ListParagraph"/>
              <w:ind w:left="227"/>
              <w:rPr>
                <w:rFonts w:ascii="Arial" w:hAnsi="Arial" w:cs="Arial"/>
                <w:sz w:val="20"/>
                <w:szCs w:val="20"/>
              </w:rPr>
            </w:pPr>
          </w:p>
        </w:tc>
        <w:tc>
          <w:tcPr>
            <w:tcW w:w="4394" w:type="dxa"/>
          </w:tcPr>
          <w:p w14:paraId="55A0B137" w14:textId="77777777" w:rsidR="001131E1" w:rsidRPr="004F7F40" w:rsidRDefault="001131E1" w:rsidP="00580791">
            <w:pPr>
              <w:pStyle w:val="ListParagraph"/>
              <w:ind w:left="227"/>
              <w:rPr>
                <w:rFonts w:ascii="Arial" w:hAnsi="Arial" w:cs="Arial"/>
                <w:sz w:val="20"/>
                <w:szCs w:val="20"/>
              </w:rPr>
            </w:pPr>
          </w:p>
        </w:tc>
      </w:tr>
      <w:tr w:rsidR="001131E1" w:rsidRPr="004F7F40" w14:paraId="4129F054" w14:textId="10BB6FE9" w:rsidTr="00453BF5">
        <w:trPr>
          <w:trHeight w:val="517"/>
        </w:trPr>
        <w:tc>
          <w:tcPr>
            <w:tcW w:w="1022" w:type="dxa"/>
          </w:tcPr>
          <w:p w14:paraId="5652FB58"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2014</w:t>
            </w:r>
          </w:p>
        </w:tc>
        <w:tc>
          <w:tcPr>
            <w:tcW w:w="5670" w:type="dxa"/>
          </w:tcPr>
          <w:p w14:paraId="4E2FD965"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2013-2014</w:t>
            </w:r>
          </w:p>
          <w:p w14:paraId="6DC97359" w14:textId="240E2861" w:rsidR="001131E1" w:rsidRPr="004F7F40" w:rsidRDefault="001131E1" w:rsidP="00580791">
            <w:pPr>
              <w:pStyle w:val="ListParagraph"/>
              <w:numPr>
                <w:ilvl w:val="0"/>
                <w:numId w:val="28"/>
              </w:numPr>
              <w:rPr>
                <w:rFonts w:ascii="Arial" w:hAnsi="Arial" w:cs="Arial"/>
                <w:sz w:val="20"/>
                <w:szCs w:val="20"/>
              </w:rPr>
            </w:pPr>
            <w:r w:rsidRPr="004F7F40">
              <w:rPr>
                <w:rFonts w:ascii="Arial" w:hAnsi="Arial" w:cs="Arial"/>
                <w:sz w:val="20"/>
                <w:szCs w:val="20"/>
              </w:rPr>
              <w:t>Reviewed powers delegated to CEOs for recruitment</w:t>
            </w:r>
          </w:p>
          <w:p w14:paraId="645B093A" w14:textId="6CECF3E6" w:rsidR="001131E1" w:rsidRPr="004F7F40" w:rsidRDefault="001131E1" w:rsidP="00580791">
            <w:pPr>
              <w:pStyle w:val="ListParagraph"/>
              <w:numPr>
                <w:ilvl w:val="0"/>
                <w:numId w:val="28"/>
              </w:numPr>
              <w:rPr>
                <w:rFonts w:ascii="Arial" w:hAnsi="Arial" w:cs="Arial"/>
                <w:sz w:val="20"/>
                <w:szCs w:val="20"/>
              </w:rPr>
            </w:pPr>
            <w:r w:rsidRPr="004F7F40">
              <w:rPr>
                <w:rFonts w:ascii="Arial" w:hAnsi="Arial" w:cs="Arial"/>
                <w:sz w:val="20"/>
                <w:szCs w:val="20"/>
              </w:rPr>
              <w:t xml:space="preserve">Human Resources Capability Framework 2015-20 launched </w:t>
            </w:r>
          </w:p>
          <w:p w14:paraId="137DE57E" w14:textId="03E7E7F6" w:rsidR="001131E1" w:rsidRPr="004F7F40" w:rsidRDefault="001131E1" w:rsidP="00580791">
            <w:pPr>
              <w:pStyle w:val="ListParagraph"/>
              <w:numPr>
                <w:ilvl w:val="0"/>
                <w:numId w:val="28"/>
              </w:numPr>
              <w:rPr>
                <w:rFonts w:ascii="Arial" w:hAnsi="Arial" w:cs="Arial"/>
                <w:sz w:val="20"/>
                <w:szCs w:val="20"/>
              </w:rPr>
            </w:pPr>
            <w:r w:rsidRPr="004F7F40">
              <w:rPr>
                <w:rFonts w:ascii="Arial" w:hAnsi="Arial" w:cs="Arial"/>
                <w:sz w:val="20"/>
                <w:szCs w:val="20"/>
              </w:rPr>
              <w:t xml:space="preserve">Started review of ECO employment framework </w:t>
            </w:r>
          </w:p>
        </w:tc>
        <w:tc>
          <w:tcPr>
            <w:tcW w:w="3969" w:type="dxa"/>
          </w:tcPr>
          <w:p w14:paraId="5FD9CA12" w14:textId="77777777" w:rsidR="001131E1" w:rsidRPr="004F7F40" w:rsidRDefault="001131E1" w:rsidP="00580791">
            <w:pPr>
              <w:pStyle w:val="ListParagraph"/>
              <w:ind w:left="227"/>
              <w:rPr>
                <w:rFonts w:ascii="Arial" w:hAnsi="Arial" w:cs="Arial"/>
                <w:sz w:val="20"/>
                <w:szCs w:val="20"/>
              </w:rPr>
            </w:pPr>
          </w:p>
        </w:tc>
        <w:tc>
          <w:tcPr>
            <w:tcW w:w="4394" w:type="dxa"/>
          </w:tcPr>
          <w:p w14:paraId="01C10AD3" w14:textId="77777777" w:rsidR="001131E1" w:rsidRPr="004F7F40" w:rsidRDefault="001131E1" w:rsidP="00580791">
            <w:pPr>
              <w:pStyle w:val="ListParagraph"/>
              <w:ind w:left="227"/>
              <w:rPr>
                <w:rFonts w:ascii="Arial" w:hAnsi="Arial" w:cs="Arial"/>
                <w:sz w:val="20"/>
                <w:szCs w:val="20"/>
              </w:rPr>
            </w:pPr>
          </w:p>
        </w:tc>
      </w:tr>
      <w:tr w:rsidR="001131E1" w:rsidRPr="004F7F40" w14:paraId="74A70954" w14:textId="65C8F793" w:rsidTr="00453BF5">
        <w:trPr>
          <w:trHeight w:val="517"/>
        </w:trPr>
        <w:tc>
          <w:tcPr>
            <w:tcW w:w="1022" w:type="dxa"/>
          </w:tcPr>
          <w:p w14:paraId="00F58D8D"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2015</w:t>
            </w:r>
          </w:p>
        </w:tc>
        <w:tc>
          <w:tcPr>
            <w:tcW w:w="5670" w:type="dxa"/>
          </w:tcPr>
          <w:p w14:paraId="0028BE57"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2014-2015</w:t>
            </w:r>
          </w:p>
          <w:p w14:paraId="736EDDF2" w14:textId="2A4A5196" w:rsidR="001131E1" w:rsidRPr="004F7F40" w:rsidRDefault="001131E1" w:rsidP="00580791">
            <w:pPr>
              <w:pStyle w:val="ListParagraph"/>
              <w:numPr>
                <w:ilvl w:val="0"/>
                <w:numId w:val="29"/>
              </w:numPr>
              <w:rPr>
                <w:rFonts w:ascii="Arial" w:hAnsi="Arial" w:cs="Arial"/>
                <w:sz w:val="20"/>
                <w:szCs w:val="20"/>
              </w:rPr>
            </w:pPr>
            <w:r w:rsidRPr="004F7F40">
              <w:rPr>
                <w:rFonts w:ascii="Arial" w:hAnsi="Arial" w:cs="Arial"/>
                <w:sz w:val="20"/>
                <w:szCs w:val="20"/>
              </w:rPr>
              <w:t>ECO profiles for agencies introduced – any changes need to be approved by the ERRP</w:t>
            </w:r>
          </w:p>
          <w:p w14:paraId="7F457895" w14:textId="77777777" w:rsidR="001131E1" w:rsidRPr="004F7F40" w:rsidRDefault="001131E1" w:rsidP="00580791">
            <w:pPr>
              <w:pStyle w:val="ListParagraph"/>
              <w:numPr>
                <w:ilvl w:val="0"/>
                <w:numId w:val="29"/>
              </w:numPr>
              <w:rPr>
                <w:rFonts w:ascii="Arial" w:hAnsi="Arial" w:cs="Arial"/>
                <w:sz w:val="20"/>
                <w:szCs w:val="20"/>
              </w:rPr>
            </w:pPr>
            <w:r w:rsidRPr="004F7F40">
              <w:rPr>
                <w:rFonts w:ascii="Arial" w:hAnsi="Arial" w:cs="Arial"/>
                <w:sz w:val="20"/>
                <w:szCs w:val="20"/>
              </w:rPr>
              <w:t>Review of ECO terms and conditions still ongoing</w:t>
            </w:r>
          </w:p>
        </w:tc>
        <w:tc>
          <w:tcPr>
            <w:tcW w:w="3969" w:type="dxa"/>
          </w:tcPr>
          <w:p w14:paraId="272FED15" w14:textId="77777777" w:rsidR="001131E1" w:rsidRPr="004F7F40" w:rsidRDefault="001131E1" w:rsidP="00580791">
            <w:pPr>
              <w:pStyle w:val="ListParagraph"/>
              <w:ind w:left="227"/>
              <w:rPr>
                <w:rFonts w:ascii="Arial" w:hAnsi="Arial" w:cs="Arial"/>
                <w:sz w:val="20"/>
                <w:szCs w:val="20"/>
              </w:rPr>
            </w:pPr>
          </w:p>
        </w:tc>
        <w:tc>
          <w:tcPr>
            <w:tcW w:w="4394" w:type="dxa"/>
          </w:tcPr>
          <w:p w14:paraId="69CEA1B6" w14:textId="2F6CAEB6" w:rsidR="001131E1" w:rsidRPr="004F7F40" w:rsidRDefault="00772E6C" w:rsidP="00580791">
            <w:pPr>
              <w:pStyle w:val="ListParagraph"/>
              <w:ind w:left="227"/>
              <w:rPr>
                <w:rFonts w:ascii="Arial" w:hAnsi="Arial" w:cs="Arial"/>
                <w:sz w:val="20"/>
                <w:szCs w:val="20"/>
              </w:rPr>
            </w:pPr>
            <w:r w:rsidRPr="004F7F40">
              <w:rPr>
                <w:rFonts w:ascii="Arial" w:hAnsi="Arial" w:cs="Arial"/>
                <w:sz w:val="20"/>
                <w:szCs w:val="20"/>
              </w:rPr>
              <w:t>Human Resources Capability Framework 2015-20</w:t>
            </w:r>
          </w:p>
        </w:tc>
      </w:tr>
      <w:tr w:rsidR="001131E1" w:rsidRPr="004F7F40" w14:paraId="35D3C4C9" w14:textId="371EB5C2" w:rsidTr="00453BF5">
        <w:trPr>
          <w:trHeight w:val="517"/>
        </w:trPr>
        <w:tc>
          <w:tcPr>
            <w:tcW w:w="1022" w:type="dxa"/>
          </w:tcPr>
          <w:p w14:paraId="471DDF64"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2016</w:t>
            </w:r>
          </w:p>
        </w:tc>
        <w:tc>
          <w:tcPr>
            <w:tcW w:w="5670" w:type="dxa"/>
          </w:tcPr>
          <w:p w14:paraId="380CFA3F"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2015-2016</w:t>
            </w:r>
          </w:p>
          <w:p w14:paraId="67ADA021" w14:textId="52AC5385" w:rsidR="001131E1" w:rsidRPr="004F7F40" w:rsidRDefault="001131E1" w:rsidP="00580791">
            <w:pPr>
              <w:pStyle w:val="ListParagraph"/>
              <w:numPr>
                <w:ilvl w:val="0"/>
                <w:numId w:val="30"/>
              </w:numPr>
              <w:rPr>
                <w:rFonts w:ascii="Arial" w:hAnsi="Arial" w:cs="Arial"/>
                <w:sz w:val="20"/>
                <w:szCs w:val="20"/>
              </w:rPr>
            </w:pPr>
            <w:r w:rsidRPr="004F7F40">
              <w:rPr>
                <w:rFonts w:ascii="Arial" w:hAnsi="Arial" w:cs="Arial"/>
                <w:sz w:val="20"/>
                <w:szCs w:val="20"/>
              </w:rPr>
              <w:t>Changes made to ECO motor vehicle contributions to recognise private use</w:t>
            </w:r>
          </w:p>
          <w:p w14:paraId="0AE4F100" w14:textId="77777777" w:rsidR="001131E1" w:rsidRPr="004F7F40" w:rsidRDefault="001131E1" w:rsidP="00580791">
            <w:pPr>
              <w:pStyle w:val="ListParagraph"/>
              <w:numPr>
                <w:ilvl w:val="0"/>
                <w:numId w:val="30"/>
              </w:numPr>
              <w:rPr>
                <w:rFonts w:ascii="Arial" w:hAnsi="Arial" w:cs="Arial"/>
                <w:sz w:val="20"/>
                <w:szCs w:val="20"/>
              </w:rPr>
            </w:pPr>
            <w:r w:rsidRPr="004F7F40">
              <w:rPr>
                <w:rFonts w:ascii="Arial" w:hAnsi="Arial" w:cs="Arial"/>
                <w:sz w:val="20"/>
                <w:szCs w:val="20"/>
              </w:rPr>
              <w:t>Review of ECO terms and conditions still ongoing</w:t>
            </w:r>
          </w:p>
        </w:tc>
        <w:tc>
          <w:tcPr>
            <w:tcW w:w="3969" w:type="dxa"/>
          </w:tcPr>
          <w:p w14:paraId="0BFE4CC4" w14:textId="77777777" w:rsidR="001131E1" w:rsidRPr="004F7F40" w:rsidRDefault="001131E1" w:rsidP="00580791">
            <w:pPr>
              <w:pStyle w:val="ListParagraph"/>
              <w:ind w:left="227"/>
              <w:rPr>
                <w:rFonts w:ascii="Arial" w:hAnsi="Arial" w:cs="Arial"/>
                <w:sz w:val="20"/>
                <w:szCs w:val="20"/>
              </w:rPr>
            </w:pPr>
          </w:p>
        </w:tc>
        <w:tc>
          <w:tcPr>
            <w:tcW w:w="4394" w:type="dxa"/>
          </w:tcPr>
          <w:p w14:paraId="302FA9DF" w14:textId="435702DA" w:rsidR="001131E1" w:rsidRPr="004F7F40" w:rsidRDefault="00322E9D" w:rsidP="00580791">
            <w:pPr>
              <w:pStyle w:val="ListParagraph"/>
              <w:ind w:left="227"/>
              <w:rPr>
                <w:rFonts w:ascii="Arial" w:hAnsi="Arial" w:cs="Arial"/>
                <w:color w:val="FF0000"/>
                <w:sz w:val="20"/>
                <w:szCs w:val="20"/>
              </w:rPr>
            </w:pPr>
            <w:r w:rsidRPr="004F7F40">
              <w:rPr>
                <w:rFonts w:ascii="Arial" w:hAnsi="Arial" w:cs="Arial"/>
                <w:sz w:val="20"/>
                <w:szCs w:val="20"/>
              </w:rPr>
              <w:t>Streamlining recruitment and selection processes</w:t>
            </w:r>
          </w:p>
        </w:tc>
      </w:tr>
      <w:tr w:rsidR="001131E1" w:rsidRPr="004F7F40" w14:paraId="4B4577FF" w14:textId="2F94940C" w:rsidTr="00453BF5">
        <w:trPr>
          <w:trHeight w:val="517"/>
        </w:trPr>
        <w:tc>
          <w:tcPr>
            <w:tcW w:w="1022" w:type="dxa"/>
          </w:tcPr>
          <w:p w14:paraId="183114BC"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t>2017</w:t>
            </w:r>
          </w:p>
        </w:tc>
        <w:tc>
          <w:tcPr>
            <w:tcW w:w="5670" w:type="dxa"/>
          </w:tcPr>
          <w:p w14:paraId="6F30D9E1"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2016-2017</w:t>
            </w:r>
          </w:p>
          <w:p w14:paraId="5D861A9B" w14:textId="51456B43" w:rsidR="001131E1" w:rsidRPr="004F7F40" w:rsidRDefault="001131E1" w:rsidP="00580791">
            <w:pPr>
              <w:pStyle w:val="ListParagraph"/>
              <w:numPr>
                <w:ilvl w:val="0"/>
                <w:numId w:val="31"/>
              </w:numPr>
              <w:rPr>
                <w:rFonts w:ascii="Arial" w:hAnsi="Arial" w:cs="Arial"/>
                <w:sz w:val="20"/>
                <w:szCs w:val="20"/>
              </w:rPr>
            </w:pPr>
            <w:r w:rsidRPr="004F7F40">
              <w:rPr>
                <w:rFonts w:ascii="Arial" w:hAnsi="Arial" w:cs="Arial"/>
                <w:sz w:val="20"/>
                <w:szCs w:val="20"/>
              </w:rPr>
              <w:t>Review of ECO terms and conditions still ongoing</w:t>
            </w:r>
          </w:p>
          <w:p w14:paraId="7CB78D7D" w14:textId="77777777" w:rsidR="001131E1" w:rsidRPr="004F7F40" w:rsidRDefault="001131E1" w:rsidP="00580791">
            <w:pPr>
              <w:pStyle w:val="ListParagraph"/>
              <w:numPr>
                <w:ilvl w:val="0"/>
                <w:numId w:val="31"/>
              </w:numPr>
              <w:rPr>
                <w:rFonts w:ascii="Arial" w:hAnsi="Arial" w:cs="Arial"/>
                <w:sz w:val="20"/>
                <w:szCs w:val="20"/>
              </w:rPr>
            </w:pPr>
            <w:r w:rsidRPr="004F7F40">
              <w:rPr>
                <w:rFonts w:ascii="Arial" w:hAnsi="Arial" w:cs="Arial"/>
                <w:sz w:val="20"/>
                <w:szCs w:val="20"/>
              </w:rPr>
              <w:t>Achieved 50% women in senior positions (executive contracts)</w:t>
            </w:r>
          </w:p>
        </w:tc>
        <w:tc>
          <w:tcPr>
            <w:tcW w:w="3969" w:type="dxa"/>
          </w:tcPr>
          <w:p w14:paraId="28BBE4CE" w14:textId="77777777" w:rsidR="001131E1" w:rsidRPr="004F7F40" w:rsidRDefault="001131E1" w:rsidP="00580791">
            <w:pPr>
              <w:pStyle w:val="ListParagraph"/>
              <w:ind w:left="227"/>
              <w:rPr>
                <w:rFonts w:ascii="Arial" w:hAnsi="Arial" w:cs="Arial"/>
                <w:sz w:val="20"/>
                <w:szCs w:val="20"/>
              </w:rPr>
            </w:pPr>
          </w:p>
        </w:tc>
        <w:tc>
          <w:tcPr>
            <w:tcW w:w="4394" w:type="dxa"/>
          </w:tcPr>
          <w:p w14:paraId="72E7F48A" w14:textId="77777777" w:rsidR="001131E1" w:rsidRPr="004F7F40" w:rsidRDefault="00772E6C" w:rsidP="00580791">
            <w:pPr>
              <w:pStyle w:val="ListParagraph"/>
              <w:ind w:left="227"/>
              <w:rPr>
                <w:rFonts w:ascii="Arial" w:hAnsi="Arial" w:cs="Arial"/>
                <w:i/>
                <w:iCs/>
                <w:sz w:val="20"/>
                <w:szCs w:val="20"/>
              </w:rPr>
            </w:pPr>
            <w:r w:rsidRPr="004F7F40">
              <w:rPr>
                <w:rFonts w:ascii="Arial" w:hAnsi="Arial" w:cs="Arial"/>
                <w:i/>
                <w:iCs/>
                <w:sz w:val="20"/>
                <w:szCs w:val="20"/>
              </w:rPr>
              <w:t>OCPE Strategic Plan</w:t>
            </w:r>
          </w:p>
          <w:p w14:paraId="06BA2C13" w14:textId="659B8AEB" w:rsidR="002A0DC8" w:rsidRPr="004F7F40" w:rsidRDefault="002A0DC8" w:rsidP="002A0DC8">
            <w:pPr>
              <w:pStyle w:val="ListParagraph"/>
              <w:widowControl w:val="0"/>
              <w:ind w:left="0"/>
              <w:rPr>
                <w:rFonts w:ascii="Arial" w:hAnsi="Arial" w:cs="Arial"/>
                <w:sz w:val="20"/>
                <w:szCs w:val="20"/>
              </w:rPr>
            </w:pPr>
            <w:r w:rsidRPr="004F7F40">
              <w:rPr>
                <w:rFonts w:ascii="Arial" w:hAnsi="Arial" w:cs="Arial"/>
                <w:sz w:val="20"/>
                <w:szCs w:val="20"/>
              </w:rPr>
              <w:t>Plan on a page – purpose is to “have a capable and diverse workforce to deliver government services with skill and integrity”</w:t>
            </w:r>
            <w:r w:rsidR="00347059" w:rsidRPr="004F7F40">
              <w:rPr>
                <w:rFonts w:ascii="Arial" w:hAnsi="Arial" w:cs="Arial"/>
                <w:sz w:val="20"/>
                <w:szCs w:val="20"/>
              </w:rPr>
              <w:t>.</w:t>
            </w:r>
          </w:p>
          <w:p w14:paraId="2F398E39" w14:textId="77777777" w:rsidR="002A0DC8" w:rsidRPr="004F7F40" w:rsidRDefault="002A0DC8" w:rsidP="002A0DC8">
            <w:pPr>
              <w:pStyle w:val="ListParagraph"/>
              <w:widowControl w:val="0"/>
              <w:ind w:left="0"/>
              <w:rPr>
                <w:rFonts w:ascii="Arial" w:hAnsi="Arial" w:cs="Arial"/>
                <w:sz w:val="20"/>
                <w:szCs w:val="20"/>
              </w:rPr>
            </w:pPr>
            <w:r w:rsidRPr="004F7F40">
              <w:rPr>
                <w:rFonts w:ascii="Arial" w:hAnsi="Arial" w:cs="Arial"/>
                <w:sz w:val="20"/>
                <w:szCs w:val="20"/>
              </w:rPr>
              <w:t>Two strategic priorities:</w:t>
            </w:r>
          </w:p>
          <w:p w14:paraId="4E11F8D2" w14:textId="77777777" w:rsidR="002A0DC8" w:rsidRPr="004F7F40" w:rsidRDefault="002A0DC8" w:rsidP="002A0DC8">
            <w:pPr>
              <w:pStyle w:val="ListParagraph"/>
              <w:widowControl w:val="0"/>
              <w:numPr>
                <w:ilvl w:val="0"/>
                <w:numId w:val="35"/>
              </w:numPr>
              <w:rPr>
                <w:rFonts w:ascii="Arial" w:hAnsi="Arial" w:cs="Arial"/>
                <w:sz w:val="20"/>
                <w:szCs w:val="20"/>
              </w:rPr>
            </w:pPr>
            <w:r w:rsidRPr="004F7F40">
              <w:rPr>
                <w:rFonts w:ascii="Arial" w:hAnsi="Arial" w:cs="Arial"/>
                <w:sz w:val="20"/>
                <w:szCs w:val="20"/>
              </w:rPr>
              <w:t>Positioning the NTPS as a model employer of choice</w:t>
            </w:r>
          </w:p>
          <w:p w14:paraId="74210E64" w14:textId="77777777" w:rsidR="002A0DC8" w:rsidRPr="004F7F40" w:rsidRDefault="002A0DC8" w:rsidP="002A0DC8">
            <w:pPr>
              <w:rPr>
                <w:rFonts w:ascii="Arial" w:hAnsi="Arial" w:cs="Arial"/>
                <w:sz w:val="20"/>
                <w:szCs w:val="20"/>
              </w:rPr>
            </w:pPr>
            <w:r w:rsidRPr="004F7F40">
              <w:rPr>
                <w:rFonts w:ascii="Arial" w:hAnsi="Arial" w:cs="Arial"/>
                <w:sz w:val="20"/>
                <w:szCs w:val="20"/>
              </w:rPr>
              <w:lastRenderedPageBreak/>
              <w:t>Embed public service principles across the NTPS</w:t>
            </w:r>
          </w:p>
          <w:p w14:paraId="72006780" w14:textId="3331FFF3" w:rsidR="002A0DC8" w:rsidRPr="004F7F40" w:rsidRDefault="004C5378" w:rsidP="002A0DC8">
            <w:pPr>
              <w:rPr>
                <w:rFonts w:ascii="Arial" w:hAnsi="Arial" w:cs="Arial"/>
                <w:sz w:val="20"/>
                <w:szCs w:val="20"/>
              </w:rPr>
            </w:pPr>
            <w:r w:rsidRPr="004F7F40">
              <w:rPr>
                <w:rFonts w:ascii="Arial" w:hAnsi="Arial" w:cs="Arial"/>
                <w:i/>
                <w:sz w:val="20"/>
                <w:szCs w:val="20"/>
              </w:rPr>
              <w:t>Executive Remuneration Review Panel Framework</w:t>
            </w:r>
            <w:r w:rsidRPr="004F7F40">
              <w:rPr>
                <w:rFonts w:ascii="Arial" w:hAnsi="Arial" w:cs="Arial"/>
                <w:sz w:val="20"/>
                <w:szCs w:val="20"/>
              </w:rPr>
              <w:t xml:space="preserve"> developed for release to CEOs. The Framework provides: clear guidance to agencies on the membership and authority of the ERRP; outlines key policies for the establishment and evaluation of ECO and CEO positions; and oversight to performance management and remuneration increases.</w:t>
            </w:r>
          </w:p>
        </w:tc>
      </w:tr>
      <w:tr w:rsidR="001131E1" w:rsidRPr="004F7F40" w14:paraId="476C2A83" w14:textId="148F7CDC" w:rsidTr="00453BF5">
        <w:trPr>
          <w:trHeight w:val="517"/>
        </w:trPr>
        <w:tc>
          <w:tcPr>
            <w:tcW w:w="1022" w:type="dxa"/>
          </w:tcPr>
          <w:p w14:paraId="43193E37" w14:textId="77777777" w:rsidR="001131E1" w:rsidRPr="004F7F40" w:rsidRDefault="001131E1" w:rsidP="00580791">
            <w:pPr>
              <w:rPr>
                <w:rFonts w:ascii="Arial" w:hAnsi="Arial" w:cs="Arial"/>
                <w:b/>
                <w:bCs/>
                <w:sz w:val="20"/>
                <w:szCs w:val="20"/>
              </w:rPr>
            </w:pPr>
            <w:r w:rsidRPr="004F7F40">
              <w:rPr>
                <w:rFonts w:ascii="Arial" w:hAnsi="Arial" w:cs="Arial"/>
                <w:b/>
                <w:bCs/>
                <w:sz w:val="20"/>
                <w:szCs w:val="20"/>
              </w:rPr>
              <w:lastRenderedPageBreak/>
              <w:t>2018</w:t>
            </w:r>
          </w:p>
        </w:tc>
        <w:tc>
          <w:tcPr>
            <w:tcW w:w="5670" w:type="dxa"/>
          </w:tcPr>
          <w:p w14:paraId="6941BDE8" w14:textId="77777777" w:rsidR="001131E1" w:rsidRPr="004F7F40" w:rsidRDefault="001131E1" w:rsidP="00580791">
            <w:pPr>
              <w:rPr>
                <w:rFonts w:ascii="Arial" w:hAnsi="Arial" w:cs="Arial"/>
                <w:i/>
                <w:iCs/>
                <w:sz w:val="20"/>
                <w:szCs w:val="20"/>
              </w:rPr>
            </w:pPr>
            <w:r w:rsidRPr="004F7F40">
              <w:rPr>
                <w:rFonts w:ascii="Arial" w:hAnsi="Arial" w:cs="Arial"/>
                <w:sz w:val="20"/>
                <w:szCs w:val="20"/>
              </w:rPr>
              <w:t xml:space="preserve">Office of the Commissioner for Public Employment – </w:t>
            </w:r>
            <w:r w:rsidRPr="004F7F40">
              <w:rPr>
                <w:rFonts w:ascii="Arial" w:hAnsi="Arial" w:cs="Arial"/>
                <w:i/>
                <w:iCs/>
                <w:sz w:val="20"/>
                <w:szCs w:val="20"/>
              </w:rPr>
              <w:t>Annual Report 2017-2018</w:t>
            </w:r>
          </w:p>
          <w:p w14:paraId="0E6D9119" w14:textId="286FEF72" w:rsidR="001131E1" w:rsidRPr="004F7F40" w:rsidRDefault="001131E1" w:rsidP="00580791">
            <w:pPr>
              <w:pStyle w:val="ListParagraph"/>
              <w:numPr>
                <w:ilvl w:val="0"/>
                <w:numId w:val="32"/>
              </w:numPr>
              <w:rPr>
                <w:rFonts w:ascii="Arial" w:hAnsi="Arial" w:cs="Arial"/>
                <w:sz w:val="20"/>
                <w:szCs w:val="20"/>
              </w:rPr>
            </w:pPr>
            <w:r w:rsidRPr="004F7F40">
              <w:rPr>
                <w:rFonts w:ascii="Arial" w:hAnsi="Arial" w:cs="Arial"/>
                <w:sz w:val="20"/>
                <w:szCs w:val="20"/>
              </w:rPr>
              <w:t>Review of ECO terms and conditions still ongoing</w:t>
            </w:r>
          </w:p>
        </w:tc>
        <w:tc>
          <w:tcPr>
            <w:tcW w:w="3969" w:type="dxa"/>
          </w:tcPr>
          <w:p w14:paraId="1C641AFD" w14:textId="77777777" w:rsidR="001131E1" w:rsidRPr="004F7F40" w:rsidRDefault="001131E1" w:rsidP="00580791">
            <w:pPr>
              <w:pStyle w:val="ListParagraph"/>
              <w:ind w:left="227"/>
              <w:rPr>
                <w:rFonts w:ascii="Arial" w:hAnsi="Arial" w:cs="Arial"/>
                <w:sz w:val="20"/>
                <w:szCs w:val="20"/>
              </w:rPr>
            </w:pPr>
          </w:p>
        </w:tc>
        <w:tc>
          <w:tcPr>
            <w:tcW w:w="4394" w:type="dxa"/>
          </w:tcPr>
          <w:p w14:paraId="5FB5B200" w14:textId="77777777" w:rsidR="001131E1" w:rsidRPr="004F7F40" w:rsidRDefault="001131E1" w:rsidP="00580791">
            <w:pPr>
              <w:pStyle w:val="ListParagraph"/>
              <w:ind w:left="227"/>
              <w:rPr>
                <w:rFonts w:ascii="Arial" w:hAnsi="Arial" w:cs="Arial"/>
                <w:sz w:val="20"/>
                <w:szCs w:val="20"/>
              </w:rPr>
            </w:pPr>
          </w:p>
        </w:tc>
      </w:tr>
      <w:tr w:rsidR="00322E9D" w:rsidRPr="004F7F40" w14:paraId="5FA7B0D3" w14:textId="587A9F09" w:rsidTr="00453BF5">
        <w:trPr>
          <w:trHeight w:val="517"/>
        </w:trPr>
        <w:tc>
          <w:tcPr>
            <w:tcW w:w="1022" w:type="dxa"/>
          </w:tcPr>
          <w:p w14:paraId="1BA7ABD3" w14:textId="51D98D72" w:rsidR="00322E9D" w:rsidRPr="004F7F40" w:rsidRDefault="00322E9D" w:rsidP="00580791">
            <w:pPr>
              <w:rPr>
                <w:rFonts w:ascii="Arial" w:hAnsi="Arial" w:cs="Arial"/>
                <w:b/>
                <w:bCs/>
                <w:sz w:val="20"/>
                <w:szCs w:val="20"/>
              </w:rPr>
            </w:pPr>
            <w:r w:rsidRPr="004F7F40">
              <w:rPr>
                <w:rFonts w:ascii="Arial" w:hAnsi="Arial" w:cs="Arial"/>
                <w:b/>
                <w:bCs/>
                <w:sz w:val="20"/>
                <w:szCs w:val="20"/>
              </w:rPr>
              <w:t>2019</w:t>
            </w:r>
          </w:p>
        </w:tc>
        <w:tc>
          <w:tcPr>
            <w:tcW w:w="5670" w:type="dxa"/>
          </w:tcPr>
          <w:p w14:paraId="2F0E3F1A" w14:textId="77777777" w:rsidR="00322E9D" w:rsidRPr="004F7F40" w:rsidRDefault="00322E9D" w:rsidP="00580791">
            <w:pPr>
              <w:rPr>
                <w:rFonts w:ascii="Arial" w:hAnsi="Arial" w:cs="Arial"/>
                <w:sz w:val="20"/>
                <w:szCs w:val="20"/>
              </w:rPr>
            </w:pPr>
          </w:p>
        </w:tc>
        <w:tc>
          <w:tcPr>
            <w:tcW w:w="3969" w:type="dxa"/>
          </w:tcPr>
          <w:p w14:paraId="2034DD3A" w14:textId="77777777" w:rsidR="00322E9D" w:rsidRPr="004F7F40" w:rsidRDefault="00AC5A02" w:rsidP="00580791">
            <w:pPr>
              <w:pStyle w:val="ListParagraph"/>
              <w:ind w:left="227"/>
              <w:rPr>
                <w:rFonts w:ascii="Arial" w:hAnsi="Arial" w:cs="Arial"/>
                <w:sz w:val="20"/>
                <w:szCs w:val="20"/>
              </w:rPr>
            </w:pPr>
            <w:r w:rsidRPr="004F7F40">
              <w:rPr>
                <w:rFonts w:ascii="Arial" w:hAnsi="Arial" w:cs="Arial"/>
                <w:i/>
                <w:iCs/>
                <w:sz w:val="20"/>
                <w:szCs w:val="20"/>
              </w:rPr>
              <w:t>Budget Repair Final Report</w:t>
            </w:r>
            <w:r w:rsidRPr="004F7F40">
              <w:rPr>
                <w:rFonts w:ascii="Arial" w:hAnsi="Arial" w:cs="Arial"/>
                <w:sz w:val="20"/>
                <w:szCs w:val="20"/>
              </w:rPr>
              <w:t xml:space="preserve"> recommended expanding the current PSEMA review to include assessment of the contemporaneity and efficiency of the broader NTPS employment framework including options to reduce duplication through consolidation of tribunals and legislation.</w:t>
            </w:r>
          </w:p>
          <w:p w14:paraId="2717CCA5" w14:textId="77777777" w:rsidR="00AC5A02" w:rsidRPr="004F7F40" w:rsidRDefault="00AC5A02" w:rsidP="00580791">
            <w:pPr>
              <w:pStyle w:val="ListParagraph"/>
              <w:ind w:left="227"/>
              <w:rPr>
                <w:rFonts w:ascii="Arial" w:hAnsi="Arial" w:cs="Arial"/>
                <w:sz w:val="20"/>
                <w:szCs w:val="20"/>
              </w:rPr>
            </w:pPr>
          </w:p>
          <w:p w14:paraId="509783CA" w14:textId="57128FDC" w:rsidR="00322E9D" w:rsidRPr="004F7F40" w:rsidRDefault="00AC5A02" w:rsidP="00580791">
            <w:pPr>
              <w:pStyle w:val="ListParagraph"/>
              <w:ind w:left="227"/>
              <w:rPr>
                <w:rFonts w:ascii="Arial" w:hAnsi="Arial" w:cs="Arial"/>
                <w:sz w:val="20"/>
                <w:szCs w:val="20"/>
              </w:rPr>
            </w:pPr>
            <w:r w:rsidRPr="004F7F40">
              <w:rPr>
                <w:rFonts w:ascii="Arial" w:hAnsi="Arial" w:cs="Arial"/>
                <w:sz w:val="20"/>
                <w:szCs w:val="20"/>
              </w:rPr>
              <w:t>The Government accepted this recommendation, which is being progressed through OCPE.</w:t>
            </w:r>
          </w:p>
        </w:tc>
        <w:tc>
          <w:tcPr>
            <w:tcW w:w="4394" w:type="dxa"/>
          </w:tcPr>
          <w:p w14:paraId="51E805EC" w14:textId="77777777" w:rsidR="00322E9D" w:rsidRPr="004F7F40" w:rsidRDefault="00322E9D" w:rsidP="002A0DC8">
            <w:pPr>
              <w:widowControl w:val="0"/>
              <w:rPr>
                <w:rFonts w:ascii="Arial" w:hAnsi="Arial" w:cs="Arial"/>
                <w:i/>
                <w:iCs/>
                <w:sz w:val="20"/>
                <w:szCs w:val="20"/>
              </w:rPr>
            </w:pPr>
            <w:r w:rsidRPr="004F7F40">
              <w:rPr>
                <w:rFonts w:ascii="Arial" w:hAnsi="Arial" w:cs="Arial"/>
                <w:i/>
                <w:iCs/>
                <w:sz w:val="20"/>
                <w:szCs w:val="20"/>
              </w:rPr>
              <w:t xml:space="preserve">Budget Repair Final Report </w:t>
            </w:r>
          </w:p>
          <w:p w14:paraId="24BCC36F" w14:textId="77777777" w:rsidR="00322E9D" w:rsidRPr="004F7F40" w:rsidRDefault="00322E9D" w:rsidP="002A0DC8">
            <w:pPr>
              <w:rPr>
                <w:rFonts w:ascii="Arial" w:hAnsi="Arial" w:cs="Arial"/>
                <w:sz w:val="20"/>
                <w:szCs w:val="20"/>
              </w:rPr>
            </w:pPr>
            <w:r w:rsidRPr="004F7F40">
              <w:rPr>
                <w:rFonts w:ascii="Arial" w:hAnsi="Arial" w:cs="Arial"/>
                <w:sz w:val="20"/>
                <w:szCs w:val="20"/>
              </w:rPr>
              <w:t>As well as government response</w:t>
            </w:r>
          </w:p>
          <w:p w14:paraId="162D577F" w14:textId="77777777" w:rsidR="00322E9D" w:rsidRPr="004F7F40" w:rsidRDefault="00322E9D" w:rsidP="00622867">
            <w:pPr>
              <w:pStyle w:val="ListParagraph"/>
              <w:widowControl w:val="0"/>
              <w:ind w:left="0"/>
              <w:rPr>
                <w:rFonts w:ascii="Arial" w:hAnsi="Arial" w:cs="Arial"/>
                <w:sz w:val="20"/>
                <w:szCs w:val="20"/>
              </w:rPr>
            </w:pPr>
            <w:r w:rsidRPr="004F7F40">
              <w:rPr>
                <w:rFonts w:ascii="Arial" w:hAnsi="Arial" w:cs="Arial"/>
                <w:sz w:val="20"/>
                <w:szCs w:val="20"/>
              </w:rPr>
              <w:t>Contains a section on workforce which recommends:</w:t>
            </w:r>
          </w:p>
          <w:p w14:paraId="64826A04" w14:textId="77777777" w:rsidR="00322E9D" w:rsidRPr="004F7F40" w:rsidRDefault="00322E9D" w:rsidP="00622867">
            <w:pPr>
              <w:pStyle w:val="ListParagraph"/>
              <w:widowControl w:val="0"/>
              <w:numPr>
                <w:ilvl w:val="0"/>
                <w:numId w:val="34"/>
              </w:numPr>
              <w:rPr>
                <w:rFonts w:ascii="Arial" w:hAnsi="Arial" w:cs="Arial"/>
                <w:sz w:val="20"/>
                <w:szCs w:val="20"/>
              </w:rPr>
            </w:pPr>
            <w:r w:rsidRPr="004F7F40">
              <w:rPr>
                <w:rFonts w:ascii="Arial" w:hAnsi="Arial" w:cs="Arial"/>
                <w:sz w:val="20"/>
                <w:szCs w:val="20"/>
              </w:rPr>
              <w:t>Review ECO levels and their associated remuneration structures</w:t>
            </w:r>
          </w:p>
          <w:p w14:paraId="7A2A1535" w14:textId="77777777" w:rsidR="00322E9D" w:rsidRPr="004F7F40" w:rsidRDefault="00322E9D" w:rsidP="00622867">
            <w:pPr>
              <w:pStyle w:val="ListParagraph"/>
              <w:widowControl w:val="0"/>
              <w:numPr>
                <w:ilvl w:val="0"/>
                <w:numId w:val="34"/>
              </w:numPr>
              <w:rPr>
                <w:rFonts w:ascii="Arial" w:hAnsi="Arial" w:cs="Arial"/>
                <w:sz w:val="20"/>
                <w:szCs w:val="20"/>
              </w:rPr>
            </w:pPr>
            <w:r w:rsidRPr="004F7F40">
              <w:rPr>
                <w:rFonts w:ascii="Arial" w:hAnsi="Arial" w:cs="Arial"/>
                <w:sz w:val="20"/>
                <w:szCs w:val="20"/>
              </w:rPr>
              <w:t>Implement a cap in executive staffing (including SA02 /SP2 positions) with immediate effect, pending the outcome of the executive classification review</w:t>
            </w:r>
          </w:p>
          <w:p w14:paraId="3B7C98D3" w14:textId="77777777" w:rsidR="00322E9D" w:rsidRPr="004F7F40" w:rsidRDefault="00322E9D" w:rsidP="00622867">
            <w:pPr>
              <w:pStyle w:val="ListParagraph"/>
              <w:widowControl w:val="0"/>
              <w:numPr>
                <w:ilvl w:val="0"/>
                <w:numId w:val="34"/>
              </w:numPr>
              <w:rPr>
                <w:rFonts w:ascii="Arial" w:hAnsi="Arial" w:cs="Arial"/>
                <w:sz w:val="20"/>
                <w:szCs w:val="20"/>
              </w:rPr>
            </w:pPr>
            <w:r w:rsidRPr="004F7F40">
              <w:rPr>
                <w:rFonts w:ascii="Arial" w:hAnsi="Arial" w:cs="Arial"/>
                <w:sz w:val="20"/>
                <w:szCs w:val="20"/>
              </w:rPr>
              <w:t>Convert ECO1 to SAO2/SP2 positions as soon as practicable (this would halve ECO positions in NTPS)</w:t>
            </w:r>
          </w:p>
          <w:p w14:paraId="35FFB92F" w14:textId="2F51BBDC" w:rsidR="00322E9D" w:rsidRPr="004F7F40" w:rsidRDefault="00322E9D" w:rsidP="00622867">
            <w:pPr>
              <w:pStyle w:val="ListParagraph"/>
              <w:widowControl w:val="0"/>
              <w:numPr>
                <w:ilvl w:val="0"/>
                <w:numId w:val="34"/>
              </w:numPr>
              <w:rPr>
                <w:rFonts w:ascii="Arial" w:hAnsi="Arial" w:cs="Arial"/>
                <w:sz w:val="20"/>
                <w:szCs w:val="20"/>
              </w:rPr>
            </w:pPr>
            <w:r w:rsidRPr="004F7F40">
              <w:rPr>
                <w:rFonts w:ascii="Arial" w:hAnsi="Arial" w:cs="Arial"/>
                <w:sz w:val="20"/>
                <w:szCs w:val="20"/>
              </w:rPr>
              <w:t>Also suggested considering extending this to ECMs who have similar remuneration to ECO1s</w:t>
            </w:r>
            <w:r w:rsidR="0002058B" w:rsidRPr="004F7F40">
              <w:rPr>
                <w:rFonts w:ascii="Arial" w:hAnsi="Arial" w:cs="Arial"/>
                <w:sz w:val="20"/>
                <w:szCs w:val="20"/>
              </w:rPr>
              <w:t>.</w:t>
            </w:r>
          </w:p>
          <w:p w14:paraId="7E25D46B" w14:textId="77777777" w:rsidR="00692140" w:rsidRPr="004F7F40" w:rsidRDefault="00692140" w:rsidP="00622867">
            <w:pPr>
              <w:pStyle w:val="ListParagraph"/>
              <w:widowControl w:val="0"/>
              <w:numPr>
                <w:ilvl w:val="0"/>
                <w:numId w:val="34"/>
              </w:numPr>
              <w:rPr>
                <w:rFonts w:ascii="Arial" w:hAnsi="Arial" w:cs="Arial"/>
                <w:sz w:val="20"/>
                <w:szCs w:val="20"/>
              </w:rPr>
            </w:pPr>
            <w:r w:rsidRPr="004F7F40">
              <w:rPr>
                <w:rFonts w:ascii="Arial" w:hAnsi="Arial" w:cs="Arial"/>
                <w:sz w:val="20"/>
                <w:szCs w:val="20"/>
              </w:rPr>
              <w:t>Implement a wage freeze for ECOs.</w:t>
            </w:r>
          </w:p>
          <w:p w14:paraId="03A2C35C" w14:textId="6CA49FEE" w:rsidR="00322E9D" w:rsidRPr="004F7F40" w:rsidRDefault="0002058B" w:rsidP="00CD40D8">
            <w:pPr>
              <w:spacing w:before="0" w:after="120"/>
              <w:rPr>
                <w:rFonts w:ascii="Arial" w:hAnsi="Arial" w:cs="Arial"/>
                <w:sz w:val="20"/>
                <w:szCs w:val="20"/>
              </w:rPr>
            </w:pPr>
            <w:r w:rsidRPr="004F7F40">
              <w:rPr>
                <w:rFonts w:ascii="Arial" w:hAnsi="Arial" w:cs="Arial"/>
                <w:sz w:val="20"/>
                <w:szCs w:val="20"/>
              </w:rPr>
              <w:t>The Government agreed to reduce ECO numbers by 10% (52 FTE)</w:t>
            </w:r>
            <w:r w:rsidR="00692140" w:rsidRPr="004F7F40">
              <w:rPr>
                <w:rFonts w:ascii="Arial" w:hAnsi="Arial" w:cs="Arial"/>
                <w:sz w:val="20"/>
                <w:szCs w:val="20"/>
              </w:rPr>
              <w:t>;</w:t>
            </w:r>
            <w:r w:rsidRPr="004F7F40">
              <w:rPr>
                <w:rFonts w:ascii="Arial" w:hAnsi="Arial" w:cs="Arial"/>
                <w:sz w:val="20"/>
                <w:szCs w:val="20"/>
              </w:rPr>
              <w:t xml:space="preserve"> reduce ECO salary bands from 6 to 5</w:t>
            </w:r>
            <w:r w:rsidR="00692140" w:rsidRPr="004F7F40">
              <w:rPr>
                <w:rFonts w:ascii="Arial" w:hAnsi="Arial" w:cs="Arial"/>
                <w:sz w:val="20"/>
                <w:szCs w:val="20"/>
              </w:rPr>
              <w:t>; and implement a wage freeze for ECOs</w:t>
            </w:r>
            <w:r w:rsidRPr="004F7F40">
              <w:rPr>
                <w:rFonts w:ascii="Arial" w:hAnsi="Arial" w:cs="Arial"/>
                <w:sz w:val="20"/>
                <w:szCs w:val="20"/>
              </w:rPr>
              <w:t xml:space="preserve">. </w:t>
            </w:r>
          </w:p>
          <w:p w14:paraId="6B8B40AC" w14:textId="77777777" w:rsidR="00322E9D" w:rsidRPr="004F7F40" w:rsidRDefault="00322E9D" w:rsidP="00CD40D8">
            <w:pPr>
              <w:spacing w:before="0" w:after="120"/>
              <w:rPr>
                <w:rFonts w:ascii="Arial" w:hAnsi="Arial" w:cs="Arial"/>
                <w:sz w:val="20"/>
                <w:szCs w:val="20"/>
              </w:rPr>
            </w:pPr>
            <w:r w:rsidRPr="004F7F40">
              <w:rPr>
                <w:rFonts w:ascii="Arial" w:hAnsi="Arial" w:cs="Arial"/>
                <w:i/>
                <w:iCs/>
                <w:sz w:val="20"/>
                <w:szCs w:val="20"/>
              </w:rPr>
              <w:lastRenderedPageBreak/>
              <w:t>Determinations 5 and 8 of 2019</w:t>
            </w:r>
            <w:r w:rsidRPr="004F7F40">
              <w:rPr>
                <w:rFonts w:ascii="Arial" w:hAnsi="Arial" w:cs="Arial"/>
                <w:sz w:val="20"/>
                <w:szCs w:val="20"/>
              </w:rPr>
              <w:t xml:space="preserve"> set out terms and conditions for ECO contracts </w:t>
            </w:r>
            <w:proofErr w:type="gramStart"/>
            <w:r w:rsidRPr="004F7F40">
              <w:rPr>
                <w:rFonts w:ascii="Arial" w:hAnsi="Arial" w:cs="Arial"/>
                <w:sz w:val="20"/>
                <w:szCs w:val="20"/>
              </w:rPr>
              <w:t>entered into</w:t>
            </w:r>
            <w:proofErr w:type="gramEnd"/>
            <w:r w:rsidRPr="004F7F40">
              <w:rPr>
                <w:rFonts w:ascii="Arial" w:hAnsi="Arial" w:cs="Arial"/>
                <w:sz w:val="20"/>
                <w:szCs w:val="20"/>
              </w:rPr>
              <w:t xml:space="preserve"> after 23 April 2019, which are subject to three-year wage freeze conditions.</w:t>
            </w:r>
          </w:p>
          <w:p w14:paraId="06B457D9" w14:textId="77777777" w:rsidR="00322E9D" w:rsidRPr="004F7F40" w:rsidRDefault="00322E9D" w:rsidP="00CD40D8">
            <w:pPr>
              <w:spacing w:before="0" w:after="120"/>
              <w:rPr>
                <w:rFonts w:ascii="Arial" w:hAnsi="Arial" w:cs="Arial"/>
                <w:sz w:val="20"/>
                <w:szCs w:val="20"/>
              </w:rPr>
            </w:pPr>
            <w:r w:rsidRPr="004F7F40">
              <w:rPr>
                <w:rFonts w:ascii="Arial" w:hAnsi="Arial" w:cs="Arial"/>
                <w:i/>
                <w:iCs/>
                <w:sz w:val="20"/>
                <w:szCs w:val="20"/>
              </w:rPr>
              <w:t>Determination 14 of 2019</w:t>
            </w:r>
            <w:r w:rsidRPr="004F7F40">
              <w:rPr>
                <w:rFonts w:ascii="Arial" w:hAnsi="Arial" w:cs="Arial"/>
                <w:sz w:val="20"/>
                <w:szCs w:val="20"/>
              </w:rPr>
              <w:t xml:space="preserve"> sets out wage increase assurance provisions for ECOs subject to the three-year wage freeze.</w:t>
            </w:r>
          </w:p>
          <w:p w14:paraId="733411D4" w14:textId="1377A2EA" w:rsidR="00322E9D" w:rsidRPr="004F7F40" w:rsidRDefault="00322E9D" w:rsidP="00CD40D8">
            <w:pPr>
              <w:spacing w:before="0" w:after="120"/>
              <w:rPr>
                <w:rFonts w:ascii="Arial" w:hAnsi="Arial" w:cs="Arial"/>
                <w:sz w:val="20"/>
                <w:szCs w:val="20"/>
              </w:rPr>
            </w:pPr>
            <w:r w:rsidRPr="004F7F40">
              <w:rPr>
                <w:rFonts w:ascii="Arial" w:hAnsi="Arial" w:cs="Arial"/>
                <w:i/>
                <w:iCs/>
                <w:sz w:val="20"/>
                <w:szCs w:val="20"/>
              </w:rPr>
              <w:t>Determinations 10 and 11</w:t>
            </w:r>
            <w:r w:rsidRPr="004F7F40">
              <w:rPr>
                <w:rFonts w:ascii="Arial" w:hAnsi="Arial" w:cs="Arial"/>
                <w:sz w:val="20"/>
                <w:szCs w:val="20"/>
              </w:rPr>
              <w:t xml:space="preserve"> of 2019 set terms and conditions for ECOs subject to a four-year wage freeze with wage increase assurances provided in </w:t>
            </w:r>
            <w:r w:rsidRPr="004F7F40">
              <w:rPr>
                <w:rFonts w:ascii="Arial" w:hAnsi="Arial" w:cs="Arial"/>
                <w:i/>
                <w:iCs/>
                <w:sz w:val="20"/>
                <w:szCs w:val="20"/>
              </w:rPr>
              <w:t>Determination 12</w:t>
            </w:r>
            <w:r w:rsidRPr="004F7F40">
              <w:rPr>
                <w:rFonts w:ascii="Arial" w:hAnsi="Arial" w:cs="Arial"/>
                <w:sz w:val="20"/>
                <w:szCs w:val="20"/>
              </w:rPr>
              <w:t xml:space="preserve"> of 2019. </w:t>
            </w:r>
          </w:p>
        </w:tc>
      </w:tr>
      <w:tr w:rsidR="00322E9D" w:rsidRPr="004F7F40" w14:paraId="349EA208" w14:textId="77777777" w:rsidTr="00453BF5">
        <w:trPr>
          <w:trHeight w:val="517"/>
        </w:trPr>
        <w:tc>
          <w:tcPr>
            <w:tcW w:w="1022" w:type="dxa"/>
          </w:tcPr>
          <w:p w14:paraId="458D0A80" w14:textId="2020BA2E" w:rsidR="00322E9D" w:rsidRPr="004F7F40" w:rsidRDefault="00322E9D" w:rsidP="00580791">
            <w:pPr>
              <w:rPr>
                <w:rFonts w:ascii="Arial" w:hAnsi="Arial" w:cs="Arial"/>
                <w:b/>
                <w:bCs/>
                <w:sz w:val="20"/>
                <w:szCs w:val="20"/>
              </w:rPr>
            </w:pPr>
            <w:r w:rsidRPr="004F7F40">
              <w:rPr>
                <w:rFonts w:ascii="Arial" w:hAnsi="Arial" w:cs="Arial"/>
                <w:b/>
                <w:bCs/>
                <w:sz w:val="20"/>
                <w:szCs w:val="20"/>
              </w:rPr>
              <w:lastRenderedPageBreak/>
              <w:t>2020</w:t>
            </w:r>
          </w:p>
        </w:tc>
        <w:tc>
          <w:tcPr>
            <w:tcW w:w="5670" w:type="dxa"/>
          </w:tcPr>
          <w:p w14:paraId="69E053B4" w14:textId="77777777" w:rsidR="00322E9D" w:rsidRPr="004F7F40" w:rsidRDefault="00322E9D" w:rsidP="00580791">
            <w:pPr>
              <w:rPr>
                <w:rFonts w:ascii="Arial" w:hAnsi="Arial" w:cs="Arial"/>
                <w:sz w:val="20"/>
                <w:szCs w:val="20"/>
              </w:rPr>
            </w:pPr>
          </w:p>
        </w:tc>
        <w:tc>
          <w:tcPr>
            <w:tcW w:w="3969" w:type="dxa"/>
          </w:tcPr>
          <w:p w14:paraId="5DF82217" w14:textId="77777777" w:rsidR="00322E9D" w:rsidRPr="004F7F40" w:rsidRDefault="00322E9D" w:rsidP="00580791">
            <w:pPr>
              <w:pStyle w:val="ListParagraph"/>
              <w:ind w:left="227"/>
              <w:rPr>
                <w:rFonts w:ascii="Arial" w:hAnsi="Arial" w:cs="Arial"/>
                <w:sz w:val="20"/>
                <w:szCs w:val="20"/>
              </w:rPr>
            </w:pPr>
          </w:p>
        </w:tc>
        <w:tc>
          <w:tcPr>
            <w:tcW w:w="4394" w:type="dxa"/>
          </w:tcPr>
          <w:p w14:paraId="50ABC5A8" w14:textId="1EEF3CE3" w:rsidR="00322E9D" w:rsidRPr="004F7F40" w:rsidRDefault="00AC5A02" w:rsidP="002A0DC8">
            <w:pPr>
              <w:widowControl w:val="0"/>
              <w:rPr>
                <w:rFonts w:ascii="Arial" w:hAnsi="Arial" w:cs="Arial"/>
                <w:i/>
                <w:iCs/>
                <w:sz w:val="20"/>
                <w:szCs w:val="20"/>
              </w:rPr>
            </w:pPr>
            <w:r w:rsidRPr="004F7F40">
              <w:rPr>
                <w:rFonts w:ascii="Arial" w:hAnsi="Arial" w:cs="Arial"/>
                <w:i/>
                <w:iCs/>
                <w:sz w:val="20"/>
                <w:szCs w:val="20"/>
              </w:rPr>
              <w:t>OCPE Strategic Plan 2020</w:t>
            </w:r>
            <w:r w:rsidR="00053BB2" w:rsidRPr="004F7F40">
              <w:rPr>
                <w:rFonts w:ascii="Arial" w:hAnsi="Arial" w:cs="Arial"/>
                <w:i/>
                <w:iCs/>
                <w:sz w:val="20"/>
                <w:szCs w:val="20"/>
              </w:rPr>
              <w:t>–</w:t>
            </w:r>
            <w:r w:rsidRPr="004F7F40">
              <w:rPr>
                <w:rFonts w:ascii="Arial" w:hAnsi="Arial" w:cs="Arial"/>
                <w:i/>
                <w:iCs/>
                <w:sz w:val="20"/>
                <w:szCs w:val="20"/>
              </w:rPr>
              <w:t>2024</w:t>
            </w:r>
          </w:p>
          <w:p w14:paraId="68CAA4E8" w14:textId="77777777" w:rsidR="00AC5A02" w:rsidRPr="004F7F40" w:rsidRDefault="00AC5A02" w:rsidP="002A0DC8">
            <w:pPr>
              <w:widowControl w:val="0"/>
              <w:rPr>
                <w:rFonts w:ascii="Arial" w:hAnsi="Arial" w:cs="Arial"/>
                <w:sz w:val="20"/>
                <w:szCs w:val="20"/>
              </w:rPr>
            </w:pPr>
            <w:r w:rsidRPr="004F7F40">
              <w:rPr>
                <w:rFonts w:ascii="Arial" w:hAnsi="Arial" w:cs="Arial"/>
                <w:sz w:val="20"/>
                <w:szCs w:val="20"/>
              </w:rPr>
              <w:t>Plan on a Page:</w:t>
            </w:r>
          </w:p>
          <w:p w14:paraId="1340B64F" w14:textId="4125412E" w:rsidR="00322E9D" w:rsidRPr="004F7F40" w:rsidRDefault="00AC5A02" w:rsidP="002A0DC8">
            <w:pPr>
              <w:widowControl w:val="0"/>
              <w:rPr>
                <w:rFonts w:ascii="Arial" w:hAnsi="Arial" w:cs="Arial"/>
                <w:sz w:val="20"/>
                <w:szCs w:val="20"/>
              </w:rPr>
            </w:pPr>
            <w:r w:rsidRPr="004F7F40">
              <w:rPr>
                <w:rFonts w:ascii="Arial" w:hAnsi="Arial" w:cs="Arial"/>
                <w:sz w:val="20"/>
                <w:szCs w:val="20"/>
              </w:rPr>
              <w:t xml:space="preserve">Purpose is to lead, support and collaborate with agencies to build an agile, capable, </w:t>
            </w:r>
            <w:proofErr w:type="gramStart"/>
            <w:r w:rsidRPr="004F7F40">
              <w:rPr>
                <w:rFonts w:ascii="Arial" w:hAnsi="Arial" w:cs="Arial"/>
                <w:sz w:val="20"/>
                <w:szCs w:val="20"/>
              </w:rPr>
              <w:t>engaged</w:t>
            </w:r>
            <w:proofErr w:type="gramEnd"/>
            <w:r w:rsidRPr="004F7F40">
              <w:rPr>
                <w:rFonts w:ascii="Arial" w:hAnsi="Arial" w:cs="Arial"/>
                <w:sz w:val="20"/>
                <w:szCs w:val="20"/>
              </w:rPr>
              <w:t xml:space="preserve"> and diverse workforce that delivers government’s priorities and provides high quality service to Territorians. Focus areas </w:t>
            </w:r>
            <w:proofErr w:type="gramStart"/>
            <w:r w:rsidRPr="004F7F40">
              <w:rPr>
                <w:rFonts w:ascii="Arial" w:hAnsi="Arial" w:cs="Arial"/>
                <w:sz w:val="20"/>
                <w:szCs w:val="20"/>
              </w:rPr>
              <w:t>include:</w:t>
            </w:r>
            <w:proofErr w:type="gramEnd"/>
            <w:r w:rsidRPr="004F7F40">
              <w:rPr>
                <w:rFonts w:ascii="Arial" w:hAnsi="Arial" w:cs="Arial"/>
                <w:sz w:val="20"/>
                <w:szCs w:val="20"/>
              </w:rPr>
              <w:t xml:space="preserve"> Deliver a five year strategic workforce plan; Grow Aboriginal employment; strengthen leadership; increase focus on performance; identify and nurture talent; and enable contemporary and sustainable NTPS working arrangements.</w:t>
            </w:r>
          </w:p>
        </w:tc>
      </w:tr>
    </w:tbl>
    <w:p w14:paraId="3F3783B1" w14:textId="77777777" w:rsidR="00580791" w:rsidRPr="004F7F40" w:rsidRDefault="00580791" w:rsidP="00580791">
      <w:pPr>
        <w:rPr>
          <w:rFonts w:ascii="Arial" w:hAnsi="Arial" w:cs="Arial"/>
          <w:b/>
          <w:szCs w:val="24"/>
        </w:rPr>
      </w:pPr>
    </w:p>
    <w:p w14:paraId="3E78BC98" w14:textId="77777777" w:rsidR="00390ECE" w:rsidRPr="004F7F40" w:rsidRDefault="00390ECE" w:rsidP="00390ECE">
      <w:pPr>
        <w:pStyle w:val="ListParagraph"/>
        <w:ind w:left="340"/>
        <w:rPr>
          <w:rFonts w:ascii="Arial" w:hAnsi="Arial" w:cs="Arial"/>
        </w:rPr>
      </w:pPr>
      <w:r w:rsidRPr="004F7F40">
        <w:rPr>
          <w:rFonts w:ascii="Arial" w:hAnsi="Arial" w:cs="Arial"/>
          <w:b/>
        </w:rPr>
        <w:t xml:space="preserve">Amendments of PSEMA relevant to the Chief Executive Officers: </w:t>
      </w:r>
      <w:r w:rsidRPr="004F7F40">
        <w:rPr>
          <w:rFonts w:ascii="Arial" w:hAnsi="Arial" w:cs="Arial"/>
        </w:rPr>
        <w:t>made in 1993, 1995, 1998, 2001, 2011 (the most significant with respect to employment relates to the 2011 change that the Chief Minister appoints and terminates all CEOs)</w:t>
      </w:r>
    </w:p>
    <w:p w14:paraId="38E7DE73" w14:textId="77777777" w:rsidR="00390ECE" w:rsidRPr="004F7F40" w:rsidRDefault="00390ECE" w:rsidP="00390ECE">
      <w:pPr>
        <w:pStyle w:val="ListParagraph"/>
        <w:ind w:left="340"/>
        <w:rPr>
          <w:rFonts w:ascii="Arial" w:hAnsi="Arial" w:cs="Arial"/>
        </w:rPr>
      </w:pPr>
      <w:r w:rsidRPr="004F7F40">
        <w:rPr>
          <w:rFonts w:ascii="Arial" w:hAnsi="Arial" w:cs="Arial"/>
          <w:b/>
        </w:rPr>
        <w:t xml:space="preserve">Amendments of PSEMA relevant to EEO: </w:t>
      </w:r>
      <w:r w:rsidRPr="004F7F40">
        <w:rPr>
          <w:rFonts w:ascii="Arial" w:hAnsi="Arial" w:cs="Arial"/>
        </w:rPr>
        <w:t>made in 1995, 2011 (amending the merit principle to recognise diversity)</w:t>
      </w:r>
    </w:p>
    <w:p w14:paraId="4144C408" w14:textId="77777777" w:rsidR="00D3656A" w:rsidRPr="004F7F40" w:rsidRDefault="00D3656A" w:rsidP="00D3656A">
      <w:pPr>
        <w:rPr>
          <w:rFonts w:ascii="Arial" w:hAnsi="Arial" w:cs="Arial"/>
        </w:rPr>
      </w:pPr>
    </w:p>
    <w:p w14:paraId="022C7059" w14:textId="77777777" w:rsidR="00D3656A" w:rsidRPr="004F7F40" w:rsidRDefault="00D3656A" w:rsidP="00D3656A">
      <w:pPr>
        <w:rPr>
          <w:rFonts w:ascii="Arial" w:hAnsi="Arial" w:cs="Arial"/>
        </w:rPr>
      </w:pPr>
    </w:p>
    <w:p w14:paraId="3A610177" w14:textId="77777777" w:rsidR="00D3656A" w:rsidRPr="004F7F40" w:rsidRDefault="00D3656A" w:rsidP="00844AC6">
      <w:pPr>
        <w:rPr>
          <w:rFonts w:ascii="Arial" w:hAnsi="Arial" w:cs="Arial"/>
        </w:rPr>
      </w:pPr>
    </w:p>
    <w:p w14:paraId="0AC6C487" w14:textId="77777777" w:rsidR="00D3656A" w:rsidRPr="004F7F40" w:rsidRDefault="00D3656A" w:rsidP="00844AC6">
      <w:pPr>
        <w:rPr>
          <w:rFonts w:ascii="Arial" w:hAnsi="Arial" w:cs="Arial"/>
        </w:rPr>
      </w:pPr>
    </w:p>
    <w:sectPr w:rsidR="00D3656A" w:rsidRPr="004F7F40" w:rsidSect="001906AB">
      <w:headerReference w:type="default" r:id="rId52"/>
      <w:pgSz w:w="16838" w:h="11906" w:orient="landscape"/>
      <w:pgMar w:top="1701" w:right="68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EC92" w14:textId="77777777" w:rsidR="0096159E" w:rsidRDefault="0096159E" w:rsidP="00DF6F99">
      <w:pPr>
        <w:spacing w:after="0"/>
      </w:pPr>
      <w:r>
        <w:separator/>
      </w:r>
    </w:p>
  </w:endnote>
  <w:endnote w:type="continuationSeparator" w:id="0">
    <w:p w14:paraId="09FA34B8" w14:textId="77777777" w:rsidR="0096159E" w:rsidRDefault="0096159E" w:rsidP="00DF6F99">
      <w:pPr>
        <w:spacing w:after="0"/>
      </w:pPr>
      <w:r>
        <w:continuationSeparator/>
      </w:r>
    </w:p>
  </w:endnote>
  <w:endnote w:type="continuationNotice" w:id="1">
    <w:p w14:paraId="4C43257B" w14:textId="77777777" w:rsidR="0096159E" w:rsidRDefault="009615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E8D5" w14:textId="77777777" w:rsidR="00BD657C" w:rsidRDefault="00BD6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4CCB" w14:textId="1B52821F" w:rsidR="00E60292" w:rsidRPr="001A217A" w:rsidRDefault="00A2648B" w:rsidP="00060DDB">
    <w:pPr>
      <w:pStyle w:val="Footer"/>
      <w:pBdr>
        <w:top w:val="single" w:sz="4" w:space="1" w:color="auto"/>
      </w:pBdr>
      <w:rPr>
        <w:rFonts w:ascii="Arial" w:hAnsi="Arial" w:cs="Arial"/>
      </w:rPr>
    </w:pPr>
    <w:r w:rsidRPr="001A217A">
      <w:rPr>
        <w:rFonts w:ascii="Arial" w:eastAsiaTheme="majorEastAsia" w:hAnsi="Arial" w:cs="Arial"/>
      </w:rPr>
      <w:t>ANZSOG</w:t>
    </w:r>
    <w:r w:rsidR="00E60292" w:rsidRPr="001A217A">
      <w:rPr>
        <w:rFonts w:ascii="Arial" w:eastAsiaTheme="majorEastAsia"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602B" w14:textId="77777777" w:rsidR="00BD657C" w:rsidRDefault="00BD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AFC3" w14:textId="77777777" w:rsidR="0096159E" w:rsidRDefault="0096159E" w:rsidP="00DF6F99">
      <w:pPr>
        <w:spacing w:after="0"/>
      </w:pPr>
      <w:r>
        <w:separator/>
      </w:r>
    </w:p>
  </w:footnote>
  <w:footnote w:type="continuationSeparator" w:id="0">
    <w:p w14:paraId="1C648207" w14:textId="77777777" w:rsidR="0096159E" w:rsidRDefault="0096159E" w:rsidP="00DF6F99">
      <w:pPr>
        <w:spacing w:after="0"/>
      </w:pPr>
      <w:r>
        <w:continuationSeparator/>
      </w:r>
    </w:p>
  </w:footnote>
  <w:footnote w:type="continuationNotice" w:id="1">
    <w:p w14:paraId="75EF094E" w14:textId="77777777" w:rsidR="0096159E" w:rsidRDefault="009615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2635" w14:textId="77777777" w:rsidR="00BD657C" w:rsidRDefault="00BD6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28C1" w14:textId="326A6F97" w:rsidR="006560EE" w:rsidRPr="006560EE" w:rsidRDefault="006560EE">
    <w:pPr>
      <w:pStyle w:val="Header"/>
      <w:rPr>
        <w:rFonts w:ascii="Arial" w:hAnsi="Arial" w:cs="Arial"/>
      </w:rPr>
    </w:pPr>
    <w:r>
      <w:rPr>
        <w:noProof/>
      </w:rPr>
      <w:drawing>
        <wp:anchor distT="0" distB="0" distL="114300" distR="114300" simplePos="0" relativeHeight="251656192" behindDoc="1" locked="0" layoutInCell="1" allowOverlap="1" wp14:anchorId="3847C0A8" wp14:editId="351C3812">
          <wp:simplePos x="0" y="0"/>
          <wp:positionH relativeFrom="margin">
            <wp:posOffset>0</wp:posOffset>
          </wp:positionH>
          <wp:positionV relativeFrom="paragraph">
            <wp:posOffset>-635</wp:posOffset>
          </wp:positionV>
          <wp:extent cx="6210935" cy="4216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210935" cy="421640"/>
                  </a:xfrm>
                  <a:prstGeom prst="rect">
                    <a:avLst/>
                  </a:prstGeom>
                </pic:spPr>
              </pic:pic>
            </a:graphicData>
          </a:graphic>
          <wp14:sizeRelH relativeFrom="page">
            <wp14:pctWidth>0</wp14:pctWidth>
          </wp14:sizeRelH>
          <wp14:sizeRelV relativeFrom="page">
            <wp14:pctHeight>0</wp14:pctHeight>
          </wp14:sizeRelV>
        </wp:anchor>
      </w:drawing>
    </w:r>
    <w:sdt>
      <w:sdtPr>
        <w:id w:val="1898312874"/>
        <w:docPartObj>
          <w:docPartGallery w:val="Page Numbers (Top of Page)"/>
          <w:docPartUnique/>
        </w:docPartObj>
      </w:sdtPr>
      <w:sdtEndPr>
        <w:rPr>
          <w:rFonts w:ascii="Arial" w:hAnsi="Arial" w:cs="Arial"/>
          <w:noProof/>
        </w:rPr>
      </w:sdtEndPr>
      <w:sdtContent>
        <w:r w:rsidRPr="006560EE">
          <w:rPr>
            <w:rFonts w:ascii="Arial" w:hAnsi="Arial" w:cs="Arial"/>
          </w:rPr>
          <w:fldChar w:fldCharType="begin"/>
        </w:r>
        <w:r w:rsidRPr="006560EE">
          <w:rPr>
            <w:rFonts w:ascii="Arial" w:hAnsi="Arial" w:cs="Arial"/>
          </w:rPr>
          <w:instrText xml:space="preserve"> PAGE   \* MERGEFORMAT </w:instrText>
        </w:r>
        <w:r w:rsidRPr="006560EE">
          <w:rPr>
            <w:rFonts w:ascii="Arial" w:hAnsi="Arial" w:cs="Arial"/>
          </w:rPr>
          <w:fldChar w:fldCharType="separate"/>
        </w:r>
        <w:r w:rsidRPr="006560EE">
          <w:rPr>
            <w:rFonts w:ascii="Arial" w:hAnsi="Arial" w:cs="Arial"/>
            <w:noProof/>
          </w:rPr>
          <w:t>2</w:t>
        </w:r>
        <w:r w:rsidRPr="006560EE">
          <w:rPr>
            <w:rFonts w:ascii="Arial" w:hAnsi="Arial" w:cs="Arial"/>
            <w:noProof/>
          </w:rPr>
          <w:fldChar w:fldCharType="end"/>
        </w:r>
      </w:sdtContent>
    </w:sdt>
  </w:p>
  <w:p w14:paraId="5636712C" w14:textId="49C358A9" w:rsidR="006560EE" w:rsidRDefault="00656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52C6" w14:textId="77777777" w:rsidR="00BD657C" w:rsidRDefault="00BD65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EE73" w14:textId="7E3694AD" w:rsidR="001A217A" w:rsidRPr="006560EE" w:rsidRDefault="008E7C37">
    <w:pPr>
      <w:pStyle w:val="Header"/>
      <w:rPr>
        <w:rFonts w:ascii="Arial" w:hAnsi="Arial" w:cs="Arial"/>
      </w:rPr>
    </w:pPr>
    <w:r>
      <w:rPr>
        <w:noProof/>
      </w:rPr>
      <w:drawing>
        <wp:anchor distT="0" distB="0" distL="114300" distR="114300" simplePos="0" relativeHeight="251663360" behindDoc="0" locked="0" layoutInCell="1" allowOverlap="1" wp14:anchorId="0EF2B519" wp14:editId="21197503">
          <wp:simplePos x="0" y="0"/>
          <wp:positionH relativeFrom="margin">
            <wp:posOffset>-142570</wp:posOffset>
          </wp:positionH>
          <wp:positionV relativeFrom="paragraph">
            <wp:posOffset>-13261</wp:posOffset>
          </wp:positionV>
          <wp:extent cx="3679545" cy="41531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r="63481" b="6070"/>
                  <a:stretch/>
                </pic:blipFill>
                <pic:spPr bwMode="auto">
                  <a:xfrm>
                    <a:off x="0" y="0"/>
                    <a:ext cx="3720917" cy="4199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C3C88FD" wp14:editId="62954813">
          <wp:simplePos x="0" y="0"/>
          <wp:positionH relativeFrom="column">
            <wp:posOffset>3252445</wp:posOffset>
          </wp:positionH>
          <wp:positionV relativeFrom="paragraph">
            <wp:posOffset>1047</wp:posOffset>
          </wp:positionV>
          <wp:extent cx="6210935" cy="421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0935" cy="421640"/>
                  </a:xfrm>
                  <a:prstGeom prst="rect">
                    <a:avLst/>
                  </a:prstGeom>
                </pic:spPr>
              </pic:pic>
            </a:graphicData>
          </a:graphic>
        </wp:anchor>
      </w:drawing>
    </w:r>
    <w:sdt>
      <w:sdtPr>
        <w:id w:val="251095767"/>
        <w:docPartObj>
          <w:docPartGallery w:val="Page Numbers (Top of Page)"/>
          <w:docPartUnique/>
        </w:docPartObj>
      </w:sdtPr>
      <w:sdtEndPr>
        <w:rPr>
          <w:rFonts w:ascii="Arial" w:hAnsi="Arial" w:cs="Arial"/>
          <w:noProof/>
        </w:rPr>
      </w:sdtEndPr>
      <w:sdtContent>
        <w:r w:rsidR="001A217A" w:rsidRPr="006560EE">
          <w:rPr>
            <w:rFonts w:ascii="Arial" w:hAnsi="Arial" w:cs="Arial"/>
          </w:rPr>
          <w:fldChar w:fldCharType="begin"/>
        </w:r>
        <w:r w:rsidR="001A217A" w:rsidRPr="006560EE">
          <w:rPr>
            <w:rFonts w:ascii="Arial" w:hAnsi="Arial" w:cs="Arial"/>
          </w:rPr>
          <w:instrText xml:space="preserve"> PAGE   \* MERGEFORMAT </w:instrText>
        </w:r>
        <w:r w:rsidR="001A217A" w:rsidRPr="006560EE">
          <w:rPr>
            <w:rFonts w:ascii="Arial" w:hAnsi="Arial" w:cs="Arial"/>
          </w:rPr>
          <w:fldChar w:fldCharType="separate"/>
        </w:r>
        <w:r w:rsidR="001A217A" w:rsidRPr="006560EE">
          <w:rPr>
            <w:rFonts w:ascii="Arial" w:hAnsi="Arial" w:cs="Arial"/>
            <w:noProof/>
          </w:rPr>
          <w:t>2</w:t>
        </w:r>
        <w:r w:rsidR="001A217A" w:rsidRPr="006560EE">
          <w:rPr>
            <w:rFonts w:ascii="Arial" w:hAnsi="Arial" w:cs="Arial"/>
            <w:noProof/>
          </w:rPr>
          <w:fldChar w:fldCharType="end"/>
        </w:r>
      </w:sdtContent>
    </w:sdt>
  </w:p>
  <w:p w14:paraId="31AE74EA" w14:textId="389A1DE7" w:rsidR="001A217A" w:rsidRDefault="001A2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410"/>
    <w:multiLevelType w:val="hybridMultilevel"/>
    <w:tmpl w:val="1C761A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DD37B3"/>
    <w:multiLevelType w:val="hybridMultilevel"/>
    <w:tmpl w:val="3E98B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7E584A"/>
    <w:multiLevelType w:val="hybridMultilevel"/>
    <w:tmpl w:val="CAD84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BB6C81"/>
    <w:multiLevelType w:val="hybridMultilevel"/>
    <w:tmpl w:val="618A3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31F86"/>
    <w:multiLevelType w:val="hybridMultilevel"/>
    <w:tmpl w:val="0B482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E32D00"/>
    <w:multiLevelType w:val="hybridMultilevel"/>
    <w:tmpl w:val="42F2B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21436D"/>
    <w:multiLevelType w:val="hybridMultilevel"/>
    <w:tmpl w:val="D13EDBE8"/>
    <w:lvl w:ilvl="0" w:tplc="47C477F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BA6B8D"/>
    <w:multiLevelType w:val="hybridMultilevel"/>
    <w:tmpl w:val="78CCCB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6057FF0"/>
    <w:multiLevelType w:val="hybridMultilevel"/>
    <w:tmpl w:val="D75C87F8"/>
    <w:lvl w:ilvl="0" w:tplc="47C477FA">
      <w:start w:val="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280E93"/>
    <w:multiLevelType w:val="hybridMultilevel"/>
    <w:tmpl w:val="8C120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2E3F0C"/>
    <w:multiLevelType w:val="hybridMultilevel"/>
    <w:tmpl w:val="E312C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CC1960"/>
    <w:multiLevelType w:val="hybridMultilevel"/>
    <w:tmpl w:val="577C8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900ADF"/>
    <w:multiLevelType w:val="hybridMultilevel"/>
    <w:tmpl w:val="6E4A9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696C2E"/>
    <w:multiLevelType w:val="hybridMultilevel"/>
    <w:tmpl w:val="CDC0C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966F90"/>
    <w:multiLevelType w:val="multilevel"/>
    <w:tmpl w:val="8674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56D5E"/>
    <w:multiLevelType w:val="hybridMultilevel"/>
    <w:tmpl w:val="13FAC7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CB6A5F"/>
    <w:multiLevelType w:val="hybridMultilevel"/>
    <w:tmpl w:val="36CA5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C74DA5"/>
    <w:multiLevelType w:val="hybridMultilevel"/>
    <w:tmpl w:val="FD4E3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8B2210"/>
    <w:multiLevelType w:val="hybridMultilevel"/>
    <w:tmpl w:val="DA92B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D522A7"/>
    <w:multiLevelType w:val="hybridMultilevel"/>
    <w:tmpl w:val="477493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B93938"/>
    <w:multiLevelType w:val="hybridMultilevel"/>
    <w:tmpl w:val="BA5C10B0"/>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C2426"/>
    <w:multiLevelType w:val="hybridMultilevel"/>
    <w:tmpl w:val="EB1A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DE7740"/>
    <w:multiLevelType w:val="hybridMultilevel"/>
    <w:tmpl w:val="4E0A2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94513E"/>
    <w:multiLevelType w:val="hybridMultilevel"/>
    <w:tmpl w:val="DF8C7AF6"/>
    <w:lvl w:ilvl="0" w:tplc="47C477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8342FC"/>
    <w:multiLevelType w:val="hybridMultilevel"/>
    <w:tmpl w:val="19DC9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3F65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653B28"/>
    <w:multiLevelType w:val="hybridMultilevel"/>
    <w:tmpl w:val="7FC63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D93FC3"/>
    <w:multiLevelType w:val="hybridMultilevel"/>
    <w:tmpl w:val="BECAE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274AF3"/>
    <w:multiLevelType w:val="hybridMultilevel"/>
    <w:tmpl w:val="083AD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7D77F4"/>
    <w:multiLevelType w:val="hybridMultilevel"/>
    <w:tmpl w:val="1CBEF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AB72D6"/>
    <w:multiLevelType w:val="hybridMultilevel"/>
    <w:tmpl w:val="87B0E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E41A4A"/>
    <w:multiLevelType w:val="hybridMultilevel"/>
    <w:tmpl w:val="42529902"/>
    <w:lvl w:ilvl="0" w:tplc="A8705CA2">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FE0570"/>
    <w:multiLevelType w:val="hybridMultilevel"/>
    <w:tmpl w:val="7F184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367CE3"/>
    <w:multiLevelType w:val="hybridMultilevel"/>
    <w:tmpl w:val="B8A2A672"/>
    <w:lvl w:ilvl="0" w:tplc="EB6AED9E">
      <w:start w:val="1"/>
      <w:numFmt w:val="decimal"/>
      <w:pStyle w:val="Table"/>
      <w:lvlText w:val="Table %1."/>
      <w:lvlJc w:val="left"/>
      <w:pPr>
        <w:ind w:left="2486"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D37EE2"/>
    <w:multiLevelType w:val="hybridMultilevel"/>
    <w:tmpl w:val="F0FC9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E40F5F"/>
    <w:multiLevelType w:val="hybridMultilevel"/>
    <w:tmpl w:val="9ECE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3D6789"/>
    <w:multiLevelType w:val="hybridMultilevel"/>
    <w:tmpl w:val="64966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0DE445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22A7D66"/>
    <w:multiLevelType w:val="hybridMultilevel"/>
    <w:tmpl w:val="356844CE"/>
    <w:lvl w:ilvl="0" w:tplc="47C477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4D3E54"/>
    <w:multiLevelType w:val="hybridMultilevel"/>
    <w:tmpl w:val="F60254C2"/>
    <w:lvl w:ilvl="0" w:tplc="84A2AA48">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B8A2B79"/>
    <w:multiLevelType w:val="hybridMultilevel"/>
    <w:tmpl w:val="189A2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B03B2E"/>
    <w:multiLevelType w:val="hybridMultilevel"/>
    <w:tmpl w:val="1B0A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9286494">
    <w:abstractNumId w:val="20"/>
  </w:num>
  <w:num w:numId="2" w16cid:durableId="939097888">
    <w:abstractNumId w:val="39"/>
  </w:num>
  <w:num w:numId="3" w16cid:durableId="1526669991">
    <w:abstractNumId w:val="37"/>
  </w:num>
  <w:num w:numId="4" w16cid:durableId="579873857">
    <w:abstractNumId w:val="10"/>
  </w:num>
  <w:num w:numId="5" w16cid:durableId="3555991">
    <w:abstractNumId w:val="13"/>
  </w:num>
  <w:num w:numId="6" w16cid:durableId="909001609">
    <w:abstractNumId w:val="16"/>
  </w:num>
  <w:num w:numId="7" w16cid:durableId="1731493166">
    <w:abstractNumId w:val="41"/>
  </w:num>
  <w:num w:numId="8" w16cid:durableId="726337248">
    <w:abstractNumId w:val="38"/>
  </w:num>
  <w:num w:numId="9" w16cid:durableId="265887048">
    <w:abstractNumId w:val="27"/>
  </w:num>
  <w:num w:numId="10" w16cid:durableId="204100682">
    <w:abstractNumId w:val="3"/>
  </w:num>
  <w:num w:numId="11" w16cid:durableId="3826571">
    <w:abstractNumId w:val="8"/>
  </w:num>
  <w:num w:numId="12" w16cid:durableId="1607344131">
    <w:abstractNumId w:val="23"/>
  </w:num>
  <w:num w:numId="13" w16cid:durableId="1960987859">
    <w:abstractNumId w:val="25"/>
  </w:num>
  <w:num w:numId="14" w16cid:durableId="1195192824">
    <w:abstractNumId w:val="6"/>
  </w:num>
  <w:num w:numId="15" w16cid:durableId="89665376">
    <w:abstractNumId w:val="2"/>
  </w:num>
  <w:num w:numId="16" w16cid:durableId="1691489926">
    <w:abstractNumId w:val="30"/>
  </w:num>
  <w:num w:numId="17" w16cid:durableId="1771045542">
    <w:abstractNumId w:val="40"/>
  </w:num>
  <w:num w:numId="18" w16cid:durableId="445468434">
    <w:abstractNumId w:val="1"/>
  </w:num>
  <w:num w:numId="19" w16cid:durableId="388694654">
    <w:abstractNumId w:val="12"/>
  </w:num>
  <w:num w:numId="20" w16cid:durableId="1029529708">
    <w:abstractNumId w:val="28"/>
  </w:num>
  <w:num w:numId="21" w16cid:durableId="942765180">
    <w:abstractNumId w:val="26"/>
  </w:num>
  <w:num w:numId="22" w16cid:durableId="2116748823">
    <w:abstractNumId w:val="29"/>
  </w:num>
  <w:num w:numId="23" w16cid:durableId="223640284">
    <w:abstractNumId w:val="36"/>
  </w:num>
  <w:num w:numId="24" w16cid:durableId="1016232614">
    <w:abstractNumId w:val="18"/>
  </w:num>
  <w:num w:numId="25" w16cid:durableId="966424724">
    <w:abstractNumId w:val="15"/>
  </w:num>
  <w:num w:numId="26" w16cid:durableId="219169076">
    <w:abstractNumId w:val="22"/>
  </w:num>
  <w:num w:numId="27" w16cid:durableId="455219500">
    <w:abstractNumId w:val="19"/>
  </w:num>
  <w:num w:numId="28" w16cid:durableId="177045414">
    <w:abstractNumId w:val="32"/>
  </w:num>
  <w:num w:numId="29" w16cid:durableId="589433020">
    <w:abstractNumId w:val="11"/>
  </w:num>
  <w:num w:numId="30" w16cid:durableId="1928659175">
    <w:abstractNumId w:val="9"/>
  </w:num>
  <w:num w:numId="31" w16cid:durableId="1991128550">
    <w:abstractNumId w:val="4"/>
  </w:num>
  <w:num w:numId="32" w16cid:durableId="937639340">
    <w:abstractNumId w:val="34"/>
  </w:num>
  <w:num w:numId="33" w16cid:durableId="1560239355">
    <w:abstractNumId w:val="37"/>
    <w:lvlOverride w:ilvl="0">
      <w:startOverride w:val="2009"/>
    </w:lvlOverride>
  </w:num>
  <w:num w:numId="34" w16cid:durableId="1047416409">
    <w:abstractNumId w:val="17"/>
  </w:num>
  <w:num w:numId="35" w16cid:durableId="408775575">
    <w:abstractNumId w:val="5"/>
  </w:num>
  <w:num w:numId="36" w16cid:durableId="762840118">
    <w:abstractNumId w:val="37"/>
  </w:num>
  <w:num w:numId="37" w16cid:durableId="83570902">
    <w:abstractNumId w:val="37"/>
  </w:num>
  <w:num w:numId="38" w16cid:durableId="1368065601">
    <w:abstractNumId w:val="37"/>
  </w:num>
  <w:num w:numId="39" w16cid:durableId="1394156330">
    <w:abstractNumId w:val="37"/>
  </w:num>
  <w:num w:numId="40" w16cid:durableId="1188830224">
    <w:abstractNumId w:val="0"/>
  </w:num>
  <w:num w:numId="41" w16cid:durableId="1109622265">
    <w:abstractNumId w:val="37"/>
  </w:num>
  <w:num w:numId="42" w16cid:durableId="1349212762">
    <w:abstractNumId w:val="14"/>
  </w:num>
  <w:num w:numId="43" w16cid:durableId="1913541399">
    <w:abstractNumId w:val="37"/>
  </w:num>
  <w:num w:numId="44" w16cid:durableId="749738290">
    <w:abstractNumId w:val="21"/>
  </w:num>
  <w:num w:numId="45" w16cid:durableId="460458242">
    <w:abstractNumId w:val="24"/>
  </w:num>
  <w:num w:numId="46" w16cid:durableId="868879244">
    <w:abstractNumId w:val="37"/>
  </w:num>
  <w:num w:numId="47" w16cid:durableId="802387297">
    <w:abstractNumId w:val="37"/>
  </w:num>
  <w:num w:numId="48" w16cid:durableId="1774132761">
    <w:abstractNumId w:val="7"/>
  </w:num>
  <w:num w:numId="49" w16cid:durableId="1913738346">
    <w:abstractNumId w:val="37"/>
  </w:num>
  <w:num w:numId="50" w16cid:durableId="989557888">
    <w:abstractNumId w:val="37"/>
  </w:num>
  <w:num w:numId="51" w16cid:durableId="132262162">
    <w:abstractNumId w:val="35"/>
  </w:num>
  <w:num w:numId="52" w16cid:durableId="216203310">
    <w:abstractNumId w:val="33"/>
  </w:num>
  <w:num w:numId="53" w16cid:durableId="190448664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B"/>
    <w:rsid w:val="000019A3"/>
    <w:rsid w:val="0000415E"/>
    <w:rsid w:val="000126A6"/>
    <w:rsid w:val="00013C46"/>
    <w:rsid w:val="000202CF"/>
    <w:rsid w:val="0002058B"/>
    <w:rsid w:val="000212C3"/>
    <w:rsid w:val="000219CA"/>
    <w:rsid w:val="0002278B"/>
    <w:rsid w:val="00023BCE"/>
    <w:rsid w:val="00030698"/>
    <w:rsid w:val="00031293"/>
    <w:rsid w:val="000329EB"/>
    <w:rsid w:val="00037BC6"/>
    <w:rsid w:val="00040031"/>
    <w:rsid w:val="000414AD"/>
    <w:rsid w:val="00041787"/>
    <w:rsid w:val="00044CB9"/>
    <w:rsid w:val="000466E2"/>
    <w:rsid w:val="00051A37"/>
    <w:rsid w:val="000539B2"/>
    <w:rsid w:val="00053BB2"/>
    <w:rsid w:val="00053D22"/>
    <w:rsid w:val="00060182"/>
    <w:rsid w:val="00060C1E"/>
    <w:rsid w:val="00060DDB"/>
    <w:rsid w:val="00066759"/>
    <w:rsid w:val="00066A8C"/>
    <w:rsid w:val="00066B0F"/>
    <w:rsid w:val="00066C9C"/>
    <w:rsid w:val="000672BC"/>
    <w:rsid w:val="0006736B"/>
    <w:rsid w:val="00067815"/>
    <w:rsid w:val="0007133C"/>
    <w:rsid w:val="00076937"/>
    <w:rsid w:val="00076A40"/>
    <w:rsid w:val="000770AD"/>
    <w:rsid w:val="00080836"/>
    <w:rsid w:val="00084EFF"/>
    <w:rsid w:val="00085D18"/>
    <w:rsid w:val="000910D6"/>
    <w:rsid w:val="000917AA"/>
    <w:rsid w:val="000A025A"/>
    <w:rsid w:val="000A6581"/>
    <w:rsid w:val="000A7AAA"/>
    <w:rsid w:val="000B2C0F"/>
    <w:rsid w:val="000B5001"/>
    <w:rsid w:val="000C0017"/>
    <w:rsid w:val="000C1E89"/>
    <w:rsid w:val="000C508E"/>
    <w:rsid w:val="000C536A"/>
    <w:rsid w:val="000C576C"/>
    <w:rsid w:val="000C65D8"/>
    <w:rsid w:val="000D273F"/>
    <w:rsid w:val="000D3454"/>
    <w:rsid w:val="000D384F"/>
    <w:rsid w:val="000D4294"/>
    <w:rsid w:val="000D7878"/>
    <w:rsid w:val="000E0BD6"/>
    <w:rsid w:val="000E2F66"/>
    <w:rsid w:val="000E3AD4"/>
    <w:rsid w:val="000E753B"/>
    <w:rsid w:val="000F21E2"/>
    <w:rsid w:val="000F5BA6"/>
    <w:rsid w:val="000F611D"/>
    <w:rsid w:val="000F6CF3"/>
    <w:rsid w:val="0010179D"/>
    <w:rsid w:val="00102783"/>
    <w:rsid w:val="0010623C"/>
    <w:rsid w:val="00107548"/>
    <w:rsid w:val="001131E1"/>
    <w:rsid w:val="0011338C"/>
    <w:rsid w:val="00122660"/>
    <w:rsid w:val="00127457"/>
    <w:rsid w:val="001318B9"/>
    <w:rsid w:val="001322A8"/>
    <w:rsid w:val="00136206"/>
    <w:rsid w:val="00136F59"/>
    <w:rsid w:val="001376D0"/>
    <w:rsid w:val="00140ACE"/>
    <w:rsid w:val="00142444"/>
    <w:rsid w:val="001435EB"/>
    <w:rsid w:val="001437C2"/>
    <w:rsid w:val="00143D89"/>
    <w:rsid w:val="001444CF"/>
    <w:rsid w:val="00146225"/>
    <w:rsid w:val="00146D2C"/>
    <w:rsid w:val="0015066D"/>
    <w:rsid w:val="0015494E"/>
    <w:rsid w:val="00156191"/>
    <w:rsid w:val="001566A7"/>
    <w:rsid w:val="001608A7"/>
    <w:rsid w:val="00160B59"/>
    <w:rsid w:val="00165F7A"/>
    <w:rsid w:val="00166775"/>
    <w:rsid w:val="001676FA"/>
    <w:rsid w:val="001710B0"/>
    <w:rsid w:val="00171AD6"/>
    <w:rsid w:val="00172FB6"/>
    <w:rsid w:val="00173D82"/>
    <w:rsid w:val="00176A3F"/>
    <w:rsid w:val="00177575"/>
    <w:rsid w:val="00177AD6"/>
    <w:rsid w:val="00181DF9"/>
    <w:rsid w:val="00184900"/>
    <w:rsid w:val="001858AD"/>
    <w:rsid w:val="00185FBE"/>
    <w:rsid w:val="001906AB"/>
    <w:rsid w:val="00191170"/>
    <w:rsid w:val="00195D48"/>
    <w:rsid w:val="001968AC"/>
    <w:rsid w:val="001A1577"/>
    <w:rsid w:val="001A217A"/>
    <w:rsid w:val="001A41EE"/>
    <w:rsid w:val="001A4D6E"/>
    <w:rsid w:val="001A5DD4"/>
    <w:rsid w:val="001A6EB8"/>
    <w:rsid w:val="001B0815"/>
    <w:rsid w:val="001B5160"/>
    <w:rsid w:val="001C04A8"/>
    <w:rsid w:val="001C2719"/>
    <w:rsid w:val="001C2B76"/>
    <w:rsid w:val="001C4B5B"/>
    <w:rsid w:val="001C54E3"/>
    <w:rsid w:val="001C6899"/>
    <w:rsid w:val="001C6C17"/>
    <w:rsid w:val="001D1B67"/>
    <w:rsid w:val="001D2E36"/>
    <w:rsid w:val="001D7073"/>
    <w:rsid w:val="001D77F5"/>
    <w:rsid w:val="001D7F77"/>
    <w:rsid w:val="001E1B2A"/>
    <w:rsid w:val="001E1BDD"/>
    <w:rsid w:val="001E27E6"/>
    <w:rsid w:val="001E3EC4"/>
    <w:rsid w:val="001F0FFE"/>
    <w:rsid w:val="001F236B"/>
    <w:rsid w:val="001F2611"/>
    <w:rsid w:val="001F48DF"/>
    <w:rsid w:val="001F591F"/>
    <w:rsid w:val="001F66DD"/>
    <w:rsid w:val="001F73FC"/>
    <w:rsid w:val="00202FC3"/>
    <w:rsid w:val="002042BD"/>
    <w:rsid w:val="00206954"/>
    <w:rsid w:val="00206F79"/>
    <w:rsid w:val="00210372"/>
    <w:rsid w:val="002112ED"/>
    <w:rsid w:val="00211E26"/>
    <w:rsid w:val="00212244"/>
    <w:rsid w:val="00213579"/>
    <w:rsid w:val="002144F8"/>
    <w:rsid w:val="0021457B"/>
    <w:rsid w:val="00215E7D"/>
    <w:rsid w:val="00223E13"/>
    <w:rsid w:val="002244CB"/>
    <w:rsid w:val="00226ECA"/>
    <w:rsid w:val="0022758A"/>
    <w:rsid w:val="00231367"/>
    <w:rsid w:val="002346EC"/>
    <w:rsid w:val="0024097C"/>
    <w:rsid w:val="00245E84"/>
    <w:rsid w:val="00246C63"/>
    <w:rsid w:val="00246DF3"/>
    <w:rsid w:val="00246E51"/>
    <w:rsid w:val="002473B4"/>
    <w:rsid w:val="00251641"/>
    <w:rsid w:val="00254D5C"/>
    <w:rsid w:val="0025557A"/>
    <w:rsid w:val="00257820"/>
    <w:rsid w:val="002579ED"/>
    <w:rsid w:val="002601A7"/>
    <w:rsid w:val="002618ED"/>
    <w:rsid w:val="002623D9"/>
    <w:rsid w:val="00272D7D"/>
    <w:rsid w:val="00273AC1"/>
    <w:rsid w:val="002830B1"/>
    <w:rsid w:val="00285446"/>
    <w:rsid w:val="00285936"/>
    <w:rsid w:val="00286D58"/>
    <w:rsid w:val="00287177"/>
    <w:rsid w:val="00292A9C"/>
    <w:rsid w:val="00293A1E"/>
    <w:rsid w:val="002A0DC8"/>
    <w:rsid w:val="002A3BD0"/>
    <w:rsid w:val="002A5A16"/>
    <w:rsid w:val="002B2570"/>
    <w:rsid w:val="002C0D46"/>
    <w:rsid w:val="002C423E"/>
    <w:rsid w:val="002C5E1C"/>
    <w:rsid w:val="002C7184"/>
    <w:rsid w:val="002C7665"/>
    <w:rsid w:val="002D19C3"/>
    <w:rsid w:val="002D1EC3"/>
    <w:rsid w:val="002D1F8A"/>
    <w:rsid w:val="002D2255"/>
    <w:rsid w:val="002D5017"/>
    <w:rsid w:val="002E2CEC"/>
    <w:rsid w:val="002E546A"/>
    <w:rsid w:val="002F290A"/>
    <w:rsid w:val="002F37CB"/>
    <w:rsid w:val="002F5B4B"/>
    <w:rsid w:val="002F69CC"/>
    <w:rsid w:val="003002EA"/>
    <w:rsid w:val="003010FE"/>
    <w:rsid w:val="00301FA5"/>
    <w:rsid w:val="00310CC9"/>
    <w:rsid w:val="003209AA"/>
    <w:rsid w:val="00320FB0"/>
    <w:rsid w:val="00322E9D"/>
    <w:rsid w:val="00323726"/>
    <w:rsid w:val="00324B30"/>
    <w:rsid w:val="00325F0A"/>
    <w:rsid w:val="00327CEB"/>
    <w:rsid w:val="003301A3"/>
    <w:rsid w:val="00331514"/>
    <w:rsid w:val="00335E60"/>
    <w:rsid w:val="0034046F"/>
    <w:rsid w:val="003410B1"/>
    <w:rsid w:val="0034281A"/>
    <w:rsid w:val="00345B54"/>
    <w:rsid w:val="00347059"/>
    <w:rsid w:val="00355DD0"/>
    <w:rsid w:val="00356A34"/>
    <w:rsid w:val="00362815"/>
    <w:rsid w:val="00363735"/>
    <w:rsid w:val="00363D49"/>
    <w:rsid w:val="00366268"/>
    <w:rsid w:val="00370651"/>
    <w:rsid w:val="00370CBE"/>
    <w:rsid w:val="00371885"/>
    <w:rsid w:val="0037229E"/>
    <w:rsid w:val="003725B0"/>
    <w:rsid w:val="00373074"/>
    <w:rsid w:val="00373418"/>
    <w:rsid w:val="00375B43"/>
    <w:rsid w:val="00376530"/>
    <w:rsid w:val="003769C2"/>
    <w:rsid w:val="003772B7"/>
    <w:rsid w:val="003779A1"/>
    <w:rsid w:val="0038294B"/>
    <w:rsid w:val="0038575D"/>
    <w:rsid w:val="00386BAA"/>
    <w:rsid w:val="0038787A"/>
    <w:rsid w:val="0039033B"/>
    <w:rsid w:val="00390C26"/>
    <w:rsid w:val="00390ECE"/>
    <w:rsid w:val="00391B68"/>
    <w:rsid w:val="00392435"/>
    <w:rsid w:val="00393653"/>
    <w:rsid w:val="00395AAF"/>
    <w:rsid w:val="0039626C"/>
    <w:rsid w:val="00396753"/>
    <w:rsid w:val="003979AB"/>
    <w:rsid w:val="003A1A22"/>
    <w:rsid w:val="003A1FB4"/>
    <w:rsid w:val="003B10D4"/>
    <w:rsid w:val="003B2F44"/>
    <w:rsid w:val="003B3A1A"/>
    <w:rsid w:val="003B3E7B"/>
    <w:rsid w:val="003B5DDC"/>
    <w:rsid w:val="003B64DA"/>
    <w:rsid w:val="003B7CD3"/>
    <w:rsid w:val="003C0B47"/>
    <w:rsid w:val="003C35FB"/>
    <w:rsid w:val="003C4CCF"/>
    <w:rsid w:val="003C720D"/>
    <w:rsid w:val="003D179F"/>
    <w:rsid w:val="003D1C63"/>
    <w:rsid w:val="003D3EEC"/>
    <w:rsid w:val="003D5B61"/>
    <w:rsid w:val="003E0A9E"/>
    <w:rsid w:val="003E1719"/>
    <w:rsid w:val="003E3CB7"/>
    <w:rsid w:val="003E56F1"/>
    <w:rsid w:val="003F449F"/>
    <w:rsid w:val="00400527"/>
    <w:rsid w:val="004006AD"/>
    <w:rsid w:val="004026A2"/>
    <w:rsid w:val="0040545F"/>
    <w:rsid w:val="00406BA6"/>
    <w:rsid w:val="00407866"/>
    <w:rsid w:val="00410979"/>
    <w:rsid w:val="004147E6"/>
    <w:rsid w:val="0041594F"/>
    <w:rsid w:val="00422FAE"/>
    <w:rsid w:val="00423C92"/>
    <w:rsid w:val="00424646"/>
    <w:rsid w:val="00424765"/>
    <w:rsid w:val="00430392"/>
    <w:rsid w:val="004311B6"/>
    <w:rsid w:val="0043209D"/>
    <w:rsid w:val="00433B77"/>
    <w:rsid w:val="00435714"/>
    <w:rsid w:val="004418AE"/>
    <w:rsid w:val="00442E63"/>
    <w:rsid w:val="00445307"/>
    <w:rsid w:val="0044573F"/>
    <w:rsid w:val="00453BF5"/>
    <w:rsid w:val="00455F34"/>
    <w:rsid w:val="004567D8"/>
    <w:rsid w:val="004573E0"/>
    <w:rsid w:val="00460401"/>
    <w:rsid w:val="0046527F"/>
    <w:rsid w:val="0046624F"/>
    <w:rsid w:val="00467946"/>
    <w:rsid w:val="00467F8B"/>
    <w:rsid w:val="004704A5"/>
    <w:rsid w:val="0047226D"/>
    <w:rsid w:val="00472CE5"/>
    <w:rsid w:val="00473518"/>
    <w:rsid w:val="00477013"/>
    <w:rsid w:val="00477FC6"/>
    <w:rsid w:val="00480DCF"/>
    <w:rsid w:val="004825D2"/>
    <w:rsid w:val="00484A3C"/>
    <w:rsid w:val="0048608B"/>
    <w:rsid w:val="00486CE2"/>
    <w:rsid w:val="00487DB6"/>
    <w:rsid w:val="00490391"/>
    <w:rsid w:val="00490AB4"/>
    <w:rsid w:val="004962AD"/>
    <w:rsid w:val="004970FF"/>
    <w:rsid w:val="00497CBA"/>
    <w:rsid w:val="004A17A9"/>
    <w:rsid w:val="004A29E0"/>
    <w:rsid w:val="004A46C0"/>
    <w:rsid w:val="004A508E"/>
    <w:rsid w:val="004B05CA"/>
    <w:rsid w:val="004B0883"/>
    <w:rsid w:val="004B14F7"/>
    <w:rsid w:val="004B1D92"/>
    <w:rsid w:val="004B72E0"/>
    <w:rsid w:val="004B7EC2"/>
    <w:rsid w:val="004C07EB"/>
    <w:rsid w:val="004C1326"/>
    <w:rsid w:val="004C5378"/>
    <w:rsid w:val="004C5E64"/>
    <w:rsid w:val="004C5F82"/>
    <w:rsid w:val="004C6308"/>
    <w:rsid w:val="004C63C1"/>
    <w:rsid w:val="004D23D0"/>
    <w:rsid w:val="004D2465"/>
    <w:rsid w:val="004D6078"/>
    <w:rsid w:val="004E19E1"/>
    <w:rsid w:val="004E1B9E"/>
    <w:rsid w:val="004E21FD"/>
    <w:rsid w:val="004E24E5"/>
    <w:rsid w:val="004F1288"/>
    <w:rsid w:val="004F213B"/>
    <w:rsid w:val="004F49E0"/>
    <w:rsid w:val="004F6598"/>
    <w:rsid w:val="004F7CBF"/>
    <w:rsid w:val="004F7F40"/>
    <w:rsid w:val="0050422D"/>
    <w:rsid w:val="00511B36"/>
    <w:rsid w:val="00521B24"/>
    <w:rsid w:val="00523BFE"/>
    <w:rsid w:val="00525841"/>
    <w:rsid w:val="00526A2A"/>
    <w:rsid w:val="00530156"/>
    <w:rsid w:val="005345E3"/>
    <w:rsid w:val="00536F9B"/>
    <w:rsid w:val="00537963"/>
    <w:rsid w:val="00541E33"/>
    <w:rsid w:val="00544039"/>
    <w:rsid w:val="00545532"/>
    <w:rsid w:val="005510F5"/>
    <w:rsid w:val="00552678"/>
    <w:rsid w:val="00552E39"/>
    <w:rsid w:val="00552F6C"/>
    <w:rsid w:val="00553BB9"/>
    <w:rsid w:val="005547EE"/>
    <w:rsid w:val="00557343"/>
    <w:rsid w:val="00557CAA"/>
    <w:rsid w:val="005613D9"/>
    <w:rsid w:val="00561CE8"/>
    <w:rsid w:val="00573AC4"/>
    <w:rsid w:val="00576A03"/>
    <w:rsid w:val="00580791"/>
    <w:rsid w:val="00580E94"/>
    <w:rsid w:val="005827B5"/>
    <w:rsid w:val="00582942"/>
    <w:rsid w:val="00583602"/>
    <w:rsid w:val="00584B76"/>
    <w:rsid w:val="00584D1D"/>
    <w:rsid w:val="0058775F"/>
    <w:rsid w:val="005912C2"/>
    <w:rsid w:val="00591D53"/>
    <w:rsid w:val="005926C9"/>
    <w:rsid w:val="0059403E"/>
    <w:rsid w:val="00595008"/>
    <w:rsid w:val="0059598B"/>
    <w:rsid w:val="00595E0C"/>
    <w:rsid w:val="00597E4D"/>
    <w:rsid w:val="005A5120"/>
    <w:rsid w:val="005A67D5"/>
    <w:rsid w:val="005B1F57"/>
    <w:rsid w:val="005B5D97"/>
    <w:rsid w:val="005B7155"/>
    <w:rsid w:val="005B7A6E"/>
    <w:rsid w:val="005C10F6"/>
    <w:rsid w:val="005C1FEE"/>
    <w:rsid w:val="005C3774"/>
    <w:rsid w:val="005C6199"/>
    <w:rsid w:val="005C76C5"/>
    <w:rsid w:val="005D0A83"/>
    <w:rsid w:val="005D2D70"/>
    <w:rsid w:val="005D740E"/>
    <w:rsid w:val="005F16DF"/>
    <w:rsid w:val="005F61F9"/>
    <w:rsid w:val="005F6742"/>
    <w:rsid w:val="006025DA"/>
    <w:rsid w:val="00603B5D"/>
    <w:rsid w:val="00603EAB"/>
    <w:rsid w:val="00605CAB"/>
    <w:rsid w:val="0061006C"/>
    <w:rsid w:val="0061533C"/>
    <w:rsid w:val="00615A03"/>
    <w:rsid w:val="0062084C"/>
    <w:rsid w:val="006226C0"/>
    <w:rsid w:val="00622867"/>
    <w:rsid w:val="006239D3"/>
    <w:rsid w:val="00623BC9"/>
    <w:rsid w:val="00625AB8"/>
    <w:rsid w:val="00625EA6"/>
    <w:rsid w:val="00626245"/>
    <w:rsid w:val="006323B3"/>
    <w:rsid w:val="00633FBC"/>
    <w:rsid w:val="006344B6"/>
    <w:rsid w:val="00634516"/>
    <w:rsid w:val="006400AD"/>
    <w:rsid w:val="006479A4"/>
    <w:rsid w:val="006544DB"/>
    <w:rsid w:val="006560EE"/>
    <w:rsid w:val="00657893"/>
    <w:rsid w:val="006600A5"/>
    <w:rsid w:val="0066011B"/>
    <w:rsid w:val="00660D86"/>
    <w:rsid w:val="006629DF"/>
    <w:rsid w:val="0066437D"/>
    <w:rsid w:val="00672359"/>
    <w:rsid w:val="00672B8B"/>
    <w:rsid w:val="00674B5C"/>
    <w:rsid w:val="00682007"/>
    <w:rsid w:val="00683894"/>
    <w:rsid w:val="006853F0"/>
    <w:rsid w:val="00686D54"/>
    <w:rsid w:val="00686D9E"/>
    <w:rsid w:val="00692140"/>
    <w:rsid w:val="00692314"/>
    <w:rsid w:val="00692F70"/>
    <w:rsid w:val="00694CAB"/>
    <w:rsid w:val="00695678"/>
    <w:rsid w:val="00696F10"/>
    <w:rsid w:val="00697A2F"/>
    <w:rsid w:val="006A0D65"/>
    <w:rsid w:val="006A206E"/>
    <w:rsid w:val="006A7467"/>
    <w:rsid w:val="006B00A4"/>
    <w:rsid w:val="006B4B61"/>
    <w:rsid w:val="006B661D"/>
    <w:rsid w:val="006B6E69"/>
    <w:rsid w:val="006B7093"/>
    <w:rsid w:val="006B7C16"/>
    <w:rsid w:val="006C1986"/>
    <w:rsid w:val="006C36D9"/>
    <w:rsid w:val="006C414D"/>
    <w:rsid w:val="006C5267"/>
    <w:rsid w:val="006C59EC"/>
    <w:rsid w:val="006C664A"/>
    <w:rsid w:val="006D27DF"/>
    <w:rsid w:val="006D3162"/>
    <w:rsid w:val="006D42AC"/>
    <w:rsid w:val="006D55CE"/>
    <w:rsid w:val="006D70C1"/>
    <w:rsid w:val="006E4F99"/>
    <w:rsid w:val="006E5286"/>
    <w:rsid w:val="006F1E62"/>
    <w:rsid w:val="006F3914"/>
    <w:rsid w:val="007045D6"/>
    <w:rsid w:val="00704CDF"/>
    <w:rsid w:val="00705771"/>
    <w:rsid w:val="00707952"/>
    <w:rsid w:val="0071197F"/>
    <w:rsid w:val="007128EC"/>
    <w:rsid w:val="0071298F"/>
    <w:rsid w:val="0073269E"/>
    <w:rsid w:val="007340D3"/>
    <w:rsid w:val="00734B84"/>
    <w:rsid w:val="00741854"/>
    <w:rsid w:val="007478B8"/>
    <w:rsid w:val="00750DBE"/>
    <w:rsid w:val="00753759"/>
    <w:rsid w:val="00756D6B"/>
    <w:rsid w:val="00756F41"/>
    <w:rsid w:val="007577B2"/>
    <w:rsid w:val="00763F08"/>
    <w:rsid w:val="00772E6C"/>
    <w:rsid w:val="007742F2"/>
    <w:rsid w:val="00775D7E"/>
    <w:rsid w:val="00780D72"/>
    <w:rsid w:val="00780D85"/>
    <w:rsid w:val="00781754"/>
    <w:rsid w:val="00783802"/>
    <w:rsid w:val="00785514"/>
    <w:rsid w:val="00787D23"/>
    <w:rsid w:val="00790871"/>
    <w:rsid w:val="00790C42"/>
    <w:rsid w:val="00791EC7"/>
    <w:rsid w:val="007946B8"/>
    <w:rsid w:val="00796BE0"/>
    <w:rsid w:val="007A47D3"/>
    <w:rsid w:val="007A5F1A"/>
    <w:rsid w:val="007B0EB0"/>
    <w:rsid w:val="007B1C80"/>
    <w:rsid w:val="007B3086"/>
    <w:rsid w:val="007B3582"/>
    <w:rsid w:val="007B3647"/>
    <w:rsid w:val="007B6E8F"/>
    <w:rsid w:val="007B6FFF"/>
    <w:rsid w:val="007B771E"/>
    <w:rsid w:val="007C1150"/>
    <w:rsid w:val="007C193B"/>
    <w:rsid w:val="007D2EA7"/>
    <w:rsid w:val="007D68CB"/>
    <w:rsid w:val="007D7458"/>
    <w:rsid w:val="007E2501"/>
    <w:rsid w:val="007E3A37"/>
    <w:rsid w:val="007E403B"/>
    <w:rsid w:val="007E4227"/>
    <w:rsid w:val="007E49FE"/>
    <w:rsid w:val="007E598A"/>
    <w:rsid w:val="007F1D8F"/>
    <w:rsid w:val="007F2E62"/>
    <w:rsid w:val="007F6E2F"/>
    <w:rsid w:val="0080144E"/>
    <w:rsid w:val="00803DC6"/>
    <w:rsid w:val="00805AC0"/>
    <w:rsid w:val="008064C1"/>
    <w:rsid w:val="00806F86"/>
    <w:rsid w:val="00812CFF"/>
    <w:rsid w:val="00813DB4"/>
    <w:rsid w:val="00817BB4"/>
    <w:rsid w:val="008208B4"/>
    <w:rsid w:val="0082157A"/>
    <w:rsid w:val="0082644F"/>
    <w:rsid w:val="00827746"/>
    <w:rsid w:val="00831278"/>
    <w:rsid w:val="008361A8"/>
    <w:rsid w:val="0083659F"/>
    <w:rsid w:val="0084146D"/>
    <w:rsid w:val="00844AC6"/>
    <w:rsid w:val="00850DC9"/>
    <w:rsid w:val="00854AB2"/>
    <w:rsid w:val="00857D44"/>
    <w:rsid w:val="0086122E"/>
    <w:rsid w:val="00862144"/>
    <w:rsid w:val="00865643"/>
    <w:rsid w:val="008676A2"/>
    <w:rsid w:val="00872086"/>
    <w:rsid w:val="008725F1"/>
    <w:rsid w:val="00874060"/>
    <w:rsid w:val="00874B97"/>
    <w:rsid w:val="00875DC0"/>
    <w:rsid w:val="00877637"/>
    <w:rsid w:val="008778B1"/>
    <w:rsid w:val="00881CBE"/>
    <w:rsid w:val="00882334"/>
    <w:rsid w:val="00882474"/>
    <w:rsid w:val="008828BD"/>
    <w:rsid w:val="00884B6D"/>
    <w:rsid w:val="008856DD"/>
    <w:rsid w:val="00886F22"/>
    <w:rsid w:val="00891E5F"/>
    <w:rsid w:val="00892216"/>
    <w:rsid w:val="008950CD"/>
    <w:rsid w:val="008A03D8"/>
    <w:rsid w:val="008A4EB6"/>
    <w:rsid w:val="008A530F"/>
    <w:rsid w:val="008A7876"/>
    <w:rsid w:val="008B0374"/>
    <w:rsid w:val="008B09B8"/>
    <w:rsid w:val="008B418A"/>
    <w:rsid w:val="008B558E"/>
    <w:rsid w:val="008B5AF1"/>
    <w:rsid w:val="008C2997"/>
    <w:rsid w:val="008C624C"/>
    <w:rsid w:val="008C66A9"/>
    <w:rsid w:val="008C6EA3"/>
    <w:rsid w:val="008D2CC6"/>
    <w:rsid w:val="008D36D0"/>
    <w:rsid w:val="008D5A0D"/>
    <w:rsid w:val="008E1B18"/>
    <w:rsid w:val="008E2033"/>
    <w:rsid w:val="008E7C37"/>
    <w:rsid w:val="008E7F8B"/>
    <w:rsid w:val="008F11A5"/>
    <w:rsid w:val="008F6BB7"/>
    <w:rsid w:val="009000CC"/>
    <w:rsid w:val="00903CF8"/>
    <w:rsid w:val="00903FCC"/>
    <w:rsid w:val="00904340"/>
    <w:rsid w:val="00910465"/>
    <w:rsid w:val="00911AB1"/>
    <w:rsid w:val="009149C7"/>
    <w:rsid w:val="00916794"/>
    <w:rsid w:val="0092102A"/>
    <w:rsid w:val="0092112D"/>
    <w:rsid w:val="00923692"/>
    <w:rsid w:val="00925737"/>
    <w:rsid w:val="009302BB"/>
    <w:rsid w:val="00931CD0"/>
    <w:rsid w:val="009430E6"/>
    <w:rsid w:val="009434C8"/>
    <w:rsid w:val="009469F7"/>
    <w:rsid w:val="00955AB9"/>
    <w:rsid w:val="00956B92"/>
    <w:rsid w:val="0096159E"/>
    <w:rsid w:val="009637DE"/>
    <w:rsid w:val="00963A08"/>
    <w:rsid w:val="0096481C"/>
    <w:rsid w:val="0096681B"/>
    <w:rsid w:val="00966DEB"/>
    <w:rsid w:val="0096767F"/>
    <w:rsid w:val="0096783B"/>
    <w:rsid w:val="00967E13"/>
    <w:rsid w:val="00970137"/>
    <w:rsid w:val="0097183D"/>
    <w:rsid w:val="0097450C"/>
    <w:rsid w:val="009808EA"/>
    <w:rsid w:val="0098184F"/>
    <w:rsid w:val="00981DAD"/>
    <w:rsid w:val="00983D4F"/>
    <w:rsid w:val="009842AB"/>
    <w:rsid w:val="0099297D"/>
    <w:rsid w:val="0099311F"/>
    <w:rsid w:val="00993890"/>
    <w:rsid w:val="0099427F"/>
    <w:rsid w:val="0099583B"/>
    <w:rsid w:val="0099734B"/>
    <w:rsid w:val="009A0B72"/>
    <w:rsid w:val="009A34D6"/>
    <w:rsid w:val="009A35C7"/>
    <w:rsid w:val="009A536D"/>
    <w:rsid w:val="009B0C47"/>
    <w:rsid w:val="009B3E58"/>
    <w:rsid w:val="009B64E6"/>
    <w:rsid w:val="009B6B83"/>
    <w:rsid w:val="009B71AF"/>
    <w:rsid w:val="009C1EE1"/>
    <w:rsid w:val="009C4139"/>
    <w:rsid w:val="009C579D"/>
    <w:rsid w:val="009C70E6"/>
    <w:rsid w:val="009C7F30"/>
    <w:rsid w:val="009D414B"/>
    <w:rsid w:val="009D4914"/>
    <w:rsid w:val="009D4BA9"/>
    <w:rsid w:val="009D7137"/>
    <w:rsid w:val="009E1498"/>
    <w:rsid w:val="009E1706"/>
    <w:rsid w:val="009E1FFF"/>
    <w:rsid w:val="009E6E25"/>
    <w:rsid w:val="009E7A0B"/>
    <w:rsid w:val="009F210D"/>
    <w:rsid w:val="00A00150"/>
    <w:rsid w:val="00A066F7"/>
    <w:rsid w:val="00A12144"/>
    <w:rsid w:val="00A136DD"/>
    <w:rsid w:val="00A23C9C"/>
    <w:rsid w:val="00A258D9"/>
    <w:rsid w:val="00A2648B"/>
    <w:rsid w:val="00A31E8A"/>
    <w:rsid w:val="00A33078"/>
    <w:rsid w:val="00A336EC"/>
    <w:rsid w:val="00A360F1"/>
    <w:rsid w:val="00A41297"/>
    <w:rsid w:val="00A4153D"/>
    <w:rsid w:val="00A433A4"/>
    <w:rsid w:val="00A527B3"/>
    <w:rsid w:val="00A55C6C"/>
    <w:rsid w:val="00A57861"/>
    <w:rsid w:val="00A6006D"/>
    <w:rsid w:val="00A618CB"/>
    <w:rsid w:val="00A62A75"/>
    <w:rsid w:val="00A641BF"/>
    <w:rsid w:val="00A643DA"/>
    <w:rsid w:val="00A708D2"/>
    <w:rsid w:val="00A72CD1"/>
    <w:rsid w:val="00A731A0"/>
    <w:rsid w:val="00A73C1C"/>
    <w:rsid w:val="00A740A3"/>
    <w:rsid w:val="00A75CA4"/>
    <w:rsid w:val="00A75E8F"/>
    <w:rsid w:val="00A8597C"/>
    <w:rsid w:val="00A86F73"/>
    <w:rsid w:val="00A9197C"/>
    <w:rsid w:val="00A93E78"/>
    <w:rsid w:val="00A947DA"/>
    <w:rsid w:val="00A94C91"/>
    <w:rsid w:val="00A975AA"/>
    <w:rsid w:val="00AA0AF6"/>
    <w:rsid w:val="00AA4F66"/>
    <w:rsid w:val="00AB299F"/>
    <w:rsid w:val="00AB3D53"/>
    <w:rsid w:val="00AB6866"/>
    <w:rsid w:val="00AB713E"/>
    <w:rsid w:val="00AC20EA"/>
    <w:rsid w:val="00AC2849"/>
    <w:rsid w:val="00AC3CEB"/>
    <w:rsid w:val="00AC4EF8"/>
    <w:rsid w:val="00AC50BE"/>
    <w:rsid w:val="00AC51C7"/>
    <w:rsid w:val="00AC5A02"/>
    <w:rsid w:val="00AC6CBA"/>
    <w:rsid w:val="00AD0A0B"/>
    <w:rsid w:val="00AE0810"/>
    <w:rsid w:val="00AE093E"/>
    <w:rsid w:val="00AE3482"/>
    <w:rsid w:val="00AE35E8"/>
    <w:rsid w:val="00AE47AC"/>
    <w:rsid w:val="00AE4C83"/>
    <w:rsid w:val="00AE6B34"/>
    <w:rsid w:val="00AE7DA4"/>
    <w:rsid w:val="00AF0A70"/>
    <w:rsid w:val="00AF114F"/>
    <w:rsid w:val="00AF431F"/>
    <w:rsid w:val="00AF5F7A"/>
    <w:rsid w:val="00AF5F8C"/>
    <w:rsid w:val="00B00536"/>
    <w:rsid w:val="00B00CDA"/>
    <w:rsid w:val="00B03873"/>
    <w:rsid w:val="00B04ABA"/>
    <w:rsid w:val="00B0518D"/>
    <w:rsid w:val="00B05EA6"/>
    <w:rsid w:val="00B07E5F"/>
    <w:rsid w:val="00B106A1"/>
    <w:rsid w:val="00B10C19"/>
    <w:rsid w:val="00B15186"/>
    <w:rsid w:val="00B16F52"/>
    <w:rsid w:val="00B20A9B"/>
    <w:rsid w:val="00B20BBC"/>
    <w:rsid w:val="00B20D6E"/>
    <w:rsid w:val="00B22BDD"/>
    <w:rsid w:val="00B230FA"/>
    <w:rsid w:val="00B23D6D"/>
    <w:rsid w:val="00B27931"/>
    <w:rsid w:val="00B3091B"/>
    <w:rsid w:val="00B31877"/>
    <w:rsid w:val="00B32971"/>
    <w:rsid w:val="00B34C9C"/>
    <w:rsid w:val="00B35BAE"/>
    <w:rsid w:val="00B405DD"/>
    <w:rsid w:val="00B44D83"/>
    <w:rsid w:val="00B53DBC"/>
    <w:rsid w:val="00B53F99"/>
    <w:rsid w:val="00B55974"/>
    <w:rsid w:val="00B561CB"/>
    <w:rsid w:val="00B56B3B"/>
    <w:rsid w:val="00B57B10"/>
    <w:rsid w:val="00B60408"/>
    <w:rsid w:val="00B60C30"/>
    <w:rsid w:val="00B61C1F"/>
    <w:rsid w:val="00B6257C"/>
    <w:rsid w:val="00B6344B"/>
    <w:rsid w:val="00B63D00"/>
    <w:rsid w:val="00B63F43"/>
    <w:rsid w:val="00B644DD"/>
    <w:rsid w:val="00B64947"/>
    <w:rsid w:val="00B659D6"/>
    <w:rsid w:val="00B70A9D"/>
    <w:rsid w:val="00B72A3C"/>
    <w:rsid w:val="00B82BBB"/>
    <w:rsid w:val="00B8381C"/>
    <w:rsid w:val="00B849ED"/>
    <w:rsid w:val="00B86487"/>
    <w:rsid w:val="00B87B23"/>
    <w:rsid w:val="00B922A0"/>
    <w:rsid w:val="00B92468"/>
    <w:rsid w:val="00B93425"/>
    <w:rsid w:val="00B934A1"/>
    <w:rsid w:val="00B95CE4"/>
    <w:rsid w:val="00BA1641"/>
    <w:rsid w:val="00BA22BF"/>
    <w:rsid w:val="00BA233D"/>
    <w:rsid w:val="00BA57F7"/>
    <w:rsid w:val="00BA760D"/>
    <w:rsid w:val="00BB0D4D"/>
    <w:rsid w:val="00BB3D9D"/>
    <w:rsid w:val="00BB4454"/>
    <w:rsid w:val="00BB4D75"/>
    <w:rsid w:val="00BB71E9"/>
    <w:rsid w:val="00BC65B1"/>
    <w:rsid w:val="00BD068B"/>
    <w:rsid w:val="00BD1276"/>
    <w:rsid w:val="00BD2AEB"/>
    <w:rsid w:val="00BD2D6E"/>
    <w:rsid w:val="00BD3F71"/>
    <w:rsid w:val="00BD657C"/>
    <w:rsid w:val="00BE2719"/>
    <w:rsid w:val="00BE5182"/>
    <w:rsid w:val="00BE5D2F"/>
    <w:rsid w:val="00BE65B3"/>
    <w:rsid w:val="00BF16F9"/>
    <w:rsid w:val="00BF2B6A"/>
    <w:rsid w:val="00BF3E00"/>
    <w:rsid w:val="00BF5304"/>
    <w:rsid w:val="00C04736"/>
    <w:rsid w:val="00C0632F"/>
    <w:rsid w:val="00C06E4E"/>
    <w:rsid w:val="00C07A15"/>
    <w:rsid w:val="00C2065D"/>
    <w:rsid w:val="00C209EE"/>
    <w:rsid w:val="00C23A97"/>
    <w:rsid w:val="00C271AC"/>
    <w:rsid w:val="00C369BD"/>
    <w:rsid w:val="00C40FD0"/>
    <w:rsid w:val="00C431F6"/>
    <w:rsid w:val="00C445D9"/>
    <w:rsid w:val="00C45B00"/>
    <w:rsid w:val="00C45F02"/>
    <w:rsid w:val="00C474AD"/>
    <w:rsid w:val="00C538F4"/>
    <w:rsid w:val="00C551C4"/>
    <w:rsid w:val="00C571B8"/>
    <w:rsid w:val="00C6027F"/>
    <w:rsid w:val="00C60B47"/>
    <w:rsid w:val="00C777A2"/>
    <w:rsid w:val="00C8178A"/>
    <w:rsid w:val="00C82853"/>
    <w:rsid w:val="00C87C5A"/>
    <w:rsid w:val="00C87E43"/>
    <w:rsid w:val="00C90AD0"/>
    <w:rsid w:val="00C94F99"/>
    <w:rsid w:val="00C95269"/>
    <w:rsid w:val="00C97928"/>
    <w:rsid w:val="00CA3841"/>
    <w:rsid w:val="00CA3F02"/>
    <w:rsid w:val="00CA7CAB"/>
    <w:rsid w:val="00CB083C"/>
    <w:rsid w:val="00CB0905"/>
    <w:rsid w:val="00CB14DA"/>
    <w:rsid w:val="00CB4C44"/>
    <w:rsid w:val="00CB4D45"/>
    <w:rsid w:val="00CB67F0"/>
    <w:rsid w:val="00CB6A9D"/>
    <w:rsid w:val="00CB6DD9"/>
    <w:rsid w:val="00CB7FC6"/>
    <w:rsid w:val="00CC36EA"/>
    <w:rsid w:val="00CC4102"/>
    <w:rsid w:val="00CC417D"/>
    <w:rsid w:val="00CC5737"/>
    <w:rsid w:val="00CC575C"/>
    <w:rsid w:val="00CC6FC2"/>
    <w:rsid w:val="00CD1740"/>
    <w:rsid w:val="00CD34EA"/>
    <w:rsid w:val="00CD4067"/>
    <w:rsid w:val="00CD40D8"/>
    <w:rsid w:val="00CD476A"/>
    <w:rsid w:val="00CD491A"/>
    <w:rsid w:val="00CD557F"/>
    <w:rsid w:val="00CD5F94"/>
    <w:rsid w:val="00CD75B9"/>
    <w:rsid w:val="00CE3A5E"/>
    <w:rsid w:val="00CE55DB"/>
    <w:rsid w:val="00CF0FBA"/>
    <w:rsid w:val="00CF28D5"/>
    <w:rsid w:val="00CF418D"/>
    <w:rsid w:val="00CF506D"/>
    <w:rsid w:val="00D00F91"/>
    <w:rsid w:val="00D03215"/>
    <w:rsid w:val="00D0487A"/>
    <w:rsid w:val="00D05CE7"/>
    <w:rsid w:val="00D12AA9"/>
    <w:rsid w:val="00D13B1B"/>
    <w:rsid w:val="00D149D0"/>
    <w:rsid w:val="00D161A2"/>
    <w:rsid w:val="00D22F07"/>
    <w:rsid w:val="00D27AFD"/>
    <w:rsid w:val="00D27D93"/>
    <w:rsid w:val="00D30344"/>
    <w:rsid w:val="00D34514"/>
    <w:rsid w:val="00D3656A"/>
    <w:rsid w:val="00D408CF"/>
    <w:rsid w:val="00D40BC0"/>
    <w:rsid w:val="00D410B5"/>
    <w:rsid w:val="00D44E67"/>
    <w:rsid w:val="00D46307"/>
    <w:rsid w:val="00D47ADF"/>
    <w:rsid w:val="00D504F0"/>
    <w:rsid w:val="00D527C0"/>
    <w:rsid w:val="00D52E92"/>
    <w:rsid w:val="00D54B71"/>
    <w:rsid w:val="00D61925"/>
    <w:rsid w:val="00D630E5"/>
    <w:rsid w:val="00D639F8"/>
    <w:rsid w:val="00D643CC"/>
    <w:rsid w:val="00D657C8"/>
    <w:rsid w:val="00D67AA8"/>
    <w:rsid w:val="00D70BFC"/>
    <w:rsid w:val="00D73C63"/>
    <w:rsid w:val="00D7414E"/>
    <w:rsid w:val="00D76654"/>
    <w:rsid w:val="00D76D9D"/>
    <w:rsid w:val="00D82F88"/>
    <w:rsid w:val="00D83001"/>
    <w:rsid w:val="00D86D56"/>
    <w:rsid w:val="00D8777C"/>
    <w:rsid w:val="00D90488"/>
    <w:rsid w:val="00D90F10"/>
    <w:rsid w:val="00D92B16"/>
    <w:rsid w:val="00D93670"/>
    <w:rsid w:val="00D96AFA"/>
    <w:rsid w:val="00D9742F"/>
    <w:rsid w:val="00DA196B"/>
    <w:rsid w:val="00DA633A"/>
    <w:rsid w:val="00DA6708"/>
    <w:rsid w:val="00DA6B23"/>
    <w:rsid w:val="00DA7BF8"/>
    <w:rsid w:val="00DB1E42"/>
    <w:rsid w:val="00DB457C"/>
    <w:rsid w:val="00DB7CC7"/>
    <w:rsid w:val="00DC1FA3"/>
    <w:rsid w:val="00DC7B7E"/>
    <w:rsid w:val="00DD0DBE"/>
    <w:rsid w:val="00DD16F8"/>
    <w:rsid w:val="00DD2DE5"/>
    <w:rsid w:val="00DD2ED9"/>
    <w:rsid w:val="00DD6847"/>
    <w:rsid w:val="00DE15ED"/>
    <w:rsid w:val="00DE3165"/>
    <w:rsid w:val="00DE4742"/>
    <w:rsid w:val="00DE4D44"/>
    <w:rsid w:val="00DE50FB"/>
    <w:rsid w:val="00DE693E"/>
    <w:rsid w:val="00DF03A1"/>
    <w:rsid w:val="00DF0EAF"/>
    <w:rsid w:val="00DF6F99"/>
    <w:rsid w:val="00E07B52"/>
    <w:rsid w:val="00E07E60"/>
    <w:rsid w:val="00E10432"/>
    <w:rsid w:val="00E1092E"/>
    <w:rsid w:val="00E11702"/>
    <w:rsid w:val="00E13A23"/>
    <w:rsid w:val="00E2260E"/>
    <w:rsid w:val="00E241C1"/>
    <w:rsid w:val="00E24BD9"/>
    <w:rsid w:val="00E303DC"/>
    <w:rsid w:val="00E31FBA"/>
    <w:rsid w:val="00E320E1"/>
    <w:rsid w:val="00E32E11"/>
    <w:rsid w:val="00E34156"/>
    <w:rsid w:val="00E34474"/>
    <w:rsid w:val="00E35761"/>
    <w:rsid w:val="00E40DD6"/>
    <w:rsid w:val="00E424D7"/>
    <w:rsid w:val="00E43672"/>
    <w:rsid w:val="00E510EC"/>
    <w:rsid w:val="00E529C9"/>
    <w:rsid w:val="00E60292"/>
    <w:rsid w:val="00E65BA2"/>
    <w:rsid w:val="00E65D05"/>
    <w:rsid w:val="00E65D2A"/>
    <w:rsid w:val="00E6671C"/>
    <w:rsid w:val="00E676FC"/>
    <w:rsid w:val="00E67CDE"/>
    <w:rsid w:val="00E702AC"/>
    <w:rsid w:val="00E70EA9"/>
    <w:rsid w:val="00E716F9"/>
    <w:rsid w:val="00E7282C"/>
    <w:rsid w:val="00E72F05"/>
    <w:rsid w:val="00E7355F"/>
    <w:rsid w:val="00E756EB"/>
    <w:rsid w:val="00E76D91"/>
    <w:rsid w:val="00E80112"/>
    <w:rsid w:val="00E803D9"/>
    <w:rsid w:val="00E81BCD"/>
    <w:rsid w:val="00E84476"/>
    <w:rsid w:val="00E84B27"/>
    <w:rsid w:val="00E868DB"/>
    <w:rsid w:val="00E86B1D"/>
    <w:rsid w:val="00E86E5F"/>
    <w:rsid w:val="00EA47B9"/>
    <w:rsid w:val="00EA6969"/>
    <w:rsid w:val="00EA6DCD"/>
    <w:rsid w:val="00EA6E97"/>
    <w:rsid w:val="00EB394D"/>
    <w:rsid w:val="00EB3A4A"/>
    <w:rsid w:val="00EC212B"/>
    <w:rsid w:val="00EC355D"/>
    <w:rsid w:val="00EC3CA5"/>
    <w:rsid w:val="00ED1B1C"/>
    <w:rsid w:val="00ED1C3D"/>
    <w:rsid w:val="00ED2C0A"/>
    <w:rsid w:val="00ED549E"/>
    <w:rsid w:val="00ED62D0"/>
    <w:rsid w:val="00EE18D0"/>
    <w:rsid w:val="00EE2C22"/>
    <w:rsid w:val="00EE7E06"/>
    <w:rsid w:val="00EF36DF"/>
    <w:rsid w:val="00EF476C"/>
    <w:rsid w:val="00EF5A84"/>
    <w:rsid w:val="00EF6209"/>
    <w:rsid w:val="00EF7B09"/>
    <w:rsid w:val="00F1309F"/>
    <w:rsid w:val="00F13563"/>
    <w:rsid w:val="00F13F2B"/>
    <w:rsid w:val="00F14279"/>
    <w:rsid w:val="00F21A62"/>
    <w:rsid w:val="00F2425D"/>
    <w:rsid w:val="00F254D8"/>
    <w:rsid w:val="00F30AEB"/>
    <w:rsid w:val="00F31195"/>
    <w:rsid w:val="00F316B3"/>
    <w:rsid w:val="00F37DF7"/>
    <w:rsid w:val="00F42035"/>
    <w:rsid w:val="00F431F6"/>
    <w:rsid w:val="00F432E7"/>
    <w:rsid w:val="00F436D0"/>
    <w:rsid w:val="00F43F8E"/>
    <w:rsid w:val="00F523A0"/>
    <w:rsid w:val="00F53044"/>
    <w:rsid w:val="00F605AD"/>
    <w:rsid w:val="00F62668"/>
    <w:rsid w:val="00F630EE"/>
    <w:rsid w:val="00F64670"/>
    <w:rsid w:val="00F728C6"/>
    <w:rsid w:val="00F73283"/>
    <w:rsid w:val="00F7347C"/>
    <w:rsid w:val="00F74965"/>
    <w:rsid w:val="00F751F9"/>
    <w:rsid w:val="00F76609"/>
    <w:rsid w:val="00F824D6"/>
    <w:rsid w:val="00F82896"/>
    <w:rsid w:val="00F844E7"/>
    <w:rsid w:val="00F93773"/>
    <w:rsid w:val="00F94490"/>
    <w:rsid w:val="00FA163B"/>
    <w:rsid w:val="00FA17F2"/>
    <w:rsid w:val="00FA4BD4"/>
    <w:rsid w:val="00FA7031"/>
    <w:rsid w:val="00FA7C83"/>
    <w:rsid w:val="00FB10F2"/>
    <w:rsid w:val="00FB21DB"/>
    <w:rsid w:val="00FB3687"/>
    <w:rsid w:val="00FB5F19"/>
    <w:rsid w:val="00FC1795"/>
    <w:rsid w:val="00FC4C81"/>
    <w:rsid w:val="00FD1FA3"/>
    <w:rsid w:val="00FD23C6"/>
    <w:rsid w:val="00FD4A39"/>
    <w:rsid w:val="00FD56B2"/>
    <w:rsid w:val="00FE3254"/>
    <w:rsid w:val="00FE42F9"/>
    <w:rsid w:val="00FE5E9E"/>
    <w:rsid w:val="00FE6783"/>
    <w:rsid w:val="00FF099D"/>
    <w:rsid w:val="00FF2E02"/>
    <w:rsid w:val="00FF5194"/>
    <w:rsid w:val="5FF71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220A9"/>
  <w15:docId w15:val="{1B0F232E-3CE9-4AA1-AD54-56DFC59E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582"/>
    <w:pPr>
      <w:spacing w:before="60" w:after="60" w:line="240" w:lineRule="auto"/>
    </w:pPr>
    <w:rPr>
      <w:rFonts w:ascii="Times New Roman" w:hAnsi="Times New Roman"/>
      <w:sz w:val="24"/>
    </w:rPr>
  </w:style>
  <w:style w:type="paragraph" w:styleId="Heading1">
    <w:name w:val="heading 1"/>
    <w:basedOn w:val="Normal"/>
    <w:next w:val="Normal"/>
    <w:link w:val="Heading1Char"/>
    <w:uiPriority w:val="9"/>
    <w:qFormat/>
    <w:rsid w:val="00172FB6"/>
    <w:pPr>
      <w:keepNext/>
      <w:keepLines/>
      <w:numPr>
        <w:numId w:val="3"/>
      </w:numPr>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7B6FFF"/>
    <w:pPr>
      <w:keepNext/>
      <w:keepLines/>
      <w:numPr>
        <w:ilvl w:val="1"/>
        <w:numId w:val="3"/>
      </w:numPr>
      <w:spacing w:before="120" w:after="120"/>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122660"/>
    <w:pPr>
      <w:keepNext/>
      <w:keepLines/>
      <w:numPr>
        <w:ilvl w:val="2"/>
        <w:numId w:val="3"/>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22660"/>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22660"/>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22660"/>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22660"/>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2266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266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99"/>
    <w:pPr>
      <w:tabs>
        <w:tab w:val="center" w:pos="4513"/>
        <w:tab w:val="right" w:pos="9026"/>
      </w:tabs>
      <w:spacing w:after="0"/>
    </w:pPr>
  </w:style>
  <w:style w:type="character" w:customStyle="1" w:styleId="HeaderChar">
    <w:name w:val="Header Char"/>
    <w:basedOn w:val="DefaultParagraphFont"/>
    <w:link w:val="Header"/>
    <w:uiPriority w:val="99"/>
    <w:rsid w:val="00DF6F99"/>
  </w:style>
  <w:style w:type="paragraph" w:styleId="Footer">
    <w:name w:val="footer"/>
    <w:basedOn w:val="Normal"/>
    <w:link w:val="FooterChar"/>
    <w:uiPriority w:val="99"/>
    <w:unhideWhenUsed/>
    <w:rsid w:val="00DF6F99"/>
    <w:pPr>
      <w:tabs>
        <w:tab w:val="center" w:pos="4513"/>
        <w:tab w:val="right" w:pos="9026"/>
      </w:tabs>
      <w:spacing w:after="0"/>
    </w:pPr>
  </w:style>
  <w:style w:type="character" w:customStyle="1" w:styleId="FooterChar">
    <w:name w:val="Footer Char"/>
    <w:basedOn w:val="DefaultParagraphFont"/>
    <w:link w:val="Footer"/>
    <w:uiPriority w:val="99"/>
    <w:rsid w:val="00DF6F99"/>
  </w:style>
  <w:style w:type="paragraph" w:styleId="BalloonText">
    <w:name w:val="Balloon Text"/>
    <w:basedOn w:val="Normal"/>
    <w:link w:val="BalloonTextChar"/>
    <w:uiPriority w:val="99"/>
    <w:semiHidden/>
    <w:unhideWhenUsed/>
    <w:rsid w:val="002D1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A"/>
    <w:rPr>
      <w:rFonts w:ascii="Tahoma" w:hAnsi="Tahoma" w:cs="Tahoma"/>
      <w:sz w:val="16"/>
      <w:szCs w:val="16"/>
    </w:rPr>
  </w:style>
  <w:style w:type="paragraph" w:styleId="ListParagraph">
    <w:name w:val="List Paragraph"/>
    <w:basedOn w:val="Normal"/>
    <w:uiPriority w:val="34"/>
    <w:qFormat/>
    <w:rsid w:val="0096481C"/>
    <w:pPr>
      <w:ind w:left="720"/>
      <w:contextualSpacing/>
    </w:pPr>
  </w:style>
  <w:style w:type="character" w:styleId="Hyperlink">
    <w:name w:val="Hyperlink"/>
    <w:basedOn w:val="DefaultParagraphFont"/>
    <w:uiPriority w:val="99"/>
    <w:unhideWhenUsed/>
    <w:rsid w:val="001E1B2A"/>
    <w:rPr>
      <w:color w:val="0000FF" w:themeColor="hyperlink"/>
      <w:u w:val="single"/>
    </w:rPr>
  </w:style>
  <w:style w:type="paragraph" w:styleId="FootnoteText">
    <w:name w:val="footnote text"/>
    <w:basedOn w:val="Normal"/>
    <w:link w:val="FootnoteTextChar"/>
    <w:uiPriority w:val="99"/>
    <w:semiHidden/>
    <w:unhideWhenUsed/>
    <w:rsid w:val="00410979"/>
    <w:pPr>
      <w:spacing w:after="0"/>
    </w:pPr>
    <w:rPr>
      <w:sz w:val="20"/>
      <w:szCs w:val="20"/>
    </w:rPr>
  </w:style>
  <w:style w:type="character" w:customStyle="1" w:styleId="FootnoteTextChar">
    <w:name w:val="Footnote Text Char"/>
    <w:basedOn w:val="DefaultParagraphFont"/>
    <w:link w:val="FootnoteText"/>
    <w:uiPriority w:val="99"/>
    <w:semiHidden/>
    <w:rsid w:val="00410979"/>
    <w:rPr>
      <w:sz w:val="20"/>
      <w:szCs w:val="20"/>
    </w:rPr>
  </w:style>
  <w:style w:type="character" w:styleId="FootnoteReference">
    <w:name w:val="footnote reference"/>
    <w:basedOn w:val="DefaultParagraphFont"/>
    <w:uiPriority w:val="99"/>
    <w:semiHidden/>
    <w:unhideWhenUsed/>
    <w:rsid w:val="00410979"/>
    <w:rPr>
      <w:vertAlign w:val="superscript"/>
    </w:rPr>
  </w:style>
  <w:style w:type="character" w:customStyle="1" w:styleId="UnresolvedMention1">
    <w:name w:val="Unresolved Mention1"/>
    <w:basedOn w:val="DefaultParagraphFont"/>
    <w:uiPriority w:val="99"/>
    <w:semiHidden/>
    <w:unhideWhenUsed/>
    <w:rsid w:val="00171AD6"/>
    <w:rPr>
      <w:color w:val="808080"/>
      <w:shd w:val="clear" w:color="auto" w:fill="E6E6E6"/>
    </w:rPr>
  </w:style>
  <w:style w:type="character" w:styleId="FollowedHyperlink">
    <w:name w:val="FollowedHyperlink"/>
    <w:basedOn w:val="DefaultParagraphFont"/>
    <w:uiPriority w:val="99"/>
    <w:semiHidden/>
    <w:unhideWhenUsed/>
    <w:rsid w:val="004567D8"/>
    <w:rPr>
      <w:color w:val="800080" w:themeColor="followedHyperlink"/>
      <w:u w:val="single"/>
    </w:rPr>
  </w:style>
  <w:style w:type="character" w:customStyle="1" w:styleId="Heading1Char">
    <w:name w:val="Heading 1 Char"/>
    <w:basedOn w:val="DefaultParagraphFont"/>
    <w:link w:val="Heading1"/>
    <w:uiPriority w:val="9"/>
    <w:rsid w:val="00172FB6"/>
    <w:rPr>
      <w:rFonts w:ascii="Times New Roman" w:eastAsiaTheme="majorEastAsia" w:hAnsi="Times New Roman" w:cstheme="majorBidi"/>
      <w:b/>
      <w:sz w:val="28"/>
      <w:szCs w:val="32"/>
      <w:u w:val="single"/>
    </w:rPr>
  </w:style>
  <w:style w:type="paragraph" w:styleId="TOCHeading">
    <w:name w:val="TOC Heading"/>
    <w:basedOn w:val="Heading1"/>
    <w:next w:val="Normal"/>
    <w:uiPriority w:val="39"/>
    <w:unhideWhenUsed/>
    <w:qFormat/>
    <w:rsid w:val="00F53044"/>
    <w:pPr>
      <w:numPr>
        <w:numId w:val="0"/>
      </w:numPr>
      <w:spacing w:line="259" w:lineRule="auto"/>
      <w:outlineLvl w:val="9"/>
    </w:pPr>
    <w:rPr>
      <w:lang w:val="en-US"/>
    </w:rPr>
  </w:style>
  <w:style w:type="paragraph" w:styleId="TOC1">
    <w:name w:val="toc 1"/>
    <w:basedOn w:val="Normal"/>
    <w:next w:val="Normal"/>
    <w:autoRedefine/>
    <w:uiPriority w:val="39"/>
    <w:unhideWhenUsed/>
    <w:rsid w:val="00882334"/>
    <w:pPr>
      <w:tabs>
        <w:tab w:val="left" w:pos="440"/>
        <w:tab w:val="right" w:leader="dot" w:pos="15468"/>
      </w:tabs>
      <w:spacing w:after="100"/>
      <w:ind w:left="567" w:hanging="567"/>
    </w:pPr>
  </w:style>
  <w:style w:type="character" w:customStyle="1" w:styleId="Heading2Char">
    <w:name w:val="Heading 2 Char"/>
    <w:basedOn w:val="DefaultParagraphFont"/>
    <w:link w:val="Heading2"/>
    <w:uiPriority w:val="9"/>
    <w:rsid w:val="007B6FFF"/>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1226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226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2266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226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226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226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2660"/>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882334"/>
    <w:pPr>
      <w:tabs>
        <w:tab w:val="left" w:pos="880"/>
        <w:tab w:val="left" w:pos="993"/>
        <w:tab w:val="right" w:leader="dot" w:pos="10194"/>
      </w:tabs>
      <w:spacing w:after="100"/>
      <w:ind w:left="851" w:hanging="425"/>
    </w:pPr>
  </w:style>
  <w:style w:type="character" w:styleId="CommentReference">
    <w:name w:val="annotation reference"/>
    <w:basedOn w:val="DefaultParagraphFont"/>
    <w:uiPriority w:val="99"/>
    <w:semiHidden/>
    <w:unhideWhenUsed/>
    <w:rsid w:val="00D408CF"/>
    <w:rPr>
      <w:sz w:val="16"/>
      <w:szCs w:val="16"/>
    </w:rPr>
  </w:style>
  <w:style w:type="paragraph" w:styleId="CommentText">
    <w:name w:val="annotation text"/>
    <w:basedOn w:val="Normal"/>
    <w:link w:val="CommentTextChar"/>
    <w:uiPriority w:val="99"/>
    <w:unhideWhenUsed/>
    <w:rsid w:val="00D408CF"/>
    <w:rPr>
      <w:sz w:val="20"/>
      <w:szCs w:val="20"/>
    </w:rPr>
  </w:style>
  <w:style w:type="character" w:customStyle="1" w:styleId="CommentTextChar">
    <w:name w:val="Comment Text Char"/>
    <w:basedOn w:val="DefaultParagraphFont"/>
    <w:link w:val="CommentText"/>
    <w:uiPriority w:val="99"/>
    <w:rsid w:val="00D408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08CF"/>
    <w:rPr>
      <w:b/>
      <w:bCs/>
    </w:rPr>
  </w:style>
  <w:style w:type="character" w:customStyle="1" w:styleId="CommentSubjectChar">
    <w:name w:val="Comment Subject Char"/>
    <w:basedOn w:val="CommentTextChar"/>
    <w:link w:val="CommentSubject"/>
    <w:uiPriority w:val="99"/>
    <w:semiHidden/>
    <w:rsid w:val="00D408CF"/>
    <w:rPr>
      <w:rFonts w:ascii="Times New Roman" w:hAnsi="Times New Roman"/>
      <w:b/>
      <w:bCs/>
      <w:sz w:val="20"/>
      <w:szCs w:val="20"/>
    </w:rPr>
  </w:style>
  <w:style w:type="character" w:customStyle="1" w:styleId="linknounderline">
    <w:name w:val="link_no_underline"/>
    <w:basedOn w:val="DefaultParagraphFont"/>
    <w:rsid w:val="00576A03"/>
  </w:style>
  <w:style w:type="character" w:styleId="UnresolvedMention">
    <w:name w:val="Unresolved Mention"/>
    <w:basedOn w:val="DefaultParagraphFont"/>
    <w:uiPriority w:val="99"/>
    <w:semiHidden/>
    <w:unhideWhenUsed/>
    <w:rsid w:val="00AE093E"/>
    <w:rPr>
      <w:color w:val="605E5C"/>
      <w:shd w:val="clear" w:color="auto" w:fill="E1DFDD"/>
    </w:rPr>
  </w:style>
  <w:style w:type="character" w:styleId="Emphasis">
    <w:name w:val="Emphasis"/>
    <w:basedOn w:val="DefaultParagraphFont"/>
    <w:uiPriority w:val="20"/>
    <w:qFormat/>
    <w:rsid w:val="0050422D"/>
    <w:rPr>
      <w:i/>
      <w:iCs/>
    </w:rPr>
  </w:style>
  <w:style w:type="paragraph" w:customStyle="1" w:styleId="1szqc">
    <w:name w:val="_1szqc"/>
    <w:basedOn w:val="Normal"/>
    <w:rsid w:val="001376D0"/>
    <w:pPr>
      <w:spacing w:before="100" w:beforeAutospacing="1" w:after="100" w:afterAutospacing="1"/>
    </w:pPr>
    <w:rPr>
      <w:rFonts w:eastAsia="Times New Roman" w:cs="Times New Roman"/>
      <w:szCs w:val="24"/>
      <w:lang w:eastAsia="en-AU"/>
    </w:rPr>
  </w:style>
  <w:style w:type="paragraph" w:customStyle="1" w:styleId="3jwd8">
    <w:name w:val="_3jwd8"/>
    <w:basedOn w:val="Normal"/>
    <w:rsid w:val="008D5A0D"/>
    <w:pPr>
      <w:spacing w:before="100" w:beforeAutospacing="1" w:after="100" w:afterAutospacing="1"/>
    </w:pPr>
    <w:rPr>
      <w:rFonts w:eastAsia="Times New Roman" w:cs="Times New Roman"/>
      <w:szCs w:val="24"/>
      <w:lang w:eastAsia="en-AU"/>
    </w:rPr>
  </w:style>
  <w:style w:type="character" w:customStyle="1" w:styleId="2wxqg">
    <w:name w:val="_2wxqg"/>
    <w:basedOn w:val="DefaultParagraphFont"/>
    <w:rsid w:val="008D5A0D"/>
  </w:style>
  <w:style w:type="paragraph" w:styleId="NoSpacing">
    <w:name w:val="No Spacing"/>
    <w:aliases w:val="indent"/>
    <w:link w:val="NoSpacingChar"/>
    <w:uiPriority w:val="1"/>
    <w:qFormat/>
    <w:rsid w:val="00741854"/>
    <w:pPr>
      <w:spacing w:before="120" w:after="120" w:line="240" w:lineRule="auto"/>
      <w:ind w:firstLine="720"/>
    </w:pPr>
    <w:rPr>
      <w:rFonts w:ascii="Times New Roman" w:hAnsi="Times New Roman"/>
      <w:sz w:val="24"/>
    </w:rPr>
  </w:style>
  <w:style w:type="paragraph" w:styleId="Revision">
    <w:name w:val="Revision"/>
    <w:hidden/>
    <w:uiPriority w:val="99"/>
    <w:semiHidden/>
    <w:rsid w:val="001566A7"/>
    <w:pPr>
      <w:spacing w:after="0" w:line="240" w:lineRule="auto"/>
    </w:pPr>
    <w:rPr>
      <w:rFonts w:ascii="Times New Roman" w:hAnsi="Times New Roman"/>
      <w:sz w:val="24"/>
    </w:rPr>
  </w:style>
  <w:style w:type="paragraph" w:customStyle="1" w:styleId="Table">
    <w:name w:val="Table"/>
    <w:basedOn w:val="Normal"/>
    <w:rsid w:val="001566A7"/>
    <w:pPr>
      <w:numPr>
        <w:numId w:val="52"/>
      </w:numPr>
      <w:ind w:left="1440"/>
    </w:pPr>
  </w:style>
  <w:style w:type="paragraph" w:customStyle="1" w:styleId="reference">
    <w:name w:val="reference"/>
    <w:basedOn w:val="Normal"/>
    <w:link w:val="referenceChar"/>
    <w:qFormat/>
    <w:rsid w:val="000126A6"/>
    <w:pPr>
      <w:widowControl w:val="0"/>
      <w:spacing w:before="120" w:after="120"/>
      <w:ind w:left="720" w:hanging="720"/>
    </w:pPr>
    <w:rPr>
      <w:rFonts w:cs="Times New Roman"/>
      <w:noProof/>
      <w:sz w:val="20"/>
      <w:szCs w:val="20"/>
      <w:lang w:val="en-US"/>
    </w:rPr>
  </w:style>
  <w:style w:type="character" w:customStyle="1" w:styleId="referenceChar">
    <w:name w:val="reference Char"/>
    <w:basedOn w:val="DefaultParagraphFont"/>
    <w:link w:val="reference"/>
    <w:rsid w:val="000126A6"/>
    <w:rPr>
      <w:rFonts w:ascii="Times New Roman" w:hAnsi="Times New Roman" w:cs="Times New Roman"/>
      <w:noProof/>
      <w:sz w:val="20"/>
      <w:szCs w:val="20"/>
      <w:lang w:val="en-US"/>
    </w:rPr>
  </w:style>
  <w:style w:type="character" w:customStyle="1" w:styleId="NoSpacingChar">
    <w:name w:val="No Spacing Char"/>
    <w:aliases w:val="indent Char"/>
    <w:basedOn w:val="DefaultParagraphFont"/>
    <w:link w:val="NoSpacing"/>
    <w:uiPriority w:val="1"/>
    <w:rsid w:val="00A975AA"/>
    <w:rPr>
      <w:rFonts w:ascii="Times New Roman" w:hAnsi="Times New Roman"/>
      <w:sz w:val="24"/>
    </w:rPr>
  </w:style>
  <w:style w:type="paragraph" w:styleId="BodyText">
    <w:name w:val="Body Text"/>
    <w:basedOn w:val="Normal"/>
    <w:link w:val="BodyTextChar"/>
    <w:uiPriority w:val="1"/>
    <w:qFormat/>
    <w:rsid w:val="009B64E6"/>
    <w:pPr>
      <w:widowControl w:val="0"/>
      <w:autoSpaceDE w:val="0"/>
      <w:autoSpaceDN w:val="0"/>
      <w:spacing w:before="0" w:after="0"/>
    </w:pPr>
    <w:rPr>
      <w:rFonts w:ascii="Arial" w:eastAsia="Arial" w:hAnsi="Arial" w:cs="Arial"/>
      <w:sz w:val="20"/>
      <w:szCs w:val="20"/>
    </w:rPr>
  </w:style>
  <w:style w:type="character" w:customStyle="1" w:styleId="BodyTextChar">
    <w:name w:val="Body Text Char"/>
    <w:basedOn w:val="DefaultParagraphFont"/>
    <w:link w:val="BodyText"/>
    <w:uiPriority w:val="1"/>
    <w:rsid w:val="009B64E6"/>
    <w:rPr>
      <w:rFonts w:ascii="Arial" w:eastAsia="Arial" w:hAnsi="Arial" w:cs="Arial"/>
      <w:sz w:val="20"/>
      <w:szCs w:val="20"/>
    </w:rPr>
  </w:style>
  <w:style w:type="paragraph" w:styleId="Title">
    <w:name w:val="Title"/>
    <w:basedOn w:val="Normal"/>
    <w:link w:val="TitleChar"/>
    <w:uiPriority w:val="10"/>
    <w:qFormat/>
    <w:rsid w:val="009B64E6"/>
    <w:pPr>
      <w:widowControl w:val="0"/>
      <w:autoSpaceDE w:val="0"/>
      <w:autoSpaceDN w:val="0"/>
      <w:spacing w:before="255" w:after="0"/>
      <w:ind w:left="272"/>
    </w:pPr>
    <w:rPr>
      <w:rFonts w:ascii="Calibri" w:eastAsia="Calibri" w:hAnsi="Calibri" w:cs="Calibri"/>
      <w:b/>
      <w:bCs/>
      <w:sz w:val="80"/>
      <w:szCs w:val="80"/>
    </w:rPr>
  </w:style>
  <w:style w:type="character" w:customStyle="1" w:styleId="TitleChar">
    <w:name w:val="Title Char"/>
    <w:basedOn w:val="DefaultParagraphFont"/>
    <w:link w:val="Title"/>
    <w:uiPriority w:val="10"/>
    <w:rsid w:val="009B64E6"/>
    <w:rPr>
      <w:rFonts w:ascii="Calibri" w:eastAsia="Calibri" w:hAnsi="Calibri" w:cs="Calibri"/>
      <w:b/>
      <w:bCs/>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2420">
      <w:bodyDiv w:val="1"/>
      <w:marLeft w:val="0"/>
      <w:marRight w:val="0"/>
      <w:marTop w:val="0"/>
      <w:marBottom w:val="0"/>
      <w:divBdr>
        <w:top w:val="none" w:sz="0" w:space="0" w:color="auto"/>
        <w:left w:val="none" w:sz="0" w:space="0" w:color="auto"/>
        <w:bottom w:val="none" w:sz="0" w:space="0" w:color="auto"/>
        <w:right w:val="none" w:sz="0" w:space="0" w:color="auto"/>
      </w:divBdr>
    </w:div>
    <w:div w:id="374082815">
      <w:bodyDiv w:val="1"/>
      <w:marLeft w:val="0"/>
      <w:marRight w:val="0"/>
      <w:marTop w:val="0"/>
      <w:marBottom w:val="0"/>
      <w:divBdr>
        <w:top w:val="none" w:sz="0" w:space="0" w:color="auto"/>
        <w:left w:val="none" w:sz="0" w:space="0" w:color="auto"/>
        <w:bottom w:val="none" w:sz="0" w:space="0" w:color="auto"/>
        <w:right w:val="none" w:sz="0" w:space="0" w:color="auto"/>
      </w:divBdr>
    </w:div>
    <w:div w:id="780760358">
      <w:bodyDiv w:val="1"/>
      <w:marLeft w:val="0"/>
      <w:marRight w:val="0"/>
      <w:marTop w:val="0"/>
      <w:marBottom w:val="0"/>
      <w:divBdr>
        <w:top w:val="none" w:sz="0" w:space="0" w:color="auto"/>
        <w:left w:val="none" w:sz="0" w:space="0" w:color="auto"/>
        <w:bottom w:val="none" w:sz="0" w:space="0" w:color="auto"/>
        <w:right w:val="none" w:sz="0" w:space="0" w:color="auto"/>
      </w:divBdr>
    </w:div>
    <w:div w:id="1291715212">
      <w:bodyDiv w:val="1"/>
      <w:marLeft w:val="0"/>
      <w:marRight w:val="0"/>
      <w:marTop w:val="0"/>
      <w:marBottom w:val="0"/>
      <w:divBdr>
        <w:top w:val="none" w:sz="0" w:space="0" w:color="auto"/>
        <w:left w:val="none" w:sz="0" w:space="0" w:color="auto"/>
        <w:bottom w:val="none" w:sz="0" w:space="0" w:color="auto"/>
        <w:right w:val="none" w:sz="0" w:space="0" w:color="auto"/>
      </w:divBdr>
      <w:divsChild>
        <w:div w:id="1045718499">
          <w:marLeft w:val="0"/>
          <w:marRight w:val="0"/>
          <w:marTop w:val="0"/>
          <w:marBottom w:val="0"/>
          <w:divBdr>
            <w:top w:val="none" w:sz="0" w:space="0" w:color="auto"/>
            <w:left w:val="none" w:sz="0" w:space="0" w:color="auto"/>
            <w:bottom w:val="none" w:sz="0" w:space="0" w:color="auto"/>
            <w:right w:val="none" w:sz="0" w:space="0" w:color="auto"/>
          </w:divBdr>
          <w:divsChild>
            <w:div w:id="1019746264">
              <w:marLeft w:val="0"/>
              <w:marRight w:val="0"/>
              <w:marTop w:val="0"/>
              <w:marBottom w:val="0"/>
              <w:divBdr>
                <w:top w:val="none" w:sz="0" w:space="0" w:color="auto"/>
                <w:left w:val="none" w:sz="0" w:space="0" w:color="auto"/>
                <w:bottom w:val="none" w:sz="0" w:space="0" w:color="auto"/>
                <w:right w:val="none" w:sz="0" w:space="0" w:color="auto"/>
              </w:divBdr>
              <w:divsChild>
                <w:div w:id="1866601841">
                  <w:marLeft w:val="0"/>
                  <w:marRight w:val="0"/>
                  <w:marTop w:val="0"/>
                  <w:marBottom w:val="0"/>
                  <w:divBdr>
                    <w:top w:val="none" w:sz="0" w:space="0" w:color="auto"/>
                    <w:left w:val="none" w:sz="0" w:space="0" w:color="auto"/>
                    <w:bottom w:val="none" w:sz="0" w:space="0" w:color="auto"/>
                    <w:right w:val="none" w:sz="0" w:space="0" w:color="auto"/>
                  </w:divBdr>
                  <w:divsChild>
                    <w:div w:id="19982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77440">
      <w:bodyDiv w:val="1"/>
      <w:marLeft w:val="0"/>
      <w:marRight w:val="0"/>
      <w:marTop w:val="0"/>
      <w:marBottom w:val="0"/>
      <w:divBdr>
        <w:top w:val="none" w:sz="0" w:space="0" w:color="auto"/>
        <w:left w:val="none" w:sz="0" w:space="0" w:color="auto"/>
        <w:bottom w:val="none" w:sz="0" w:space="0" w:color="auto"/>
        <w:right w:val="none" w:sz="0" w:space="0" w:color="auto"/>
      </w:divBdr>
    </w:div>
    <w:div w:id="1723866356">
      <w:bodyDiv w:val="1"/>
      <w:marLeft w:val="0"/>
      <w:marRight w:val="0"/>
      <w:marTop w:val="0"/>
      <w:marBottom w:val="0"/>
      <w:divBdr>
        <w:top w:val="none" w:sz="0" w:space="0" w:color="auto"/>
        <w:left w:val="none" w:sz="0" w:space="0" w:color="auto"/>
        <w:bottom w:val="none" w:sz="0" w:space="0" w:color="auto"/>
        <w:right w:val="none" w:sz="0" w:space="0" w:color="auto"/>
      </w:divBdr>
    </w:div>
    <w:div w:id="1879732245">
      <w:bodyDiv w:val="1"/>
      <w:marLeft w:val="0"/>
      <w:marRight w:val="0"/>
      <w:marTop w:val="0"/>
      <w:marBottom w:val="0"/>
      <w:divBdr>
        <w:top w:val="none" w:sz="0" w:space="0" w:color="auto"/>
        <w:left w:val="none" w:sz="0" w:space="0" w:color="auto"/>
        <w:bottom w:val="none" w:sz="0" w:space="0" w:color="auto"/>
        <w:right w:val="none" w:sz="0" w:space="0" w:color="auto"/>
      </w:divBdr>
    </w:div>
    <w:div w:id="19872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ustralian.com.au/nation/politics/nt-opposition-puts-nations-most-bloated-public-service-on-notice/news-story/2d107d69ad3e6d10b20d1464d7038cdc" TargetMode="External"/><Relationship Id="rId18" Type="http://schemas.openxmlformats.org/officeDocument/2006/relationships/hyperlink" Target="https://www.themandarin.com.au/59280-single-page-applications-nt-ahead-game/" TargetMode="External"/><Relationship Id="rId26" Type="http://schemas.openxmlformats.org/officeDocument/2006/relationships/hyperlink" Target="https://www.aph.gov.au/About_Parliament/Parliamentary_Departments/Parliamentary_Library/Publications_Archive/online/NTConstitutionalMilestones" TargetMode="External"/><Relationship Id="rId39" Type="http://schemas.openxmlformats.org/officeDocument/2006/relationships/hyperlink" Target="https://www.abc.net.au/news/2019-01-16/budget-crisis-nt-department-disciplinary-action-blowout/10720214" TargetMode="External"/><Relationship Id="rId21" Type="http://schemas.openxmlformats.org/officeDocument/2006/relationships/hyperlink" Target="https://www.themandarin.com.au/115600-nt-chief-minister-denies-pay-freeze-is-fuelling-high-executive-turnover/" TargetMode="External"/><Relationship Id="rId34" Type="http://schemas.openxmlformats.org/officeDocument/2006/relationships/hyperlink" Target="https://ocpe.nt.gov.au/__data/assets/pdf_file/0007/944494/ocpe-2019-20-state-of-service-report.pdf" TargetMode="External"/><Relationship Id="rId42" Type="http://schemas.openxmlformats.org/officeDocument/2006/relationships/hyperlink" Target="https://www.abc.net.au/news/2018-08-28/nt-public-service-working-day-investigated-curious-darwin/10082152%20on%2020%20May%202020"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mandarin.com.au/61444-streamlining-selection-processes-nt-experience/" TargetMode="External"/><Relationship Id="rId29" Type="http://schemas.openxmlformats.org/officeDocument/2006/relationships/hyperlink" Target="https://treasury.nt.gov.au/__data/assets/pdf_file/0010/683461/Budget-Repair-Final-Report.pdf" TargetMode="External"/><Relationship Id="rId11" Type="http://schemas.openxmlformats.org/officeDocument/2006/relationships/image" Target="media/image1.emf"/><Relationship Id="rId24" Type="http://schemas.openxmlformats.org/officeDocument/2006/relationships/hyperlink" Target="https://treasury.nt.gov.au/__data/assets/pdf_file/0010/683461/budget-repair-final-report.pdf" TargetMode="External"/><Relationship Id="rId32" Type="http://schemas.openxmlformats.org/officeDocument/2006/relationships/hyperlink" Target="https://ocpe.nt.gov.au/__data/assets/pdf_file/0005/981743/commissioners-bulletin-ntps-bargaining-policy2021-2024.pdf" TargetMode="External"/><Relationship Id="rId37" Type="http://schemas.openxmlformats.org/officeDocument/2006/relationships/hyperlink" Target="https://www.canberratimes.com.au/story/6056007/nt-govt-to-axe-jobs-cut-spending-by-11-b/?cs=14231" TargetMode="External"/><Relationship Id="rId40" Type="http://schemas.openxmlformats.org/officeDocument/2006/relationships/hyperlink" Target="https://ntrebound.nt.gov.au/__data/assets/pdf_file/0020/952301/terc-final-report.pdf" TargetMode="External"/><Relationship Id="rId45" Type="http://schemas.openxmlformats.org/officeDocument/2006/relationships/header" Target="header1.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themandarin.com.au/59193-public-servant-complaints-rise-nt/" TargetMode="External"/><Relationship Id="rId31" Type="http://schemas.openxmlformats.org/officeDocument/2006/relationships/hyperlink" Target="https://treasury.nt.gov.au/__data/assets/pdf_file/0009/683838/Recommendations.pdf" TargetMode="External"/><Relationship Id="rId44" Type="http://schemas.openxmlformats.org/officeDocument/2006/relationships/hyperlink" Target="https://ntindependent.com.au/wonder-why-we-have-a-huge-debt-private-consultancy-contracts-balloon-as-nt-public-service-grows/"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news/2020-12-10/nt-keeps-two-federal-seats-after-electoral-amendment-bill-passes/12969366" TargetMode="External"/><Relationship Id="rId22" Type="http://schemas.openxmlformats.org/officeDocument/2006/relationships/hyperlink" Target="https://www.themandarin.com.au/111012-nt-public-service-executive-pay-freeze-government-will-get-its-money-now-or-later/" TargetMode="External"/><Relationship Id="rId27" Type="http://schemas.openxmlformats.org/officeDocument/2006/relationships/hyperlink" Target="https://www.abc.net.au/news/2020-11-02/nt-government-increases-cap-on-public-sector-jobs/12833458" TargetMode="External"/><Relationship Id="rId30" Type="http://schemas.openxmlformats.org/officeDocument/2006/relationships/hyperlink" Target="https://newsroom.nt.gov.au/mediaRelease/30118" TargetMode="External"/><Relationship Id="rId35" Type="http://schemas.openxmlformats.org/officeDocument/2006/relationships/hyperlink" Target="https://ocpe.nt.gov.au/__data/assets/pdf_file/0010/244675/NEW_Booklet_ECE_in_the_NTPS.pdf" TargetMode="External"/><Relationship Id="rId43" Type="http://schemas.openxmlformats.org/officeDocument/2006/relationships/hyperlink" Target="https://ntindependent.com.au/bloated-public-service-northern-territory-blows-away-comparable-states-on-public-service-executive-contract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territorystories.nt.gov.au/jspui/bitstream/10070/292672/1/Annual_Reports_Public_Service_Commissioner_and_the_Department_of_Labour_and_Administrative_Services_1990-91.PDF" TargetMode="External"/><Relationship Id="rId3" Type="http://schemas.openxmlformats.org/officeDocument/2006/relationships/customXml" Target="../customXml/item3.xml"/><Relationship Id="rId12" Type="http://schemas.openxmlformats.org/officeDocument/2006/relationships/hyperlink" Target="https://ocpe.nt.gov.au/employment-conditions-appeals-grievances/executive-contracts" TargetMode="External"/><Relationship Id="rId17" Type="http://schemas.openxmlformats.org/officeDocument/2006/relationships/hyperlink" Target="https://www.cpsu.org.au/content/nt-chief-minister-not-gun-economics" TargetMode="External"/><Relationship Id="rId25" Type="http://schemas.openxmlformats.org/officeDocument/2006/relationships/hyperlink" Target="https://www.abc.net.au/news/2019-06-13/public-service-freeze-criticised-australian-education-union-nt/11207568" TargetMode="External"/><Relationship Id="rId33" Type="http://schemas.openxmlformats.org/officeDocument/2006/relationships/hyperlink" Target="https://ocpe.nt.gov.au/employment-law/public-sector-employment-and-management-act-and-regulations" TargetMode="External"/><Relationship Id="rId38" Type="http://schemas.openxmlformats.org/officeDocument/2006/relationships/hyperlink" Target="https://www.abc.net.au/news/2019-06-16/nt-public-service-servants-territory-government-budget-state/11195558" TargetMode="External"/><Relationship Id="rId46" Type="http://schemas.openxmlformats.org/officeDocument/2006/relationships/header" Target="header2.xml"/><Relationship Id="rId20" Type="http://schemas.openxmlformats.org/officeDocument/2006/relationships/hyperlink" Target="https://www.themandarin.com.au/107274-nt-to-cut-10-of-public-service-executives/" TargetMode="External"/><Relationship Id="rId41" Type="http://schemas.openxmlformats.org/officeDocument/2006/relationships/hyperlink" Target="https://treasury.nt.gov.au/__data/assets/pdf_file/0011/477245/I-BP06-1112.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bs.gov.au/articles/public-sector-debt-analysis-2019-20" TargetMode="External"/><Relationship Id="rId23" Type="http://schemas.openxmlformats.org/officeDocument/2006/relationships/hyperlink" Target="https://www.themandarin.com.au/65603-nt-budget-spares-public-service-jobs-indigenous-recruitment-steams-ahead/" TargetMode="External"/><Relationship Id="rId28" Type="http://schemas.openxmlformats.org/officeDocument/2006/relationships/hyperlink" Target="https://www.aph.gov.au/binaries/house/committee/itrdlg/financialcrisis/report/gfc%20final%20report.pdf" TargetMode="External"/><Relationship Id="rId36" Type="http://schemas.openxmlformats.org/officeDocument/2006/relationships/hyperlink" Target="http://www.territorystories.nt.gov.au/jspui/bitstream/10070/292672/1/Annual_Reports_Public_Service_Commissioner_and_the_Department_of_Labour_and_Administrative_Services_1990-91.PDF" TargetMode="External"/><Relationship Id="rId4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02BA92-ACB4-49EE-A28F-753A2AC79EA6}">
  <ds:schemaRefs>
    <ds:schemaRef ds:uri="http://schemas.microsoft.com/sharepoint/v3/contenttype/forms"/>
  </ds:schemaRefs>
</ds:datastoreItem>
</file>

<file path=customXml/itemProps2.xml><?xml version="1.0" encoding="utf-8"?>
<ds:datastoreItem xmlns:ds="http://schemas.openxmlformats.org/officeDocument/2006/customXml" ds:itemID="{F879E9FE-A055-4BFA-98DE-009E8C522E3C}">
  <ds:schemaRefs>
    <ds:schemaRef ds:uri="http://schemas.openxmlformats.org/officeDocument/2006/bibliography"/>
  </ds:schemaRefs>
</ds:datastoreItem>
</file>

<file path=customXml/itemProps3.xml><?xml version="1.0" encoding="utf-8"?>
<ds:datastoreItem xmlns:ds="http://schemas.openxmlformats.org/officeDocument/2006/customXml" ds:itemID="{5CB90942-C474-463B-98D2-8FFB224A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14C95-53BE-480F-89D7-EAD408A508E4}">
  <ds:schemaRefs>
    <ds:schemaRef ds:uri="http://schemas.microsoft.com/office/2006/metadata/properties"/>
    <ds:schemaRef ds:uri="http://purl.org/dc/dcmitype/"/>
    <ds:schemaRef ds:uri="941e4863-408d-4232-9006-e4ece879a4b8"/>
    <ds:schemaRef ds:uri="http://purl.org/dc/terms/"/>
    <ds:schemaRef ds:uri="http://schemas.microsoft.com/office/2006/documentManagement/types"/>
    <ds:schemaRef ds:uri="http://schemas.microsoft.com/sharepoint/v3"/>
    <ds:schemaRef ds:uri="http://www.w3.org/XML/1998/namespace"/>
    <ds:schemaRef ds:uri="http://schemas.microsoft.com/office/infopath/2007/PartnerControls"/>
    <ds:schemaRef ds:uri="http://schemas.openxmlformats.org/package/2006/metadata/core-properties"/>
    <ds:schemaRef ds:uri="5fe5f515-21e2-4430-b2c5-8938785ae44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13971</Words>
  <Characters>70555</Characters>
  <Application>Microsoft Office Word</Application>
  <DocSecurity>4</DocSecurity>
  <Lines>1237</Lines>
  <Paragraphs>768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83758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uqlcoll2</dc:creator>
  <cp:lastModifiedBy>Ben Ruse</cp:lastModifiedBy>
  <cp:revision>2</cp:revision>
  <cp:lastPrinted>2013-08-26T04:01:00Z</cp:lastPrinted>
  <dcterms:created xsi:type="dcterms:W3CDTF">2022-08-15T01:24:00Z</dcterms:created>
  <dcterms:modified xsi:type="dcterms:W3CDTF">2022-08-15T01:24:00Z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2022-05-11T02:03:02Z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1a659ff8-5489-4ace-b53d-a98905cac073</vt:lpwstr>
  </property>
  <property fmtid="{D5CDD505-2E9C-101B-9397-08002B2CF9AE}" pid="8" name="MSIP_Label_0f488380-630a-4f55-a077-a19445e3f360_ContentBits">
    <vt:lpwstr>0</vt:lpwstr>
  </property>
  <property fmtid="{D5CDD505-2E9C-101B-9397-08002B2CF9AE}" pid="9" name="ContentTypeId">
    <vt:lpwstr>0x0101004E8F180B4C198844BF045B7BC2D5DE4A</vt:lpwstr>
  </property>
  <property fmtid="{D5CDD505-2E9C-101B-9397-08002B2CF9AE}" pid="10" name="MediaServiceImageTags">
    <vt:lpwstr/>
  </property>
</Properties>
</file>