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00003pt;margin-top:.000015pt;width:595.3pt;height:751.2pt;mso-position-horizontal-relative:page;mso-position-vertical-relative:page;z-index:-72256" coordorigin="0,0" coordsize="11906,15024">
            <v:shape style="position:absolute;left:0;top:7069;width:11906;height:7954" type="#_x0000_t75" stroked="false">
              <v:imagedata r:id="rId5" o:title=""/>
            </v:shape>
            <v:shape style="position:absolute;left:0;top:0;width:11906;height:1317" type="#_x0000_t75" stroked="false">
              <v:imagedata r:id="rId6" o:title=""/>
            </v:shape>
            <v:rect style="position:absolute;left:0;top:1241;width:11906;height:5829" filled="true" fillcolor="#47a7a8" stroked="false">
              <v:fill type="solid"/>
            </v:rect>
            <v:shape style="position:absolute;left:0;top:1195;width:11906;height:5941" coordorigin="0,1196" coordsize="11906,5941" path="m1064,7119l1056,7119,1057,7119,1064,7119m1064,1268l1056,1268,1057,1268,1064,1268m1184,7118l1155,7118,1142,7118,1147,7117,1064,7119,1184,7118m1184,1267l1155,1266,1142,1266,1147,1266,1064,1268,1184,1267m1389,7070l1289,7069,1217,7069,1074,7070,1389,7070m1389,1219l1289,1218,1217,1218,1074,1219,1389,1219m1524,1284l1458,1286,1252,1287,1251,1288,1221,1291,1232,1291,1348,1289,1330,1292,1374,1292,1423,1289,1470,1289,1470,1289,1470,1289,1472,1288,1475,1287,1489,1286,1524,1284m1685,7126l1684,7126,1674,7126,1685,7126m1685,1275l1684,1275,1674,1275,1685,1275m2251,7130l2228,7129,2233,7130,2240,7130,2251,7130m2251,1298l2228,1297,2233,1298,2240,1298,2251,1298m3365,7126l3334,7126,3263,7127,3227,7127,3248,7125,3159,7130,3222,7130,3310,7127,3319,7127,3365,7126m3365,1294l3334,1294,3263,1295,3227,1295,3248,1293,3159,1298,3222,1298,3310,1295,3319,1295,3365,1294m3403,7130l3397,7129,3388,7128,3354,7132,3384,7131,3393,7132,3401,7131,3403,7131,3403,7130m3403,1298l3397,1297,3388,1295,3354,1300,3384,1299,3393,1300,3401,1299,3403,1299,3403,1298m3658,7127l3645,7127,3617,7127,3581,7126,3534,7129,3566,7130,3651,7129,3657,7127,3658,7127m3658,1295l3645,1295,3617,1295,3581,1294,3534,1297,3566,1298,3651,1297,3657,1295,3658,1295m4326,7069l4302,7070,4301,7070,4269,7070,4240,7069,4219,7068,4241,7070,4268,7070,4297,7071,4320,7071,4324,7070,4326,7069m4553,7068l4468,7069,4483,7069,4553,7068m4594,7071l4591,7069,4499,7072,4594,7071m4671,7073l4551,7074,4590,7075,4671,7073m5330,7090l5322,7089,5313,7089,5301,7088,5288,7088,5290,7088,5293,7089,5300,7090,5311,7090,5321,7090,5330,7090m5333,7080l5331,7080,5328,7079,5323,7078,5310,7077,5282,7076,5267,7079,5269,7082,5265,7085,5232,7088,5244,7088,5258,7088,5288,7088,5285,7088,5275,7086,5280,7084,5297,7082,5320,7080,5333,7080m5378,7064l5331,7065,5306,7067,5286,7069,5254,7070,5242,7068,5243,7067,5246,7066,5238,7066,5188,7064,5141,7064,5099,7065,5065,7066,5079,7068,5089,7071,5091,7074,5079,7076,5149,7074,5205,7071,5250,7070,5290,7073,5317,7070,5321,7070,5378,7064m5467,7085l5411,7083,5410,7084,5396,7085,5349,7087,5370,7089,5402,7088,5437,7087,5467,7085m5493,7068l5485,7067,5476,7066,5449,7066,5422,7066,5404,7068,5426,7067,5453,7067,5493,7068m5493,1233l5484,1232,5476,1231,5449,1231,5422,1232,5404,1233,5426,1232,5453,1232,5493,1233m5580,7072l5486,7074,5512,7075,5538,7075,5561,7074,5577,7073,5580,7072m5677,7095l5665,7095,5577,7094,5526,7094,5554,7096,5590,7096,5631,7095,5677,7095m5702,7088l5700,7088,5686,7089,5696,7089,5699,7089,5701,7089,5702,7088m5762,7091l5742,7090,5710,7089,5683,7090,5609,7089,5582,7090,5762,7091m5762,1239l5742,1239,5710,1238,5683,1239,5609,1238,5582,1239,5762,1239m6093,7085l6035,7084,6071,7085,6093,7085m6187,7067l6163,7067,6159,7066,6148,7064,6149,7063,6177,7062,6143,7063,6124,7065,6134,7067,6187,7067m6518,7063l6496,7064,6468,7064,6452,7065,6465,7066,6518,7063m6671,7067l6617,7065,6602,7067,6671,7067m7019,7064l6968,7065,6914,7066,6866,7067,6830,7065,6780,7066,6758,7068,6754,7070,6758,7071,6761,7073,6754,7075,6725,7076,6667,7077,6742,7077,6785,7075,6833,7070,6870,7069,6936,7069,6933,7069,6914,7067,6910,7067,6936,7066,7019,7064m7049,7074l7042,7073,7015,7072,6981,7072,6955,7073,6999,7075,7025,7075,7049,7074m7332,7066l7309,7065,7286,7063,7304,7060,7248,7063,7314,7068,7332,7066m7373,7062l7359,7062,7349,7062,7346,7063,7352,7063,7354,7063,7363,7062,7373,7062m7409,7061l7383,7061,7394,7061,7402,7062,7405,7063,7408,7061,7409,7061m7697,7067l7690,7066,7657,7063,7697,7067m7827,7063l7794,7063,7771,7063,7759,7064,7761,7066,7790,7066,7800,7065,7808,7064,7827,7063m10391,7118l10332,7119,10371,7118,10383,7118,10391,7118m10391,1285l10332,1286,10371,1286,10383,1285,10391,1285m10524,7055l10509,7055,10498,7056,10490,7056,10484,7057,10524,7055m11389,7105l11372,7105,11349,7106,11333,7107,11335,7108,11356,7107,11376,7107,11389,7106,11389,7105m11389,1272l11372,1272,11349,1273,11333,1274,11335,1275,11356,1274,11376,1274,11389,1273,11389,1272m11801,7106l11795,7106,11790,7106,11785,7107,11801,7106m11801,1273l11795,1273,11790,1273,11785,1274,11801,1273m11842,1262l11789,1262,11794,1262,11801,1263,11810,1263,11842,1262m11905,7096l11882,7097,11905,7097,11905,7096m11905,7047l11633,7052,11587,7052,11568,7050,11559,7048,11539,7047,11438,7048,11210,7057,11114,7059,11134,7057,11141,7056,11148,7054,11142,7052,11103,7051,11093,7053,11079,7054,11060,7056,11029,7056,11054,7053,11019,7052,10870,7054,10705,7057,10549,7062,10405,7069,10344,7068,10354,7066,10376,7064,10385,7063,10392,7061,10448,7061,10457,7061,10470,7060,10471,7060,10476,7059,10478,7059,10487,7057,10445,7058,10402,7059,10365,7059,10337,7056,10286,7057,10200,7059,10149,7061,10176,7060,10195,7061,10199,7062,10184,7064,10050,7063,9991,7062,9970,7059,8807,7065,8787,7067,8803,7067,8825,7068,8821,7069,8768,7070,8711,7069,8669,7070,8700,7067,8614,7068,8355,7076,8351,7075,8350,7074,8328,7073,8320,7073,8356,7071,8314,7069,8230,7060,8195,7060,8256,7074,8248,7075,8248,7080,8223,7078,8193,7077,8248,7080,8248,7075,8242,7075,8192,7076,8184,7076,8144,7074,8110,7072,8075,7071,8047,7070,8050,7069,8051,7068,8079,7067,8158,7067,8138,7064,8121,7063,8058,7061,8071,7057,8032,7058,8035,7060,8045,7061,8028,7063,7944,7062,8009,7064,7923,7068,7880,7069,7821,7067,7724,7074,7711,7072,7708,7072,7678,7071,7642,7072,7603,7072,7634,7069,7591,7069,7558,7068,7501,7067,7526,7065,7547,7065,7563,7065,7565,7065,7577,7063,7504,7062,7498,7064,7488,7066,7487,7067,7510,7069,7463,7072,7411,7076,7341,7078,7236,7078,7216,7076,7244,7074,7281,7072,7286,7069,7177,7070,7100,7075,7037,7080,6968,7082,6892,7081,6789,7084,6711,7085,6714,7083,6678,7081,6629,7080,6594,7078,6640,7075,6647,7075,6617,7075,6593,7075,6579,7074,6579,7072,6554,7075,6315,7078,6331,7082,6144,7085,6084,7085,6021,7086,5987,7088,5957,7091,5909,7094,5883,7091,5880,7090,5872,7088,5873,7085,5882,7082,5909,7083,5977,7084,6014,7084,6077,7082,6250,7076,6328,7075,6411,7074,6413,7073,6415,7073,6421,7071,6377,7071,6309,7073,6245,7072,6247,7072,6252,7072,6257,7072,6240,7071,6289,7070,6328,7069,6366,7067,6388,7064,6341,7066,6312,7068,6279,7070,6235,7070,6220,7069,6164,7070,6113,7068,6068,7066,6029,7064,5997,7067,5966,7071,5921,7073,5846,7073,5902,7068,5828,7069,5767,7075,5698,7076,5713,7077,5705,7078,5704,7080,5743,7081,5701,7082,5645,7083,5585,7083,5526,7083,5507,7083,5522,7084,5519,7086,5574,7087,5667,7086,5714,7088,5734,7086,5759,7083,5771,7082,5815,7084,5835,7086,5832,7089,5808,7091,5838,7090,5851,7090,5863,7091,5854,7094,5777,7092,5746,7095,5800,7094,5789,7097,5737,7099,5669,7099,5606,7099,5509,7096,5502,7096,5467,7094,5463,7093,5455,7092,5452,7091,5556,7090,5512,7089,5362,7091,5360,7091,5358,7091,5352,7090,5345,7090,5348,7090,5350,7091,5350,7091,5337,7091,5331,7091,5325,7091,5315,7090,5176,7091,5134,7090,5140,7094,5147,7092,5185,7092,5218,7094,5235,7095,5225,7097,5157,7097,5114,7095,5087,7092,5066,7089,5095,7087,5184,7088,5230,7088,5222,7087,5213,7087,5196,7085,5082,7085,5004,7084,5044,7081,5132,7081,5137,7080,5161,7078,5103,7078,5010,7080,4949,7080,4954,7080,4970,7078,5037,7076,5048,7074,5049,7074,4987,7072,5038,7071,5052,7070,5045,7068,5036,7066,5038,7065,5041,7064,5079,7063,5042,7063,5009,7064,4971,7065,4921,7064,4943,7067,4963,7069,4964,7072,4931,7074,4844,7072,4842,7070,4869,7068,4892,7065,4878,7063,4788,7065,4796,7067,4809,7068,4816,7069,4807,7070,4771,7071,4737,7073,4702,7077,4660,7080,4596,7079,4572,7078,4555,7077,4478,7080,4162,7087,4193,7084,4184,7082,4135,7079,4112,7078,4127,7078,4164,7077,4168,7076,4190,7074,4198,7071,4196,7069,4160,7070,4134,7072,4124,7075,4134,7076,4084,7076,4034,7078,3991,7077,3989,7076,3973,7075,3975,7074,3983,7073,3998,7071,3999,7069,3952,7070,3936,7072,3918,7074,3866,7074,3872,7074,3882,7073,3873,7072,3830,7072,3791,7073,3759,7075,3742,7076,3689,7074,3593,7073,3581,7070,3526,7072,3536,7073,3568,7075,3575,7076,3525,7078,3468,7078,3447,7077,3380,7076,3454,7075,3479,7075,3476,7075,3449,7070,3370,7070,3325,7072,3292,7075,3249,7077,3173,7077,3214,7075,3225,7074,3225,7073,3227,7072,3244,7070,3210,7070,3166,7071,3141,7071,3166,7073,3123,7073,3017,7071,2897,7075,2868,7077,2807,7077,2754,7075,2697,7073,2674,7071,2595,7072,2518,7073,2286,7071,2206,7072,2124,7073,2138,7073,2094,7073,2082,7074,2089,7075,2102,7077,2108,7078,2095,7079,2048,7079,2041,7076,2003,7075,1971,7074,1950,7074,1903,7072,1811,7072,1480,7074,1411,7073,1394,7073,1395,7073,1397,7072,1405,7071,1419,7071,1441,7070,1074,7070,1080,7069,997,7068,916,7067,504,7073,521,7072,525,7070,538,7069,452,7068,358,7069,269,7070,201,7073,172,7073,135,7072,51,7073,0,7072,0,7121,861,7127,1043,7126,1057,7124,1037,7121,1046,7119,1056,7119,1052,7118,1062,7118,1054,7117,1004,7119,977,7119,949,7119,985,7117,1015,7115,1049,7114,1096,7114,1091,7114,1061,7115,1098,7115,1145,7114,1205,7115,1218,7115,1222,7115,1225,7116,1390,7118,1252,7119,1251,7121,1221,7124,1232,7124,1348,7122,1330,7124,1374,7124,1423,7122,1470,7122,1470,7122,1470,7122,1472,7120,1475,7119,1489,7118,1524,7117,1458,7118,1413,7118,1474,7116,1542,7116,1633,7119,1606,7121,1512,7123,1470,7125,1535,7128,1539,7124,1631,7125,1626,7126,1634,7125,1642,7124,1644,7124,1656,7124,1672,7124,1676,7125,1684,7126,1740,7124,1733,7126,1779,7127,1788,7130,1884,7130,2094,7127,2165,7128,2250,7129,2247,7128,2250,7127,2275,7125,2305,7124,2310,7124,2320,7124,2377,7124,2388,7124,2399,7125,2399,7126,2388,7127,2464,7125,2536,7128,2612,7129,2792,7130,2785,7132,2868,7129,2916,7128,2971,7128,2956,7132,3009,7132,3041,7129,3057,7128,3075,7127,3134,7126,3128,7125,3123,7123,3121,7123,3073,7119,3057,7116,3089,7119,3132,7120,3165,7119,3168,7118,3224,7117,3245,7117,3248,7118,3250,7119,3292,7117,3311,7116,3345,7117,3347,7120,3330,7122,3308,7124,3360,7122,3415,7122,3529,7124,3497,7126,3600,7126,3654,7125,3716,7124,3781,7124,3846,7125,3787,7130,3817,7131,3827,7130,3828,7129,3834,7127,3893,7127,3934,7127,4001,7132,4092,7130,4271,7134,4356,7135,4437,7133,4453,7136,4531,7134,4692,7134,4769,7134,4844,7134,4865,7133,4905,7133,4915,7132,4958,7130,4980,7129,5067,7133,5121,7132,5164,7129,5193,7127,5243,7127,5322,7129,5316,7128,6436,7132,6515,7132,6594,7132,6673,7132,6752,7132,6829,7132,7283,7131,7283,7131,7444,7132,7683,7132,8715,7129,8988,7128,9202,7127,9703,7124,9989,7122,10219,7121,10265,7118,10277,7116,10280,7116,10281,7116,10290,7114,10292,7114,10296,7113,10334,7110,10403,7110,10433,7111,10446,7112,10413,7114,10404,7115,10403,7117,10395,7118,10575,7117,10665,7117,10746,7114,10664,7112,10696,7111,10731,7110,10797,7110,10796,7112,10805,7114,10812,7116,10803,7117,10901,7113,10965,7113,11005,7114,11057,7115,11140,7114,11153,7113,11174,7110,11180,7109,11253,7104,11299,7102,11358,7099,11456,7094,11465,7094,11473,7094,11537,7091,11613,7092,11569,7093,11561,7095,11548,7097,11490,7098,11567,7098,11789,7095,11794,7096,11801,7096,11810,7097,11842,7096,11790,7095,11789,7095,11780,7094,11780,7092,11791,7091,11795,7091,11815,7090,11852,7090,11905,7093,11905,7090,11905,7085,11905,7085,11905,7082,11905,7080,11905,7076,11905,7070,11905,7069,11905,7059,11905,7052,11905,7047m11905,1244l11882,1245,11905,1246,11905,1244m11905,1196l11633,1201,11587,1201,11568,1199,11559,1197,11539,1196,11438,1197,11210,1205,11114,1208,11134,1206,11141,1204,11148,1203,11142,1201,11103,1200,11093,1202,11079,1203,11060,1204,11029,1204,11054,1202,11019,1201,10870,1202,10705,1205,10549,1211,10405,1218,10344,1217,10354,1214,10376,1212,10385,1212,10392,1210,10448,1210,10457,1210,10470,1209,10471,1209,10476,1208,10478,1208,10487,1206,10445,1207,10402,1208,10365,1207,10337,1205,10286,1206,10200,1208,10149,1210,10176,1209,10195,1209,10199,1211,10184,1212,10050,1212,9991,1211,9970,1208,8807,1214,8787,1216,8803,1216,8825,1216,8821,1217,8768,1219,8711,1218,8669,1219,8700,1216,8614,1217,8355,1225,8351,1224,8350,1223,8328,1222,8320,1221,8356,1220,8314,1218,8230,1209,8195,1208,8256,1223,8248,1224,8248,1229,8223,1227,8193,1225,8248,1229,8248,1224,8242,1224,8192,1224,8184,1225,8144,1223,8110,1221,8075,1219,8047,1219,8050,1217,8051,1217,8079,1216,8158,1216,8138,1212,8121,1212,8058,1209,8071,1206,8032,1207,8035,1209,8045,1210,8028,1212,7944,1211,8009,1213,7923,1216,7880,1217,7821,1216,7724,1223,7711,1221,7708,1220,7678,1220,7642,1221,7603,1221,7634,1218,7591,1218,7558,1217,7501,1215,7526,1214,7547,1214,7563,1214,7565,1214,7577,1212,7504,1211,7498,1213,7488,1215,7487,1216,7510,1217,7463,1221,7411,1224,7341,1226,7293,1227,7304,1225,7262,1227,7236,1227,7216,1224,7244,1223,7281,1221,7286,1218,7177,1219,7100,1224,7037,1228,6995,1230,6968,1230,6950,1230,6892,1230,6846,1231,6830,1230,6780,1231,6763,1233,6711,1233,6714,1231,6678,1230,6629,1229,6594,1227,6640,1224,6647,1223,6617,1224,6593,1223,6579,1222,6579,1221,6554,1223,6315,1227,6331,1231,6144,1234,6084,1234,6021,1235,5987,1237,5957,1240,5909,1242,5883,1240,5880,1239,5872,1237,5873,1234,5882,1231,5909,1232,5977,1232,6014,1233,6077,1231,6133,1229,6124,1230,6134,1232,6187,1232,6163,1232,6159,1231,6148,1229,6149,1229,6250,1225,6328,1223,6411,1223,6413,1222,6415,1222,6421,1220,6377,1220,6309,1222,6245,1221,6247,1221,6252,1221,6257,1220,6240,1220,6289,1219,6328,1218,6366,1216,6388,1213,6341,1215,6312,1217,6279,1219,6235,1218,6220,1218,6164,1218,6113,1217,6068,1214,6029,1213,5997,1216,5966,1219,5921,1222,5846,1222,5902,1217,5828,1218,5767,1223,5698,1224,5713,1226,5705,1227,5704,1229,5743,1230,5701,1231,5645,1232,5585,1232,5526,1231,5507,1232,5522,1233,5519,1235,5574,1236,5667,1235,5714,1237,5734,1235,5759,1232,5771,1231,5815,1233,5835,1235,5832,1238,5808,1240,5838,1239,5851,1239,5863,1240,5854,1243,5777,1241,5746,1244,5800,1243,5789,1246,5737,1247,5669,1248,5606,1247,5509,1245,5502,1244,5467,1243,5463,1242,5455,1241,5452,1240,5491,1239,5512,1240,5538,1240,5561,1240,5577,1239,5580,1238,5548,1238,5512,1237,5362,1240,5360,1240,5358,1240,5352,1239,5345,1239,5348,1239,5350,1240,5350,1240,5337,1240,5331,1240,5325,1239,5315,1238,5235,1239,5235,1244,5225,1246,5157,1246,5114,1244,5090,1241,5135,1240,5140,1243,5147,1241,5185,1241,5218,1242,5235,1244,5235,1239,5176,1240,5151,1239,5202,1237,5230,1237,5223,1236,5250,1235,5290,1238,5317,1235,5321,1235,5378,1229,5331,1230,5306,1232,5286,1234,5254,1235,5242,1234,5243,1232,5246,1232,5238,1231,5188,1229,5141,1229,5134,1229,5137,1229,5161,1227,5123,1227,5123,1229,5099,1230,5091,1230,5091,1239,5084,1241,5066,1238,5089,1236,5089,1236,5091,1239,5091,1230,5065,1231,5079,1234,5079,1234,5004,1232,5044,1230,5123,1229,5123,1227,5103,1227,5010,1229,4949,1229,4954,1228,4970,1227,5037,1225,5048,1223,5049,1222,4987,1221,5038,1220,5052,1219,5045,1217,5036,1215,5038,1214,5041,1213,5079,1212,5042,1212,5009,1213,4971,1214,4921,1213,4943,1215,4963,1218,4964,1221,4931,1223,4844,1221,4842,1219,4869,1216,4892,1214,4878,1212,4788,1214,4796,1215,4809,1216,4816,1218,4807,1219,4771,1219,4737,1222,4702,1226,4660,1228,4596,1228,4572,1227,4555,1226,4478,1228,4234,1234,4219,1233,4228,1234,4162,1235,4193,1233,4184,1231,4135,1228,4112,1227,4127,1227,4164,1226,4168,1225,4190,1223,4198,1220,4196,1217,4160,1219,4134,1221,4124,1223,4134,1225,4084,1225,4034,1227,3991,1225,3989,1225,3973,1224,3975,1223,3983,1222,3998,1220,3999,1218,3952,1219,3936,1221,3918,1223,3866,1223,3872,1223,3882,1222,3873,1221,3830,1221,3791,1222,3759,1223,3742,1225,3689,1222,3593,1222,3581,1219,3526,1221,3536,1222,3568,1224,3575,1225,3525,1227,3468,1227,3447,1226,3380,1225,3454,1223,3479,1224,3476,1223,3449,1219,3370,1219,3325,1221,3292,1224,3249,1226,3173,1226,3214,1224,3225,1222,3225,1222,3227,1221,3244,1219,3210,1219,3166,1219,3141,1220,3166,1222,3123,1222,3017,1220,2897,1224,2868,1226,2807,1225,2754,1224,2697,1221,2674,1220,2595,1221,2518,1221,2286,1220,2206,1220,2124,1222,2138,1222,2094,1222,2082,1223,2089,1224,2102,1225,2108,1227,2095,1228,2048,1228,2041,1225,2003,1224,1971,1223,1950,1223,1903,1221,1811,1220,1480,1223,1411,1222,1394,1222,1395,1222,1397,1221,1405,1220,1419,1219,1441,1219,1074,1219,1080,1218,997,1216,916,1216,504,1222,521,1221,525,1218,538,1218,452,1217,358,1217,269,1219,201,1222,172,1221,135,1220,51,1221,0,1220,0,1270,861,1275,1043,1275,1057,1273,1037,1270,1046,1268,1056,1268,1052,1267,1062,1267,1054,1266,1004,1267,977,1268,949,1268,985,1266,1015,1264,1049,1262,1096,1263,1091,1263,1061,1264,1098,1264,1145,1263,1205,1264,1218,1264,1222,1264,1225,1265,1404,1267,1474,1265,1542,1265,1633,1268,1606,1270,1512,1271,1470,1274,1535,1277,1539,1273,1631,1274,1626,1275,1634,1274,1642,1273,1644,1273,1656,1273,1672,1273,1676,1274,1684,1275,1740,1273,1733,1275,1779,1276,1788,1278,1884,1279,2094,1276,2165,1276,2250,1278,2247,1276,2250,1276,2275,1274,2305,1273,2310,1273,2320,1272,2377,1272,2388,1273,2399,1274,2399,1275,2388,1276,2464,1274,2536,1277,2612,1278,2792,1278,2785,1280,2868,1277,2916,1277,2971,1277,2956,1281,3009,1281,3041,1278,3057,1277,3075,1275,3134,1275,3128,1274,3123,1272,3121,1272,3073,1267,3057,1265,3089,1267,3132,1268,3165,1268,3168,1267,3224,1266,3245,1266,3248,1267,3250,1268,3292,1266,3311,1265,3345,1266,3347,1268,3330,1271,3308,1273,3360,1271,3415,1271,3529,1273,3497,1274,3600,1275,3654,1273,3716,1273,3781,1273,3846,1274,3787,1279,3817,1280,3827,1279,3828,1278,3834,1276,3893,1275,3934,1276,4001,1281,4092,1279,4271,1283,4356,1284,4437,1281,4453,1285,4531,1283,4692,1282,4769,1283,4844,1283,4865,1282,4905,1281,4915,1281,4958,1279,4980,1278,5067,1281,5121,1281,5164,1278,5193,1276,5243,1275,5322,1278,5316,1277,6436,1281,6515,1281,6594,1281,6673,1281,6752,1281,6829,1281,7283,1280,7283,1280,7444,1281,7683,1281,8715,1278,8988,1277,9202,1275,9703,1273,9989,1271,10219,1270,10265,1267,10277,1265,10280,1265,10281,1265,10290,1263,10292,1262,10296,1262,10334,1259,10403,1259,10433,1260,10446,1261,10413,1263,10404,1264,10403,1265,10395,1267,10575,1266,10665,1265,10746,1263,10664,1260,10696,1259,10731,1259,10797,1259,10796,1261,10805,1263,10812,1264,10803,1266,10901,1262,10965,1262,11005,1263,11057,1264,11140,1263,11153,1261,11174,1259,11180,1258,11253,1253,11299,1251,11358,1248,11456,1243,11465,1243,11473,1242,11537,1239,11613,1241,11569,1242,11561,1244,11548,1246,11490,1247,11567,1247,11790,1244,11780,1243,11780,1241,11791,1240,11795,1239,11815,1238,11852,1239,11905,1242,11905,1238,11905,1234,11905,1233,11905,1230,11905,1229,11905,1225,11905,1219,11905,1218,11905,1208,11905,1201,11905,1196m11906,7102l11801,7106,11839,7106,11851,7105,11855,7104,11888,7104,11906,7103,11906,7102m11906,1269l11849,1271,11801,1273,11839,1273,11851,1272,11855,1271,11888,1271,11906,1270,11906,1269e" filled="true" fillcolor="#ffffff" stroked="false">
              <v:path arrowok="t"/>
              <v:fill type="solid"/>
            </v:shape>
            <v:rect style="position:absolute;left:0;top:14863;width:11906;height:151" filled="true" fillcolor="#14397f" stroked="false">
              <v:fill type="solid"/>
            </v:rect>
            <w10:wrap type="none"/>
          </v:group>
        </w:pict>
      </w:r>
      <w:r>
        <w:rPr/>
        <w:pict>
          <v:group style="position:absolute;margin-left:520.8620pt;margin-top:771.025024pt;width:58.85pt;height:46.95pt;mso-position-horizontal-relative:page;mso-position-vertical-relative:page;z-index:1096" coordorigin="10417,15421" coordsize="1177,939">
            <v:shape style="position:absolute;left:10417;top:15420;width:1177;height:939" type="#_x0000_t75" stroked="false">
              <v:imagedata r:id="rId7" o:title=""/>
            </v:shape>
            <v:shape style="position:absolute;left:10467;top:15512;width:888;height:796" type="#_x0000_t75" stroked="false">
              <v:imagedata r:id="rId8" o:title=""/>
            </v:shape>
            <v:shape style="position:absolute;left:10588;top:15524;width:663;height:776" type="#_x0000_t75" stroked="false">
              <v:imagedata r:id="rId9" o:title=""/>
            </v:shape>
            <v:shape style="position:absolute;left:10591;top:15525;width:663;height:780" type="#_x0000_t75" stroked="false">
              <v:imagedata r:id="rId10"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225" w:lineRule="auto" w:before="126"/>
        <w:ind w:left="106" w:right="934" w:firstLine="0"/>
        <w:jc w:val="left"/>
        <w:rPr>
          <w:rFonts w:ascii="Helvetica"/>
          <w:sz w:val="76"/>
        </w:rPr>
      </w:pPr>
      <w:r>
        <w:rPr>
          <w:rFonts w:ascii="Helvetica"/>
          <w:b/>
          <w:color w:val="FFFFFF"/>
          <w:sz w:val="76"/>
        </w:rPr>
        <w:t>Rhetoric to reality: </w:t>
      </w:r>
      <w:r>
        <w:rPr>
          <w:rFonts w:ascii="Helvetica"/>
          <w:color w:val="FFFFFF"/>
          <w:sz w:val="76"/>
        </w:rPr>
        <w:t>Devolving decision-making to Aboriginal communities</w:t>
      </w: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rPr>
          <w:rFonts w:ascii="Helvetica"/>
          <w:sz w:val="20"/>
        </w:rPr>
      </w:pPr>
    </w:p>
    <w:p>
      <w:pPr>
        <w:pStyle w:val="BodyText"/>
        <w:spacing w:before="8"/>
        <w:rPr>
          <w:rFonts w:ascii="Helvetica"/>
          <w:sz w:val="11"/>
        </w:rPr>
      </w:pPr>
      <w:r>
        <w:rPr/>
        <w:drawing>
          <wp:anchor distT="0" distB="0" distL="0" distR="0" allowOverlap="1" layoutInCell="1" locked="0" behindDoc="0" simplePos="0" relativeHeight="0">
            <wp:simplePos x="0" y="0"/>
            <wp:positionH relativeFrom="page">
              <wp:posOffset>4229995</wp:posOffset>
            </wp:positionH>
            <wp:positionV relativeFrom="paragraph">
              <wp:posOffset>111982</wp:posOffset>
            </wp:positionV>
            <wp:extent cx="537654" cy="581025"/>
            <wp:effectExtent l="0" t="0" r="0" b="0"/>
            <wp:wrapTopAndBottom/>
            <wp:docPr id="1" name="image7.png" descr=""/>
            <wp:cNvGraphicFramePr>
              <a:graphicFrameLocks noChangeAspect="1"/>
            </wp:cNvGraphicFramePr>
            <a:graphic>
              <a:graphicData uri="http://schemas.openxmlformats.org/drawingml/2006/picture">
                <pic:pic>
                  <pic:nvPicPr>
                    <pic:cNvPr id="2" name="image7.png"/>
                    <pic:cNvPicPr/>
                  </pic:nvPicPr>
                  <pic:blipFill>
                    <a:blip r:embed="rId11" cstate="print"/>
                    <a:stretch>
                      <a:fillRect/>
                    </a:stretch>
                  </pic:blipFill>
                  <pic:spPr>
                    <a:xfrm>
                      <a:off x="0" y="0"/>
                      <a:ext cx="537654" cy="581025"/>
                    </a:xfrm>
                    <a:prstGeom prst="rect">
                      <a:avLst/>
                    </a:prstGeom>
                  </pic:spPr>
                </pic:pic>
              </a:graphicData>
            </a:graphic>
          </wp:anchor>
        </w:drawing>
      </w:r>
      <w:r>
        <w:rPr/>
        <w:pict>
          <v:group style="position:absolute;margin-left:381.097504pt;margin-top:12.412952pt;width:118.7pt;height:44.15pt;mso-position-horizontal-relative:page;mso-position-vertical-relative:paragraph;z-index:-1000;mso-wrap-distance-left:0;mso-wrap-distance-right:0" coordorigin="7622,248" coordsize="2374,883">
            <v:shape style="position:absolute;left:7621;top:248;width:2069;height:883" type="#_x0000_t75" stroked="false">
              <v:imagedata r:id="rId12" o:title=""/>
            </v:shape>
            <v:line style="position:absolute" from="9740,940" to="9740,1085" stroked="true" strokeweight="1.082pt" strokecolor="#231f20">
              <v:stroke dashstyle="solid"/>
            </v:line>
            <v:rect style="position:absolute;left:9727;top:884;width:25;height:24" filled="true" fillcolor="#231f20" stroked="false">
              <v:fill type="solid"/>
            </v:rect>
            <v:shape style="position:absolute;left:9791;top:937;width:204;height:151" type="#_x0000_t75" stroked="false">
              <v:imagedata r:id="rId13" o:title=""/>
            </v:shape>
            <w10:wrap type="topAndBottom"/>
          </v:group>
        </w:pict>
      </w:r>
    </w:p>
    <w:p>
      <w:pPr>
        <w:spacing w:after="0"/>
        <w:rPr>
          <w:rFonts w:ascii="Helvetica"/>
          <w:sz w:val="11"/>
        </w:rPr>
        <w:sectPr>
          <w:type w:val="continuous"/>
          <w:pgSz w:w="11910" w:h="16840"/>
          <w:pgMar w:top="1580" w:bottom="280" w:left="740" w:right="640"/>
        </w:sectPr>
      </w:pPr>
    </w:p>
    <w:p>
      <w:pPr>
        <w:pStyle w:val="BodyText"/>
        <w:spacing w:before="5"/>
        <w:rPr>
          <w:rFonts w:ascii="Helvetica"/>
          <w:sz w:val="19"/>
        </w:rPr>
      </w:pPr>
      <w:r>
        <w:rPr/>
        <w:pict>
          <v:group style="position:absolute;margin-left:0pt;margin-top:77.953018pt;width:595.3pt;height:721.45pt;mso-position-horizontal-relative:page;mso-position-vertical-relative:page;z-index:-72208" coordorigin="0,1559" coordsize="11906,14429">
            <v:shape style="position:absolute;left:0;top:2003;width:11906;height:13985" type="#_x0000_t75" stroked="false">
              <v:imagedata r:id="rId16" o:title=""/>
            </v:shape>
            <v:rect style="position:absolute;left:0;top:2013;width:11906;height:13975" filled="true" fillcolor="#439fa0" stroked="false">
              <v:fill opacity="41288f" type="solid"/>
            </v:rect>
            <v:rect style="position:absolute;left:6011;top:3033;width:4913;height:7634" filled="true" fillcolor="#ffffff" stroked="false">
              <v:fill opacity="47185f" type="solid"/>
            </v:rect>
            <v:shape style="position:absolute;left:0;top:1559;width:11056;height:445" coordorigin="0,1559" coordsize="11056,445" path="m6293,1559l0,1559,0,2003,6293,2003,6293,1559m11055,1559l7552,1559,7552,2003,11055,2003,11055,1559e" filled="true" fillcolor="#14397f" stroked="false">
              <v:path arrowok="t"/>
              <v:fill type="solid"/>
            </v:shape>
            <v:rect style="position:absolute;left:11055;top:1559;width:284;height:445" filled="true" fillcolor="#e3dad1" stroked="false">
              <v:fill type="solid"/>
            </v:rect>
            <v:rect style="position:absolute;left:6292;top:1559;width:1089;height:445" filled="true" fillcolor="#47a7a8" stroked="false">
              <v:fill type="solid"/>
            </v:rect>
            <v:rect style="position:absolute;left:7381;top:1559;width:171;height:445" filled="true" fillcolor="#e7bb20" stroked="false">
              <v:fill type="solid"/>
            </v:rect>
            <v:rect style="position:absolute;left:11338;top:1559;width:567;height:445" filled="true" fillcolor="#14397f" stroked="false">
              <v:fill type="solid"/>
            </v:rect>
            <v:shape style="position:absolute;left:6180;top:3248;width:4522;height:2935" type="#_x0000_t75" stroked="false">
              <v:imagedata r:id="rId17" o:title=""/>
            </v:shape>
            <w10:wrap type="none"/>
          </v:group>
        </w:pict>
      </w:r>
    </w:p>
    <w:p>
      <w:pPr>
        <w:spacing w:before="106"/>
        <w:ind w:left="241" w:right="0" w:firstLine="0"/>
        <w:jc w:val="left"/>
        <w:rPr>
          <w:sz w:val="24"/>
        </w:rPr>
      </w:pPr>
      <w:r>
        <w:rPr>
          <w:color w:val="E7BB20"/>
          <w:w w:val="105"/>
          <w:sz w:val="24"/>
        </w:rPr>
        <w:t>RESEARCH &amp; EVALUATION</w:t>
      </w:r>
    </w:p>
    <w:p>
      <w:pPr>
        <w:pStyle w:val="BodyText"/>
        <w:rPr>
          <w:sz w:val="20"/>
        </w:rPr>
      </w:pPr>
    </w:p>
    <w:p>
      <w:pPr>
        <w:pStyle w:val="BodyText"/>
        <w:rPr>
          <w:sz w:val="20"/>
        </w:rPr>
      </w:pPr>
    </w:p>
    <w:p>
      <w:pPr>
        <w:pStyle w:val="BodyText"/>
        <w:rPr>
          <w:sz w:val="20"/>
        </w:rPr>
      </w:pPr>
    </w:p>
    <w:p>
      <w:pPr>
        <w:pStyle w:val="BodyText"/>
        <w:spacing w:before="11"/>
        <w:rPr>
          <w:sz w:val="23"/>
        </w:rPr>
      </w:pPr>
    </w:p>
    <w:p>
      <w:pPr>
        <w:spacing w:before="64"/>
        <w:ind w:left="300" w:right="0" w:firstLine="0"/>
        <w:jc w:val="left"/>
        <w:rPr>
          <w:rFonts w:ascii="Helvetica"/>
          <w:b/>
          <w:sz w:val="20"/>
        </w:rPr>
      </w:pPr>
      <w:r>
        <w:rPr/>
        <w:pict>
          <v:shape style="position:absolute;margin-left:300.596985pt;margin-top:3.009898pt;width:245.65pt;height:381.7pt;mso-position-horizontal-relative:page;mso-position-vertical-relative:paragraph;z-index:1168" type="#_x0000_t202" filled="false" stroked="false">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5"/>
                    </w:rPr>
                  </w:pPr>
                </w:p>
                <w:p>
                  <w:pPr>
                    <w:spacing w:before="1"/>
                    <w:ind w:left="168" w:right="0" w:firstLine="0"/>
                    <w:jc w:val="left"/>
                    <w:rPr>
                      <w:rFonts w:ascii="Helvetica"/>
                      <w:b/>
                      <w:sz w:val="18"/>
                    </w:rPr>
                  </w:pPr>
                  <w:r>
                    <w:rPr>
                      <w:rFonts w:ascii="Helvetica"/>
                      <w:b/>
                      <w:color w:val="231F20"/>
                      <w:sz w:val="18"/>
                    </w:rPr>
                    <w:t>ARTIST RECOGNITION (COVER)</w:t>
                  </w:r>
                </w:p>
                <w:p>
                  <w:pPr>
                    <w:spacing w:line="249" w:lineRule="auto" w:before="125"/>
                    <w:ind w:left="168" w:right="233" w:firstLine="0"/>
                    <w:jc w:val="left"/>
                    <w:rPr>
                      <w:sz w:val="18"/>
                    </w:rPr>
                  </w:pPr>
                  <w:r>
                    <w:rPr>
                      <w:color w:val="231F20"/>
                      <w:sz w:val="18"/>
                    </w:rPr>
                    <w:t>Kim Healey is a descendant of the Bundjalung and Gumbaynggirr nations, and also a descendant of the Djunbun (Platypus) Clan, original custodians of the Washpool at Lionsville in Northern NSW. She currently lives within Country in South Grafton NSW, creating and telling her stories along the mighty Clarence River. Kim strives to capture Country and utilise her voice through her work, to interpret the world around her.</w:t>
                  </w:r>
                </w:p>
                <w:p>
                  <w:pPr>
                    <w:spacing w:line="249" w:lineRule="auto" w:before="85"/>
                    <w:ind w:left="168" w:right="233" w:firstLine="0"/>
                    <w:jc w:val="left"/>
                    <w:rPr>
                      <w:sz w:val="18"/>
                    </w:rPr>
                  </w:pPr>
                  <w:r>
                    <w:rPr>
                      <w:color w:val="231F20"/>
                      <w:sz w:val="18"/>
                    </w:rPr>
                    <w:t>This work captures Kim Healey’s connection to Country. It speaks of the Bundjalung and Gumbaynggirr nations which were created by the Yuladarah, the creator of rivers, boundaries and tribal land. This is the Clarence River boundary with Susan Island in the middle of these two tribes which is a birthing place. Using a sgraffito technique, scribing in the sandy medium is a mapping system of Country.</w:t>
                  </w:r>
                </w:p>
              </w:txbxContent>
            </v:textbox>
            <w10:wrap type="none"/>
          </v:shape>
        </w:pict>
      </w:r>
      <w:r>
        <w:rPr>
          <w:rFonts w:ascii="Helvetica"/>
          <w:b/>
          <w:color w:val="FFFFFF"/>
          <w:sz w:val="20"/>
        </w:rPr>
        <w:t>Published by:</w:t>
      </w:r>
    </w:p>
    <w:p>
      <w:pPr>
        <w:spacing w:line="345" w:lineRule="auto" w:before="111"/>
        <w:ind w:left="300" w:right="5775" w:firstLine="0"/>
        <w:jc w:val="left"/>
        <w:rPr>
          <w:sz w:val="20"/>
        </w:rPr>
      </w:pPr>
      <w:r>
        <w:rPr>
          <w:color w:val="FFFFFF"/>
          <w:sz w:val="20"/>
        </w:rPr>
        <w:t>NSW Aboriginal Affairs, Department of Education, 35 Bridge Street SYDNEY NSW 2001</w:t>
      </w:r>
    </w:p>
    <w:p>
      <w:pPr>
        <w:spacing w:line="245" w:lineRule="exact" w:before="0"/>
        <w:ind w:left="300" w:right="0" w:firstLine="0"/>
        <w:jc w:val="left"/>
        <w:rPr>
          <w:sz w:val="20"/>
        </w:rPr>
      </w:pPr>
      <w:r>
        <w:rPr>
          <w:color w:val="FFFFFF"/>
          <w:sz w:val="20"/>
        </w:rPr>
        <w:t>Tel: 1800 019 998</w:t>
      </w:r>
    </w:p>
    <w:p>
      <w:pPr>
        <w:spacing w:line="345" w:lineRule="auto" w:before="108"/>
        <w:ind w:left="300" w:right="5775" w:firstLine="0"/>
        <w:jc w:val="left"/>
        <w:rPr>
          <w:sz w:val="20"/>
        </w:rPr>
      </w:pPr>
      <w:r>
        <w:rPr>
          <w:color w:val="FFFFFF"/>
          <w:sz w:val="20"/>
        </w:rPr>
        <w:t>Email: </w:t>
      </w:r>
      <w:hyperlink r:id="rId18">
        <w:r>
          <w:rPr>
            <w:color w:val="FFFFFF"/>
            <w:sz w:val="20"/>
            <w:u w:val="single" w:color="FFFFFF"/>
          </w:rPr>
          <w:t>enquiries@aboriginalaffairs.nsw.gov.au</w:t>
        </w:r>
      </w:hyperlink>
      <w:r>
        <w:rPr>
          <w:color w:val="FFFFFF"/>
          <w:sz w:val="20"/>
        </w:rPr>
        <w:t> Website: </w:t>
      </w:r>
      <w:hyperlink r:id="rId19">
        <w:r>
          <w:rPr>
            <w:color w:val="FFFFFF"/>
            <w:sz w:val="20"/>
            <w:u w:val="single" w:color="FFFFFF"/>
          </w:rPr>
          <w:t>www.aboriginalaffairs.nsw.gov.au</w:t>
        </w:r>
      </w:hyperlink>
    </w:p>
    <w:p>
      <w:pPr>
        <w:spacing w:line="243" w:lineRule="exact" w:before="112"/>
        <w:ind w:left="300" w:right="0" w:firstLine="0"/>
        <w:jc w:val="left"/>
        <w:rPr>
          <w:sz w:val="20"/>
        </w:rPr>
      </w:pPr>
      <w:r>
        <w:rPr>
          <w:color w:val="FFFFFF"/>
          <w:sz w:val="20"/>
        </w:rPr>
        <w:t>ISBN 978-0-9585971-6-6</w:t>
      </w:r>
    </w:p>
    <w:p>
      <w:pPr>
        <w:spacing w:line="243" w:lineRule="exact" w:before="0"/>
        <w:ind w:left="300" w:right="0" w:firstLine="0"/>
        <w:jc w:val="left"/>
        <w:rPr>
          <w:sz w:val="20"/>
        </w:rPr>
      </w:pPr>
      <w:r>
        <w:rPr>
          <w:color w:val="FFFFFF"/>
          <w:sz w:val="20"/>
        </w:rPr>
        <w:t>Copyright June 2017</w:t>
      </w:r>
    </w:p>
    <w:p>
      <w:pPr>
        <w:pStyle w:val="BodyText"/>
        <w:spacing w:before="3"/>
        <w:rPr>
          <w:sz w:val="18"/>
        </w:rPr>
      </w:pPr>
    </w:p>
    <w:p>
      <w:pPr>
        <w:spacing w:before="0"/>
        <w:ind w:left="300" w:right="0" w:firstLine="0"/>
        <w:jc w:val="left"/>
        <w:rPr>
          <w:rFonts w:ascii="Helvetica"/>
          <w:b/>
          <w:sz w:val="20"/>
        </w:rPr>
      </w:pPr>
      <w:r>
        <w:rPr>
          <w:rFonts w:ascii="Helvetica"/>
          <w:b/>
          <w:color w:val="FFFFFF"/>
          <w:sz w:val="20"/>
        </w:rPr>
        <w:t>Suggested citation:</w:t>
      </w:r>
    </w:p>
    <w:p>
      <w:pPr>
        <w:spacing w:line="230" w:lineRule="auto" w:before="120"/>
        <w:ind w:left="300" w:right="5775" w:firstLine="0"/>
        <w:jc w:val="left"/>
        <w:rPr>
          <w:sz w:val="20"/>
        </w:rPr>
      </w:pPr>
      <w:r>
        <w:rPr>
          <w:color w:val="FFFFFF"/>
          <w:sz w:val="20"/>
        </w:rPr>
        <w:t>Andrew, L., Cipants, J., Heriot, S., Monument, P., Pollard, G., and Stibbard, P. (2017). </w:t>
      </w:r>
      <w:r>
        <w:rPr>
          <w:rFonts w:ascii="Helvetica-LightOblique"/>
          <w:i/>
          <w:color w:val="FFFFFF"/>
          <w:sz w:val="20"/>
        </w:rPr>
        <w:t>Rhetoric to Reality: Devolving decision-making to Aboriginal communities</w:t>
      </w:r>
      <w:r>
        <w:rPr>
          <w:color w:val="FFFFFF"/>
          <w:sz w:val="20"/>
        </w:rPr>
        <w:t>. Sydney: NSW Aboriginal Affairs, Department of Education.</w:t>
      </w:r>
    </w:p>
    <w:p>
      <w:pPr>
        <w:pStyle w:val="BodyText"/>
        <w:spacing w:before="8"/>
        <w:rPr>
          <w:sz w:val="18"/>
        </w:rPr>
      </w:pPr>
    </w:p>
    <w:p>
      <w:pPr>
        <w:spacing w:before="0"/>
        <w:ind w:left="300" w:right="0" w:firstLine="0"/>
        <w:jc w:val="left"/>
        <w:rPr>
          <w:rFonts w:ascii="Helvetica"/>
          <w:b/>
          <w:sz w:val="20"/>
        </w:rPr>
      </w:pPr>
      <w:r>
        <w:rPr>
          <w:rFonts w:ascii="Helvetica"/>
          <w:b/>
          <w:color w:val="FFFFFF"/>
          <w:sz w:val="20"/>
        </w:rPr>
        <w:t>Acknowledgements</w:t>
      </w:r>
    </w:p>
    <w:p>
      <w:pPr>
        <w:spacing w:line="235" w:lineRule="auto" w:before="115"/>
        <w:ind w:left="300" w:right="6002" w:firstLine="0"/>
        <w:jc w:val="left"/>
        <w:rPr>
          <w:sz w:val="20"/>
        </w:rPr>
      </w:pPr>
      <w:r>
        <w:rPr>
          <w:color w:val="FFFFFF"/>
          <w:sz w:val="20"/>
        </w:rPr>
        <w:t>This report was prepared by students as part of the Work Based Project in partial fulfilment </w:t>
      </w:r>
      <w:r>
        <w:rPr>
          <w:color w:val="FFFFFF"/>
          <w:spacing w:val="-8"/>
          <w:sz w:val="20"/>
        </w:rPr>
        <w:t>of </w:t>
      </w:r>
      <w:r>
        <w:rPr>
          <w:color w:val="FFFFFF"/>
          <w:sz w:val="20"/>
        </w:rPr>
        <w:t>the Executive Master of Public Administration</w:t>
      </w:r>
    </w:p>
    <w:p>
      <w:pPr>
        <w:spacing w:line="235" w:lineRule="auto" w:before="0"/>
        <w:ind w:left="300" w:right="5863" w:firstLine="0"/>
        <w:jc w:val="left"/>
        <w:rPr>
          <w:sz w:val="20"/>
        </w:rPr>
      </w:pPr>
      <w:r>
        <w:rPr>
          <w:color w:val="FFFFFF"/>
          <w:sz w:val="20"/>
        </w:rPr>
        <w:t>degree at the Australia and New Zealand School of Government (ANZSOG). NSW Aboriginal Affairs contributed in-kind support for the study. ANZSOG permission to publish is gratefully acknowledged.</w:t>
      </w:r>
    </w:p>
    <w:p>
      <w:pPr>
        <w:spacing w:line="235" w:lineRule="auto" w:before="106"/>
        <w:ind w:left="300" w:right="6097" w:firstLine="0"/>
        <w:jc w:val="left"/>
        <w:rPr>
          <w:sz w:val="20"/>
        </w:rPr>
      </w:pPr>
      <w:r>
        <w:rPr>
          <w:color w:val="FFFFFF"/>
          <w:sz w:val="20"/>
        </w:rPr>
        <w:t>The report was made possible with the contribution of staff from the following agencies who generously shared their time, knowledge and expertise at various stages of the study:</w:t>
      </w:r>
    </w:p>
    <w:p>
      <w:pPr>
        <w:pStyle w:val="ListParagraph"/>
        <w:numPr>
          <w:ilvl w:val="0"/>
          <w:numId w:val="1"/>
        </w:numPr>
        <w:tabs>
          <w:tab w:pos="698" w:val="left" w:leader="none"/>
        </w:tabs>
        <w:spacing w:line="235" w:lineRule="auto" w:before="110" w:after="0"/>
        <w:ind w:left="697" w:right="6403" w:hanging="170"/>
        <w:jc w:val="left"/>
        <w:rPr>
          <w:sz w:val="20"/>
        </w:rPr>
      </w:pPr>
      <w:r>
        <w:rPr/>
        <w:pict>
          <v:shape style="position:absolute;margin-left:301.096985pt;margin-top:4.481213pt;width:244.65pt;height:94.45pt;mso-position-horizontal-relative:page;mso-position-vertical-relative:paragraph;z-index:1144" type="#_x0000_t202" filled="true" fillcolor="#439fa0" stroked="true" strokeweight="1pt" strokecolor="#ffffff">
            <v:textbox inset="0,0,0,0">
              <w:txbxContent>
                <w:p>
                  <w:pPr>
                    <w:pStyle w:val="BodyText"/>
                    <w:spacing w:before="8"/>
                    <w:rPr>
                      <w:sz w:val="24"/>
                    </w:rPr>
                  </w:pPr>
                </w:p>
                <w:p>
                  <w:pPr>
                    <w:spacing w:before="0"/>
                    <w:ind w:left="304" w:right="0" w:firstLine="0"/>
                    <w:jc w:val="left"/>
                    <w:rPr>
                      <w:rFonts w:ascii="Helvetica"/>
                      <w:b/>
                      <w:sz w:val="20"/>
                    </w:rPr>
                  </w:pPr>
                  <w:r>
                    <w:rPr>
                      <w:rFonts w:ascii="Helvetica"/>
                      <w:b/>
                      <w:color w:val="FFFFFF"/>
                      <w:sz w:val="20"/>
                    </w:rPr>
                    <w:t>Disclaimer</w:t>
                  </w:r>
                </w:p>
                <w:p>
                  <w:pPr>
                    <w:spacing w:line="235" w:lineRule="auto" w:before="115"/>
                    <w:ind w:left="304" w:right="404" w:firstLine="0"/>
                    <w:jc w:val="left"/>
                    <w:rPr>
                      <w:sz w:val="20"/>
                    </w:rPr>
                  </w:pPr>
                  <w:r>
                    <w:rPr>
                      <w:color w:val="FFFFFF"/>
                      <w:sz w:val="20"/>
                    </w:rPr>
                    <w:t>The views expressed in this report are those </w:t>
                  </w:r>
                  <w:r>
                    <w:rPr>
                      <w:color w:val="FFFFFF"/>
                      <w:spacing w:val="-8"/>
                      <w:sz w:val="20"/>
                    </w:rPr>
                    <w:t>of </w:t>
                  </w:r>
                  <w:r>
                    <w:rPr>
                      <w:color w:val="FFFFFF"/>
                      <w:sz w:val="20"/>
                    </w:rPr>
                    <w:t>the authors and may not reflect those of NSW Aboriginal Affairs, the participating agencies or the NSW Government.</w:t>
                  </w:r>
                </w:p>
              </w:txbxContent>
            </v:textbox>
            <v:fill opacity="41288f" type="solid"/>
            <v:stroke dashstyle="solid"/>
            <w10:wrap type="none"/>
          </v:shape>
        </w:pict>
      </w:r>
      <w:r>
        <w:rPr>
          <w:color w:val="FFFFFF"/>
          <w:sz w:val="20"/>
        </w:rPr>
        <w:t>NSW Aboriginal Affairs, Department </w:t>
      </w:r>
      <w:r>
        <w:rPr>
          <w:color w:val="FFFFFF"/>
          <w:spacing w:val="-8"/>
          <w:sz w:val="20"/>
        </w:rPr>
        <w:t>of </w:t>
      </w:r>
      <w:r>
        <w:rPr>
          <w:color w:val="FFFFFF"/>
          <w:sz w:val="20"/>
        </w:rPr>
        <w:t>Education</w:t>
      </w:r>
    </w:p>
    <w:p>
      <w:pPr>
        <w:pStyle w:val="ListParagraph"/>
        <w:numPr>
          <w:ilvl w:val="0"/>
          <w:numId w:val="1"/>
        </w:numPr>
        <w:tabs>
          <w:tab w:pos="698" w:val="left" w:leader="none"/>
        </w:tabs>
        <w:spacing w:line="240" w:lineRule="auto" w:before="108" w:after="0"/>
        <w:ind w:left="697" w:right="0" w:hanging="170"/>
        <w:jc w:val="left"/>
        <w:rPr>
          <w:sz w:val="20"/>
        </w:rPr>
      </w:pPr>
      <w:r>
        <w:rPr>
          <w:color w:val="FFFFFF"/>
          <w:sz w:val="20"/>
        </w:rPr>
        <w:t>Aboriginal Housing</w:t>
      </w:r>
      <w:r>
        <w:rPr>
          <w:color w:val="FFFFFF"/>
          <w:spacing w:val="-1"/>
          <w:sz w:val="20"/>
        </w:rPr>
        <w:t> </w:t>
      </w:r>
      <w:r>
        <w:rPr>
          <w:color w:val="FFFFFF"/>
          <w:sz w:val="20"/>
        </w:rPr>
        <w:t>Office</w:t>
      </w:r>
    </w:p>
    <w:p>
      <w:pPr>
        <w:pStyle w:val="ListParagraph"/>
        <w:numPr>
          <w:ilvl w:val="0"/>
          <w:numId w:val="1"/>
        </w:numPr>
        <w:tabs>
          <w:tab w:pos="698" w:val="left" w:leader="none"/>
        </w:tabs>
        <w:spacing w:line="235" w:lineRule="auto" w:before="111" w:after="0"/>
        <w:ind w:left="697" w:right="6444" w:hanging="170"/>
        <w:jc w:val="left"/>
        <w:rPr>
          <w:sz w:val="20"/>
        </w:rPr>
      </w:pPr>
      <w:r>
        <w:rPr>
          <w:color w:val="FFFFFF"/>
          <w:sz w:val="20"/>
        </w:rPr>
        <w:t>Department of Family and Community Services</w:t>
      </w:r>
    </w:p>
    <w:p>
      <w:pPr>
        <w:pStyle w:val="ListParagraph"/>
        <w:numPr>
          <w:ilvl w:val="0"/>
          <w:numId w:val="1"/>
        </w:numPr>
        <w:tabs>
          <w:tab w:pos="698" w:val="left" w:leader="none"/>
        </w:tabs>
        <w:spacing w:line="240" w:lineRule="auto" w:before="108" w:after="0"/>
        <w:ind w:left="697" w:right="0" w:hanging="170"/>
        <w:jc w:val="left"/>
        <w:rPr>
          <w:sz w:val="20"/>
        </w:rPr>
      </w:pPr>
      <w:r>
        <w:rPr>
          <w:color w:val="FFFFFF"/>
          <w:sz w:val="20"/>
        </w:rPr>
        <w:t>Office of Environment and</w:t>
      </w:r>
      <w:r>
        <w:rPr>
          <w:color w:val="FFFFFF"/>
          <w:spacing w:val="-1"/>
          <w:sz w:val="20"/>
        </w:rPr>
        <w:t> </w:t>
      </w:r>
      <w:r>
        <w:rPr>
          <w:color w:val="FFFFFF"/>
          <w:sz w:val="20"/>
        </w:rPr>
        <w:t>Heritage</w:t>
      </w:r>
    </w:p>
    <w:p>
      <w:pPr>
        <w:pStyle w:val="ListParagraph"/>
        <w:numPr>
          <w:ilvl w:val="0"/>
          <w:numId w:val="1"/>
        </w:numPr>
        <w:tabs>
          <w:tab w:pos="698" w:val="left" w:leader="none"/>
        </w:tabs>
        <w:spacing w:line="235" w:lineRule="auto" w:before="112" w:after="0"/>
        <w:ind w:left="697" w:right="6828" w:hanging="170"/>
        <w:jc w:val="left"/>
        <w:rPr>
          <w:sz w:val="20"/>
        </w:rPr>
      </w:pPr>
      <w:r>
        <w:rPr>
          <w:color w:val="FFFFFF"/>
          <w:sz w:val="20"/>
        </w:rPr>
        <w:t>Office of the NSW Small Business Commissioner</w:t>
      </w:r>
    </w:p>
    <w:p>
      <w:pPr>
        <w:pStyle w:val="ListParagraph"/>
        <w:numPr>
          <w:ilvl w:val="0"/>
          <w:numId w:val="1"/>
        </w:numPr>
        <w:tabs>
          <w:tab w:pos="698" w:val="left" w:leader="none"/>
        </w:tabs>
        <w:spacing w:line="240" w:lineRule="auto" w:before="107" w:after="0"/>
        <w:ind w:left="697" w:right="0" w:hanging="170"/>
        <w:jc w:val="left"/>
        <w:rPr>
          <w:sz w:val="20"/>
        </w:rPr>
      </w:pPr>
      <w:r>
        <w:rPr>
          <w:color w:val="FFFFFF"/>
          <w:sz w:val="20"/>
        </w:rPr>
        <w:t>NSW Public Service Commission</w:t>
      </w:r>
    </w:p>
    <w:p>
      <w:pPr>
        <w:spacing w:after="0" w:line="240" w:lineRule="auto"/>
        <w:jc w:val="left"/>
        <w:rPr>
          <w:sz w:val="20"/>
        </w:rPr>
        <w:sectPr>
          <w:headerReference w:type="default" r:id="rId14"/>
          <w:footerReference w:type="default" r:id="rId15"/>
          <w:pgSz w:w="11910" w:h="16840"/>
          <w:pgMar w:header="340" w:footer="522" w:top="1300" w:bottom="720" w:left="740" w:right="640"/>
          <w:pgNumType w:start="2"/>
        </w:sectPr>
      </w:pPr>
    </w:p>
    <w:p>
      <w:pPr>
        <w:pStyle w:val="BodyText"/>
        <w:spacing w:before="7"/>
        <w:rPr>
          <w:sz w:val="18"/>
        </w:rPr>
      </w:pPr>
      <w:r>
        <w:rPr/>
        <w:pict>
          <v:group style="position:absolute;margin-left:0pt;margin-top:77.953018pt;width:595.3pt;height:721.45pt;mso-position-horizontal-relative:page;mso-position-vertical-relative:page;z-index:-72136" coordorigin="0,1559" coordsize="11906,14429">
            <v:shape style="position:absolute;left:0;top:2003;width:11906;height:13985" type="#_x0000_t75" stroked="false">
              <v:imagedata r:id="rId16" o:title=""/>
            </v:shape>
            <v:rect style="position:absolute;left:0;top:2013;width:11906;height:13975" filled="true" fillcolor="#439fa0" stroked="false">
              <v:fill opacity="41288f" type="solid"/>
            </v:rect>
            <v:shape style="position:absolute;left:0;top:1559;width:11056;height:445" coordorigin="0,1559" coordsize="11056,445" path="m6293,1559l0,1559,0,2003,6293,2003,6293,1559m11055,1559l7552,1559,7552,2003,11055,2003,11055,1559e" filled="true" fillcolor="#14397f" stroked="false">
              <v:path arrowok="t"/>
              <v:fill type="solid"/>
            </v:shape>
            <v:rect style="position:absolute;left:11055;top:1559;width:284;height:445" filled="true" fillcolor="#e3dad1" stroked="false">
              <v:fill type="solid"/>
            </v:rect>
            <v:rect style="position:absolute;left:6292;top:1559;width:1089;height:445" filled="true" fillcolor="#47a7a8" stroked="false">
              <v:fill type="solid"/>
            </v:rect>
            <v:rect style="position:absolute;left:7381;top:1559;width:171;height:445" filled="true" fillcolor="#e7bb20" stroked="false">
              <v:fill type="solid"/>
            </v:rect>
            <v:rect style="position:absolute;left:11338;top:1559;width:567;height:445" filled="true" fillcolor="#14397f" stroked="false">
              <v:fill type="solid"/>
            </v:rect>
            <w10:wrap type="none"/>
          </v:group>
        </w:pict>
      </w:r>
    </w:p>
    <w:p>
      <w:pPr>
        <w:spacing w:before="106"/>
        <w:ind w:left="241" w:right="0" w:firstLine="0"/>
        <w:jc w:val="left"/>
        <w:rPr>
          <w:sz w:val="24"/>
        </w:rPr>
      </w:pPr>
      <w:r>
        <w:rPr>
          <w:color w:val="E7BB20"/>
          <w:w w:val="105"/>
          <w:sz w:val="24"/>
        </w:rPr>
        <w:t>RESEARCH &amp; EVALUATION</w:t>
      </w:r>
    </w:p>
    <w:p>
      <w:pPr>
        <w:pStyle w:val="BodyText"/>
        <w:rPr>
          <w:sz w:val="28"/>
        </w:rPr>
      </w:pPr>
    </w:p>
    <w:p>
      <w:pPr>
        <w:pStyle w:val="BodyText"/>
        <w:rPr>
          <w:sz w:val="28"/>
        </w:rPr>
      </w:pPr>
    </w:p>
    <w:p>
      <w:pPr>
        <w:pStyle w:val="BodyText"/>
        <w:spacing w:before="1"/>
        <w:rPr>
          <w:sz w:val="38"/>
        </w:rPr>
      </w:pPr>
    </w:p>
    <w:p>
      <w:pPr>
        <w:spacing w:before="0"/>
        <w:ind w:left="300" w:right="0" w:firstLine="0"/>
        <w:jc w:val="left"/>
        <w:rPr>
          <w:rFonts w:ascii="Helvetica"/>
          <w:b/>
          <w:sz w:val="20"/>
        </w:rPr>
      </w:pPr>
      <w:r>
        <w:rPr>
          <w:rFonts w:ascii="Helvetica"/>
          <w:b/>
          <w:color w:val="FFFFFF"/>
          <w:sz w:val="20"/>
        </w:rPr>
        <w:t>ANZSOG Work based project team (2015 cohort, team 7)</w:t>
      </w:r>
    </w:p>
    <w:p>
      <w:pPr>
        <w:spacing w:line="235" w:lineRule="auto" w:before="115"/>
        <w:ind w:left="300" w:right="4852" w:firstLine="0"/>
        <w:jc w:val="left"/>
        <w:rPr>
          <w:sz w:val="20"/>
        </w:rPr>
      </w:pPr>
      <w:r>
        <w:rPr>
          <w:color w:val="FFFFFF"/>
          <w:sz w:val="20"/>
        </w:rPr>
        <w:t>Laura Andrew – Department of Health and Human Services, Victorian Government</w:t>
      </w:r>
    </w:p>
    <w:p>
      <w:pPr>
        <w:spacing w:before="108"/>
        <w:ind w:left="300" w:right="0" w:firstLine="0"/>
        <w:jc w:val="left"/>
        <w:rPr>
          <w:sz w:val="20"/>
        </w:rPr>
      </w:pPr>
      <w:r>
        <w:rPr>
          <w:color w:val="FFFFFF"/>
          <w:sz w:val="20"/>
        </w:rPr>
        <w:t>Jane Cipants – Legal Aid, NSW Government</w:t>
      </w:r>
    </w:p>
    <w:p>
      <w:pPr>
        <w:spacing w:line="235" w:lineRule="auto" w:before="111"/>
        <w:ind w:left="300" w:right="5386" w:firstLine="0"/>
        <w:jc w:val="left"/>
        <w:rPr>
          <w:sz w:val="20"/>
        </w:rPr>
      </w:pPr>
      <w:r>
        <w:rPr>
          <w:color w:val="FFFFFF"/>
          <w:sz w:val="20"/>
        </w:rPr>
        <w:t>Sandra Heriot – Department of Family and Community Services, NSW Government</w:t>
      </w:r>
    </w:p>
    <w:p>
      <w:pPr>
        <w:spacing w:line="235" w:lineRule="auto" w:before="112"/>
        <w:ind w:left="300" w:right="4852" w:firstLine="0"/>
        <w:jc w:val="left"/>
        <w:rPr>
          <w:sz w:val="20"/>
        </w:rPr>
      </w:pPr>
      <w:r>
        <w:rPr>
          <w:color w:val="FFFFFF"/>
          <w:sz w:val="20"/>
        </w:rPr>
        <w:t>Prue Monument – Australian Charities and Not-for-profits Commission, Australian Government</w:t>
      </w:r>
    </w:p>
    <w:p>
      <w:pPr>
        <w:spacing w:before="108"/>
        <w:ind w:left="300" w:right="0" w:firstLine="0"/>
        <w:jc w:val="left"/>
        <w:rPr>
          <w:sz w:val="20"/>
        </w:rPr>
      </w:pPr>
      <w:r>
        <w:rPr>
          <w:color w:val="FFFFFF"/>
          <w:sz w:val="20"/>
        </w:rPr>
        <w:t>Grant Pollard – Ministry of Health, New Zealand Government</w:t>
      </w:r>
    </w:p>
    <w:p>
      <w:pPr>
        <w:spacing w:line="235" w:lineRule="auto" w:before="111"/>
        <w:ind w:left="300" w:right="4852" w:firstLine="0"/>
        <w:jc w:val="left"/>
        <w:rPr>
          <w:sz w:val="20"/>
        </w:rPr>
      </w:pPr>
      <w:r>
        <w:rPr>
          <w:color w:val="FFFFFF"/>
          <w:sz w:val="20"/>
        </w:rPr>
        <w:t>Peter Stibbard – Department of Treasury and Finance, Victorian Government</w:t>
      </w:r>
    </w:p>
    <w:p>
      <w:pPr>
        <w:pStyle w:val="BodyText"/>
        <w:spacing w:before="2"/>
        <w:rPr>
          <w:sz w:val="32"/>
        </w:rPr>
      </w:pPr>
    </w:p>
    <w:p>
      <w:pPr>
        <w:spacing w:before="0"/>
        <w:ind w:left="300" w:right="0" w:firstLine="0"/>
        <w:jc w:val="left"/>
        <w:rPr>
          <w:rFonts w:ascii="Helvetica"/>
          <w:b/>
          <w:sz w:val="20"/>
        </w:rPr>
      </w:pPr>
      <w:r>
        <w:rPr>
          <w:rFonts w:ascii="Helvetica"/>
          <w:b/>
          <w:color w:val="FFFFFF"/>
          <w:sz w:val="20"/>
        </w:rPr>
        <w:t>Academic supervisor</w:t>
      </w:r>
    </w:p>
    <w:p>
      <w:pPr>
        <w:spacing w:line="235" w:lineRule="auto" w:before="115"/>
        <w:ind w:left="300" w:right="5252" w:firstLine="0"/>
        <w:jc w:val="left"/>
        <w:rPr>
          <w:sz w:val="20"/>
        </w:rPr>
      </w:pPr>
      <w:r>
        <w:rPr>
          <w:color w:val="FFFFFF"/>
          <w:sz w:val="20"/>
        </w:rPr>
        <w:t>Dr Zina O’Leary – WIL Coordinator Business Education, Business School, University of Sydney</w:t>
      </w:r>
    </w:p>
    <w:p>
      <w:pPr>
        <w:pStyle w:val="BodyText"/>
        <w:spacing w:before="1"/>
        <w:rPr>
          <w:sz w:val="32"/>
        </w:rPr>
      </w:pPr>
    </w:p>
    <w:p>
      <w:pPr>
        <w:spacing w:before="1"/>
        <w:ind w:left="300" w:right="0" w:firstLine="0"/>
        <w:jc w:val="left"/>
        <w:rPr>
          <w:rFonts w:ascii="Helvetica"/>
          <w:b/>
          <w:sz w:val="20"/>
        </w:rPr>
      </w:pPr>
      <w:r>
        <w:rPr>
          <w:rFonts w:ascii="Helvetica"/>
          <w:b/>
          <w:color w:val="FFFFFF"/>
          <w:sz w:val="20"/>
        </w:rPr>
        <w:t>Project sponsor</w:t>
      </w:r>
    </w:p>
    <w:p>
      <w:pPr>
        <w:spacing w:before="111"/>
        <w:ind w:left="300" w:right="0" w:firstLine="0"/>
        <w:jc w:val="left"/>
        <w:rPr>
          <w:sz w:val="20"/>
        </w:rPr>
      </w:pPr>
      <w:r>
        <w:rPr>
          <w:color w:val="FFFFFF"/>
          <w:sz w:val="20"/>
        </w:rPr>
        <w:t>NSW Department of Education – Aboriginal Affairs</w:t>
      </w:r>
    </w:p>
    <w:p>
      <w:pPr>
        <w:spacing w:line="345" w:lineRule="auto" w:before="107"/>
        <w:ind w:left="470" w:right="4346" w:firstLine="0"/>
        <w:jc w:val="left"/>
        <w:rPr>
          <w:sz w:val="20"/>
        </w:rPr>
      </w:pPr>
      <w:r>
        <w:rPr>
          <w:color w:val="FFFFFF"/>
          <w:sz w:val="20"/>
        </w:rPr>
        <w:t>Caitlin McDowell – Senior Research Officer (Project Liaison) Trish Malins – Manager, Research and Evaluation</w:t>
      </w:r>
    </w:p>
    <w:p>
      <w:pPr>
        <w:spacing w:line="345" w:lineRule="auto" w:before="0"/>
        <w:ind w:left="470" w:right="5252" w:firstLine="0"/>
        <w:jc w:val="left"/>
        <w:rPr>
          <w:sz w:val="20"/>
        </w:rPr>
      </w:pPr>
      <w:r>
        <w:rPr>
          <w:color w:val="FFFFFF"/>
          <w:sz w:val="20"/>
        </w:rPr>
        <w:t>Lou-Anne Lind – Director, Strategy and Coordination Jason Ardler – Head of Aboriginal Affairs</w:t>
      </w:r>
    </w:p>
    <w:p>
      <w:pPr>
        <w:spacing w:after="0" w:line="345" w:lineRule="auto"/>
        <w:jc w:val="left"/>
        <w:rPr>
          <w:sz w:val="20"/>
        </w:rPr>
        <w:sectPr>
          <w:pgSz w:w="11910" w:h="16840"/>
          <w:pgMar w:header="340" w:footer="522" w:top="1300" w:bottom="720" w:left="740" w:right="640"/>
        </w:sectPr>
      </w:pPr>
    </w:p>
    <w:p>
      <w:pPr>
        <w:pStyle w:val="BodyText"/>
        <w:rPr>
          <w:sz w:val="20"/>
        </w:rPr>
      </w:pPr>
      <w:r>
        <w:rPr/>
        <w:pict>
          <v:line style="position:absolute;mso-position-horizontal-relative:page;mso-position-vertical-relative:page;z-index:1216" from="-.000014pt,800.3703pt" to="595.275987pt,800.3703pt" stroked="true" strokeweight=".75pt" strokecolor="#c2b59b">
            <v:stroke dashstyle="solid"/>
            <w10:wrap type="none"/>
          </v:line>
        </w:pict>
      </w:r>
      <w:r>
        <w:rPr/>
        <w:pict>
          <v:group style="position:absolute;margin-left:.0pt;margin-top:0pt;width:595.3pt;height:80.8pt;mso-position-horizontal-relative:page;mso-position-vertical-relative:page;z-index:-72064" coordorigin="0,0" coordsize="11906,1616">
            <v:rect style="position:absolute;left:0;top:1332;width:4105;height:284" filled="true" fillcolor="#14397f" stroked="false">
              <v:fill type="solid"/>
            </v:rect>
            <v:rect style="position:absolute;left:4104;top:1332;width:1656;height:284" filled="true" fillcolor="#47a7a8" stroked="false">
              <v:fill type="solid"/>
            </v:rect>
            <v:rect style="position:absolute;left:5748;top:1332;width:218;height:284" filled="true" fillcolor="#e7bb20" stroked="false">
              <v:fill type="solid"/>
            </v:rect>
            <v:rect style="position:absolute;left:11111;top:1332;width:341;height:284" filled="true" fillcolor="#e3dad1" stroked="false">
              <v:fill type="solid"/>
            </v:rect>
            <v:rect style="position:absolute;left:11451;top:1332;width:454;height:284" filled="true" fillcolor="#14397f" stroked="false">
              <v:fill type="solid"/>
            </v:rect>
            <v:shape style="position:absolute;left:0;top:0;width:11906;height:1333" type="#_x0000_t75" stroked="false">
              <v:imagedata r:id="rId22" o:title=""/>
            </v:shape>
            <v:rect style="position:absolute;left:0;top:0;width:11906;height:1333" filled="true" fillcolor="#439fa0" stroked="false">
              <v:fill opacity="37355f" type="solid"/>
            </v:rect>
            <v:shape style="position:absolute;left:5966;top:1332;width:5146;height:284" type="#_x0000_t202" filled="true" fillcolor="#14397f" stroked="false">
              <v:textbox inset="0,0,0,0">
                <w:txbxContent>
                  <w:p>
                    <w:pPr>
                      <w:spacing w:before="44"/>
                      <w:ind w:left="3184" w:right="0" w:firstLine="0"/>
                      <w:jc w:val="left"/>
                      <w:rPr>
                        <w:sz w:val="16"/>
                      </w:rPr>
                    </w:pPr>
                    <w:r>
                      <w:rPr>
                        <w:color w:val="FFFFFF"/>
                        <w:sz w:val="16"/>
                      </w:rPr>
                      <w:t>RHETORIC TO REALITY</w:t>
                    </w:r>
                  </w:p>
                </w:txbxContent>
              </v:textbox>
              <v:fill type="solid"/>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187"/>
      </w:pPr>
      <w:r>
        <w:rPr/>
        <w:pict>
          <v:shape style="position:absolute;margin-left:150.890106pt;margin-top:12.253608pt;width:394.8pt;height:284pt;mso-position-horizontal-relative:page;mso-position-vertical-relative:paragraph;z-index:128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00"/>
                    <w:gridCol w:w="2396"/>
                  </w:tblGrid>
                  <w:tr>
                    <w:trPr>
                      <w:trHeight w:val="556" w:hRule="atLeast"/>
                    </w:trPr>
                    <w:tc>
                      <w:tcPr>
                        <w:tcW w:w="5500" w:type="dxa"/>
                        <w:tcBorders>
                          <w:top w:val="single" w:sz="4" w:space="0" w:color="439FA0"/>
                          <w:bottom w:val="single" w:sz="4" w:space="0" w:color="439FA0"/>
                        </w:tcBorders>
                      </w:tcPr>
                      <w:p>
                        <w:pPr>
                          <w:pStyle w:val="TableParagraph"/>
                          <w:spacing w:before="170"/>
                          <w:ind w:left="80"/>
                          <w:rPr>
                            <w:sz w:val="22"/>
                          </w:rPr>
                        </w:pPr>
                        <w:r>
                          <w:rPr>
                            <w:color w:val="231F20"/>
                            <w:sz w:val="22"/>
                          </w:rPr>
                          <w:t>ACKNOWLEDGEMENTS</w:t>
                        </w:r>
                      </w:p>
                    </w:tc>
                    <w:tc>
                      <w:tcPr>
                        <w:tcW w:w="2396" w:type="dxa"/>
                        <w:tcBorders>
                          <w:top w:val="single" w:sz="4" w:space="0" w:color="439FA0"/>
                          <w:bottom w:val="single" w:sz="4" w:space="0" w:color="439FA0"/>
                        </w:tcBorders>
                      </w:tcPr>
                      <w:p>
                        <w:pPr>
                          <w:pStyle w:val="TableParagraph"/>
                          <w:spacing w:before="170"/>
                          <w:ind w:right="78"/>
                          <w:jc w:val="right"/>
                          <w:rPr>
                            <w:sz w:val="22"/>
                          </w:rPr>
                        </w:pPr>
                        <w:r>
                          <w:rPr>
                            <w:color w:val="231F20"/>
                            <w:sz w:val="22"/>
                          </w:rPr>
                          <w:t>6</w:t>
                        </w:r>
                      </w:p>
                    </w:tc>
                  </w:tr>
                  <w:tr>
                    <w:trPr>
                      <w:trHeight w:val="556" w:hRule="atLeast"/>
                    </w:trPr>
                    <w:tc>
                      <w:tcPr>
                        <w:tcW w:w="5500" w:type="dxa"/>
                        <w:tcBorders>
                          <w:top w:val="single" w:sz="4" w:space="0" w:color="439FA0"/>
                          <w:bottom w:val="single" w:sz="4" w:space="0" w:color="439FA0"/>
                        </w:tcBorders>
                      </w:tcPr>
                      <w:p>
                        <w:pPr>
                          <w:pStyle w:val="TableParagraph"/>
                          <w:spacing w:before="170"/>
                          <w:ind w:left="80"/>
                          <w:rPr>
                            <w:sz w:val="22"/>
                          </w:rPr>
                        </w:pPr>
                        <w:r>
                          <w:rPr>
                            <w:color w:val="231F20"/>
                            <w:sz w:val="22"/>
                          </w:rPr>
                          <w:t>EXECUTIVE SUMMARY</w:t>
                        </w:r>
                      </w:p>
                    </w:tc>
                    <w:tc>
                      <w:tcPr>
                        <w:tcW w:w="2396" w:type="dxa"/>
                        <w:tcBorders>
                          <w:top w:val="single" w:sz="4" w:space="0" w:color="439FA0"/>
                          <w:bottom w:val="single" w:sz="4" w:space="0" w:color="439FA0"/>
                        </w:tcBorders>
                      </w:tcPr>
                      <w:p>
                        <w:pPr>
                          <w:pStyle w:val="TableParagraph"/>
                          <w:spacing w:before="170"/>
                          <w:ind w:right="78"/>
                          <w:jc w:val="right"/>
                          <w:rPr>
                            <w:sz w:val="22"/>
                          </w:rPr>
                        </w:pPr>
                        <w:r>
                          <w:rPr>
                            <w:color w:val="231F20"/>
                            <w:sz w:val="22"/>
                          </w:rPr>
                          <w:t>7</w:t>
                        </w:r>
                      </w:p>
                    </w:tc>
                  </w:tr>
                  <w:tr>
                    <w:trPr>
                      <w:trHeight w:val="556" w:hRule="atLeast"/>
                    </w:trPr>
                    <w:tc>
                      <w:tcPr>
                        <w:tcW w:w="5500" w:type="dxa"/>
                        <w:tcBorders>
                          <w:top w:val="single" w:sz="4" w:space="0" w:color="439FA0"/>
                          <w:bottom w:val="single" w:sz="4" w:space="0" w:color="439FA0"/>
                        </w:tcBorders>
                      </w:tcPr>
                      <w:p>
                        <w:pPr>
                          <w:pStyle w:val="TableParagraph"/>
                          <w:spacing w:before="170"/>
                          <w:ind w:left="80"/>
                          <w:rPr>
                            <w:sz w:val="22"/>
                          </w:rPr>
                        </w:pPr>
                        <w:r>
                          <w:rPr>
                            <w:color w:val="231F20"/>
                            <w:sz w:val="22"/>
                          </w:rPr>
                          <w:t>INTRODUCTION</w:t>
                        </w:r>
                      </w:p>
                    </w:tc>
                    <w:tc>
                      <w:tcPr>
                        <w:tcW w:w="2396" w:type="dxa"/>
                        <w:tcBorders>
                          <w:top w:val="single" w:sz="4" w:space="0" w:color="439FA0"/>
                          <w:bottom w:val="single" w:sz="4" w:space="0" w:color="439FA0"/>
                        </w:tcBorders>
                      </w:tcPr>
                      <w:p>
                        <w:pPr>
                          <w:pStyle w:val="TableParagraph"/>
                          <w:spacing w:before="170"/>
                          <w:ind w:right="78"/>
                          <w:jc w:val="right"/>
                          <w:rPr>
                            <w:sz w:val="22"/>
                          </w:rPr>
                        </w:pPr>
                        <w:r>
                          <w:rPr>
                            <w:color w:val="231F20"/>
                            <w:sz w:val="22"/>
                          </w:rPr>
                          <w:t>9</w:t>
                        </w:r>
                      </w:p>
                    </w:tc>
                  </w:tr>
                  <w:tr>
                    <w:trPr>
                      <w:trHeight w:val="556" w:hRule="atLeast"/>
                    </w:trPr>
                    <w:tc>
                      <w:tcPr>
                        <w:tcW w:w="5500" w:type="dxa"/>
                        <w:tcBorders>
                          <w:top w:val="single" w:sz="4" w:space="0" w:color="439FA0"/>
                          <w:bottom w:val="single" w:sz="4" w:space="0" w:color="439FA0"/>
                        </w:tcBorders>
                      </w:tcPr>
                      <w:p>
                        <w:pPr>
                          <w:pStyle w:val="TableParagraph"/>
                          <w:spacing w:before="171"/>
                          <w:ind w:left="80"/>
                          <w:rPr>
                            <w:sz w:val="22"/>
                          </w:rPr>
                        </w:pPr>
                        <w:r>
                          <w:rPr>
                            <w:color w:val="231F20"/>
                            <w:sz w:val="22"/>
                          </w:rPr>
                          <w:t>LITERATURE REVIEW</w:t>
                        </w:r>
                      </w:p>
                    </w:tc>
                    <w:tc>
                      <w:tcPr>
                        <w:tcW w:w="2396" w:type="dxa"/>
                        <w:tcBorders>
                          <w:top w:val="single" w:sz="4" w:space="0" w:color="439FA0"/>
                          <w:bottom w:val="single" w:sz="4" w:space="0" w:color="439FA0"/>
                        </w:tcBorders>
                      </w:tcPr>
                      <w:p>
                        <w:pPr>
                          <w:pStyle w:val="TableParagraph"/>
                          <w:spacing w:before="171"/>
                          <w:ind w:right="78"/>
                          <w:jc w:val="right"/>
                          <w:rPr>
                            <w:sz w:val="22"/>
                          </w:rPr>
                        </w:pPr>
                        <w:r>
                          <w:rPr>
                            <w:color w:val="231F20"/>
                            <w:sz w:val="22"/>
                          </w:rPr>
                          <w:t>10</w:t>
                        </w:r>
                      </w:p>
                    </w:tc>
                  </w:tr>
                  <w:tr>
                    <w:trPr>
                      <w:trHeight w:val="556" w:hRule="atLeast"/>
                    </w:trPr>
                    <w:tc>
                      <w:tcPr>
                        <w:tcW w:w="5500" w:type="dxa"/>
                        <w:tcBorders>
                          <w:top w:val="single" w:sz="4" w:space="0" w:color="439FA0"/>
                          <w:bottom w:val="single" w:sz="4" w:space="0" w:color="439FA0"/>
                        </w:tcBorders>
                      </w:tcPr>
                      <w:p>
                        <w:pPr>
                          <w:pStyle w:val="TableParagraph"/>
                          <w:spacing w:before="171"/>
                          <w:ind w:left="80"/>
                          <w:rPr>
                            <w:sz w:val="22"/>
                          </w:rPr>
                        </w:pPr>
                        <w:r>
                          <w:rPr>
                            <w:color w:val="231F20"/>
                            <w:sz w:val="22"/>
                          </w:rPr>
                          <w:t>METHODOLOGY AND METHODS</w:t>
                        </w:r>
                      </w:p>
                    </w:tc>
                    <w:tc>
                      <w:tcPr>
                        <w:tcW w:w="2396" w:type="dxa"/>
                        <w:tcBorders>
                          <w:top w:val="single" w:sz="4" w:space="0" w:color="439FA0"/>
                          <w:bottom w:val="single" w:sz="4" w:space="0" w:color="439FA0"/>
                        </w:tcBorders>
                      </w:tcPr>
                      <w:p>
                        <w:pPr>
                          <w:pStyle w:val="TableParagraph"/>
                          <w:spacing w:before="171"/>
                          <w:ind w:right="78"/>
                          <w:jc w:val="right"/>
                          <w:rPr>
                            <w:sz w:val="22"/>
                          </w:rPr>
                        </w:pPr>
                        <w:r>
                          <w:rPr>
                            <w:color w:val="231F20"/>
                            <w:sz w:val="22"/>
                          </w:rPr>
                          <w:t>18</w:t>
                        </w:r>
                      </w:p>
                    </w:tc>
                  </w:tr>
                  <w:tr>
                    <w:trPr>
                      <w:trHeight w:val="556" w:hRule="atLeast"/>
                    </w:trPr>
                    <w:tc>
                      <w:tcPr>
                        <w:tcW w:w="5500" w:type="dxa"/>
                        <w:tcBorders>
                          <w:top w:val="single" w:sz="4" w:space="0" w:color="439FA0"/>
                          <w:bottom w:val="single" w:sz="4" w:space="0" w:color="439FA0"/>
                        </w:tcBorders>
                      </w:tcPr>
                      <w:p>
                        <w:pPr>
                          <w:pStyle w:val="TableParagraph"/>
                          <w:spacing w:before="171"/>
                          <w:ind w:left="80"/>
                          <w:rPr>
                            <w:sz w:val="22"/>
                          </w:rPr>
                        </w:pPr>
                        <w:r>
                          <w:rPr>
                            <w:color w:val="231F20"/>
                            <w:sz w:val="22"/>
                          </w:rPr>
                          <w:t>ANALYSIS</w:t>
                        </w:r>
                      </w:p>
                    </w:tc>
                    <w:tc>
                      <w:tcPr>
                        <w:tcW w:w="2396" w:type="dxa"/>
                        <w:tcBorders>
                          <w:top w:val="single" w:sz="4" w:space="0" w:color="439FA0"/>
                          <w:bottom w:val="single" w:sz="4" w:space="0" w:color="439FA0"/>
                        </w:tcBorders>
                      </w:tcPr>
                      <w:p>
                        <w:pPr>
                          <w:pStyle w:val="TableParagraph"/>
                          <w:spacing w:before="171"/>
                          <w:ind w:right="78"/>
                          <w:jc w:val="right"/>
                          <w:rPr>
                            <w:sz w:val="22"/>
                          </w:rPr>
                        </w:pPr>
                        <w:r>
                          <w:rPr>
                            <w:color w:val="231F20"/>
                            <w:sz w:val="22"/>
                          </w:rPr>
                          <w:t>21</w:t>
                        </w:r>
                      </w:p>
                    </w:tc>
                  </w:tr>
                  <w:tr>
                    <w:trPr>
                      <w:trHeight w:val="556" w:hRule="atLeast"/>
                    </w:trPr>
                    <w:tc>
                      <w:tcPr>
                        <w:tcW w:w="5500" w:type="dxa"/>
                        <w:tcBorders>
                          <w:top w:val="single" w:sz="4" w:space="0" w:color="439FA0"/>
                          <w:bottom w:val="single" w:sz="4" w:space="0" w:color="439FA0"/>
                        </w:tcBorders>
                      </w:tcPr>
                      <w:p>
                        <w:pPr>
                          <w:pStyle w:val="TableParagraph"/>
                          <w:spacing w:before="171"/>
                          <w:ind w:left="80"/>
                          <w:rPr>
                            <w:sz w:val="22"/>
                          </w:rPr>
                        </w:pPr>
                        <w:r>
                          <w:rPr>
                            <w:color w:val="231F20"/>
                            <w:sz w:val="22"/>
                          </w:rPr>
                          <w:t>DISCUSSION</w:t>
                        </w:r>
                      </w:p>
                    </w:tc>
                    <w:tc>
                      <w:tcPr>
                        <w:tcW w:w="2396" w:type="dxa"/>
                        <w:tcBorders>
                          <w:top w:val="single" w:sz="4" w:space="0" w:color="439FA0"/>
                          <w:bottom w:val="single" w:sz="4" w:space="0" w:color="439FA0"/>
                        </w:tcBorders>
                      </w:tcPr>
                      <w:p>
                        <w:pPr>
                          <w:pStyle w:val="TableParagraph"/>
                          <w:spacing w:before="171"/>
                          <w:ind w:right="78"/>
                          <w:jc w:val="right"/>
                          <w:rPr>
                            <w:sz w:val="22"/>
                          </w:rPr>
                        </w:pPr>
                        <w:r>
                          <w:rPr>
                            <w:color w:val="231F20"/>
                            <w:sz w:val="22"/>
                          </w:rPr>
                          <w:t>22</w:t>
                        </w:r>
                      </w:p>
                    </w:tc>
                  </w:tr>
                  <w:tr>
                    <w:trPr>
                      <w:trHeight w:val="556" w:hRule="atLeast"/>
                    </w:trPr>
                    <w:tc>
                      <w:tcPr>
                        <w:tcW w:w="5500" w:type="dxa"/>
                        <w:tcBorders>
                          <w:top w:val="single" w:sz="4" w:space="0" w:color="439FA0"/>
                          <w:bottom w:val="single" w:sz="4" w:space="0" w:color="439FA0"/>
                        </w:tcBorders>
                      </w:tcPr>
                      <w:p>
                        <w:pPr>
                          <w:pStyle w:val="TableParagraph"/>
                          <w:spacing w:before="171"/>
                          <w:ind w:left="80"/>
                          <w:rPr>
                            <w:sz w:val="22"/>
                          </w:rPr>
                        </w:pPr>
                        <w:r>
                          <w:rPr>
                            <w:color w:val="231F20"/>
                            <w:sz w:val="22"/>
                          </w:rPr>
                          <w:t>CONCLUSION</w:t>
                        </w:r>
                      </w:p>
                    </w:tc>
                    <w:tc>
                      <w:tcPr>
                        <w:tcW w:w="2396" w:type="dxa"/>
                        <w:tcBorders>
                          <w:top w:val="single" w:sz="4" w:space="0" w:color="439FA0"/>
                          <w:bottom w:val="single" w:sz="4" w:space="0" w:color="439FA0"/>
                        </w:tcBorders>
                      </w:tcPr>
                      <w:p>
                        <w:pPr>
                          <w:pStyle w:val="TableParagraph"/>
                          <w:spacing w:before="171"/>
                          <w:ind w:right="78"/>
                          <w:jc w:val="right"/>
                          <w:rPr>
                            <w:sz w:val="22"/>
                          </w:rPr>
                        </w:pPr>
                        <w:r>
                          <w:rPr>
                            <w:color w:val="231F20"/>
                            <w:sz w:val="22"/>
                          </w:rPr>
                          <w:t>32</w:t>
                        </w:r>
                      </w:p>
                    </w:tc>
                  </w:tr>
                  <w:tr>
                    <w:trPr>
                      <w:trHeight w:val="556" w:hRule="atLeast"/>
                    </w:trPr>
                    <w:tc>
                      <w:tcPr>
                        <w:tcW w:w="5500" w:type="dxa"/>
                        <w:tcBorders>
                          <w:top w:val="single" w:sz="4" w:space="0" w:color="439FA0"/>
                          <w:bottom w:val="single" w:sz="4" w:space="0" w:color="439FA0"/>
                        </w:tcBorders>
                      </w:tcPr>
                      <w:p>
                        <w:pPr>
                          <w:pStyle w:val="TableParagraph"/>
                          <w:spacing w:before="171"/>
                          <w:ind w:left="80"/>
                          <w:rPr>
                            <w:sz w:val="22"/>
                          </w:rPr>
                        </w:pPr>
                        <w:r>
                          <w:rPr>
                            <w:color w:val="231F20"/>
                            <w:sz w:val="22"/>
                          </w:rPr>
                          <w:t>REFERENCES</w:t>
                        </w:r>
                      </w:p>
                    </w:tc>
                    <w:tc>
                      <w:tcPr>
                        <w:tcW w:w="2396" w:type="dxa"/>
                        <w:tcBorders>
                          <w:top w:val="single" w:sz="4" w:space="0" w:color="439FA0"/>
                          <w:bottom w:val="single" w:sz="4" w:space="0" w:color="439FA0"/>
                        </w:tcBorders>
                      </w:tcPr>
                      <w:p>
                        <w:pPr>
                          <w:pStyle w:val="TableParagraph"/>
                          <w:spacing w:before="171"/>
                          <w:ind w:right="78"/>
                          <w:jc w:val="right"/>
                          <w:rPr>
                            <w:sz w:val="22"/>
                          </w:rPr>
                        </w:pPr>
                        <w:r>
                          <w:rPr>
                            <w:color w:val="231F20"/>
                            <w:sz w:val="22"/>
                          </w:rPr>
                          <w:t>33</w:t>
                        </w:r>
                      </w:p>
                    </w:tc>
                  </w:tr>
                  <w:tr>
                    <w:trPr>
                      <w:trHeight w:val="556" w:hRule="atLeast"/>
                    </w:trPr>
                    <w:tc>
                      <w:tcPr>
                        <w:tcW w:w="5500" w:type="dxa"/>
                        <w:tcBorders>
                          <w:top w:val="single" w:sz="4" w:space="0" w:color="439FA0"/>
                          <w:bottom w:val="single" w:sz="4" w:space="0" w:color="439FA0"/>
                        </w:tcBorders>
                      </w:tcPr>
                      <w:p>
                        <w:pPr>
                          <w:pStyle w:val="TableParagraph"/>
                          <w:spacing w:before="171"/>
                          <w:ind w:left="80"/>
                          <w:rPr>
                            <w:sz w:val="22"/>
                          </w:rPr>
                        </w:pPr>
                        <w:r>
                          <w:rPr>
                            <w:color w:val="231F20"/>
                            <w:sz w:val="22"/>
                          </w:rPr>
                          <w:t>APPENDICES</w:t>
                        </w:r>
                      </w:p>
                    </w:tc>
                    <w:tc>
                      <w:tcPr>
                        <w:tcW w:w="2396" w:type="dxa"/>
                        <w:tcBorders>
                          <w:top w:val="single" w:sz="4" w:space="0" w:color="439FA0"/>
                          <w:bottom w:val="single" w:sz="4" w:space="0" w:color="439FA0"/>
                        </w:tcBorders>
                      </w:tcPr>
                      <w:p>
                        <w:pPr>
                          <w:pStyle w:val="TableParagraph"/>
                          <w:spacing w:before="171"/>
                          <w:ind w:right="78"/>
                          <w:jc w:val="right"/>
                          <w:rPr>
                            <w:sz w:val="22"/>
                          </w:rPr>
                        </w:pPr>
                        <w:r>
                          <w:rPr>
                            <w:color w:val="231F20"/>
                            <w:sz w:val="22"/>
                          </w:rPr>
                          <w:t>37</w:t>
                        </w:r>
                      </w:p>
                    </w:tc>
                  </w:tr>
                </w:tbl>
                <w:p>
                  <w:pPr>
                    <w:pStyle w:val="BodyText"/>
                  </w:pPr>
                </w:p>
              </w:txbxContent>
            </v:textbox>
            <w10:wrap type="none"/>
          </v:shape>
        </w:pict>
      </w:r>
      <w:r>
        <w:rPr>
          <w:color w:val="358384"/>
        </w:rPr>
        <w:t>CONTENTS</w:t>
      </w:r>
    </w:p>
    <w:p>
      <w:pPr>
        <w:pStyle w:val="BodyText"/>
        <w:rPr>
          <w:rFonts w:ascii="Helvetica"/>
          <w:b/>
          <w:sz w:val="24"/>
        </w:rPr>
      </w:pPr>
    </w:p>
    <w:p>
      <w:pPr>
        <w:pStyle w:val="BodyText"/>
        <w:rPr>
          <w:rFonts w:ascii="Helvetica"/>
          <w:b/>
          <w:sz w:val="24"/>
        </w:rPr>
      </w:pPr>
    </w:p>
    <w:p>
      <w:pPr>
        <w:pStyle w:val="BodyText"/>
        <w:rPr>
          <w:rFonts w:ascii="Helvetica"/>
          <w:b/>
          <w:sz w:val="24"/>
        </w:rPr>
      </w:pPr>
    </w:p>
    <w:p>
      <w:pPr>
        <w:pStyle w:val="BodyText"/>
        <w:rPr>
          <w:rFonts w:ascii="Helvetica"/>
          <w:b/>
          <w:sz w:val="24"/>
        </w:rPr>
      </w:pPr>
    </w:p>
    <w:p>
      <w:pPr>
        <w:pStyle w:val="BodyText"/>
        <w:rPr>
          <w:rFonts w:ascii="Helvetica"/>
          <w:b/>
          <w:sz w:val="24"/>
        </w:rPr>
      </w:pPr>
    </w:p>
    <w:p>
      <w:pPr>
        <w:pStyle w:val="BodyText"/>
        <w:rPr>
          <w:rFonts w:ascii="Helvetica"/>
          <w:b/>
          <w:sz w:val="24"/>
        </w:rPr>
      </w:pPr>
    </w:p>
    <w:p>
      <w:pPr>
        <w:pStyle w:val="BodyText"/>
        <w:rPr>
          <w:rFonts w:ascii="Helvetica"/>
          <w:b/>
          <w:sz w:val="24"/>
        </w:rPr>
      </w:pPr>
    </w:p>
    <w:p>
      <w:pPr>
        <w:pStyle w:val="BodyText"/>
        <w:rPr>
          <w:rFonts w:ascii="Helvetica"/>
          <w:b/>
          <w:sz w:val="24"/>
        </w:rPr>
      </w:pPr>
    </w:p>
    <w:p>
      <w:pPr>
        <w:pStyle w:val="BodyText"/>
        <w:rPr>
          <w:rFonts w:ascii="Helvetica"/>
          <w:b/>
          <w:sz w:val="24"/>
        </w:rPr>
      </w:pPr>
    </w:p>
    <w:p>
      <w:pPr>
        <w:pStyle w:val="BodyText"/>
        <w:rPr>
          <w:rFonts w:ascii="Helvetica"/>
          <w:b/>
          <w:sz w:val="24"/>
        </w:rPr>
      </w:pPr>
    </w:p>
    <w:p>
      <w:pPr>
        <w:pStyle w:val="BodyText"/>
        <w:rPr>
          <w:rFonts w:ascii="Helvetica"/>
          <w:b/>
          <w:sz w:val="24"/>
        </w:rPr>
      </w:pPr>
    </w:p>
    <w:p>
      <w:pPr>
        <w:pStyle w:val="BodyText"/>
        <w:rPr>
          <w:rFonts w:ascii="Helvetica"/>
          <w:b/>
          <w:sz w:val="24"/>
        </w:rPr>
      </w:pPr>
    </w:p>
    <w:p>
      <w:pPr>
        <w:pStyle w:val="BodyText"/>
        <w:rPr>
          <w:rFonts w:ascii="Helvetica"/>
          <w:b/>
          <w:sz w:val="24"/>
        </w:rPr>
      </w:pPr>
    </w:p>
    <w:p>
      <w:pPr>
        <w:pStyle w:val="BodyText"/>
        <w:rPr>
          <w:rFonts w:ascii="Helvetica"/>
          <w:b/>
          <w:sz w:val="24"/>
        </w:rPr>
      </w:pPr>
    </w:p>
    <w:p>
      <w:pPr>
        <w:pStyle w:val="BodyText"/>
        <w:rPr>
          <w:rFonts w:ascii="Helvetica"/>
          <w:b/>
          <w:sz w:val="24"/>
        </w:rPr>
      </w:pPr>
    </w:p>
    <w:p>
      <w:pPr>
        <w:pStyle w:val="BodyText"/>
        <w:rPr>
          <w:rFonts w:ascii="Helvetica"/>
          <w:b/>
          <w:sz w:val="24"/>
        </w:rPr>
      </w:pPr>
    </w:p>
    <w:p>
      <w:pPr>
        <w:pStyle w:val="BodyText"/>
        <w:rPr>
          <w:rFonts w:ascii="Helvetica"/>
          <w:b/>
          <w:sz w:val="24"/>
        </w:rPr>
      </w:pPr>
    </w:p>
    <w:p>
      <w:pPr>
        <w:pStyle w:val="BodyText"/>
        <w:rPr>
          <w:rFonts w:ascii="Helvetica"/>
          <w:b/>
          <w:sz w:val="24"/>
        </w:rPr>
      </w:pPr>
    </w:p>
    <w:p>
      <w:pPr>
        <w:pStyle w:val="BodyText"/>
        <w:rPr>
          <w:rFonts w:ascii="Helvetica"/>
          <w:b/>
          <w:sz w:val="24"/>
        </w:rPr>
      </w:pPr>
    </w:p>
    <w:p>
      <w:pPr>
        <w:pStyle w:val="BodyText"/>
        <w:rPr>
          <w:rFonts w:ascii="Helvetica"/>
          <w:b/>
          <w:sz w:val="24"/>
        </w:rPr>
      </w:pPr>
    </w:p>
    <w:p>
      <w:pPr>
        <w:pStyle w:val="BodyText"/>
        <w:rPr>
          <w:rFonts w:ascii="Helvetica"/>
          <w:b/>
          <w:sz w:val="24"/>
        </w:rPr>
      </w:pPr>
    </w:p>
    <w:p>
      <w:pPr>
        <w:pStyle w:val="BodyText"/>
        <w:rPr>
          <w:rFonts w:ascii="Helvetica"/>
          <w:b/>
          <w:sz w:val="24"/>
        </w:rPr>
      </w:pPr>
    </w:p>
    <w:p>
      <w:pPr>
        <w:pStyle w:val="BodyText"/>
        <w:rPr>
          <w:rFonts w:ascii="Helvetica"/>
          <w:b/>
          <w:sz w:val="24"/>
        </w:rPr>
      </w:pPr>
    </w:p>
    <w:p>
      <w:pPr>
        <w:pStyle w:val="BodyText"/>
        <w:spacing w:before="1"/>
        <w:rPr>
          <w:rFonts w:ascii="Helvetica"/>
          <w:b/>
          <w:sz w:val="28"/>
        </w:rPr>
      </w:pPr>
    </w:p>
    <w:p>
      <w:pPr>
        <w:spacing w:before="0"/>
        <w:ind w:left="280" w:right="8683" w:firstLine="0"/>
        <w:jc w:val="left"/>
        <w:rPr>
          <w:rFonts w:ascii="Helvetica"/>
          <w:b/>
          <w:sz w:val="24"/>
        </w:rPr>
      </w:pPr>
      <w:r>
        <w:rPr/>
        <w:pict>
          <v:shape style="position:absolute;margin-left:150.890106pt;margin-top:2.903638pt;width:397.65pt;height:145.9pt;mso-position-horizontal-relative:page;mso-position-vertical-relative:paragraph;z-index:131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4"/>
                    <w:gridCol w:w="5579"/>
                    <w:gridCol w:w="1269"/>
                  </w:tblGrid>
                  <w:tr>
                    <w:trPr>
                      <w:trHeight w:val="556" w:hRule="atLeast"/>
                    </w:trPr>
                    <w:tc>
                      <w:tcPr>
                        <w:tcW w:w="1104" w:type="dxa"/>
                        <w:tcBorders>
                          <w:top w:val="single" w:sz="4" w:space="0" w:color="439FA0"/>
                          <w:bottom w:val="single" w:sz="4" w:space="0" w:color="439FA0"/>
                        </w:tcBorders>
                      </w:tcPr>
                      <w:p>
                        <w:pPr>
                          <w:pStyle w:val="TableParagraph"/>
                          <w:spacing w:before="170"/>
                          <w:ind w:left="80"/>
                          <w:rPr>
                            <w:sz w:val="22"/>
                          </w:rPr>
                        </w:pPr>
                        <w:r>
                          <w:rPr>
                            <w:color w:val="231F20"/>
                            <w:sz w:val="22"/>
                          </w:rPr>
                          <w:t>Figure 1:</w:t>
                        </w:r>
                      </w:p>
                    </w:tc>
                    <w:tc>
                      <w:tcPr>
                        <w:tcW w:w="5579" w:type="dxa"/>
                        <w:tcBorders>
                          <w:top w:val="single" w:sz="4" w:space="0" w:color="439FA0"/>
                          <w:bottom w:val="single" w:sz="4" w:space="0" w:color="439FA0"/>
                        </w:tcBorders>
                      </w:tcPr>
                      <w:p>
                        <w:pPr>
                          <w:pStyle w:val="TableParagraph"/>
                          <w:spacing w:before="170"/>
                          <w:ind w:left="159"/>
                          <w:rPr>
                            <w:sz w:val="22"/>
                          </w:rPr>
                        </w:pPr>
                        <w:r>
                          <w:rPr>
                            <w:color w:val="231F20"/>
                            <w:sz w:val="22"/>
                          </w:rPr>
                          <w:t>Nous Group continuum of collaboration</w:t>
                        </w:r>
                      </w:p>
                    </w:tc>
                    <w:tc>
                      <w:tcPr>
                        <w:tcW w:w="1269" w:type="dxa"/>
                        <w:tcBorders>
                          <w:top w:val="single" w:sz="4" w:space="0" w:color="439FA0"/>
                          <w:bottom w:val="single" w:sz="4" w:space="0" w:color="439FA0"/>
                        </w:tcBorders>
                      </w:tcPr>
                      <w:p>
                        <w:pPr>
                          <w:pStyle w:val="TableParagraph"/>
                          <w:spacing w:before="170"/>
                          <w:ind w:right="77"/>
                          <w:jc w:val="right"/>
                          <w:rPr>
                            <w:sz w:val="22"/>
                          </w:rPr>
                        </w:pPr>
                        <w:r>
                          <w:rPr>
                            <w:color w:val="231F20"/>
                            <w:sz w:val="22"/>
                          </w:rPr>
                          <w:t>11</w:t>
                        </w:r>
                      </w:p>
                    </w:tc>
                  </w:tr>
                  <w:tr>
                    <w:trPr>
                      <w:trHeight w:val="556" w:hRule="atLeast"/>
                    </w:trPr>
                    <w:tc>
                      <w:tcPr>
                        <w:tcW w:w="1104" w:type="dxa"/>
                        <w:tcBorders>
                          <w:top w:val="single" w:sz="4" w:space="0" w:color="439FA0"/>
                          <w:bottom w:val="single" w:sz="4" w:space="0" w:color="439FA0"/>
                        </w:tcBorders>
                      </w:tcPr>
                      <w:p>
                        <w:pPr>
                          <w:pStyle w:val="TableParagraph"/>
                          <w:spacing w:before="170"/>
                          <w:ind w:left="80"/>
                          <w:rPr>
                            <w:sz w:val="22"/>
                          </w:rPr>
                        </w:pPr>
                        <w:r>
                          <w:rPr>
                            <w:color w:val="231F20"/>
                            <w:sz w:val="22"/>
                          </w:rPr>
                          <w:t>Figure 2:</w:t>
                        </w:r>
                      </w:p>
                    </w:tc>
                    <w:tc>
                      <w:tcPr>
                        <w:tcW w:w="5579" w:type="dxa"/>
                        <w:tcBorders>
                          <w:top w:val="single" w:sz="4" w:space="0" w:color="439FA0"/>
                          <w:bottom w:val="single" w:sz="4" w:space="0" w:color="439FA0"/>
                        </w:tcBorders>
                      </w:tcPr>
                      <w:p>
                        <w:pPr>
                          <w:pStyle w:val="TableParagraph"/>
                          <w:spacing w:before="170"/>
                          <w:ind w:left="159"/>
                          <w:rPr>
                            <w:sz w:val="22"/>
                          </w:rPr>
                        </w:pPr>
                        <w:r>
                          <w:rPr>
                            <w:color w:val="231F20"/>
                            <w:sz w:val="22"/>
                          </w:rPr>
                          <w:t>IAPP’s Public Participation Spectrum</w:t>
                        </w:r>
                      </w:p>
                    </w:tc>
                    <w:tc>
                      <w:tcPr>
                        <w:tcW w:w="1269" w:type="dxa"/>
                        <w:tcBorders>
                          <w:top w:val="single" w:sz="4" w:space="0" w:color="439FA0"/>
                          <w:bottom w:val="single" w:sz="4" w:space="0" w:color="439FA0"/>
                        </w:tcBorders>
                      </w:tcPr>
                      <w:p>
                        <w:pPr>
                          <w:pStyle w:val="TableParagraph"/>
                          <w:spacing w:before="170"/>
                          <w:ind w:right="77"/>
                          <w:jc w:val="right"/>
                          <w:rPr>
                            <w:sz w:val="22"/>
                          </w:rPr>
                        </w:pPr>
                        <w:r>
                          <w:rPr>
                            <w:color w:val="231F20"/>
                            <w:sz w:val="22"/>
                          </w:rPr>
                          <w:t>11</w:t>
                        </w:r>
                      </w:p>
                    </w:tc>
                  </w:tr>
                  <w:tr>
                    <w:trPr>
                      <w:trHeight w:val="629" w:hRule="atLeast"/>
                    </w:trPr>
                    <w:tc>
                      <w:tcPr>
                        <w:tcW w:w="1104" w:type="dxa"/>
                        <w:tcBorders>
                          <w:top w:val="single" w:sz="4" w:space="0" w:color="439FA0"/>
                          <w:bottom w:val="single" w:sz="4" w:space="0" w:color="439FA0"/>
                        </w:tcBorders>
                      </w:tcPr>
                      <w:p>
                        <w:pPr>
                          <w:pStyle w:val="TableParagraph"/>
                          <w:spacing w:before="207"/>
                          <w:ind w:left="80"/>
                          <w:rPr>
                            <w:sz w:val="22"/>
                          </w:rPr>
                        </w:pPr>
                        <w:r>
                          <w:rPr>
                            <w:color w:val="231F20"/>
                            <w:sz w:val="22"/>
                          </w:rPr>
                          <w:t>Figure 3:</w:t>
                        </w:r>
                      </w:p>
                    </w:tc>
                    <w:tc>
                      <w:tcPr>
                        <w:tcW w:w="5579" w:type="dxa"/>
                        <w:tcBorders>
                          <w:top w:val="single" w:sz="4" w:space="0" w:color="439FA0"/>
                          <w:bottom w:val="single" w:sz="4" w:space="0" w:color="439FA0"/>
                        </w:tcBorders>
                      </w:tcPr>
                      <w:p>
                        <w:pPr>
                          <w:pStyle w:val="TableParagraph"/>
                          <w:spacing w:line="235" w:lineRule="auto" w:before="79"/>
                          <w:ind w:left="159" w:right="586"/>
                          <w:rPr>
                            <w:sz w:val="22"/>
                          </w:rPr>
                        </w:pPr>
                        <w:r>
                          <w:rPr>
                            <w:color w:val="231F20"/>
                            <w:sz w:val="22"/>
                          </w:rPr>
                          <w:t>Findings of major themes emerging from ‘Rhetoric to Reality’</w:t>
                        </w:r>
                      </w:p>
                    </w:tc>
                    <w:tc>
                      <w:tcPr>
                        <w:tcW w:w="1269" w:type="dxa"/>
                        <w:tcBorders>
                          <w:top w:val="single" w:sz="4" w:space="0" w:color="439FA0"/>
                          <w:bottom w:val="single" w:sz="4" w:space="0" w:color="439FA0"/>
                        </w:tcBorders>
                      </w:tcPr>
                      <w:p>
                        <w:pPr>
                          <w:pStyle w:val="TableParagraph"/>
                          <w:spacing w:before="207"/>
                          <w:ind w:right="77"/>
                          <w:jc w:val="right"/>
                          <w:rPr>
                            <w:sz w:val="22"/>
                          </w:rPr>
                        </w:pPr>
                        <w:r>
                          <w:rPr>
                            <w:color w:val="231F20"/>
                            <w:sz w:val="22"/>
                          </w:rPr>
                          <w:t>23</w:t>
                        </w:r>
                      </w:p>
                    </w:tc>
                  </w:tr>
                  <w:tr>
                    <w:trPr>
                      <w:trHeight w:val="556" w:hRule="atLeast"/>
                    </w:trPr>
                    <w:tc>
                      <w:tcPr>
                        <w:tcW w:w="1104" w:type="dxa"/>
                        <w:tcBorders>
                          <w:top w:val="single" w:sz="4" w:space="0" w:color="439FA0"/>
                          <w:bottom w:val="single" w:sz="4" w:space="0" w:color="439FA0"/>
                        </w:tcBorders>
                      </w:tcPr>
                      <w:p>
                        <w:pPr>
                          <w:pStyle w:val="TableParagraph"/>
                          <w:spacing w:before="171"/>
                          <w:ind w:left="80"/>
                          <w:rPr>
                            <w:sz w:val="22"/>
                          </w:rPr>
                        </w:pPr>
                        <w:r>
                          <w:rPr>
                            <w:color w:val="231F20"/>
                            <w:sz w:val="22"/>
                          </w:rPr>
                          <w:t>Figure 4:</w:t>
                        </w:r>
                      </w:p>
                    </w:tc>
                    <w:tc>
                      <w:tcPr>
                        <w:tcW w:w="5579" w:type="dxa"/>
                        <w:tcBorders>
                          <w:top w:val="single" w:sz="4" w:space="0" w:color="439FA0"/>
                          <w:bottom w:val="single" w:sz="4" w:space="0" w:color="439FA0"/>
                        </w:tcBorders>
                      </w:tcPr>
                      <w:p>
                        <w:pPr>
                          <w:pStyle w:val="TableParagraph"/>
                          <w:spacing w:before="171"/>
                          <w:ind w:left="159"/>
                          <w:rPr>
                            <w:sz w:val="22"/>
                          </w:rPr>
                        </w:pPr>
                        <w:r>
                          <w:rPr>
                            <w:color w:val="231F20"/>
                            <w:sz w:val="22"/>
                          </w:rPr>
                          <w:t>Developmental model of cultural competence</w:t>
                        </w:r>
                      </w:p>
                    </w:tc>
                    <w:tc>
                      <w:tcPr>
                        <w:tcW w:w="1269" w:type="dxa"/>
                        <w:tcBorders>
                          <w:top w:val="single" w:sz="4" w:space="0" w:color="439FA0"/>
                          <w:bottom w:val="single" w:sz="4" w:space="0" w:color="439FA0"/>
                        </w:tcBorders>
                      </w:tcPr>
                      <w:p>
                        <w:pPr>
                          <w:pStyle w:val="TableParagraph"/>
                          <w:spacing w:before="171"/>
                          <w:ind w:right="77"/>
                          <w:jc w:val="right"/>
                          <w:rPr>
                            <w:sz w:val="22"/>
                          </w:rPr>
                        </w:pPr>
                        <w:r>
                          <w:rPr>
                            <w:color w:val="231F20"/>
                            <w:sz w:val="22"/>
                          </w:rPr>
                          <w:t>26</w:t>
                        </w:r>
                      </w:p>
                    </w:tc>
                  </w:tr>
                  <w:tr>
                    <w:trPr>
                      <w:trHeight w:val="556" w:hRule="atLeast"/>
                    </w:trPr>
                    <w:tc>
                      <w:tcPr>
                        <w:tcW w:w="1104" w:type="dxa"/>
                        <w:tcBorders>
                          <w:top w:val="single" w:sz="4" w:space="0" w:color="439FA0"/>
                          <w:bottom w:val="single" w:sz="4" w:space="0" w:color="439FA0"/>
                        </w:tcBorders>
                      </w:tcPr>
                      <w:p>
                        <w:pPr>
                          <w:pStyle w:val="TableParagraph"/>
                          <w:spacing w:before="171"/>
                          <w:ind w:left="80"/>
                          <w:rPr>
                            <w:sz w:val="22"/>
                          </w:rPr>
                        </w:pPr>
                        <w:r>
                          <w:rPr>
                            <w:color w:val="231F20"/>
                            <w:sz w:val="22"/>
                          </w:rPr>
                          <w:t>Table 1:</w:t>
                        </w:r>
                      </w:p>
                    </w:tc>
                    <w:tc>
                      <w:tcPr>
                        <w:tcW w:w="5579" w:type="dxa"/>
                        <w:tcBorders>
                          <w:top w:val="single" w:sz="4" w:space="0" w:color="439FA0"/>
                          <w:bottom w:val="single" w:sz="4" w:space="0" w:color="439FA0"/>
                        </w:tcBorders>
                      </w:tcPr>
                      <w:p>
                        <w:pPr>
                          <w:pStyle w:val="TableParagraph"/>
                          <w:spacing w:before="171"/>
                          <w:ind w:left="159"/>
                          <w:rPr>
                            <w:sz w:val="22"/>
                          </w:rPr>
                        </w:pPr>
                        <w:r>
                          <w:rPr>
                            <w:color w:val="231F20"/>
                            <w:sz w:val="22"/>
                          </w:rPr>
                          <w:t>Activities to address structural racism</w:t>
                        </w:r>
                      </w:p>
                    </w:tc>
                    <w:tc>
                      <w:tcPr>
                        <w:tcW w:w="1269" w:type="dxa"/>
                        <w:tcBorders>
                          <w:top w:val="single" w:sz="4" w:space="0" w:color="439FA0"/>
                          <w:bottom w:val="single" w:sz="4" w:space="0" w:color="439FA0"/>
                        </w:tcBorders>
                      </w:tcPr>
                      <w:p>
                        <w:pPr>
                          <w:pStyle w:val="TableParagraph"/>
                          <w:spacing w:before="171"/>
                          <w:ind w:right="77"/>
                          <w:jc w:val="right"/>
                          <w:rPr>
                            <w:sz w:val="22"/>
                          </w:rPr>
                        </w:pPr>
                        <w:r>
                          <w:rPr>
                            <w:color w:val="231F20"/>
                            <w:sz w:val="22"/>
                          </w:rPr>
                          <w:t>15</w:t>
                        </w:r>
                      </w:p>
                    </w:tc>
                  </w:tr>
                </w:tbl>
                <w:p>
                  <w:pPr>
                    <w:pStyle w:val="BodyText"/>
                  </w:pPr>
                </w:p>
              </w:txbxContent>
            </v:textbox>
            <w10:wrap type="none"/>
          </v:shape>
        </w:pict>
      </w:r>
      <w:r>
        <w:rPr>
          <w:rFonts w:ascii="Helvetica"/>
          <w:b/>
          <w:color w:val="358384"/>
          <w:sz w:val="24"/>
        </w:rPr>
        <w:t>FIGURES AND TABLES</w:t>
      </w:r>
    </w:p>
    <w:p>
      <w:pPr>
        <w:spacing w:after="0"/>
        <w:jc w:val="left"/>
        <w:rPr>
          <w:rFonts w:ascii="Helvetica"/>
          <w:sz w:val="24"/>
        </w:rPr>
        <w:sectPr>
          <w:headerReference w:type="default" r:id="rId20"/>
          <w:footerReference w:type="default" r:id="rId21"/>
          <w:pgSz w:w="11910" w:h="16840"/>
          <w:pgMar w:header="0" w:footer="522" w:top="0" w:bottom="720" w:left="740" w:right="640"/>
          <w:pgNumType w:start="4"/>
        </w:sectPr>
      </w:pPr>
    </w:p>
    <w:p>
      <w:pPr>
        <w:spacing w:before="78"/>
        <w:ind w:left="8411" w:right="0" w:firstLine="0"/>
        <w:jc w:val="left"/>
        <w:rPr>
          <w:sz w:val="16"/>
        </w:rPr>
      </w:pPr>
      <w:r>
        <w:rPr/>
        <w:pict>
          <v:group style="position:absolute;margin-left:.0pt;margin-top:0pt;width:595.3pt;height:800.75pt;mso-position-horizontal-relative:page;mso-position-vertical-relative:page;z-index:-71992" coordorigin="0,0" coordsize="11906,16015">
            <v:rect style="position:absolute;left:0;top:1332;width:4105;height:284" filled="true" fillcolor="#14397f" stroked="false">
              <v:fill type="solid"/>
            </v:rect>
            <v:rect style="position:absolute;left:4104;top:1332;width:1656;height:284" filled="true" fillcolor="#47a7a8" stroked="false">
              <v:fill type="solid"/>
            </v:rect>
            <v:rect style="position:absolute;left:5966;top:1332;width:5146;height:284" filled="true" fillcolor="#14397f" stroked="false">
              <v:fill type="solid"/>
            </v:rect>
            <v:rect style="position:absolute;left:11111;top:1332;width:341;height:284" filled="true" fillcolor="#e3dad1" stroked="false">
              <v:fill type="solid"/>
            </v:rect>
            <v:rect style="position:absolute;left:5748;top:1332;width:218;height:284" filled="true" fillcolor="#e7bb20" stroked="false">
              <v:fill type="solid"/>
            </v:rect>
            <v:rect style="position:absolute;left:11451;top:1332;width:454;height:284" filled="true" fillcolor="#14397f" stroked="false">
              <v:fill type="solid"/>
            </v:rect>
            <v:shape style="position:absolute;left:0;top:0;width:11906;height:1333" type="#_x0000_t75" stroked="false">
              <v:imagedata r:id="rId22" o:title=""/>
            </v:shape>
            <v:rect style="position:absolute;left:0;top:0;width:11906;height:1333" filled="true" fillcolor="#439fa0" stroked="false">
              <v:fill opacity="37355f" type="solid"/>
            </v:rect>
            <v:shape style="position:absolute;left:0;top:1615;width:11906;height:14372" type="#_x0000_t75" stroked="false">
              <v:imagedata r:id="rId25" o:title=""/>
            </v:shape>
            <v:rect style="position:absolute;left:0;top:1615;width:11906;height:14400" filled="true" fillcolor="#423600" stroked="false">
              <v:fill opacity="19660f" type="solid"/>
            </v:rect>
            <v:shape style="position:absolute;left:1373;top:3554;width:1811;height:1717" coordorigin="1373,3555" coordsize="1811,1717" path="m3184,3555l3089,3585,3004,3618,2929,3652,2863,3688,2807,3727,2746,3781,2689,3845,2638,3920,2592,4006,2566,4067,2544,4132,2526,4202,2511,4275,2499,4353,2491,4435,2486,4521,2484,4612,2484,5272,3184,5272,3184,4558,2827,4558,2829,4449,2836,4351,2847,4264,2862,4188,2881,4124,2905,4070,2941,4016,2986,3969,3042,3929,3108,3896,3184,3871,3184,3555xm2073,3555l1978,3585,1893,3618,1818,3652,1752,3688,1696,3727,1635,3781,1578,3845,1527,3920,1481,4006,1456,4067,1434,4132,1415,4202,1400,4275,1388,4353,1380,4435,1375,4521,1373,4612,1373,5272,2073,5272,2073,4558,1716,4558,1719,4449,1725,4351,1736,4264,1751,4188,1770,4124,1794,4070,1830,4016,1876,3969,1932,3929,1997,3896,2073,3871,2073,3555xe" filled="true" fillcolor="#ffffff" stroked="false">
              <v:path arrowok="t"/>
              <v:fill opacity="26214f" type="solid"/>
            </v:shape>
            <w10:wrap type="none"/>
          </v:group>
        </w:pict>
      </w:r>
      <w:r>
        <w:rPr>
          <w:color w:val="FFFFFF"/>
          <w:sz w:val="16"/>
        </w:rPr>
        <w:t>RHETORIC TO REALITY</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pPr>
    </w:p>
    <w:p>
      <w:pPr>
        <w:tabs>
          <w:tab w:pos="4907" w:val="left" w:leader="none"/>
          <w:tab w:pos="5095" w:val="left" w:leader="none"/>
          <w:tab w:pos="5708" w:val="left" w:leader="none"/>
          <w:tab w:pos="6323" w:val="left" w:leader="none"/>
          <w:tab w:pos="8309" w:val="left" w:leader="none"/>
        </w:tabs>
        <w:spacing w:line="304" w:lineRule="auto" w:before="0"/>
        <w:ind w:left="3067" w:right="934" w:firstLine="0"/>
        <w:jc w:val="left"/>
        <w:rPr>
          <w:sz w:val="72"/>
        </w:rPr>
      </w:pPr>
      <w:r>
        <w:rPr>
          <w:color w:val="FFFFFF"/>
          <w:spacing w:val="-3"/>
          <w:sz w:val="72"/>
        </w:rPr>
        <w:t>There</w:t>
        <w:tab/>
        <w:tab/>
      </w:r>
      <w:r>
        <w:rPr>
          <w:color w:val="FFFFFF"/>
          <w:spacing w:val="-5"/>
          <w:sz w:val="72"/>
        </w:rPr>
        <w:t>are</w:t>
        <w:tab/>
      </w:r>
      <w:r>
        <w:rPr>
          <w:color w:val="FFFFFF"/>
          <w:spacing w:val="-3"/>
          <w:sz w:val="72"/>
        </w:rPr>
        <w:t>three </w:t>
      </w:r>
      <w:r>
        <w:rPr>
          <w:color w:val="FFFFFF"/>
          <w:sz w:val="72"/>
        </w:rPr>
        <w:t>ways</w:t>
        <w:tab/>
        <w:t>of</w:t>
        <w:tab/>
        <w:t>dealing</w:t>
        <w:tab/>
      </w:r>
      <w:r>
        <w:rPr>
          <w:color w:val="FFFFFF"/>
          <w:spacing w:val="-5"/>
          <w:sz w:val="72"/>
        </w:rPr>
        <w:t>with</w:t>
      </w:r>
    </w:p>
    <w:p>
      <w:pPr>
        <w:spacing w:line="878" w:lineRule="exact" w:before="0"/>
        <w:ind w:left="720" w:right="0" w:firstLine="0"/>
        <w:jc w:val="left"/>
        <w:rPr>
          <w:sz w:val="72"/>
        </w:rPr>
      </w:pPr>
      <w:r>
        <w:rPr>
          <w:color w:val="FFFFFF"/>
          <w:sz w:val="72"/>
        </w:rPr>
        <w:t>people: you can do </w:t>
      </w:r>
      <w:r>
        <w:rPr>
          <w:rFonts w:ascii="Helvetica"/>
          <w:b/>
          <w:color w:val="FFFFFF"/>
          <w:sz w:val="72"/>
        </w:rPr>
        <w:t>to</w:t>
      </w:r>
      <w:r>
        <w:rPr>
          <w:rFonts w:ascii="Helvetica"/>
          <w:b/>
          <w:color w:val="FFFFFF"/>
          <w:spacing w:val="-29"/>
          <w:sz w:val="72"/>
        </w:rPr>
        <w:t> </w:t>
      </w:r>
      <w:r>
        <w:rPr>
          <w:color w:val="FFFFFF"/>
          <w:sz w:val="72"/>
        </w:rPr>
        <w:t>them,</w:t>
      </w:r>
    </w:p>
    <w:p>
      <w:pPr>
        <w:tabs>
          <w:tab w:pos="1760" w:val="left" w:leader="none"/>
          <w:tab w:pos="1921" w:val="left" w:leader="none"/>
          <w:tab w:pos="2121" w:val="left" w:leader="none"/>
          <w:tab w:pos="3666" w:val="left" w:leader="none"/>
          <w:tab w:pos="3762" w:val="left" w:leader="none"/>
          <w:tab w:pos="4506" w:val="left" w:leader="none"/>
          <w:tab w:pos="4562" w:val="left" w:leader="none"/>
          <w:tab w:pos="4642" w:val="left" w:leader="none"/>
          <w:tab w:pos="5241" w:val="left" w:leader="none"/>
          <w:tab w:pos="5403" w:val="left" w:leader="none"/>
          <w:tab w:pos="7244" w:val="left" w:leader="none"/>
          <w:tab w:pos="7682" w:val="left" w:leader="none"/>
        </w:tabs>
        <w:spacing w:line="304" w:lineRule="auto" w:before="236"/>
        <w:ind w:left="720" w:right="2279" w:firstLine="0"/>
        <w:jc w:val="left"/>
        <w:rPr>
          <w:sz w:val="72"/>
        </w:rPr>
      </w:pPr>
      <w:r>
        <w:rPr>
          <w:rFonts w:ascii="Helvetica"/>
          <w:b/>
          <w:color w:val="FFFFFF"/>
          <w:spacing w:val="-5"/>
          <w:sz w:val="72"/>
        </w:rPr>
        <w:t>for</w:t>
      </w:r>
      <w:r>
        <w:rPr>
          <w:rFonts w:ascii="Helvetica"/>
          <w:b/>
          <w:color w:val="FFFFFF"/>
          <w:sz w:val="72"/>
        </w:rPr>
        <w:t> </w:t>
      </w:r>
      <w:r>
        <w:rPr>
          <w:color w:val="FFFFFF"/>
          <w:sz w:val="72"/>
        </w:rPr>
        <w:t>them</w:t>
        <w:tab/>
        <w:t>or</w:t>
        <w:tab/>
      </w:r>
      <w:r>
        <w:rPr>
          <w:rFonts w:ascii="Helvetica"/>
          <w:b/>
          <w:color w:val="FFFFFF"/>
          <w:sz w:val="72"/>
        </w:rPr>
        <w:t>with </w:t>
      </w:r>
      <w:r>
        <w:rPr>
          <w:color w:val="FFFFFF"/>
          <w:sz w:val="72"/>
        </w:rPr>
        <w:t>them. The</w:t>
        <w:tab/>
        <w:tab/>
        <w:t>historic</w:t>
        <w:tab/>
        <w:tab/>
        <w:tab/>
      </w:r>
      <w:r>
        <w:rPr>
          <w:color w:val="FFFFFF"/>
          <w:spacing w:val="-1"/>
          <w:sz w:val="72"/>
        </w:rPr>
        <w:t>experience </w:t>
      </w:r>
      <w:r>
        <w:rPr>
          <w:color w:val="FFFFFF"/>
          <w:sz w:val="72"/>
        </w:rPr>
        <w:t>for</w:t>
        <w:tab/>
        <w:t>Aboriginal</w:t>
        <w:tab/>
        <w:t>people</w:t>
        <w:tab/>
        <w:t>is the</w:t>
        <w:tab/>
        <w:tab/>
        <w:t>done</w:t>
        <w:tab/>
        <w:tab/>
        <w:t>to</w:t>
        <w:tab/>
        <w:tab/>
        <w:t>or</w:t>
        <w:tab/>
        <w:tab/>
        <w:t>done</w:t>
        <w:tab/>
        <w:t>for</w:t>
      </w:r>
    </w:p>
    <w:p>
      <w:pPr>
        <w:tabs>
          <w:tab w:pos="4722" w:val="left" w:leader="none"/>
          <w:tab w:pos="5949" w:val="left" w:leader="none"/>
          <w:tab w:pos="7790" w:val="left" w:leader="none"/>
          <w:tab w:pos="8591" w:val="left" w:leader="none"/>
        </w:tabs>
        <w:spacing w:line="871" w:lineRule="exact" w:before="0"/>
        <w:ind w:left="720" w:right="0" w:firstLine="0"/>
        <w:jc w:val="left"/>
        <w:rPr>
          <w:sz w:val="72"/>
        </w:rPr>
      </w:pPr>
      <w:r>
        <w:rPr>
          <w:color w:val="FFFFFF"/>
          <w:sz w:val="72"/>
        </w:rPr>
        <w:t>experience.</w:t>
        <w:tab/>
      </w:r>
      <w:r>
        <w:rPr>
          <w:color w:val="FFFFFF"/>
          <w:spacing w:val="-7"/>
          <w:sz w:val="72"/>
        </w:rPr>
        <w:t>We</w:t>
        <w:tab/>
      </w:r>
      <w:r>
        <w:rPr>
          <w:color w:val="FFFFFF"/>
          <w:sz w:val="72"/>
        </w:rPr>
        <w:t>need</w:t>
        <w:tab/>
        <w:t>to</w:t>
        <w:tab/>
        <w:t>be</w:t>
      </w:r>
    </w:p>
    <w:p>
      <w:pPr>
        <w:tabs>
          <w:tab w:pos="2760" w:val="left" w:leader="none"/>
          <w:tab w:pos="3320" w:val="left" w:leader="none"/>
        </w:tabs>
        <w:spacing w:before="235"/>
        <w:ind w:left="720" w:right="0" w:firstLine="0"/>
        <w:jc w:val="left"/>
        <w:rPr>
          <w:sz w:val="28"/>
        </w:rPr>
      </w:pPr>
      <w:r>
        <w:rPr>
          <w:color w:val="FFFFFF"/>
          <w:sz w:val="72"/>
        </w:rPr>
        <w:t>doing</w:t>
        <w:tab/>
        <w:t>it</w:t>
        <w:tab/>
      </w:r>
      <w:r>
        <w:rPr>
          <w:rFonts w:ascii="Helvetica" w:hAnsi="Helvetica"/>
          <w:b/>
          <w:color w:val="FFFFFF"/>
          <w:w w:val="100"/>
          <w:sz w:val="72"/>
        </w:rPr>
        <w:t>with</w:t>
      </w:r>
      <w:r>
        <w:rPr>
          <w:rFonts w:ascii="Helvetica" w:hAnsi="Helvetica"/>
          <w:b/>
          <w:color w:val="FFFFFF"/>
          <w:sz w:val="72"/>
        </w:rPr>
        <w:t> </w:t>
      </w:r>
      <w:r>
        <w:rPr>
          <w:color w:val="FFFFFF"/>
          <w:sz w:val="72"/>
        </w:rPr>
        <w:t>them.”</w:t>
      </w:r>
      <w:r>
        <w:rPr>
          <w:color w:val="FFFFFF"/>
          <w:sz w:val="28"/>
        </w:rPr>
        <w:t>- </w:t>
      </w:r>
      <w:r>
        <w:rPr>
          <w:color w:val="FFFFFF"/>
          <w:spacing w:val="-6"/>
          <w:sz w:val="28"/>
        </w:rPr>
        <w:t>r</w:t>
      </w:r>
      <w:r>
        <w:rPr>
          <w:color w:val="FFFFFF"/>
          <w:sz w:val="28"/>
        </w:rPr>
        <w:t>esea</w:t>
      </w:r>
      <w:r>
        <w:rPr>
          <w:color w:val="FFFFFF"/>
          <w:spacing w:val="-6"/>
          <w:sz w:val="28"/>
        </w:rPr>
        <w:t>r</w:t>
      </w:r>
      <w:r>
        <w:rPr>
          <w:color w:val="FFFFFF"/>
          <w:sz w:val="28"/>
        </w:rPr>
        <w:t>ch pa</w:t>
      </w:r>
      <w:r>
        <w:rPr>
          <w:color w:val="FFFFFF"/>
          <w:spacing w:val="5"/>
          <w:sz w:val="28"/>
        </w:rPr>
        <w:t>r</w:t>
      </w:r>
      <w:r>
        <w:rPr>
          <w:color w:val="FFFFFF"/>
          <w:sz w:val="28"/>
        </w:rPr>
        <w:t>ticipant</w:t>
      </w:r>
    </w:p>
    <w:p>
      <w:pPr>
        <w:spacing w:after="0"/>
        <w:jc w:val="left"/>
        <w:rPr>
          <w:sz w:val="28"/>
        </w:rPr>
        <w:sectPr>
          <w:headerReference w:type="default" r:id="rId23"/>
          <w:footerReference w:type="default" r:id="rId24"/>
          <w:pgSz w:w="11910" w:h="16840"/>
          <w:pgMar w:header="0" w:footer="522" w:top="1280" w:bottom="720" w:left="740" w:right="640"/>
          <w:pgNumType w:start="5"/>
        </w:sectPr>
      </w:pPr>
    </w:p>
    <w:p>
      <w:pPr>
        <w:pStyle w:val="BodyText"/>
        <w:rPr>
          <w:sz w:val="20"/>
        </w:rPr>
      </w:pPr>
      <w:r>
        <w:rPr/>
        <w:pict>
          <v:group style="position:absolute;margin-left:.0pt;margin-top:0pt;width:595.3pt;height:472pt;mso-position-horizontal-relative:page;mso-position-vertical-relative:page;z-index:-71944" coordorigin="0,0" coordsize="11906,9440">
            <v:shape style="position:absolute;left:0;top:1615;width:11906;height:7824" type="#_x0000_t75" stroked="false">
              <v:imagedata r:id="rId28" o:title=""/>
            </v:shape>
            <v:rect style="position:absolute;left:0;top:1332;width:4105;height:284" filled="true" fillcolor="#14397f" stroked="false">
              <v:fill type="solid"/>
            </v:rect>
            <v:rect style="position:absolute;left:11111;top:1332;width:341;height:284" filled="true" fillcolor="#e3dad1" stroked="false">
              <v:fill type="solid"/>
            </v:rect>
            <v:rect style="position:absolute;left:4104;top:1332;width:1656;height:284" filled="true" fillcolor="#47a7a8" stroked="false">
              <v:fill type="solid"/>
            </v:rect>
            <v:rect style="position:absolute;left:5748;top:1332;width:218;height:284" filled="true" fillcolor="#e7bb20" stroked="false">
              <v:fill type="solid"/>
            </v:rect>
            <v:rect style="position:absolute;left:11451;top:1332;width:454;height:284" filled="true" fillcolor="#14397f" stroked="false">
              <v:fill type="solid"/>
            </v:rect>
            <v:rect style="position:absolute;left:0;top:8872;width:11906;height:567" filled="true" fillcolor="#439fa0" stroked="false">
              <v:fill opacity="41288f" type="solid"/>
            </v:rect>
            <v:shape style="position:absolute;left:0;top:0;width:11906;height:1333" type="#_x0000_t75" stroked="false">
              <v:imagedata r:id="rId22" o:title=""/>
            </v:shape>
            <v:rect style="position:absolute;left:0;top:0;width:11906;height:1333" filled="true" fillcolor="#439fa0" stroked="false">
              <v:fill opacity="37355f" type="solid"/>
            </v:rect>
            <w10:wrap type="none"/>
          </v:group>
        </w:pict>
      </w:r>
    </w:p>
    <w:p>
      <w:pPr>
        <w:pStyle w:val="BodyText"/>
        <w:rPr>
          <w:sz w:val="20"/>
        </w:rPr>
      </w:pPr>
    </w:p>
    <w:p>
      <w:pPr>
        <w:pStyle w:val="BodyText"/>
        <w:rPr>
          <w:sz w:val="20"/>
        </w:rPr>
      </w:pPr>
    </w:p>
    <w:p>
      <w:pPr>
        <w:pStyle w:val="BodyText"/>
        <w:rPr>
          <w:sz w:val="20"/>
        </w:rPr>
      </w:pPr>
    </w:p>
    <w:p>
      <w:pPr>
        <w:pStyle w:val="BodyText"/>
        <w:spacing w:before="11"/>
        <w:rPr>
          <w:sz w:val="26"/>
        </w:rPr>
      </w:pPr>
    </w:p>
    <w:p>
      <w:pPr>
        <w:pStyle w:val="BodyText"/>
        <w:ind w:left="5226"/>
        <w:rPr>
          <w:sz w:val="20"/>
        </w:rPr>
      </w:pPr>
      <w:r>
        <w:rPr>
          <w:sz w:val="20"/>
        </w:rPr>
        <w:pict>
          <v:shape style="width:257.3pt;height:14.2pt;mso-position-horizontal-relative:char;mso-position-vertical-relative:line" type="#_x0000_t202" filled="true" fillcolor="#14397f" stroked="false">
            <w10:anchorlock/>
            <v:textbox inset="0,0,0,0">
              <w:txbxContent>
                <w:p>
                  <w:pPr>
                    <w:spacing w:before="44"/>
                    <w:ind w:left="3184" w:right="0" w:firstLine="0"/>
                    <w:jc w:val="left"/>
                    <w:rPr>
                      <w:sz w:val="16"/>
                    </w:rPr>
                  </w:pPr>
                  <w:r>
                    <w:rPr>
                      <w:color w:val="FFFFFF"/>
                      <w:sz w:val="16"/>
                    </w:rPr>
                    <w:t>RHETORIC TO REALITY</w:t>
                  </w:r>
                </w:p>
              </w:txbxContent>
            </v:textbox>
            <v:fill typ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4"/>
        </w:rPr>
      </w:pPr>
    </w:p>
    <w:p>
      <w:pPr>
        <w:pStyle w:val="Heading1"/>
      </w:pPr>
      <w:r>
        <w:rPr>
          <w:color w:val="C2B59B"/>
        </w:rPr>
        <w:t>ACKNOWLEDGEMENTS</w:t>
      </w:r>
    </w:p>
    <w:p>
      <w:pPr>
        <w:pStyle w:val="BodyText"/>
        <w:spacing w:before="8"/>
        <w:rPr>
          <w:rFonts w:ascii="Helvetica"/>
          <w:sz w:val="34"/>
        </w:rPr>
      </w:pPr>
    </w:p>
    <w:p>
      <w:pPr>
        <w:pStyle w:val="BodyText"/>
        <w:spacing w:line="235" w:lineRule="auto"/>
        <w:ind w:left="280" w:right="5538"/>
      </w:pPr>
      <w:r>
        <w:rPr>
          <w:color w:val="231F20"/>
        </w:rPr>
        <w:t>We would like to thank Aboriginal Affairs for their support, technical advice and </w:t>
      </w:r>
      <w:r>
        <w:rPr>
          <w:color w:val="231F20"/>
          <w:spacing w:val="-3"/>
        </w:rPr>
        <w:t>coordination </w:t>
      </w:r>
      <w:r>
        <w:rPr>
          <w:color w:val="231F20"/>
        </w:rPr>
        <w:t>for this</w:t>
      </w:r>
      <w:r>
        <w:rPr>
          <w:color w:val="231F20"/>
          <w:spacing w:val="-1"/>
        </w:rPr>
        <w:t> </w:t>
      </w:r>
      <w:r>
        <w:rPr>
          <w:color w:val="231F20"/>
        </w:rPr>
        <w:t>research.</w:t>
      </w:r>
    </w:p>
    <w:p>
      <w:pPr>
        <w:pStyle w:val="BodyText"/>
        <w:spacing w:line="235" w:lineRule="auto" w:before="167"/>
        <w:ind w:left="280" w:right="5609"/>
      </w:pPr>
      <w:r>
        <w:rPr>
          <w:color w:val="231F20"/>
        </w:rPr>
        <w:t>We would also like to thank the many public servants who participated in the research for giving us substantial amounts of time and providing valuable insights form their particular vantage points.</w:t>
      </w:r>
    </w:p>
    <w:p>
      <w:pPr>
        <w:pStyle w:val="BodyText"/>
        <w:spacing w:line="235" w:lineRule="auto" w:before="165"/>
        <w:ind w:left="280" w:right="5546"/>
      </w:pPr>
      <w:r>
        <w:rPr>
          <w:color w:val="231F20"/>
        </w:rPr>
        <w:t>We acknowledge the support provided by our academic supervisor Zina O’Leary. Her advice, enthusiasm and professional guidance have been invaluable.</w:t>
      </w:r>
    </w:p>
    <w:p>
      <w:pPr>
        <w:spacing w:after="0" w:line="235" w:lineRule="auto"/>
        <w:sectPr>
          <w:headerReference w:type="default" r:id="rId26"/>
          <w:footerReference w:type="default" r:id="rId27"/>
          <w:pgSz w:w="11910" w:h="16840"/>
          <w:pgMar w:header="0" w:footer="558" w:top="0" w:bottom="740" w:left="740" w:right="640"/>
          <w:pgNumType w:start="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7"/>
        </w:rPr>
      </w:pPr>
    </w:p>
    <w:p>
      <w:pPr>
        <w:pStyle w:val="Heading1"/>
      </w:pPr>
      <w:r>
        <w:rPr>
          <w:color w:val="C2B59B"/>
        </w:rPr>
        <w:t>EXECUTIVE SUMMARY</w:t>
      </w:r>
    </w:p>
    <w:p>
      <w:pPr>
        <w:pStyle w:val="BodyText"/>
        <w:spacing w:before="9"/>
        <w:rPr>
          <w:rFonts w:ascii="Helvetica"/>
          <w:sz w:val="25"/>
        </w:rPr>
      </w:pPr>
    </w:p>
    <w:p>
      <w:pPr>
        <w:spacing w:after="0"/>
        <w:rPr>
          <w:rFonts w:ascii="Helvetica"/>
          <w:sz w:val="25"/>
        </w:rPr>
        <w:sectPr>
          <w:headerReference w:type="default" r:id="rId29"/>
          <w:footerReference w:type="default" r:id="rId30"/>
          <w:pgSz w:w="11910" w:h="16840"/>
          <w:pgMar w:header="0" w:footer="558" w:top="0" w:bottom="740" w:left="740" w:right="640"/>
          <w:pgNumType w:start="7"/>
        </w:sectPr>
      </w:pPr>
    </w:p>
    <w:p>
      <w:pPr>
        <w:spacing w:line="230" w:lineRule="auto" w:before="109"/>
        <w:ind w:left="280" w:right="126" w:firstLine="0"/>
        <w:jc w:val="left"/>
        <w:rPr>
          <w:sz w:val="22"/>
        </w:rPr>
      </w:pPr>
      <w:r>
        <w:rPr>
          <w:color w:val="231F20"/>
          <w:sz w:val="22"/>
        </w:rPr>
        <w:t>The research question — </w:t>
      </w:r>
      <w:r>
        <w:rPr>
          <w:rFonts w:ascii="Helvetica-LightOblique" w:hAnsi="Helvetica-LightOblique"/>
          <w:i/>
          <w:color w:val="231F20"/>
          <w:sz w:val="22"/>
        </w:rPr>
        <w:t>How can the NSW public service shift its structural and attitudinal frameworks to support devolving decision- making to Aboriginal communities? </w:t>
      </w:r>
      <w:r>
        <w:rPr>
          <w:color w:val="231F20"/>
          <w:position w:val="7"/>
          <w:sz w:val="13"/>
        </w:rPr>
        <w:t>1</w:t>
      </w:r>
      <w:r>
        <w:rPr>
          <w:color w:val="231F20"/>
          <w:sz w:val="22"/>
        </w:rPr>
        <w:t>— was explored in a study conducted by a public servant research team who were part of</w:t>
      </w:r>
    </w:p>
    <w:p>
      <w:pPr>
        <w:pStyle w:val="BodyText"/>
        <w:spacing w:line="235" w:lineRule="auto" w:before="3"/>
        <w:ind w:left="280" w:right="4"/>
      </w:pPr>
      <w:r>
        <w:rPr>
          <w:color w:val="231F20"/>
        </w:rPr>
        <w:t>the 2015 cohort Executive Master of Public Administration (EMPA) of the Australia and New Zealand School of Government (ANZSOG).</w:t>
      </w:r>
    </w:p>
    <w:p>
      <w:pPr>
        <w:pStyle w:val="BodyText"/>
        <w:spacing w:line="235" w:lineRule="auto"/>
        <w:ind w:left="280" w:right="29"/>
      </w:pPr>
      <w:r>
        <w:rPr>
          <w:color w:val="231F20"/>
        </w:rPr>
        <w:t>Sponsored by Aboriginal Affairs, this qualitative study sought to inform the future development of policy and practice in devolving decision- making to Aboriginal communities. This required rich and detailed descriptions of</w:t>
      </w:r>
    </w:p>
    <w:p>
      <w:pPr>
        <w:pStyle w:val="BodyText"/>
        <w:spacing w:line="235" w:lineRule="auto"/>
        <w:ind w:left="280" w:right="303"/>
      </w:pPr>
      <w:r>
        <w:rPr>
          <w:color w:val="231F20"/>
        </w:rPr>
        <w:t>the experiences of NSW public servants </w:t>
      </w:r>
      <w:r>
        <w:rPr>
          <w:color w:val="231F20"/>
          <w:spacing w:val="-6"/>
        </w:rPr>
        <w:t>who </w:t>
      </w:r>
      <w:r>
        <w:rPr>
          <w:color w:val="231F20"/>
        </w:rPr>
        <w:t>work with Aboriginal communities, so that the research team could understand their underlying motivations, gain insights into</w:t>
      </w:r>
    </w:p>
    <w:p>
      <w:pPr>
        <w:pStyle w:val="BodyText"/>
        <w:spacing w:line="235" w:lineRule="auto"/>
        <w:ind w:left="280" w:right="3"/>
      </w:pPr>
      <w:r>
        <w:rPr>
          <w:color w:val="231F20"/>
        </w:rPr>
        <w:t>context, and generate practical ideas. Together with literature and document reviews and a</w:t>
      </w:r>
    </w:p>
    <w:p>
      <w:pPr>
        <w:pStyle w:val="BodyText"/>
        <w:spacing w:line="235" w:lineRule="auto" w:before="105"/>
        <w:ind w:left="280" w:right="548"/>
      </w:pPr>
      <w:r>
        <w:rPr/>
        <w:br w:type="column"/>
      </w:r>
      <w:r>
        <w:rPr>
          <w:color w:val="231F20"/>
        </w:rPr>
        <w:t>limited systematic review that explored the principles and practices of co-design, the research team conducted in-depth interviews with 10 senior NSW public servants and focus groups with 32 mid-level NSW public servants in regional and metropolitan locations.</w:t>
      </w:r>
    </w:p>
    <w:p>
      <w:pPr>
        <w:pStyle w:val="BodyText"/>
        <w:spacing w:line="235" w:lineRule="auto" w:before="164"/>
        <w:ind w:left="280" w:right="588"/>
      </w:pPr>
      <w:r>
        <w:rPr>
          <w:color w:val="231F20"/>
        </w:rPr>
        <w:t>Local and international literature clearly highlights the many barriers to effective collaboration with Indigenous  communities. In Australia, these include its colonial past and its history of poor social and economic outcomes that have contributed to a lack of respect, understanding and trust between government and communities. But when it comes to specific initiatives, the literature </w:t>
      </w:r>
      <w:r>
        <w:rPr>
          <w:color w:val="231F20"/>
          <w:spacing w:val="-4"/>
        </w:rPr>
        <w:t>falls </w:t>
      </w:r>
      <w:r>
        <w:rPr>
          <w:color w:val="231F20"/>
        </w:rPr>
        <w:t>short. Recommendations for improvements to structural and attitudinal frameworks for</w:t>
      </w:r>
      <w:r>
        <w:rPr>
          <w:color w:val="231F20"/>
          <w:spacing w:val="-4"/>
        </w:rPr>
        <w:t> </w:t>
      </w:r>
      <w:r>
        <w:rPr>
          <w:color w:val="231F20"/>
        </w:rPr>
        <w:t>more</w:t>
      </w:r>
    </w:p>
    <w:p>
      <w:pPr>
        <w:pStyle w:val="BodyText"/>
        <w:spacing w:line="235" w:lineRule="auto"/>
        <w:ind w:left="280" w:right="395"/>
      </w:pPr>
      <w:r>
        <w:rPr>
          <w:color w:val="231F20"/>
        </w:rPr>
        <w:t>effective collaboration are broad and little more than rhetoric.</w:t>
      </w:r>
    </w:p>
    <w:p>
      <w:pPr>
        <w:spacing w:after="0" w:line="235" w:lineRule="auto"/>
        <w:sectPr>
          <w:type w:val="continuous"/>
          <w:pgSz w:w="11910" w:h="16840"/>
          <w:pgMar w:top="1580" w:bottom="280" w:left="740" w:right="640"/>
          <w:cols w:num="2" w:equalWidth="0">
            <w:col w:w="4987" w:space="172"/>
            <w:col w:w="5371"/>
          </w:cols>
        </w:sectPr>
      </w:pPr>
    </w:p>
    <w:p>
      <w:pPr>
        <w:pStyle w:val="BodyText"/>
        <w:spacing w:before="8"/>
        <w:rPr>
          <w:sz w:val="26"/>
        </w:rPr>
      </w:pPr>
      <w:r>
        <w:rPr/>
        <w:pict>
          <v:group style="position:absolute;margin-left:.0pt;margin-top:0pt;width:595.3pt;height:368.55pt;mso-position-horizontal-relative:page;mso-position-vertical-relative:page;z-index:-71872" coordorigin="0,0" coordsize="11906,7371">
            <v:shape style="position:absolute;left:0;top:1615;width:11906;height:5755" type="#_x0000_t75" stroked="false">
              <v:imagedata r:id="rId31" o:title=""/>
            </v:shape>
            <v:rect style="position:absolute;left:0;top:6803;width:11906;height:567" filled="true" fillcolor="#439fa0" stroked="false">
              <v:fill opacity="41288f" type="solid"/>
            </v:rect>
            <v:rect style="position:absolute;left:0;top:1332;width:4105;height:284" filled="true" fillcolor="#14397f" stroked="false">
              <v:fill type="solid"/>
            </v:rect>
            <v:rect style="position:absolute;left:11111;top:1332;width:341;height:284" filled="true" fillcolor="#e3dad1" stroked="false">
              <v:fill type="solid"/>
            </v:rect>
            <v:rect style="position:absolute;left:4104;top:1332;width:1656;height:284" filled="true" fillcolor="#47a7a8" stroked="false">
              <v:fill type="solid"/>
            </v:rect>
            <v:rect style="position:absolute;left:5748;top:1332;width:218;height:284" filled="true" fillcolor="#e7bb20" stroked="false">
              <v:fill type="solid"/>
            </v:rect>
            <v:rect style="position:absolute;left:11451;top:1332;width:454;height:284" filled="true" fillcolor="#14397f" stroked="false">
              <v:fill type="solid"/>
            </v:rect>
            <v:shape style="position:absolute;left:0;top:0;width:11906;height:1333" type="#_x0000_t75" stroked="false">
              <v:imagedata r:id="rId22" o:title=""/>
            </v:shape>
            <v:rect style="position:absolute;left:0;top:0;width:11906;height:1333" filled="true" fillcolor="#439fa0" stroked="false">
              <v:fill opacity="37355f" type="solid"/>
            </v:rect>
            <v:shape style="position:absolute;left:5966;top:1332;width:5146;height:284" type="#_x0000_t202" filled="true" fillcolor="#14397f" stroked="false">
              <v:textbox inset="0,0,0,0">
                <w:txbxContent>
                  <w:p>
                    <w:pPr>
                      <w:spacing w:before="44"/>
                      <w:ind w:left="3184" w:right="0" w:firstLine="0"/>
                      <w:jc w:val="left"/>
                      <w:rPr>
                        <w:sz w:val="16"/>
                      </w:rPr>
                    </w:pPr>
                    <w:r>
                      <w:rPr>
                        <w:color w:val="FFFFFF"/>
                        <w:sz w:val="16"/>
                      </w:rPr>
                      <w:t>RHETORIC TO REALITY</w:t>
                    </w:r>
                  </w:p>
                </w:txbxContent>
              </v:textbox>
              <v:fill type="solid"/>
              <w10:wrap type="none"/>
            </v:shape>
            <w10:wrap type="none"/>
          </v:group>
        </w:pict>
      </w:r>
    </w:p>
    <w:p>
      <w:pPr>
        <w:pStyle w:val="BodyText"/>
        <w:spacing w:line="20" w:lineRule="exact"/>
        <w:ind w:left="270"/>
        <w:rPr>
          <w:sz w:val="2"/>
        </w:rPr>
      </w:pPr>
      <w:r>
        <w:rPr>
          <w:sz w:val="2"/>
        </w:rPr>
        <w:pict>
          <v:group style="width:72pt;height:1pt;mso-position-horizontal-relative:char;mso-position-vertical-relative:line" coordorigin="0,0" coordsize="1440,20">
            <v:line style="position:absolute" from="0,10" to="1440,10" stroked="true" strokeweight="1pt" strokecolor="#231f20">
              <v:stroke dashstyle="solid"/>
            </v:line>
          </v:group>
        </w:pict>
      </w:r>
      <w:r>
        <w:rPr>
          <w:sz w:val="2"/>
        </w:rPr>
      </w:r>
    </w:p>
    <w:p>
      <w:pPr>
        <w:spacing w:line="235" w:lineRule="auto" w:before="28"/>
        <w:ind w:left="280" w:right="450" w:firstLine="0"/>
        <w:jc w:val="left"/>
        <w:rPr>
          <w:sz w:val="16"/>
        </w:rPr>
      </w:pPr>
      <w:r>
        <w:rPr>
          <w:color w:val="231F20"/>
          <w:position w:val="5"/>
          <w:sz w:val="9"/>
        </w:rPr>
        <w:t>1 </w:t>
      </w:r>
      <w:r>
        <w:rPr>
          <w:color w:val="231F20"/>
          <w:sz w:val="16"/>
        </w:rPr>
        <w:t>A note on terminology: Given this report reviews international literature, it refers to and uses the words “Indigenous peoples” for indigenous peoples in jurisdictions other than Australia, and where the term refers generically to Indigenous peoples internationally. When referring to Australian research, the term Aboriginal is used, as this is the term adopted by the NSW Government. A particular reference may use the term Aboriginal and Torres Strait Islander peoples, which is the term commonly used in the literature and in official publications outside of NSW.</w:t>
      </w:r>
    </w:p>
    <w:p>
      <w:pPr>
        <w:spacing w:after="0" w:line="235" w:lineRule="auto"/>
        <w:jc w:val="left"/>
        <w:rPr>
          <w:sz w:val="16"/>
        </w:rPr>
        <w:sectPr>
          <w:type w:val="continuous"/>
          <w:pgSz w:w="11910" w:h="16840"/>
          <w:pgMar w:top="1580" w:bottom="280" w:left="740" w:right="6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headerReference w:type="default" r:id="rId32"/>
          <w:footerReference w:type="default" r:id="rId33"/>
          <w:pgSz w:w="11910" w:h="16840"/>
          <w:pgMar w:header="0" w:footer="558" w:top="0" w:bottom="740" w:left="740" w:right="640"/>
          <w:pgNumType w:start="8"/>
        </w:sectPr>
      </w:pPr>
    </w:p>
    <w:p>
      <w:pPr>
        <w:pStyle w:val="BodyText"/>
        <w:spacing w:before="3"/>
        <w:rPr>
          <w:sz w:val="20"/>
        </w:rPr>
      </w:pPr>
      <w:r>
        <w:rPr/>
        <w:pict>
          <v:group style="position:absolute;margin-left:.0pt;margin-top:0pt;width:595.3pt;height:80.8pt;mso-position-horizontal-relative:page;mso-position-vertical-relative:page;z-index:-71824" coordorigin="0,0" coordsize="11906,1616">
            <v:rect style="position:absolute;left:0;top:1332;width:4105;height:284" filled="true" fillcolor="#14397f" stroked="false">
              <v:fill type="solid"/>
            </v:rect>
            <v:rect style="position:absolute;left:4104;top:1332;width:1656;height:284" filled="true" fillcolor="#47a7a8" stroked="false">
              <v:fill type="solid"/>
            </v:rect>
            <v:rect style="position:absolute;left:5748;top:1332;width:218;height:284" filled="true" fillcolor="#e7bb20" stroked="false">
              <v:fill type="solid"/>
            </v:rect>
            <v:rect style="position:absolute;left:11111;top:1332;width:341;height:284" filled="true" fillcolor="#e3dad1" stroked="false">
              <v:fill type="solid"/>
            </v:rect>
            <v:rect style="position:absolute;left:11451;top:1332;width:454;height:284" filled="true" fillcolor="#14397f" stroked="false">
              <v:fill type="solid"/>
            </v:rect>
            <v:shape style="position:absolute;left:0;top:0;width:11906;height:1333" type="#_x0000_t75" stroked="false">
              <v:imagedata r:id="rId22" o:title=""/>
            </v:shape>
            <v:rect style="position:absolute;left:0;top:0;width:11906;height:1333" filled="true" fillcolor="#439fa0" stroked="false">
              <v:fill opacity="37355f" type="solid"/>
            </v:rect>
            <v:shape style="position:absolute;left:5966;top:1332;width:5146;height:284" type="#_x0000_t202" filled="true" fillcolor="#14397f" stroked="false">
              <v:textbox inset="0,0,0,0">
                <w:txbxContent>
                  <w:p>
                    <w:pPr>
                      <w:spacing w:before="44"/>
                      <w:ind w:left="3184" w:right="0" w:firstLine="0"/>
                      <w:jc w:val="left"/>
                      <w:rPr>
                        <w:sz w:val="16"/>
                      </w:rPr>
                    </w:pPr>
                    <w:r>
                      <w:rPr>
                        <w:color w:val="FFFFFF"/>
                        <w:sz w:val="16"/>
                      </w:rPr>
                      <w:t>RHETORIC TO REALITY</w:t>
                    </w:r>
                  </w:p>
                </w:txbxContent>
              </v:textbox>
              <v:fill type="solid"/>
              <w10:wrap type="none"/>
            </v:shape>
            <w10:wrap type="none"/>
          </v:group>
        </w:pict>
      </w:r>
    </w:p>
    <w:p>
      <w:pPr>
        <w:pStyle w:val="BodyText"/>
        <w:spacing w:line="235" w:lineRule="auto" w:before="1"/>
        <w:ind w:left="280" w:right="44"/>
      </w:pPr>
      <w:r>
        <w:rPr>
          <w:color w:val="231F20"/>
        </w:rPr>
        <w:t>For the public servants involved in the </w:t>
      </w:r>
      <w:r>
        <w:rPr>
          <w:color w:val="231F20"/>
          <w:spacing w:val="-4"/>
        </w:rPr>
        <w:t>study, </w:t>
      </w:r>
      <w:r>
        <w:rPr>
          <w:color w:val="231F20"/>
        </w:rPr>
        <w:t>‘devolved decision-making’ in Aboriginal communities is not the final objective. </w:t>
      </w:r>
      <w:r>
        <w:rPr>
          <w:color w:val="231F20"/>
          <w:spacing w:val="-3"/>
        </w:rPr>
        <w:t>Rather, </w:t>
      </w:r>
      <w:r>
        <w:rPr>
          <w:color w:val="231F20"/>
        </w:rPr>
        <w:t>their overriding concern is to find and practice different ways of working with Aboriginal </w:t>
      </w:r>
      <w:r>
        <w:rPr>
          <w:color w:val="231F20"/>
          <w:spacing w:val="-3"/>
        </w:rPr>
        <w:t>people </w:t>
      </w:r>
      <w:r>
        <w:rPr>
          <w:color w:val="231F20"/>
        </w:rPr>
        <w:t>that involve sharing knowledge and </w:t>
      </w:r>
      <w:r>
        <w:rPr>
          <w:color w:val="231F20"/>
          <w:spacing w:val="-4"/>
        </w:rPr>
        <w:t>power, </w:t>
      </w:r>
      <w:r>
        <w:rPr>
          <w:color w:val="231F20"/>
        </w:rPr>
        <w:t>collaborating, responding to local contexts and ultimately, achieving better shared outcomes for communities. With this goal in mind, the research team identified three themes for shifting NSW public service structural and attitudinal frameworks. Connecting to culture, connecting to Country highlights that current efforts to develop genuine cultural competence in the NSW public service can be ad hoc</w:t>
      </w:r>
    </w:p>
    <w:p>
      <w:pPr>
        <w:pStyle w:val="BodyText"/>
        <w:spacing w:line="248" w:lineRule="exact"/>
        <w:ind w:left="280"/>
      </w:pPr>
      <w:r>
        <w:rPr>
          <w:color w:val="231F20"/>
        </w:rPr>
        <w:t>and tokenistic, and that a lack of cultural</w:t>
      </w:r>
    </w:p>
    <w:p>
      <w:pPr>
        <w:pStyle w:val="BodyText"/>
        <w:spacing w:line="235" w:lineRule="auto" w:before="1"/>
        <w:ind w:left="280" w:right="52"/>
      </w:pPr>
      <w:r>
        <w:rPr>
          <w:color w:val="231F20"/>
        </w:rPr>
        <w:t>competence remains a dominant barrier to collaborative relationships with Aboriginal communities. Setting the tone indicates the need for strong and consistent leadership to support successful racial equity initiatives, and for clearer career paths for Aboriginal public servants into leadership positions given their important role in shifting the way government interacts with communities. Achieving ‘big change by starting small’ suggests that governments can use locally designed initiatives — perhaps funded by </w:t>
      </w:r>
      <w:r>
        <w:rPr>
          <w:color w:val="231F20"/>
          <w:spacing w:val="-3"/>
        </w:rPr>
        <w:t>micro-financing </w:t>
      </w:r>
      <w:r>
        <w:rPr>
          <w:color w:val="231F20"/>
        </w:rPr>
        <w:t>approaches — to engage more closely with Aboriginal communities. This approach requires a long-term commitment to build and foster capabilities within Aboriginal community organisations, and can include more integrated procurement processes delivered using co- design principles to improve opportunities for Aboriginal businesses.</w:t>
      </w:r>
    </w:p>
    <w:p>
      <w:pPr>
        <w:pStyle w:val="BodyText"/>
        <w:spacing w:line="235" w:lineRule="auto" w:before="150"/>
        <w:ind w:left="280"/>
      </w:pPr>
      <w:r>
        <w:rPr>
          <w:color w:val="231F20"/>
        </w:rPr>
        <w:t>Throughout this report, the research team highlights areas that the NSW public service</w:t>
      </w:r>
    </w:p>
    <w:p>
      <w:pPr>
        <w:pStyle w:val="BodyText"/>
        <w:spacing w:before="3"/>
        <w:rPr>
          <w:sz w:val="20"/>
        </w:rPr>
      </w:pPr>
      <w:r>
        <w:rPr/>
        <w:br w:type="column"/>
      </w:r>
      <w:r>
        <w:rPr>
          <w:sz w:val="20"/>
        </w:rPr>
      </w:r>
    </w:p>
    <w:p>
      <w:pPr>
        <w:pStyle w:val="BodyText"/>
        <w:spacing w:line="235" w:lineRule="auto" w:before="1"/>
        <w:ind w:left="280" w:right="815"/>
      </w:pPr>
      <w:r>
        <w:rPr>
          <w:color w:val="231F20"/>
        </w:rPr>
        <w:t>might explore further, since they offer the clearest opportunities to shift structural and attitudinal frameworks towards effective collaborative partnerships with Aboriginal communities. These include the following.</w:t>
      </w:r>
    </w:p>
    <w:p>
      <w:pPr>
        <w:pStyle w:val="ListParagraph"/>
        <w:numPr>
          <w:ilvl w:val="0"/>
          <w:numId w:val="2"/>
        </w:numPr>
        <w:tabs>
          <w:tab w:pos="627" w:val="left" w:leader="none"/>
        </w:tabs>
        <w:spacing w:line="235" w:lineRule="auto" w:before="165" w:after="0"/>
        <w:ind w:left="620" w:right="443" w:hanging="227"/>
        <w:jc w:val="left"/>
        <w:rPr>
          <w:sz w:val="22"/>
        </w:rPr>
      </w:pPr>
      <w:r>
        <w:rPr>
          <w:color w:val="231F20"/>
          <w:sz w:val="22"/>
        </w:rPr>
        <w:t>Cultural competence is most effective when it is localised, ongoing and taught on- </w:t>
      </w:r>
      <w:r>
        <w:rPr>
          <w:color w:val="231F20"/>
          <w:spacing w:val="-3"/>
          <w:sz w:val="22"/>
        </w:rPr>
        <w:t>Country. </w:t>
      </w:r>
      <w:r>
        <w:rPr>
          <w:color w:val="231F20"/>
          <w:sz w:val="22"/>
        </w:rPr>
        <w:t>Local communities could benefit from being engaged in this teaching. Given the strong recurring nature of cultural competence themes, there would appear </w:t>
      </w:r>
      <w:r>
        <w:rPr>
          <w:color w:val="231F20"/>
          <w:spacing w:val="-9"/>
          <w:sz w:val="22"/>
        </w:rPr>
        <w:t>to </w:t>
      </w:r>
      <w:r>
        <w:rPr>
          <w:color w:val="231F20"/>
          <w:sz w:val="22"/>
        </w:rPr>
        <w:t>be value in considering these elements in the development of any NSW public sector- wide framework for cultural competence.</w:t>
      </w:r>
    </w:p>
    <w:p>
      <w:pPr>
        <w:pStyle w:val="ListParagraph"/>
        <w:numPr>
          <w:ilvl w:val="0"/>
          <w:numId w:val="2"/>
        </w:numPr>
        <w:tabs>
          <w:tab w:pos="621" w:val="left" w:leader="none"/>
        </w:tabs>
        <w:spacing w:line="235" w:lineRule="auto" w:before="161" w:after="0"/>
        <w:ind w:left="620" w:right="774" w:hanging="227"/>
        <w:jc w:val="left"/>
        <w:rPr>
          <w:sz w:val="22"/>
        </w:rPr>
      </w:pPr>
      <w:r>
        <w:rPr>
          <w:color w:val="231F20"/>
          <w:sz w:val="22"/>
        </w:rPr>
        <w:t>Public-sector leaders who are fully committed to cultural competence are most likely to establish collaboration with Aboriginal communities as a</w:t>
      </w:r>
      <w:r>
        <w:rPr>
          <w:color w:val="231F20"/>
          <w:spacing w:val="6"/>
          <w:sz w:val="22"/>
        </w:rPr>
        <w:t> </w:t>
      </w:r>
      <w:r>
        <w:rPr>
          <w:color w:val="231F20"/>
          <w:spacing w:val="-4"/>
          <w:sz w:val="22"/>
        </w:rPr>
        <w:t>routine</w:t>
      </w:r>
    </w:p>
    <w:p>
      <w:pPr>
        <w:pStyle w:val="BodyText"/>
        <w:spacing w:line="235" w:lineRule="auto"/>
        <w:ind w:left="620" w:right="560"/>
      </w:pPr>
      <w:r>
        <w:rPr>
          <w:color w:val="231F20"/>
        </w:rPr>
        <w:t>approach within government. Examples of successful leadership of this kind should be recognised and publicised across the public sector to hasten and effect change.</w:t>
      </w:r>
    </w:p>
    <w:p>
      <w:pPr>
        <w:pStyle w:val="ListParagraph"/>
        <w:numPr>
          <w:ilvl w:val="0"/>
          <w:numId w:val="2"/>
        </w:numPr>
        <w:tabs>
          <w:tab w:pos="621" w:val="left" w:leader="none"/>
        </w:tabs>
        <w:spacing w:line="235" w:lineRule="auto" w:before="163" w:after="0"/>
        <w:ind w:left="620" w:right="668" w:hanging="227"/>
        <w:jc w:val="left"/>
        <w:rPr>
          <w:sz w:val="22"/>
        </w:rPr>
      </w:pPr>
      <w:r>
        <w:rPr>
          <w:color w:val="231F20"/>
          <w:sz w:val="22"/>
        </w:rPr>
        <w:t>Aboriginal public servants should be supported and nurtured, and should be seen as critically important for a culturally competent NSW public service.</w:t>
      </w:r>
    </w:p>
    <w:p>
      <w:pPr>
        <w:pStyle w:val="ListParagraph"/>
        <w:numPr>
          <w:ilvl w:val="0"/>
          <w:numId w:val="2"/>
        </w:numPr>
        <w:tabs>
          <w:tab w:pos="621" w:val="left" w:leader="none"/>
        </w:tabs>
        <w:spacing w:line="235" w:lineRule="auto" w:before="166" w:after="0"/>
        <w:ind w:left="620" w:right="602" w:hanging="227"/>
        <w:jc w:val="both"/>
        <w:rPr>
          <w:sz w:val="22"/>
        </w:rPr>
      </w:pPr>
      <w:r>
        <w:rPr>
          <w:color w:val="231F20"/>
          <w:sz w:val="22"/>
        </w:rPr>
        <w:t>Initiatives such as local micro finance </w:t>
      </w:r>
      <w:r>
        <w:rPr>
          <w:color w:val="231F20"/>
          <w:spacing w:val="-6"/>
          <w:sz w:val="22"/>
        </w:rPr>
        <w:t>may </w:t>
      </w:r>
      <w:r>
        <w:rPr>
          <w:color w:val="231F20"/>
          <w:sz w:val="22"/>
        </w:rPr>
        <w:t>offer a more flexible way to strengthen the design of local services and improve their outcomes.</w:t>
      </w:r>
    </w:p>
    <w:p>
      <w:pPr>
        <w:pStyle w:val="ListParagraph"/>
        <w:numPr>
          <w:ilvl w:val="0"/>
          <w:numId w:val="2"/>
        </w:numPr>
        <w:tabs>
          <w:tab w:pos="621" w:val="left" w:leader="none"/>
        </w:tabs>
        <w:spacing w:line="235" w:lineRule="auto" w:before="166" w:after="0"/>
        <w:ind w:left="620" w:right="464" w:hanging="227"/>
        <w:jc w:val="left"/>
        <w:rPr>
          <w:sz w:val="22"/>
        </w:rPr>
      </w:pPr>
      <w:r>
        <w:rPr>
          <w:color w:val="231F20"/>
          <w:sz w:val="22"/>
        </w:rPr>
        <w:t>Whenever Aboriginal-controlled organisations succeed and grow strong, their stories should be shared to set a positive tone for devolved decision-making. Their example will guide others to replicate the elements of their success.</w:t>
      </w:r>
    </w:p>
    <w:p>
      <w:pPr>
        <w:spacing w:after="0" w:line="235" w:lineRule="auto"/>
        <w:jc w:val="left"/>
        <w:rPr>
          <w:sz w:val="22"/>
        </w:rPr>
        <w:sectPr>
          <w:type w:val="continuous"/>
          <w:pgSz w:w="11910" w:h="16840"/>
          <w:pgMar w:top="1580" w:bottom="280" w:left="740" w:right="640"/>
          <w:cols w:num="2" w:equalWidth="0">
            <w:col w:w="5026" w:space="133"/>
            <w:col w:w="537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7"/>
        </w:rPr>
      </w:pPr>
    </w:p>
    <w:p>
      <w:pPr>
        <w:pStyle w:val="Heading1"/>
        <w:ind w:left="293"/>
      </w:pPr>
      <w:r>
        <w:rPr>
          <w:color w:val="C2B59B"/>
        </w:rPr>
        <w:t>INTRODUCTION</w:t>
      </w:r>
    </w:p>
    <w:p>
      <w:pPr>
        <w:pStyle w:val="BodyText"/>
        <w:spacing w:before="9"/>
        <w:rPr>
          <w:rFonts w:ascii="Helvetica"/>
          <w:sz w:val="25"/>
        </w:rPr>
      </w:pPr>
    </w:p>
    <w:p>
      <w:pPr>
        <w:spacing w:after="0"/>
        <w:rPr>
          <w:rFonts w:ascii="Helvetica"/>
          <w:sz w:val="25"/>
        </w:rPr>
        <w:sectPr>
          <w:headerReference w:type="default" r:id="rId34"/>
          <w:footerReference w:type="default" r:id="rId35"/>
          <w:pgSz w:w="11910" w:h="16840"/>
          <w:pgMar w:header="0" w:footer="558" w:top="0" w:bottom="740" w:left="740" w:right="640"/>
          <w:pgNumType w:start="9"/>
        </w:sectPr>
      </w:pPr>
    </w:p>
    <w:p>
      <w:pPr>
        <w:pStyle w:val="BodyText"/>
        <w:spacing w:line="232" w:lineRule="auto" w:before="107"/>
        <w:ind w:left="293" w:right="9"/>
      </w:pPr>
      <w:r>
        <w:rPr/>
        <w:pict>
          <v:group style="position:absolute;margin-left:.0pt;margin-top:0pt;width:595.3pt;height:368.55pt;mso-position-horizontal-relative:page;mso-position-vertical-relative:page;z-index:-71776" coordorigin="0,0" coordsize="11906,7371">
            <v:shape style="position:absolute;left:0;top:1615;width:11906;height:5755" type="#_x0000_t75" stroked="false">
              <v:imagedata r:id="rId31" o:title=""/>
            </v:shape>
            <v:rect style="position:absolute;left:0;top:6803;width:11906;height:567" filled="true" fillcolor="#439fa0" stroked="false">
              <v:fill opacity="41288f" type="solid"/>
            </v:rect>
            <v:rect style="position:absolute;left:0;top:1332;width:4105;height:284" filled="true" fillcolor="#14397f" stroked="false">
              <v:fill type="solid"/>
            </v:rect>
            <v:rect style="position:absolute;left:11111;top:1332;width:341;height:284" filled="true" fillcolor="#e3dad1" stroked="false">
              <v:fill type="solid"/>
            </v:rect>
            <v:rect style="position:absolute;left:4104;top:1332;width:1656;height:284" filled="true" fillcolor="#47a7a8" stroked="false">
              <v:fill type="solid"/>
            </v:rect>
            <v:rect style="position:absolute;left:5748;top:1332;width:218;height:284" filled="true" fillcolor="#e7bb20" stroked="false">
              <v:fill type="solid"/>
            </v:rect>
            <v:rect style="position:absolute;left:11451;top:1332;width:454;height:284" filled="true" fillcolor="#14397f" stroked="false">
              <v:fill type="solid"/>
            </v:rect>
            <v:shape style="position:absolute;left:0;top:0;width:11906;height:1333" type="#_x0000_t75" stroked="false">
              <v:imagedata r:id="rId22" o:title=""/>
            </v:shape>
            <v:rect style="position:absolute;left:0;top:0;width:11906;height:1333" filled="true" fillcolor="#439fa0" stroked="false">
              <v:fill opacity="37355f" type="solid"/>
            </v:rect>
            <v:shape style="position:absolute;left:5966;top:1332;width:5146;height:284" type="#_x0000_t202" filled="true" fillcolor="#14397f" stroked="false">
              <v:textbox inset="0,0,0,0">
                <w:txbxContent>
                  <w:p>
                    <w:pPr>
                      <w:spacing w:before="44"/>
                      <w:ind w:left="3184" w:right="0" w:firstLine="0"/>
                      <w:jc w:val="left"/>
                      <w:rPr>
                        <w:sz w:val="16"/>
                      </w:rPr>
                    </w:pPr>
                    <w:r>
                      <w:rPr>
                        <w:color w:val="FFFFFF"/>
                        <w:sz w:val="16"/>
                      </w:rPr>
                      <w:t>RHETORIC TO REALITY</w:t>
                    </w:r>
                  </w:p>
                </w:txbxContent>
              </v:textbox>
              <v:fill type="solid"/>
              <w10:wrap type="none"/>
            </v:shape>
            <w10:wrap type="none"/>
          </v:group>
        </w:pict>
      </w:r>
      <w:r>
        <w:rPr>
          <w:rFonts w:ascii="Helvetica-LightOblique"/>
          <w:i/>
          <w:color w:val="231F20"/>
        </w:rPr>
        <w:t>Rhetoric to reality </w:t>
      </w:r>
      <w:r>
        <w:rPr>
          <w:color w:val="231F20"/>
        </w:rPr>
        <w:t>is the final report of a research project completed as part of the core curriculum of the 2015 Executive Master of Public Administration (EMPA) of the Australia and New Zealand School of Government (ANZSOG). The project was sponsored by Aboriginal Affairs to inform the future development of policy options in the area of devolved decision-making in Aboriginal communities.</w:t>
      </w:r>
    </w:p>
    <w:p>
      <w:pPr>
        <w:pStyle w:val="BodyText"/>
        <w:spacing w:line="232" w:lineRule="auto" w:before="181"/>
        <w:ind w:left="293" w:right="336"/>
      </w:pPr>
      <w:r>
        <w:rPr>
          <w:rFonts w:ascii="Helvetica-LightOblique" w:hAnsi="Helvetica-LightOblique"/>
          <w:i/>
          <w:color w:val="231F20"/>
        </w:rPr>
        <w:t>OCHRE </w:t>
      </w:r>
      <w:r>
        <w:rPr>
          <w:color w:val="231F20"/>
        </w:rPr>
        <w:t>is the NSW Government plan for Aboriginal affairs. The name </w:t>
      </w:r>
      <w:r>
        <w:rPr>
          <w:rFonts w:ascii="Helvetica-LightOblique" w:hAnsi="Helvetica-LightOblique"/>
          <w:i/>
          <w:color w:val="231F20"/>
        </w:rPr>
        <w:t>OCHRE </w:t>
      </w:r>
      <w:r>
        <w:rPr>
          <w:color w:val="231F20"/>
        </w:rPr>
        <w:t>is both a word, symbolic of Aboriginal peoples’ </w:t>
      </w:r>
      <w:r>
        <w:rPr>
          <w:color w:val="231F20"/>
          <w:spacing w:val="-5"/>
        </w:rPr>
        <w:t>deep </w:t>
      </w:r>
      <w:r>
        <w:rPr>
          <w:color w:val="231F20"/>
        </w:rPr>
        <w:t>connection with </w:t>
      </w:r>
      <w:r>
        <w:rPr>
          <w:color w:val="231F20"/>
          <w:spacing w:val="-3"/>
        </w:rPr>
        <w:t>Country, </w:t>
      </w:r>
      <w:r>
        <w:rPr>
          <w:color w:val="231F20"/>
        </w:rPr>
        <w:t>and an acronym standing for opportunity, choice, healing, responsibility, and empowerment. The</w:t>
      </w:r>
      <w:r>
        <w:rPr>
          <w:color w:val="231F20"/>
          <w:spacing w:val="-12"/>
        </w:rPr>
        <w:t> </w:t>
      </w:r>
      <w:r>
        <w:rPr>
          <w:color w:val="231F20"/>
        </w:rPr>
        <w:t>plan</w:t>
      </w:r>
    </w:p>
    <w:p>
      <w:pPr>
        <w:pStyle w:val="BodyText"/>
        <w:spacing w:line="232" w:lineRule="auto"/>
        <w:ind w:left="293" w:right="418"/>
      </w:pPr>
      <w:r>
        <w:rPr>
          <w:color w:val="231F20"/>
        </w:rPr>
        <w:t>is a significant departure from previous government strategies. </w:t>
      </w:r>
      <w:r>
        <w:rPr>
          <w:rFonts w:ascii="Helvetica-LightOblique"/>
          <w:i/>
          <w:color w:val="231F20"/>
        </w:rPr>
        <w:t>OCHRE </w:t>
      </w:r>
      <w:r>
        <w:rPr>
          <w:color w:val="231F20"/>
        </w:rPr>
        <w:t>prioritises genuine partnerships between government and Aboriginal communities and supports local communities to determine their own priorities and make decisions. This devolved decision-making approach seeks to change the relationship between government and participating Aboriginal communities.</w:t>
      </w:r>
    </w:p>
    <w:p>
      <w:pPr>
        <w:pStyle w:val="BodyText"/>
        <w:spacing w:line="232" w:lineRule="auto" w:before="107"/>
        <w:ind w:left="293"/>
      </w:pPr>
      <w:r>
        <w:rPr/>
        <w:br w:type="column"/>
      </w:r>
      <w:r>
        <w:rPr>
          <w:color w:val="231F20"/>
        </w:rPr>
        <w:t>Implementation of </w:t>
      </w:r>
      <w:r>
        <w:rPr>
          <w:rFonts w:ascii="Helvetica-LightOblique"/>
          <w:i/>
          <w:color w:val="231F20"/>
        </w:rPr>
        <w:t>OCHRE</w:t>
      </w:r>
      <w:r>
        <w:rPr>
          <w:color w:val="231F20"/>
        </w:rPr>
        <w:t>, now in its third year, may be hampered by blockages in the public sector which prevent genuine partnership</w:t>
      </w:r>
    </w:p>
    <w:p>
      <w:pPr>
        <w:pStyle w:val="BodyText"/>
        <w:spacing w:line="235" w:lineRule="auto"/>
        <w:ind w:left="293" w:right="523"/>
      </w:pPr>
      <w:r>
        <w:rPr>
          <w:color w:val="231F20"/>
        </w:rPr>
        <w:t>with Aboriginal communities. These include a disconnect between high-level government principles and their implementation by </w:t>
      </w:r>
      <w:r>
        <w:rPr>
          <w:color w:val="231F20"/>
          <w:spacing w:val="-3"/>
        </w:rPr>
        <w:t>public </w:t>
      </w:r>
      <w:r>
        <w:rPr>
          <w:color w:val="231F20"/>
        </w:rPr>
        <w:t>servants on the ground. This report provides new and specific insights in response to the research</w:t>
      </w:r>
      <w:r>
        <w:rPr>
          <w:color w:val="231F20"/>
          <w:spacing w:val="-1"/>
        </w:rPr>
        <w:t> </w:t>
      </w:r>
      <w:r>
        <w:rPr>
          <w:color w:val="231F20"/>
        </w:rPr>
        <w:t>question:</w:t>
      </w:r>
    </w:p>
    <w:p>
      <w:pPr>
        <w:spacing w:line="244" w:lineRule="auto" w:before="164"/>
        <w:ind w:left="634" w:right="0" w:firstLine="0"/>
        <w:jc w:val="left"/>
        <w:rPr>
          <w:rFonts w:ascii="Helvetica"/>
          <w:i/>
          <w:sz w:val="22"/>
        </w:rPr>
      </w:pPr>
      <w:r>
        <w:rPr>
          <w:rFonts w:ascii="Helvetica"/>
          <w:i/>
          <w:color w:val="A09681"/>
          <w:spacing w:val="-3"/>
          <w:sz w:val="22"/>
        </w:rPr>
        <w:t>How </w:t>
      </w:r>
      <w:r>
        <w:rPr>
          <w:rFonts w:ascii="Helvetica"/>
          <w:i/>
          <w:color w:val="A09681"/>
          <w:sz w:val="22"/>
        </w:rPr>
        <w:t>can the NSW </w:t>
      </w:r>
      <w:r>
        <w:rPr>
          <w:rFonts w:ascii="Helvetica"/>
          <w:i/>
          <w:color w:val="A09681"/>
          <w:spacing w:val="-4"/>
          <w:sz w:val="22"/>
        </w:rPr>
        <w:t>public </w:t>
      </w:r>
      <w:r>
        <w:rPr>
          <w:rFonts w:ascii="Helvetica"/>
          <w:i/>
          <w:color w:val="A09681"/>
          <w:sz w:val="22"/>
        </w:rPr>
        <w:t>service </w:t>
      </w:r>
      <w:r>
        <w:rPr>
          <w:rFonts w:ascii="Helvetica"/>
          <w:i/>
          <w:color w:val="A09681"/>
          <w:spacing w:val="-3"/>
          <w:sz w:val="22"/>
        </w:rPr>
        <w:t>shift its structural </w:t>
      </w:r>
      <w:r>
        <w:rPr>
          <w:rFonts w:ascii="Helvetica"/>
          <w:i/>
          <w:color w:val="A09681"/>
          <w:sz w:val="22"/>
        </w:rPr>
        <w:t>and </w:t>
      </w:r>
      <w:r>
        <w:rPr>
          <w:rFonts w:ascii="Helvetica"/>
          <w:i/>
          <w:color w:val="A09681"/>
          <w:spacing w:val="-3"/>
          <w:sz w:val="22"/>
        </w:rPr>
        <w:t>attitudinal </w:t>
      </w:r>
      <w:r>
        <w:rPr>
          <w:rFonts w:ascii="Helvetica"/>
          <w:i/>
          <w:color w:val="A09681"/>
          <w:spacing w:val="-4"/>
          <w:sz w:val="22"/>
        </w:rPr>
        <w:t>frameworks </w:t>
      </w:r>
      <w:r>
        <w:rPr>
          <w:rFonts w:ascii="Helvetica"/>
          <w:i/>
          <w:color w:val="A09681"/>
          <w:sz w:val="22"/>
        </w:rPr>
        <w:t>to support </w:t>
      </w:r>
      <w:r>
        <w:rPr>
          <w:rFonts w:ascii="Helvetica"/>
          <w:i/>
          <w:color w:val="A09681"/>
          <w:spacing w:val="-4"/>
          <w:sz w:val="22"/>
        </w:rPr>
        <w:t>devolving </w:t>
      </w:r>
      <w:r>
        <w:rPr>
          <w:rFonts w:ascii="Helvetica"/>
          <w:i/>
          <w:color w:val="A09681"/>
          <w:spacing w:val="-3"/>
          <w:sz w:val="22"/>
        </w:rPr>
        <w:t>decision-making </w:t>
      </w:r>
      <w:r>
        <w:rPr>
          <w:rFonts w:ascii="Helvetica"/>
          <w:i/>
          <w:color w:val="A09681"/>
          <w:sz w:val="22"/>
        </w:rPr>
        <w:t>to </w:t>
      </w:r>
      <w:r>
        <w:rPr>
          <w:rFonts w:ascii="Helvetica"/>
          <w:i/>
          <w:color w:val="A09681"/>
          <w:spacing w:val="-3"/>
          <w:sz w:val="22"/>
        </w:rPr>
        <w:t>Aboriginal </w:t>
      </w:r>
      <w:r>
        <w:rPr>
          <w:rFonts w:ascii="Helvetica"/>
          <w:i/>
          <w:color w:val="A09681"/>
          <w:spacing w:val="-4"/>
          <w:sz w:val="22"/>
        </w:rPr>
        <w:t>communities?</w:t>
      </w:r>
    </w:p>
    <w:p>
      <w:pPr>
        <w:pStyle w:val="BodyText"/>
        <w:spacing w:line="232" w:lineRule="auto" w:before="172"/>
        <w:ind w:left="293" w:right="254"/>
      </w:pPr>
      <w:r>
        <w:rPr>
          <w:color w:val="231F20"/>
        </w:rPr>
        <w:t>The report builds on existing literature and early learning from the implementation of </w:t>
      </w:r>
      <w:r>
        <w:rPr>
          <w:rFonts w:ascii="Helvetica-LightOblique"/>
          <w:i/>
          <w:color w:val="231F20"/>
        </w:rPr>
        <w:t>OCHRE</w:t>
      </w:r>
      <w:r>
        <w:rPr>
          <w:color w:val="231F20"/>
        </w:rPr>
        <w:t>, and focuses on identifying and shifting the blockages within the public service which are preventing real change in the decision-making dynamics between government and Aboriginal communities.</w:t>
      </w:r>
    </w:p>
    <w:p>
      <w:pPr>
        <w:spacing w:after="0" w:line="232" w:lineRule="auto"/>
        <w:sectPr>
          <w:type w:val="continuous"/>
          <w:pgSz w:w="11910" w:h="16840"/>
          <w:pgMar w:top="1580" w:bottom="280" w:left="740" w:right="640"/>
          <w:cols w:num="2" w:equalWidth="0">
            <w:col w:w="5091" w:space="177"/>
            <w:col w:w="526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7"/>
        </w:rPr>
      </w:pPr>
    </w:p>
    <w:p>
      <w:pPr>
        <w:pStyle w:val="Heading1"/>
      </w:pPr>
      <w:r>
        <w:rPr>
          <w:color w:val="C2B59B"/>
        </w:rPr>
        <w:t>LITERATURE REVIEW</w:t>
      </w:r>
    </w:p>
    <w:p>
      <w:pPr>
        <w:pStyle w:val="BodyText"/>
        <w:rPr>
          <w:rFonts w:ascii="Helvetica"/>
          <w:sz w:val="20"/>
        </w:rPr>
      </w:pPr>
    </w:p>
    <w:p>
      <w:pPr>
        <w:pStyle w:val="BodyText"/>
        <w:spacing w:before="1"/>
        <w:rPr>
          <w:rFonts w:ascii="Helvetica"/>
          <w:sz w:val="25"/>
        </w:rPr>
      </w:pPr>
    </w:p>
    <w:p>
      <w:pPr>
        <w:spacing w:after="0"/>
        <w:rPr>
          <w:rFonts w:ascii="Helvetica"/>
          <w:sz w:val="25"/>
        </w:rPr>
        <w:sectPr>
          <w:headerReference w:type="default" r:id="rId36"/>
          <w:footerReference w:type="default" r:id="rId37"/>
          <w:pgSz w:w="11910" w:h="16840"/>
          <w:pgMar w:header="0" w:footer="558" w:top="0" w:bottom="740" w:left="740" w:right="640"/>
          <w:pgNumType w:start="10"/>
        </w:sectPr>
      </w:pPr>
    </w:p>
    <w:p>
      <w:pPr>
        <w:pStyle w:val="Heading2"/>
        <w:spacing w:before="109"/>
      </w:pPr>
      <w:r>
        <w:rPr/>
        <w:pict>
          <v:group style="position:absolute;margin-left:.0pt;margin-top:0pt;width:595.3pt;height:368.55pt;mso-position-horizontal-relative:page;mso-position-vertical-relative:page;z-index:-71728" coordorigin="0,0" coordsize="11906,7371">
            <v:shape style="position:absolute;left:0;top:1615;width:11906;height:5755" type="#_x0000_t75" stroked="false">
              <v:imagedata r:id="rId31" o:title=""/>
            </v:shape>
            <v:rect style="position:absolute;left:0;top:6803;width:11906;height:567" filled="true" fillcolor="#439fa0" stroked="false">
              <v:fill opacity="41288f" type="solid"/>
            </v:rect>
            <v:rect style="position:absolute;left:0;top:1332;width:4105;height:284" filled="true" fillcolor="#14397f" stroked="false">
              <v:fill type="solid"/>
            </v:rect>
            <v:rect style="position:absolute;left:11111;top:1332;width:341;height:284" filled="true" fillcolor="#e3dad1" stroked="false">
              <v:fill type="solid"/>
            </v:rect>
            <v:rect style="position:absolute;left:4104;top:1332;width:1656;height:284" filled="true" fillcolor="#47a7a8" stroked="false">
              <v:fill type="solid"/>
            </v:rect>
            <v:rect style="position:absolute;left:5748;top:1332;width:218;height:284" filled="true" fillcolor="#e7bb20" stroked="false">
              <v:fill type="solid"/>
            </v:rect>
            <v:rect style="position:absolute;left:11451;top:1332;width:454;height:284" filled="true" fillcolor="#14397f" stroked="false">
              <v:fill type="solid"/>
            </v:rect>
            <v:shape style="position:absolute;left:0;top:0;width:11906;height:1333" type="#_x0000_t75" stroked="false">
              <v:imagedata r:id="rId22" o:title=""/>
            </v:shape>
            <v:rect style="position:absolute;left:0;top:0;width:11906;height:1333" filled="true" fillcolor="#439fa0" stroked="false">
              <v:fill opacity="37355f" type="solid"/>
            </v:rect>
            <v:shape style="position:absolute;left:5966;top:1332;width:5146;height:284" type="#_x0000_t202" filled="true" fillcolor="#14397f" stroked="false">
              <v:textbox inset="0,0,0,0">
                <w:txbxContent>
                  <w:p>
                    <w:pPr>
                      <w:spacing w:before="44"/>
                      <w:ind w:left="3184" w:right="0" w:firstLine="0"/>
                      <w:jc w:val="left"/>
                      <w:rPr>
                        <w:sz w:val="16"/>
                      </w:rPr>
                    </w:pPr>
                    <w:r>
                      <w:rPr>
                        <w:color w:val="FFFFFF"/>
                        <w:sz w:val="16"/>
                      </w:rPr>
                      <w:t>RHETORIC TO REALITY</w:t>
                    </w:r>
                  </w:p>
                </w:txbxContent>
              </v:textbox>
              <v:fill type="solid"/>
              <w10:wrap type="none"/>
            </v:shape>
            <w10:wrap type="none"/>
          </v:group>
        </w:pict>
      </w:r>
      <w:r>
        <w:rPr>
          <w:color w:val="358384"/>
        </w:rPr>
        <w:t>Overview</w:t>
      </w:r>
    </w:p>
    <w:p>
      <w:pPr>
        <w:pStyle w:val="BodyText"/>
        <w:spacing w:line="232" w:lineRule="auto" w:before="170"/>
        <w:ind w:left="280" w:right="38"/>
      </w:pPr>
      <w:r>
        <w:rPr>
          <w:color w:val="231F20"/>
        </w:rPr>
        <w:t>The aim of </w:t>
      </w:r>
      <w:r>
        <w:rPr>
          <w:rFonts w:ascii="Helvetica-LightOblique" w:hAnsi="Helvetica-LightOblique"/>
          <w:i/>
          <w:color w:val="231F20"/>
        </w:rPr>
        <w:t>OCHRE </w:t>
      </w:r>
      <w:r>
        <w:rPr>
          <w:color w:val="231F20"/>
        </w:rPr>
        <w:t>is to “support strong Aboriginal communities in which Aboriginal people actively influence and fully participate in social, economic and cultural life” (NSW Government 2013, p. 5). Specific outcomes include growing the capacity of local</w:t>
      </w:r>
      <w:r>
        <w:rPr>
          <w:color w:val="231F20"/>
          <w:spacing w:val="-21"/>
        </w:rPr>
        <w:t> </w:t>
      </w:r>
      <w:r>
        <w:rPr>
          <w:color w:val="231F20"/>
        </w:rPr>
        <w:t>Aboriginal leaders and communities to drive their own solutions, focusing on “creating opportunities for economic empowerment” and making</w:t>
      </w:r>
    </w:p>
    <w:p>
      <w:pPr>
        <w:pStyle w:val="BodyText"/>
        <w:spacing w:line="235" w:lineRule="auto" w:before="8"/>
        <w:ind w:left="280" w:right="628"/>
      </w:pPr>
      <w:r>
        <w:rPr>
          <w:color w:val="231F20"/>
        </w:rPr>
        <w:t>“both government and communities more accountable for the money they spend”.</w:t>
      </w:r>
    </w:p>
    <w:p>
      <w:pPr>
        <w:pStyle w:val="BodyText"/>
        <w:spacing w:line="235" w:lineRule="auto" w:before="168"/>
        <w:ind w:left="280" w:right="46"/>
      </w:pPr>
      <w:r>
        <w:rPr>
          <w:color w:val="231F20"/>
        </w:rPr>
        <w:t>The merits of involving Indigenous communities in decision-making processes to improve public policy outcomes are not disputed. This literature review focuses on the</w:t>
      </w:r>
      <w:r>
        <w:rPr>
          <w:color w:val="231F20"/>
          <w:spacing w:val="-7"/>
        </w:rPr>
        <w:t> </w:t>
      </w:r>
      <w:r>
        <w:rPr>
          <w:color w:val="231F20"/>
        </w:rPr>
        <w:t>effectiveness</w:t>
      </w:r>
    </w:p>
    <w:p>
      <w:pPr>
        <w:pStyle w:val="BodyText"/>
        <w:spacing w:line="235" w:lineRule="auto"/>
        <w:ind w:left="280" w:right="44"/>
      </w:pPr>
      <w:r>
        <w:rPr>
          <w:color w:val="231F20"/>
        </w:rPr>
        <w:t>of approaches governments have taken to collaborate with Indigenous communities, and in particular how both institutional (structural) and individual (attitudinal) frameworks can affect the successful devolution of decision- making to Indigenous communities. The review</w:t>
      </w:r>
    </w:p>
    <w:p>
      <w:pPr>
        <w:pStyle w:val="BodyText"/>
        <w:spacing w:line="235" w:lineRule="auto" w:before="105"/>
        <w:ind w:left="280" w:right="577"/>
      </w:pPr>
      <w:r>
        <w:rPr/>
        <w:br w:type="column"/>
      </w:r>
      <w:r>
        <w:rPr>
          <w:color w:val="231F20"/>
        </w:rPr>
        <w:t>identifies a gap in the broad literature on practical, tested strategies to shift structural and attitudinal frameworks to improve public policy outcomes, particularly in the context of Australian Aboriginal affairs.</w:t>
      </w:r>
    </w:p>
    <w:p>
      <w:pPr>
        <w:pStyle w:val="BodyText"/>
        <w:spacing w:before="3"/>
        <w:rPr>
          <w:sz w:val="32"/>
        </w:rPr>
      </w:pPr>
    </w:p>
    <w:p>
      <w:pPr>
        <w:pStyle w:val="Heading2"/>
        <w:ind w:right="876"/>
        <w:jc w:val="both"/>
      </w:pPr>
      <w:r>
        <w:rPr>
          <w:color w:val="358384"/>
        </w:rPr>
        <w:t>Collaboration, partnership,</w:t>
      </w:r>
      <w:r>
        <w:rPr>
          <w:color w:val="358384"/>
          <w:spacing w:val="-30"/>
        </w:rPr>
        <w:t> </w:t>
      </w:r>
      <w:r>
        <w:rPr>
          <w:color w:val="358384"/>
        </w:rPr>
        <w:t>devolved decision-making, co-management </w:t>
      </w:r>
      <w:r>
        <w:rPr>
          <w:color w:val="358384"/>
          <w:spacing w:val="-16"/>
        </w:rPr>
        <w:t>… </w:t>
      </w:r>
      <w:r>
        <w:rPr>
          <w:color w:val="358384"/>
        </w:rPr>
        <w:t>what does it all mean?</w:t>
      </w:r>
    </w:p>
    <w:p>
      <w:pPr>
        <w:pStyle w:val="BodyText"/>
        <w:spacing w:line="235" w:lineRule="auto" w:before="171"/>
        <w:ind w:left="280" w:right="674"/>
      </w:pPr>
      <w:r>
        <w:rPr>
          <w:color w:val="231F20"/>
        </w:rPr>
        <w:t>Researchers and organisations that advise on collaboration have identified a continuum of different types. For example, Nous Group (2013) describes a continuum with six forms of collaboration progressively increasing in</w:t>
      </w:r>
    </w:p>
    <w:p>
      <w:pPr>
        <w:pStyle w:val="BodyText"/>
        <w:spacing w:line="235" w:lineRule="auto"/>
        <w:ind w:left="280" w:right="213"/>
      </w:pPr>
      <w:r>
        <w:rPr>
          <w:color w:val="231F20"/>
        </w:rPr>
        <w:t>difficulty and resource intensity, shown in Figure 1 below. The NSW Public Service Commission (2014) describes an identical model.</w:t>
      </w:r>
    </w:p>
    <w:p>
      <w:pPr>
        <w:pStyle w:val="BodyText"/>
        <w:spacing w:line="235" w:lineRule="auto" w:before="162"/>
        <w:ind w:left="280" w:right="213"/>
      </w:pPr>
      <w:r>
        <w:rPr>
          <w:color w:val="231F20"/>
        </w:rPr>
        <w:t>Similarly, the International Association for Public Participation (IAPP 2014; Figure 2) describes</w:t>
      </w:r>
    </w:p>
    <w:p>
      <w:pPr>
        <w:pStyle w:val="BodyText"/>
        <w:spacing w:line="235" w:lineRule="auto"/>
        <w:ind w:left="280" w:right="748"/>
      </w:pPr>
      <w:r>
        <w:rPr>
          <w:color w:val="231F20"/>
        </w:rPr>
        <w:t>a continuum which features five levels of collaboration, with increasing impact on the</w:t>
      </w:r>
    </w:p>
    <w:p>
      <w:pPr>
        <w:spacing w:after="0" w:line="235" w:lineRule="auto"/>
        <w:sectPr>
          <w:type w:val="continuous"/>
          <w:pgSz w:w="11910" w:h="16840"/>
          <w:pgMar w:top="1580" w:bottom="280" w:left="740" w:right="640"/>
          <w:cols w:num="2" w:equalWidth="0">
            <w:col w:w="5000" w:space="202"/>
            <w:col w:w="5328"/>
          </w:cols>
        </w:sectPr>
      </w:pPr>
    </w:p>
    <w:p>
      <w:pPr>
        <w:pStyle w:val="BodyText"/>
        <w:rPr>
          <w:sz w:val="20"/>
        </w:rPr>
      </w:pPr>
    </w:p>
    <w:p>
      <w:pPr>
        <w:pStyle w:val="BodyText"/>
        <w:rPr>
          <w:sz w:val="20"/>
        </w:rPr>
      </w:pPr>
    </w:p>
    <w:p>
      <w:pPr>
        <w:pStyle w:val="BodyText"/>
        <w:rPr>
          <w:sz w:val="20"/>
        </w:rPr>
      </w:pPr>
    </w:p>
    <w:p>
      <w:pPr>
        <w:pStyle w:val="BodyText"/>
        <w:spacing w:before="6"/>
        <w:rPr>
          <w:sz w:val="18"/>
        </w:rPr>
      </w:pPr>
    </w:p>
    <w:p>
      <w:pPr>
        <w:spacing w:before="101"/>
        <w:ind w:left="206" w:right="0" w:firstLine="0"/>
        <w:jc w:val="left"/>
        <w:rPr>
          <w:rFonts w:ascii="Helvetica-LightOblique"/>
          <w:i/>
          <w:sz w:val="22"/>
        </w:rPr>
      </w:pPr>
      <w:r>
        <w:rPr/>
        <w:pict>
          <v:group style="position:absolute;margin-left:47.304699pt;margin-top:25.049822pt;width:496.95pt;height:58.45pt;mso-position-horizontal-relative:page;mso-position-vertical-relative:paragraph;z-index:-280;mso-wrap-distance-left:0;mso-wrap-distance-right:0" coordorigin="946,501" coordsize="9939,1169">
            <v:shape style="position:absolute;left:1025;top:800;width:9397;height:482" type="#_x0000_t75" stroked="false">
              <v:imagedata r:id="rId39" o:title=""/>
            </v:shape>
            <v:rect style="position:absolute;left:1025;top:800;width:9397;height:482" filled="false" stroked="true" strokeweight=".5pt" strokecolor="#47a7a8">
              <v:stroke dashstyle="solid"/>
            </v:rect>
            <v:shape style="position:absolute;left:10346;top:501;width:539;height:1081" coordorigin="10346,501" coordsize="539,1081" path="m10346,501l10346,1581,10885,1043,10346,501xe" filled="true" fillcolor="#439fa0" stroked="false">
              <v:path arrowok="t"/>
              <v:fill type="solid"/>
            </v:shape>
            <v:shape style="position:absolute;left:1394;top:934;width:215;height:215" type="#_x0000_t75" stroked="false">
              <v:imagedata r:id="rId40" o:title=""/>
            </v:shape>
            <v:shape style="position:absolute;left:3021;top:934;width:215;height:215" type="#_x0000_t75" stroked="false">
              <v:imagedata r:id="rId41" o:title=""/>
            </v:shape>
            <v:shape style="position:absolute;left:4647;top:934;width:215;height:215" type="#_x0000_t75" stroked="false">
              <v:imagedata r:id="rId41" o:title=""/>
            </v:shape>
            <v:shape style="position:absolute;left:6274;top:934;width:215;height:215" type="#_x0000_t75" stroked="false">
              <v:imagedata r:id="rId41" o:title=""/>
            </v:shape>
            <v:shape style="position:absolute;left:7901;top:934;width:215;height:215" type="#_x0000_t75" stroked="false">
              <v:imagedata r:id="rId40" o:title=""/>
            </v:shape>
            <v:shape style="position:absolute;left:9527;top:934;width:215;height:215" type="#_x0000_t75" stroked="false">
              <v:imagedata r:id="rId40" o:title=""/>
            </v:shape>
            <v:shape style="position:absolute;left:946;top:558;width:1132;height:240" type="#_x0000_t202" filled="false" stroked="false">
              <v:textbox inset="0,0,0,0">
                <w:txbxContent>
                  <w:p>
                    <w:pPr>
                      <w:spacing w:line="239" w:lineRule="exact" w:before="0"/>
                      <w:ind w:left="0" w:right="0" w:firstLine="0"/>
                      <w:jc w:val="left"/>
                      <w:rPr>
                        <w:sz w:val="20"/>
                      </w:rPr>
                    </w:pPr>
                    <w:r>
                      <w:rPr>
                        <w:color w:val="231F20"/>
                        <w:sz w:val="20"/>
                      </w:rPr>
                      <w:t>Consultation</w:t>
                    </w:r>
                  </w:p>
                </w:txbxContent>
              </v:textbox>
              <w10:wrap type="none"/>
            </v:shape>
            <v:shape style="position:absolute;left:4188;top:558;width:1162;height:240" type="#_x0000_t202" filled="false" stroked="false">
              <v:textbox inset="0,0,0,0">
                <w:txbxContent>
                  <w:p>
                    <w:pPr>
                      <w:spacing w:line="239" w:lineRule="exact" w:before="0"/>
                      <w:ind w:left="0" w:right="0" w:firstLine="0"/>
                      <w:jc w:val="left"/>
                      <w:rPr>
                        <w:sz w:val="20"/>
                      </w:rPr>
                    </w:pPr>
                    <w:r>
                      <w:rPr>
                        <w:color w:val="231F20"/>
                        <w:sz w:val="20"/>
                      </w:rPr>
                      <w:t>Coordination</w:t>
                    </w:r>
                  </w:p>
                </w:txbxContent>
              </v:textbox>
              <w10:wrap type="none"/>
            </v:shape>
            <v:shape style="position:absolute;left:7658;top:564;width:732;height:240" type="#_x0000_t202" filled="false" stroked="false">
              <v:textbox inset="0,0,0,0">
                <w:txbxContent>
                  <w:p>
                    <w:pPr>
                      <w:spacing w:line="239" w:lineRule="exact" w:before="0"/>
                      <w:ind w:left="0" w:right="0" w:firstLine="0"/>
                      <w:jc w:val="left"/>
                      <w:rPr>
                        <w:sz w:val="20"/>
                      </w:rPr>
                    </w:pPr>
                    <w:r>
                      <w:rPr>
                        <w:color w:val="231F20"/>
                        <w:sz w:val="20"/>
                      </w:rPr>
                      <w:t>Alliance</w:t>
                    </w:r>
                  </w:p>
                </w:txbxContent>
              </v:textbox>
              <w10:wrap type="none"/>
            </v:shape>
            <v:shape style="position:absolute;left:2627;top:1430;width:1032;height:240" type="#_x0000_t202" filled="false" stroked="false">
              <v:textbox inset="0,0,0,0">
                <w:txbxContent>
                  <w:p>
                    <w:pPr>
                      <w:spacing w:line="239" w:lineRule="exact" w:before="0"/>
                      <w:ind w:left="0" w:right="0" w:firstLine="0"/>
                      <w:jc w:val="left"/>
                      <w:rPr>
                        <w:sz w:val="20"/>
                      </w:rPr>
                    </w:pPr>
                    <w:r>
                      <w:rPr>
                        <w:color w:val="231F20"/>
                        <w:sz w:val="20"/>
                      </w:rPr>
                      <w:t>Networking</w:t>
                    </w:r>
                  </w:p>
                </w:txbxContent>
              </v:textbox>
              <w10:wrap type="none"/>
            </v:shape>
            <v:shape style="position:absolute;left:5837;top:1430;width:1121;height:240" type="#_x0000_t202" filled="false" stroked="false">
              <v:textbox inset="0,0,0,0">
                <w:txbxContent>
                  <w:p>
                    <w:pPr>
                      <w:spacing w:line="239" w:lineRule="exact" w:before="0"/>
                      <w:ind w:left="0" w:right="0" w:firstLine="0"/>
                      <w:jc w:val="left"/>
                      <w:rPr>
                        <w:sz w:val="20"/>
                      </w:rPr>
                    </w:pPr>
                    <w:r>
                      <w:rPr>
                        <w:color w:val="231F20"/>
                        <w:sz w:val="20"/>
                      </w:rPr>
                      <w:t>Cooperation</w:t>
                    </w:r>
                  </w:p>
                </w:txbxContent>
              </v:textbox>
              <w10:wrap type="none"/>
            </v:shape>
            <v:shape style="position:absolute;left:9120;top:1430;width:1046;height:240" type="#_x0000_t202" filled="false" stroked="false">
              <v:textbox inset="0,0,0,0">
                <w:txbxContent>
                  <w:p>
                    <w:pPr>
                      <w:spacing w:line="239" w:lineRule="exact" w:before="0"/>
                      <w:ind w:left="0" w:right="0" w:firstLine="0"/>
                      <w:jc w:val="left"/>
                      <w:rPr>
                        <w:sz w:val="20"/>
                      </w:rPr>
                    </w:pPr>
                    <w:r>
                      <w:rPr>
                        <w:color w:val="231F20"/>
                        <w:sz w:val="20"/>
                      </w:rPr>
                      <w:t>Partnership</w:t>
                    </w:r>
                  </w:p>
                </w:txbxContent>
              </v:textbox>
              <w10:wrap type="none"/>
            </v:shape>
            <w10:wrap type="topAndBottom"/>
          </v:group>
        </w:pict>
      </w:r>
      <w:r>
        <w:rPr>
          <w:rFonts w:ascii="Helvetica-LightOblique"/>
          <w:i/>
          <w:color w:val="439FA0"/>
          <w:sz w:val="22"/>
        </w:rPr>
        <w:t>Figure 1: Nous Group continuum of collaboration</w:t>
      </w:r>
    </w:p>
    <w:p>
      <w:pPr>
        <w:pStyle w:val="BodyText"/>
        <w:spacing w:before="2"/>
        <w:rPr>
          <w:rFonts w:ascii="Helvetica-LightOblique"/>
          <w:i/>
          <w:sz w:val="6"/>
        </w:rPr>
      </w:pPr>
    </w:p>
    <w:p>
      <w:pPr>
        <w:pStyle w:val="BodyText"/>
        <w:spacing w:line="194" w:lineRule="exact"/>
        <w:ind w:left="260"/>
        <w:rPr>
          <w:rFonts w:ascii="Helvetica-LightOblique"/>
          <w:sz w:val="19"/>
        </w:rPr>
      </w:pPr>
      <w:r>
        <w:rPr>
          <w:rFonts w:ascii="Helvetica-LightOblique"/>
          <w:position w:val="-3"/>
          <w:sz w:val="19"/>
        </w:rPr>
        <w:pict>
          <v:group style="width:493.25pt;height:9.75pt;mso-position-horizontal-relative:char;mso-position-vertical-relative:line" coordorigin="0,0" coordsize="9865,195">
            <v:line style="position:absolute" from="0,107" to="9763,107" stroked="true" strokeweight="2pt" strokecolor="#14397f">
              <v:stroke dashstyle="solid"/>
            </v:line>
            <v:shape style="position:absolute;left:9767;top:0;width:97;height:195" coordorigin="9768,0" coordsize="97,195" path="m9768,0l9768,194,9865,98,9768,0xe" filled="true" fillcolor="#14397f" stroked="false">
              <v:path arrowok="t"/>
              <v:fill type="solid"/>
            </v:shape>
          </v:group>
        </w:pict>
      </w:r>
      <w:r>
        <w:rPr>
          <w:rFonts w:ascii="Helvetica-LightOblique"/>
          <w:position w:val="-3"/>
          <w:sz w:val="19"/>
        </w:rPr>
      </w:r>
    </w:p>
    <w:p>
      <w:pPr>
        <w:pStyle w:val="BodyText"/>
        <w:spacing w:before="27"/>
        <w:ind w:left="2971"/>
      </w:pPr>
      <w:r>
        <w:rPr>
          <w:color w:val="14397F"/>
        </w:rPr>
        <w:t>Increasing difficulty and resource intensity</w:t>
      </w:r>
    </w:p>
    <w:p>
      <w:pPr>
        <w:pStyle w:val="BodyText"/>
        <w:spacing w:before="1"/>
        <w:rPr>
          <w:sz w:val="15"/>
        </w:rPr>
      </w:pPr>
    </w:p>
    <w:p>
      <w:pPr>
        <w:spacing w:after="0"/>
        <w:rPr>
          <w:sz w:val="15"/>
        </w:rPr>
        <w:sectPr>
          <w:headerReference w:type="default" r:id="rId38"/>
          <w:pgSz w:w="11910" w:h="16840"/>
          <w:pgMar w:header="0" w:footer="558" w:top="1600" w:bottom="740" w:left="740" w:right="640"/>
        </w:sectPr>
      </w:pPr>
    </w:p>
    <w:p>
      <w:pPr>
        <w:pStyle w:val="BodyText"/>
        <w:spacing w:line="235" w:lineRule="auto" w:before="104"/>
        <w:ind w:left="280"/>
      </w:pPr>
      <w:r>
        <w:rPr>
          <w:color w:val="231F20"/>
        </w:rPr>
        <w:t>decision and the promise that the organisation is making to the public.</w:t>
      </w:r>
    </w:p>
    <w:p>
      <w:pPr>
        <w:pStyle w:val="BodyText"/>
        <w:spacing w:line="235" w:lineRule="auto" w:before="168"/>
        <w:ind w:left="280" w:right="153"/>
      </w:pPr>
      <w:r>
        <w:rPr>
          <w:color w:val="231F20"/>
        </w:rPr>
        <w:t>The further an organisation moves along </w:t>
      </w:r>
      <w:r>
        <w:rPr>
          <w:color w:val="231F20"/>
          <w:spacing w:val="-2"/>
        </w:rPr>
        <w:t>the </w:t>
      </w:r>
      <w:r>
        <w:rPr>
          <w:color w:val="231F20"/>
        </w:rPr>
        <w:t>spectrum, the </w:t>
      </w:r>
      <w:r>
        <w:rPr>
          <w:color w:val="231F20"/>
          <w:spacing w:val="-3"/>
        </w:rPr>
        <w:t>more </w:t>
      </w:r>
      <w:r>
        <w:rPr>
          <w:color w:val="231F20"/>
        </w:rPr>
        <w:t>power and </w:t>
      </w:r>
      <w:r>
        <w:rPr>
          <w:color w:val="231F20"/>
          <w:spacing w:val="-3"/>
        </w:rPr>
        <w:t>control </w:t>
      </w:r>
      <w:r>
        <w:rPr>
          <w:color w:val="231F20"/>
        </w:rPr>
        <w:t>it is giving</w:t>
      </w:r>
      <w:r>
        <w:rPr>
          <w:color w:val="231F20"/>
          <w:spacing w:val="-10"/>
        </w:rPr>
        <w:t> </w:t>
      </w:r>
      <w:r>
        <w:rPr>
          <w:color w:val="231F20"/>
        </w:rPr>
        <w:t>up</w:t>
      </w:r>
      <w:r>
        <w:rPr>
          <w:color w:val="231F20"/>
          <w:spacing w:val="-9"/>
        </w:rPr>
        <w:t> </w:t>
      </w:r>
      <w:r>
        <w:rPr>
          <w:color w:val="231F20"/>
        </w:rPr>
        <w:t>or</w:t>
      </w:r>
      <w:r>
        <w:rPr>
          <w:color w:val="231F20"/>
          <w:spacing w:val="-10"/>
        </w:rPr>
        <w:t> </w:t>
      </w:r>
      <w:r>
        <w:rPr>
          <w:color w:val="231F20"/>
        </w:rPr>
        <w:t>sharing</w:t>
      </w:r>
      <w:r>
        <w:rPr>
          <w:color w:val="231F20"/>
          <w:spacing w:val="-9"/>
        </w:rPr>
        <w:t> </w:t>
      </w:r>
      <w:r>
        <w:rPr>
          <w:color w:val="231F20"/>
        </w:rPr>
        <w:t>with</w:t>
      </w:r>
      <w:r>
        <w:rPr>
          <w:color w:val="231F20"/>
          <w:spacing w:val="-10"/>
        </w:rPr>
        <w:t> </w:t>
      </w:r>
      <w:r>
        <w:rPr>
          <w:color w:val="231F20"/>
        </w:rPr>
        <w:t>the</w:t>
      </w:r>
      <w:r>
        <w:rPr>
          <w:color w:val="231F20"/>
          <w:spacing w:val="-9"/>
        </w:rPr>
        <w:t> </w:t>
      </w:r>
      <w:r>
        <w:rPr>
          <w:color w:val="231F20"/>
        </w:rPr>
        <w:t>party</w:t>
      </w:r>
      <w:r>
        <w:rPr>
          <w:color w:val="231F20"/>
          <w:spacing w:val="-10"/>
        </w:rPr>
        <w:t> </w:t>
      </w:r>
      <w:r>
        <w:rPr>
          <w:color w:val="231F20"/>
        </w:rPr>
        <w:t>with</w:t>
      </w:r>
      <w:r>
        <w:rPr>
          <w:color w:val="231F20"/>
          <w:spacing w:val="-9"/>
        </w:rPr>
        <w:t> </w:t>
      </w:r>
      <w:r>
        <w:rPr>
          <w:color w:val="231F20"/>
        </w:rPr>
        <w:t>which it</w:t>
      </w:r>
      <w:r>
        <w:rPr>
          <w:color w:val="231F20"/>
          <w:spacing w:val="-11"/>
        </w:rPr>
        <w:t> </w:t>
      </w:r>
      <w:r>
        <w:rPr>
          <w:color w:val="231F20"/>
        </w:rPr>
        <w:t>is</w:t>
      </w:r>
      <w:r>
        <w:rPr>
          <w:color w:val="231F20"/>
          <w:spacing w:val="-10"/>
        </w:rPr>
        <w:t> </w:t>
      </w:r>
      <w:r>
        <w:rPr>
          <w:color w:val="231F20"/>
        </w:rPr>
        <w:t>collaborating.</w:t>
      </w:r>
      <w:r>
        <w:rPr>
          <w:color w:val="231F20"/>
          <w:spacing w:val="-11"/>
        </w:rPr>
        <w:t> </w:t>
      </w:r>
      <w:r>
        <w:rPr>
          <w:color w:val="231F20"/>
        </w:rPr>
        <w:t>In</w:t>
      </w:r>
      <w:r>
        <w:rPr>
          <w:color w:val="231F20"/>
          <w:spacing w:val="-10"/>
        </w:rPr>
        <w:t> </w:t>
      </w:r>
      <w:r>
        <w:rPr>
          <w:color w:val="231F20"/>
          <w:spacing w:val="-3"/>
        </w:rPr>
        <w:t>relation</w:t>
      </w:r>
      <w:r>
        <w:rPr>
          <w:color w:val="231F20"/>
          <w:spacing w:val="-11"/>
        </w:rPr>
        <w:t> </w:t>
      </w:r>
      <w:r>
        <w:rPr>
          <w:color w:val="231F20"/>
        </w:rPr>
        <w:t>to</w:t>
      </w:r>
      <w:r>
        <w:rPr>
          <w:color w:val="231F20"/>
          <w:spacing w:val="-10"/>
        </w:rPr>
        <w:t> </w:t>
      </w:r>
      <w:r>
        <w:rPr>
          <w:color w:val="231F20"/>
        </w:rPr>
        <w:t>its</w:t>
      </w:r>
      <w:r>
        <w:rPr>
          <w:color w:val="231F20"/>
          <w:spacing w:val="-10"/>
        </w:rPr>
        <w:t> </w:t>
      </w:r>
      <w:r>
        <w:rPr>
          <w:color w:val="231F20"/>
        </w:rPr>
        <w:t>continuum,</w:t>
      </w:r>
    </w:p>
    <w:p>
      <w:pPr>
        <w:pStyle w:val="BodyText"/>
        <w:spacing w:line="235" w:lineRule="auto"/>
        <w:ind w:left="280"/>
      </w:pPr>
      <w:r>
        <w:rPr>
          <w:color w:val="231F20"/>
        </w:rPr>
        <w:t>Nous </w:t>
      </w:r>
      <w:r>
        <w:rPr>
          <w:color w:val="231F20"/>
          <w:spacing w:val="-3"/>
        </w:rPr>
        <w:t>Group </w:t>
      </w:r>
      <w:r>
        <w:rPr>
          <w:color w:val="231F20"/>
        </w:rPr>
        <w:t>(2013, p. 9) notes that, “[at] </w:t>
      </w:r>
      <w:r>
        <w:rPr>
          <w:color w:val="231F20"/>
          <w:spacing w:val="-2"/>
        </w:rPr>
        <w:t>the </w:t>
      </w:r>
      <w:r>
        <w:rPr>
          <w:color w:val="231F20"/>
        </w:rPr>
        <w:t>right</w:t>
      </w:r>
      <w:r>
        <w:rPr>
          <w:color w:val="231F20"/>
          <w:spacing w:val="-10"/>
        </w:rPr>
        <w:t> </w:t>
      </w:r>
      <w:r>
        <w:rPr>
          <w:color w:val="231F20"/>
        </w:rPr>
        <w:t>end</w:t>
      </w:r>
      <w:r>
        <w:rPr>
          <w:color w:val="231F20"/>
          <w:spacing w:val="-10"/>
        </w:rPr>
        <w:t> </w:t>
      </w:r>
      <w:r>
        <w:rPr>
          <w:color w:val="231F20"/>
        </w:rPr>
        <w:t>the</w:t>
      </w:r>
      <w:r>
        <w:rPr>
          <w:color w:val="231F20"/>
          <w:spacing w:val="-10"/>
        </w:rPr>
        <w:t> </w:t>
      </w:r>
      <w:r>
        <w:rPr>
          <w:color w:val="231F20"/>
        </w:rPr>
        <w:t>organisations,</w:t>
      </w:r>
      <w:r>
        <w:rPr>
          <w:color w:val="231F20"/>
          <w:spacing w:val="-9"/>
        </w:rPr>
        <w:t> </w:t>
      </w:r>
      <w:r>
        <w:rPr>
          <w:color w:val="231F20"/>
        </w:rPr>
        <w:t>at</w:t>
      </w:r>
      <w:r>
        <w:rPr>
          <w:color w:val="231F20"/>
          <w:spacing w:val="-10"/>
        </w:rPr>
        <w:t> </w:t>
      </w:r>
      <w:r>
        <w:rPr>
          <w:color w:val="231F20"/>
        </w:rPr>
        <w:t>least</w:t>
      </w:r>
      <w:r>
        <w:rPr>
          <w:color w:val="231F20"/>
          <w:spacing w:val="-10"/>
        </w:rPr>
        <w:t> </w:t>
      </w:r>
      <w:r>
        <w:rPr>
          <w:color w:val="231F20"/>
        </w:rPr>
        <w:t>in</w:t>
      </w:r>
      <w:r>
        <w:rPr>
          <w:color w:val="231F20"/>
          <w:spacing w:val="-9"/>
        </w:rPr>
        <w:t> </w:t>
      </w:r>
      <w:r>
        <w:rPr>
          <w:color w:val="231F20"/>
        </w:rPr>
        <w:t>one</w:t>
      </w:r>
      <w:r>
        <w:rPr>
          <w:color w:val="231F20"/>
          <w:spacing w:val="-10"/>
        </w:rPr>
        <w:t> </w:t>
      </w:r>
      <w:r>
        <w:rPr>
          <w:color w:val="231F20"/>
          <w:spacing w:val="-3"/>
        </w:rPr>
        <w:t>area </w:t>
      </w:r>
      <w:r>
        <w:rPr>
          <w:color w:val="231F20"/>
        </w:rPr>
        <w:t>of their operations, have </w:t>
      </w:r>
      <w:r>
        <w:rPr>
          <w:color w:val="231F20"/>
          <w:spacing w:val="-3"/>
        </w:rPr>
        <w:t>effectively</w:t>
      </w:r>
      <w:r>
        <w:rPr>
          <w:color w:val="231F20"/>
          <w:spacing w:val="-40"/>
        </w:rPr>
        <w:t> </w:t>
      </w:r>
      <w:r>
        <w:rPr>
          <w:color w:val="231F20"/>
        </w:rPr>
        <w:t>‘merged’.</w:t>
      </w:r>
    </w:p>
    <w:p>
      <w:pPr>
        <w:pStyle w:val="BodyText"/>
        <w:spacing w:line="235" w:lineRule="auto"/>
        <w:ind w:left="280" w:right="48"/>
      </w:pPr>
      <w:r>
        <w:rPr>
          <w:color w:val="231F20"/>
        </w:rPr>
        <w:t>They have a common mission, joint authority and control and share risk, resources and benefits.” The furthest right side of the IAPP spectrum takes this a step further, as it places</w:t>
      </w:r>
    </w:p>
    <w:p>
      <w:pPr>
        <w:pStyle w:val="BodyText"/>
        <w:spacing w:line="235" w:lineRule="auto" w:before="104"/>
        <w:ind w:left="280" w:right="348"/>
      </w:pPr>
      <w:r>
        <w:rPr/>
        <w:br w:type="column"/>
      </w:r>
      <w:r>
        <w:rPr>
          <w:color w:val="231F20"/>
        </w:rPr>
        <w:t>the decision-making in the hands of others, and is true devolved decision-making.</w:t>
      </w:r>
    </w:p>
    <w:p>
      <w:pPr>
        <w:pStyle w:val="BodyText"/>
        <w:spacing w:line="235" w:lineRule="auto" w:before="168"/>
        <w:ind w:left="280" w:right="490"/>
      </w:pPr>
      <w:r>
        <w:rPr>
          <w:color w:val="231F20"/>
        </w:rPr>
        <w:t>Devolved decision-making generally </w:t>
      </w:r>
      <w:r>
        <w:rPr>
          <w:color w:val="231F20"/>
          <w:spacing w:val="-3"/>
        </w:rPr>
        <w:t>refers </w:t>
      </w:r>
      <w:r>
        <w:rPr>
          <w:color w:val="231F20"/>
        </w:rPr>
        <w:t>to the delegating or </w:t>
      </w:r>
      <w:r>
        <w:rPr>
          <w:color w:val="231F20"/>
          <w:spacing w:val="-3"/>
        </w:rPr>
        <w:t>relinquishing </w:t>
      </w:r>
      <w:r>
        <w:rPr>
          <w:color w:val="231F20"/>
        </w:rPr>
        <w:t>of </w:t>
      </w:r>
      <w:r>
        <w:rPr>
          <w:color w:val="231F20"/>
          <w:spacing w:val="-3"/>
        </w:rPr>
        <w:t>control </w:t>
      </w:r>
      <w:r>
        <w:rPr>
          <w:color w:val="231F20"/>
        </w:rPr>
        <w:t>or authority by one party to another </w:t>
      </w:r>
      <w:r>
        <w:rPr>
          <w:color w:val="231F20"/>
          <w:spacing w:val="-5"/>
        </w:rPr>
        <w:t>party. </w:t>
      </w:r>
      <w:r>
        <w:rPr>
          <w:color w:val="231F20"/>
          <w:spacing w:val="-2"/>
        </w:rPr>
        <w:t>The </w:t>
      </w:r>
      <w:r>
        <w:rPr>
          <w:color w:val="231F20"/>
          <w:spacing w:val="-3"/>
        </w:rPr>
        <w:t>literature</w:t>
      </w:r>
      <w:r>
        <w:rPr>
          <w:color w:val="231F20"/>
          <w:spacing w:val="-18"/>
        </w:rPr>
        <w:t> </w:t>
      </w:r>
      <w:r>
        <w:rPr>
          <w:color w:val="231F20"/>
        </w:rPr>
        <w:t>discusses</w:t>
      </w:r>
      <w:r>
        <w:rPr>
          <w:color w:val="231F20"/>
          <w:spacing w:val="-17"/>
        </w:rPr>
        <w:t> </w:t>
      </w:r>
      <w:r>
        <w:rPr>
          <w:color w:val="231F20"/>
        </w:rPr>
        <w:t>devolving</w:t>
      </w:r>
      <w:r>
        <w:rPr>
          <w:color w:val="231F20"/>
          <w:spacing w:val="-17"/>
        </w:rPr>
        <w:t> </w:t>
      </w:r>
      <w:r>
        <w:rPr>
          <w:color w:val="231F20"/>
        </w:rPr>
        <w:t>decision-making both to parties within an organisation and to parties external to it (Astill 1998). Devolved decision-making is also sometimes</w:t>
      </w:r>
      <w:r>
        <w:rPr>
          <w:color w:val="231F20"/>
          <w:spacing w:val="-33"/>
        </w:rPr>
        <w:t> </w:t>
      </w:r>
      <w:r>
        <w:rPr>
          <w:color w:val="231F20"/>
          <w:spacing w:val="-3"/>
        </w:rPr>
        <w:t>referred</w:t>
      </w:r>
    </w:p>
    <w:p>
      <w:pPr>
        <w:pStyle w:val="BodyText"/>
        <w:spacing w:line="235" w:lineRule="auto"/>
        <w:ind w:left="280" w:right="339"/>
      </w:pPr>
      <w:r>
        <w:rPr>
          <w:color w:val="231F20"/>
        </w:rPr>
        <w:t>to as decentralisation, although some authors argue</w:t>
      </w:r>
      <w:r>
        <w:rPr>
          <w:color w:val="231F20"/>
          <w:spacing w:val="-12"/>
        </w:rPr>
        <w:t> </w:t>
      </w:r>
      <w:r>
        <w:rPr>
          <w:color w:val="231F20"/>
        </w:rPr>
        <w:t>that</w:t>
      </w:r>
      <w:r>
        <w:rPr>
          <w:color w:val="231F20"/>
          <w:spacing w:val="-11"/>
        </w:rPr>
        <w:t> </w:t>
      </w:r>
      <w:r>
        <w:rPr>
          <w:color w:val="231F20"/>
        </w:rPr>
        <w:t>decentralisation</w:t>
      </w:r>
      <w:r>
        <w:rPr>
          <w:color w:val="231F20"/>
          <w:spacing w:val="-12"/>
        </w:rPr>
        <w:t> </w:t>
      </w:r>
      <w:r>
        <w:rPr>
          <w:color w:val="231F20"/>
        </w:rPr>
        <w:t>is</w:t>
      </w:r>
      <w:r>
        <w:rPr>
          <w:color w:val="231F20"/>
          <w:spacing w:val="-11"/>
        </w:rPr>
        <w:t> </w:t>
      </w:r>
      <w:r>
        <w:rPr>
          <w:color w:val="231F20"/>
        </w:rPr>
        <w:t>a</w:t>
      </w:r>
      <w:r>
        <w:rPr>
          <w:color w:val="231F20"/>
          <w:spacing w:val="-11"/>
        </w:rPr>
        <w:t> </w:t>
      </w:r>
      <w:r>
        <w:rPr>
          <w:color w:val="231F20"/>
          <w:spacing w:val="-3"/>
        </w:rPr>
        <w:t>different</w:t>
      </w:r>
      <w:r>
        <w:rPr>
          <w:color w:val="231F20"/>
          <w:spacing w:val="-12"/>
        </w:rPr>
        <w:t> </w:t>
      </w:r>
      <w:r>
        <w:rPr>
          <w:color w:val="231F20"/>
        </w:rPr>
        <w:t>concept </w:t>
      </w:r>
      <w:r>
        <w:rPr>
          <w:color w:val="231F20"/>
          <w:spacing w:val="-3"/>
        </w:rPr>
        <w:t>(Cascon-Pereira </w:t>
      </w:r>
      <w:r>
        <w:rPr>
          <w:color w:val="231F20"/>
        </w:rPr>
        <w:t>2006). For the purposes of this </w:t>
      </w:r>
      <w:r>
        <w:rPr>
          <w:color w:val="231F20"/>
          <w:spacing w:val="-5"/>
        </w:rPr>
        <w:t>paper, </w:t>
      </w:r>
      <w:r>
        <w:rPr>
          <w:color w:val="231F20"/>
        </w:rPr>
        <w:t>we define devolved</w:t>
      </w:r>
      <w:r>
        <w:rPr>
          <w:color w:val="231F20"/>
          <w:spacing w:val="-25"/>
        </w:rPr>
        <w:t> </w:t>
      </w:r>
      <w:r>
        <w:rPr>
          <w:color w:val="231F20"/>
        </w:rPr>
        <w:t>decision-making</w:t>
      </w:r>
    </w:p>
    <w:p>
      <w:pPr>
        <w:spacing w:after="0" w:line="235" w:lineRule="auto"/>
        <w:sectPr>
          <w:type w:val="continuous"/>
          <w:pgSz w:w="11910" w:h="16840"/>
          <w:pgMar w:top="1580" w:bottom="280" w:left="740" w:right="640"/>
          <w:cols w:num="2" w:equalWidth="0">
            <w:col w:w="4885" w:space="313"/>
            <w:col w:w="5332"/>
          </w:cols>
        </w:sectPr>
      </w:pPr>
    </w:p>
    <w:p>
      <w:pPr>
        <w:pStyle w:val="BodyText"/>
        <w:spacing w:before="9"/>
        <w:rPr>
          <w:sz w:val="15"/>
        </w:rPr>
      </w:pPr>
    </w:p>
    <w:p>
      <w:pPr>
        <w:spacing w:before="100"/>
        <w:ind w:left="280" w:right="0" w:firstLine="0"/>
        <w:jc w:val="left"/>
        <w:rPr>
          <w:rFonts w:ascii="Helvetica-LightOblique" w:hAnsi="Helvetica-LightOblique"/>
          <w:i/>
          <w:sz w:val="22"/>
        </w:rPr>
      </w:pPr>
      <w:r>
        <w:rPr>
          <w:rFonts w:ascii="Helvetica-LightOblique" w:hAnsi="Helvetica-LightOblique"/>
          <w:i/>
          <w:color w:val="439FA0"/>
          <w:sz w:val="22"/>
        </w:rPr>
        <w:t>Figure 2: IAPP’s Public Participation Spectrum</w:t>
      </w:r>
    </w:p>
    <w:p>
      <w:pPr>
        <w:pStyle w:val="BodyText"/>
        <w:spacing w:before="92"/>
        <w:ind w:left="289"/>
      </w:pPr>
      <w:r>
        <w:rPr/>
        <w:pict>
          <v:group style="position:absolute;margin-left:51.4865pt;margin-top:15.488702pt;width:493.7pt;height:9.75pt;mso-position-horizontal-relative:page;mso-position-vertical-relative:paragraph;z-index:-71512" coordorigin="1030,310" coordsize="9874,195">
            <v:line style="position:absolute" from="1030,397" to="10801,397" stroked="true" strokeweight="2pt" strokecolor="#14397f">
              <v:stroke dashstyle="solid"/>
            </v:line>
            <v:shape style="position:absolute;left:10805;top:309;width:97;height:195" coordorigin="10806,310" coordsize="97,195" path="m10806,310l10806,504,10903,407,10806,310xe" filled="true" fillcolor="#14397f" stroked="false">
              <v:path arrowok="t"/>
              <v:fill type="solid"/>
            </v:shape>
            <w10:wrap type="none"/>
          </v:group>
        </w:pict>
      </w:r>
      <w:r>
        <w:rPr>
          <w:color w:val="14397F"/>
        </w:rPr>
        <w:t>Increasing impact of the decision</w:t>
      </w:r>
    </w:p>
    <w:p>
      <w:pPr>
        <w:pStyle w:val="BodyText"/>
        <w:spacing w:before="8" w:after="1"/>
        <w:rPr>
          <w:sz w:val="16"/>
        </w:rPr>
      </w:pPr>
    </w:p>
    <w:tbl>
      <w:tblPr>
        <w:tblW w:w="0" w:type="auto"/>
        <w:jc w:val="left"/>
        <w:tblInd w:w="29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657"/>
        <w:gridCol w:w="1889"/>
        <w:gridCol w:w="1956"/>
        <w:gridCol w:w="1871"/>
        <w:gridCol w:w="1871"/>
        <w:gridCol w:w="1871"/>
      </w:tblGrid>
      <w:tr>
        <w:trPr>
          <w:trHeight w:val="345" w:hRule="atLeast"/>
        </w:trPr>
        <w:tc>
          <w:tcPr>
            <w:tcW w:w="657" w:type="dxa"/>
            <w:tcBorders>
              <w:top w:val="nil"/>
              <w:left w:val="nil"/>
            </w:tcBorders>
          </w:tcPr>
          <w:p>
            <w:pPr>
              <w:pStyle w:val="TableParagraph"/>
              <w:rPr>
                <w:rFonts w:ascii="Times New Roman"/>
                <w:sz w:val="20"/>
              </w:rPr>
            </w:pPr>
          </w:p>
        </w:tc>
        <w:tc>
          <w:tcPr>
            <w:tcW w:w="1889" w:type="dxa"/>
            <w:shd w:val="clear" w:color="auto" w:fill="D5E3E4"/>
          </w:tcPr>
          <w:p>
            <w:pPr>
              <w:pStyle w:val="TableParagraph"/>
              <w:spacing w:before="52"/>
              <w:ind w:left="80"/>
              <w:rPr>
                <w:rFonts w:ascii="Helvetica"/>
                <w:b/>
                <w:sz w:val="20"/>
              </w:rPr>
            </w:pPr>
            <w:r>
              <w:rPr>
                <w:rFonts w:ascii="Helvetica"/>
                <w:b/>
                <w:color w:val="231F20"/>
                <w:sz w:val="20"/>
              </w:rPr>
              <w:t>INFORM</w:t>
            </w:r>
          </w:p>
        </w:tc>
        <w:tc>
          <w:tcPr>
            <w:tcW w:w="1956" w:type="dxa"/>
            <w:shd w:val="clear" w:color="auto" w:fill="C3D9DA"/>
          </w:tcPr>
          <w:p>
            <w:pPr>
              <w:pStyle w:val="TableParagraph"/>
              <w:spacing w:before="52"/>
              <w:ind w:left="80"/>
              <w:rPr>
                <w:rFonts w:ascii="Helvetica"/>
                <w:b/>
                <w:sz w:val="20"/>
              </w:rPr>
            </w:pPr>
            <w:r>
              <w:rPr>
                <w:rFonts w:ascii="Helvetica"/>
                <w:b/>
                <w:color w:val="231F20"/>
                <w:sz w:val="20"/>
              </w:rPr>
              <w:t>CONSULT</w:t>
            </w:r>
          </w:p>
        </w:tc>
        <w:tc>
          <w:tcPr>
            <w:tcW w:w="1871" w:type="dxa"/>
            <w:shd w:val="clear" w:color="auto" w:fill="B2CFD0"/>
          </w:tcPr>
          <w:p>
            <w:pPr>
              <w:pStyle w:val="TableParagraph"/>
              <w:spacing w:before="52"/>
              <w:ind w:left="80"/>
              <w:rPr>
                <w:rFonts w:ascii="Helvetica"/>
                <w:b/>
                <w:sz w:val="20"/>
              </w:rPr>
            </w:pPr>
            <w:r>
              <w:rPr>
                <w:rFonts w:ascii="Helvetica"/>
                <w:b/>
                <w:color w:val="231F20"/>
                <w:sz w:val="20"/>
              </w:rPr>
              <w:t>INVOLVE</w:t>
            </w:r>
          </w:p>
        </w:tc>
        <w:tc>
          <w:tcPr>
            <w:tcW w:w="1871" w:type="dxa"/>
            <w:shd w:val="clear" w:color="auto" w:fill="A0C6C7"/>
          </w:tcPr>
          <w:p>
            <w:pPr>
              <w:pStyle w:val="TableParagraph"/>
              <w:spacing w:before="52"/>
              <w:ind w:left="80"/>
              <w:rPr>
                <w:rFonts w:ascii="Helvetica"/>
                <w:b/>
                <w:sz w:val="20"/>
              </w:rPr>
            </w:pPr>
            <w:r>
              <w:rPr>
                <w:rFonts w:ascii="Helvetica"/>
                <w:b/>
                <w:color w:val="231F20"/>
                <w:sz w:val="20"/>
              </w:rPr>
              <w:t>COLLABORATE</w:t>
            </w:r>
          </w:p>
        </w:tc>
        <w:tc>
          <w:tcPr>
            <w:tcW w:w="1871" w:type="dxa"/>
            <w:shd w:val="clear" w:color="auto" w:fill="8FBDBF"/>
          </w:tcPr>
          <w:p>
            <w:pPr>
              <w:pStyle w:val="TableParagraph"/>
              <w:spacing w:before="52"/>
              <w:ind w:left="79"/>
              <w:rPr>
                <w:rFonts w:ascii="Helvetica"/>
                <w:b/>
                <w:sz w:val="20"/>
              </w:rPr>
            </w:pPr>
            <w:r>
              <w:rPr>
                <w:rFonts w:ascii="Helvetica"/>
                <w:b/>
                <w:color w:val="231F20"/>
                <w:sz w:val="20"/>
              </w:rPr>
              <w:t>EMPOWER</w:t>
            </w:r>
          </w:p>
        </w:tc>
      </w:tr>
      <w:tr>
        <w:trPr>
          <w:trHeight w:val="2388" w:hRule="atLeast"/>
        </w:trPr>
        <w:tc>
          <w:tcPr>
            <w:tcW w:w="657" w:type="dxa"/>
            <w:shd w:val="clear" w:color="auto" w:fill="47A7A8"/>
            <w:textDirection w:val="btLr"/>
          </w:tcPr>
          <w:p>
            <w:pPr>
              <w:pStyle w:val="TableParagraph"/>
              <w:spacing w:before="112"/>
              <w:ind w:left="938" w:right="87" w:hanging="777"/>
              <w:rPr>
                <w:rFonts w:ascii="Helvetica"/>
                <w:b/>
                <w:sz w:val="18"/>
              </w:rPr>
            </w:pPr>
            <w:r>
              <w:rPr>
                <w:rFonts w:ascii="Helvetica"/>
                <w:b/>
                <w:color w:val="FFFFFF"/>
                <w:sz w:val="18"/>
              </w:rPr>
              <w:t>PUBLIC PARTICIPATION GOAL</w:t>
            </w:r>
          </w:p>
        </w:tc>
        <w:tc>
          <w:tcPr>
            <w:tcW w:w="1889" w:type="dxa"/>
            <w:shd w:val="clear" w:color="auto" w:fill="D5E3E4"/>
          </w:tcPr>
          <w:p>
            <w:pPr>
              <w:pStyle w:val="TableParagraph"/>
              <w:spacing w:line="235" w:lineRule="auto" w:before="78"/>
              <w:ind w:left="80" w:right="69"/>
              <w:rPr>
                <w:sz w:val="19"/>
              </w:rPr>
            </w:pPr>
            <w:r>
              <w:rPr>
                <w:color w:val="231F20"/>
                <w:spacing w:val="-12"/>
                <w:sz w:val="19"/>
              </w:rPr>
              <w:t>To </w:t>
            </w:r>
            <w:r>
              <w:rPr>
                <w:color w:val="231F20"/>
                <w:spacing w:val="-3"/>
                <w:sz w:val="19"/>
              </w:rPr>
              <w:t>provide </w:t>
            </w:r>
            <w:r>
              <w:rPr>
                <w:color w:val="231F20"/>
                <w:spacing w:val="-2"/>
                <w:sz w:val="19"/>
              </w:rPr>
              <w:t>the </w:t>
            </w:r>
            <w:r>
              <w:rPr>
                <w:color w:val="231F20"/>
                <w:sz w:val="19"/>
              </w:rPr>
              <w:t>public with balanced </w:t>
            </w:r>
            <w:r>
              <w:rPr>
                <w:color w:val="231F20"/>
                <w:spacing w:val="-2"/>
                <w:sz w:val="19"/>
              </w:rPr>
              <w:t>and </w:t>
            </w:r>
            <w:r>
              <w:rPr>
                <w:color w:val="231F20"/>
                <w:sz w:val="19"/>
              </w:rPr>
              <w:t>objective </w:t>
            </w:r>
            <w:r>
              <w:rPr>
                <w:color w:val="231F20"/>
                <w:spacing w:val="-4"/>
                <w:sz w:val="19"/>
              </w:rPr>
              <w:t>information </w:t>
            </w:r>
            <w:r>
              <w:rPr>
                <w:color w:val="231F20"/>
                <w:sz w:val="19"/>
              </w:rPr>
              <w:t>yo assist them in understanding</w:t>
            </w:r>
          </w:p>
          <w:p>
            <w:pPr>
              <w:pStyle w:val="TableParagraph"/>
              <w:spacing w:line="235" w:lineRule="auto"/>
              <w:ind w:left="80"/>
              <w:rPr>
                <w:sz w:val="19"/>
              </w:rPr>
            </w:pPr>
            <w:r>
              <w:rPr>
                <w:color w:val="231F20"/>
                <w:sz w:val="19"/>
              </w:rPr>
              <w:t>the problem, alternatives, opportunities and/or solutions.</w:t>
            </w:r>
          </w:p>
        </w:tc>
        <w:tc>
          <w:tcPr>
            <w:tcW w:w="1956" w:type="dxa"/>
            <w:shd w:val="clear" w:color="auto" w:fill="C3D9DA"/>
          </w:tcPr>
          <w:p>
            <w:pPr>
              <w:pStyle w:val="TableParagraph"/>
              <w:spacing w:line="235" w:lineRule="auto" w:before="78"/>
              <w:ind w:left="80" w:right="82"/>
              <w:rPr>
                <w:sz w:val="19"/>
              </w:rPr>
            </w:pPr>
            <w:r>
              <w:rPr>
                <w:color w:val="231F20"/>
                <w:sz w:val="19"/>
              </w:rPr>
              <w:t>To obtain public feedback on analysis, alternatives and/or decisions.</w:t>
            </w:r>
          </w:p>
        </w:tc>
        <w:tc>
          <w:tcPr>
            <w:tcW w:w="1871" w:type="dxa"/>
            <w:shd w:val="clear" w:color="auto" w:fill="B2CFD0"/>
          </w:tcPr>
          <w:p>
            <w:pPr>
              <w:pStyle w:val="TableParagraph"/>
              <w:spacing w:line="235" w:lineRule="auto" w:before="78"/>
              <w:ind w:left="80" w:right="388"/>
              <w:rPr>
                <w:sz w:val="19"/>
              </w:rPr>
            </w:pPr>
            <w:r>
              <w:rPr>
                <w:color w:val="231F20"/>
                <w:sz w:val="19"/>
              </w:rPr>
              <w:t>To work directly with the public throughout</w:t>
            </w:r>
          </w:p>
          <w:p>
            <w:pPr>
              <w:pStyle w:val="TableParagraph"/>
              <w:spacing w:line="235" w:lineRule="auto"/>
              <w:ind w:left="80" w:right="619"/>
              <w:rPr>
                <w:sz w:val="19"/>
              </w:rPr>
            </w:pPr>
            <w:r>
              <w:rPr>
                <w:color w:val="231F20"/>
                <w:sz w:val="19"/>
              </w:rPr>
              <w:t>the process to ensure </w:t>
            </w:r>
            <w:r>
              <w:rPr>
                <w:color w:val="231F20"/>
                <w:spacing w:val="-5"/>
                <w:sz w:val="19"/>
              </w:rPr>
              <w:t>that</w:t>
            </w:r>
          </w:p>
          <w:p>
            <w:pPr>
              <w:pStyle w:val="TableParagraph"/>
              <w:spacing w:line="235" w:lineRule="auto"/>
              <w:ind w:left="80" w:right="388"/>
              <w:rPr>
                <w:sz w:val="19"/>
              </w:rPr>
            </w:pPr>
            <w:r>
              <w:rPr>
                <w:color w:val="231F20"/>
                <w:sz w:val="19"/>
              </w:rPr>
              <w:t>public concerns and aspirations are consistently understood and considered.</w:t>
            </w:r>
          </w:p>
        </w:tc>
        <w:tc>
          <w:tcPr>
            <w:tcW w:w="1871" w:type="dxa"/>
            <w:shd w:val="clear" w:color="auto" w:fill="A0C6C7"/>
          </w:tcPr>
          <w:p>
            <w:pPr>
              <w:pStyle w:val="TableParagraph"/>
              <w:spacing w:line="235" w:lineRule="auto" w:before="78"/>
              <w:ind w:left="80" w:right="226"/>
              <w:rPr>
                <w:sz w:val="19"/>
              </w:rPr>
            </w:pPr>
            <w:r>
              <w:rPr>
                <w:color w:val="231F20"/>
                <w:spacing w:val="-11"/>
                <w:sz w:val="19"/>
              </w:rPr>
              <w:t>To </w:t>
            </w:r>
            <w:r>
              <w:rPr>
                <w:color w:val="231F20"/>
                <w:sz w:val="19"/>
              </w:rPr>
              <w:t>partner  with the public in each aspect of the decision</w:t>
            </w:r>
            <w:r>
              <w:rPr>
                <w:color w:val="231F20"/>
                <w:spacing w:val="-18"/>
                <w:sz w:val="19"/>
              </w:rPr>
              <w:t> </w:t>
            </w:r>
            <w:r>
              <w:rPr>
                <w:color w:val="231F20"/>
                <w:sz w:val="19"/>
              </w:rPr>
              <w:t>including</w:t>
            </w:r>
          </w:p>
          <w:p>
            <w:pPr>
              <w:pStyle w:val="TableParagraph"/>
              <w:spacing w:line="235" w:lineRule="auto"/>
              <w:ind w:left="80"/>
              <w:rPr>
                <w:sz w:val="19"/>
              </w:rPr>
            </w:pPr>
            <w:r>
              <w:rPr>
                <w:color w:val="231F20"/>
                <w:sz w:val="19"/>
              </w:rPr>
              <w:t>the development of alternatives and </w:t>
            </w:r>
            <w:r>
              <w:rPr>
                <w:color w:val="231F20"/>
                <w:spacing w:val="-6"/>
                <w:sz w:val="19"/>
              </w:rPr>
              <w:t>the </w:t>
            </w:r>
            <w:r>
              <w:rPr>
                <w:color w:val="231F20"/>
                <w:sz w:val="19"/>
              </w:rPr>
              <w:t>identification of the preferred</w:t>
            </w:r>
            <w:r>
              <w:rPr>
                <w:color w:val="231F20"/>
                <w:spacing w:val="-3"/>
                <w:sz w:val="19"/>
              </w:rPr>
              <w:t> </w:t>
            </w:r>
            <w:r>
              <w:rPr>
                <w:color w:val="231F20"/>
                <w:sz w:val="19"/>
              </w:rPr>
              <w:t>solution.</w:t>
            </w:r>
          </w:p>
        </w:tc>
        <w:tc>
          <w:tcPr>
            <w:tcW w:w="1871" w:type="dxa"/>
            <w:shd w:val="clear" w:color="auto" w:fill="8FBDBF"/>
          </w:tcPr>
          <w:p>
            <w:pPr>
              <w:pStyle w:val="TableParagraph"/>
              <w:spacing w:line="235" w:lineRule="auto" w:before="78"/>
              <w:ind w:left="79" w:right="188"/>
              <w:rPr>
                <w:sz w:val="19"/>
              </w:rPr>
            </w:pPr>
            <w:r>
              <w:rPr>
                <w:color w:val="231F20"/>
                <w:sz w:val="19"/>
              </w:rPr>
              <w:t>To place final decisions making in the hands of the public.</w:t>
            </w:r>
          </w:p>
        </w:tc>
      </w:tr>
      <w:tr>
        <w:trPr>
          <w:trHeight w:val="2904" w:hRule="atLeast"/>
        </w:trPr>
        <w:tc>
          <w:tcPr>
            <w:tcW w:w="657" w:type="dxa"/>
            <w:shd w:val="clear" w:color="auto" w:fill="47A7A8"/>
            <w:textDirection w:val="btLr"/>
          </w:tcPr>
          <w:p>
            <w:pPr>
              <w:pStyle w:val="TableParagraph"/>
              <w:spacing w:before="11"/>
              <w:rPr>
                <w:sz w:val="17"/>
              </w:rPr>
            </w:pPr>
          </w:p>
          <w:p>
            <w:pPr>
              <w:pStyle w:val="TableParagraph"/>
              <w:ind w:left="327"/>
              <w:rPr>
                <w:rFonts w:ascii="Helvetica"/>
                <w:b/>
                <w:sz w:val="18"/>
              </w:rPr>
            </w:pPr>
            <w:r>
              <w:rPr>
                <w:rFonts w:ascii="Helvetica"/>
                <w:b/>
                <w:color w:val="FFFFFF"/>
                <w:sz w:val="18"/>
              </w:rPr>
              <w:t>PROMISE TO THE PUBLIC</w:t>
            </w:r>
          </w:p>
        </w:tc>
        <w:tc>
          <w:tcPr>
            <w:tcW w:w="1889" w:type="dxa"/>
            <w:shd w:val="clear" w:color="auto" w:fill="D5E3E4"/>
          </w:tcPr>
          <w:p>
            <w:pPr>
              <w:pStyle w:val="TableParagraph"/>
              <w:spacing w:line="235" w:lineRule="auto" w:before="78"/>
              <w:ind w:left="80"/>
              <w:rPr>
                <w:sz w:val="19"/>
              </w:rPr>
            </w:pPr>
            <w:r>
              <w:rPr>
                <w:color w:val="231F20"/>
                <w:sz w:val="19"/>
              </w:rPr>
              <w:t>We will keep you informed.</w:t>
            </w:r>
          </w:p>
        </w:tc>
        <w:tc>
          <w:tcPr>
            <w:tcW w:w="1956" w:type="dxa"/>
            <w:shd w:val="clear" w:color="auto" w:fill="C3D9DA"/>
          </w:tcPr>
          <w:p>
            <w:pPr>
              <w:pStyle w:val="TableParagraph"/>
              <w:spacing w:line="235" w:lineRule="auto" w:before="78"/>
              <w:ind w:left="80" w:right="166"/>
              <w:rPr>
                <w:sz w:val="19"/>
              </w:rPr>
            </w:pPr>
            <w:r>
              <w:rPr>
                <w:color w:val="231F20"/>
                <w:sz w:val="19"/>
              </w:rPr>
              <w:t>We will keep you informed, listen to and acknowledge concerns and aspirations, and provide feedback on how public input influenced the decision. We will seek your feedback on drafts and proposals.</w:t>
            </w:r>
          </w:p>
        </w:tc>
        <w:tc>
          <w:tcPr>
            <w:tcW w:w="1871" w:type="dxa"/>
            <w:shd w:val="clear" w:color="auto" w:fill="B2CFD0"/>
          </w:tcPr>
          <w:p>
            <w:pPr>
              <w:pStyle w:val="TableParagraph"/>
              <w:spacing w:line="235" w:lineRule="auto" w:before="78"/>
              <w:ind w:left="80" w:right="184"/>
              <w:rPr>
                <w:sz w:val="19"/>
              </w:rPr>
            </w:pPr>
            <w:r>
              <w:rPr>
                <w:color w:val="231F20"/>
                <w:sz w:val="19"/>
              </w:rPr>
              <w:t>We will work with you to ensure that your concerns </w:t>
            </w:r>
            <w:r>
              <w:rPr>
                <w:color w:val="231F20"/>
                <w:spacing w:val="-6"/>
                <w:sz w:val="19"/>
              </w:rPr>
              <w:t>and </w:t>
            </w:r>
            <w:r>
              <w:rPr>
                <w:color w:val="231F20"/>
                <w:sz w:val="19"/>
              </w:rPr>
              <w:t>aspirations are directly reflected in the alternatives developed and provide</w:t>
            </w:r>
            <w:r>
              <w:rPr>
                <w:color w:val="231F20"/>
                <w:spacing w:val="-2"/>
                <w:sz w:val="19"/>
              </w:rPr>
              <w:t> </w:t>
            </w:r>
            <w:r>
              <w:rPr>
                <w:color w:val="231F20"/>
                <w:sz w:val="19"/>
              </w:rPr>
              <w:t>feedback</w:t>
            </w:r>
          </w:p>
          <w:p>
            <w:pPr>
              <w:pStyle w:val="TableParagraph"/>
              <w:spacing w:line="235" w:lineRule="auto"/>
              <w:ind w:left="80" w:right="92"/>
              <w:rPr>
                <w:sz w:val="19"/>
              </w:rPr>
            </w:pPr>
            <w:r>
              <w:rPr>
                <w:color w:val="231F20"/>
                <w:sz w:val="19"/>
              </w:rPr>
              <w:t>on how public input influenced the decision.</w:t>
            </w:r>
          </w:p>
        </w:tc>
        <w:tc>
          <w:tcPr>
            <w:tcW w:w="1871" w:type="dxa"/>
            <w:shd w:val="clear" w:color="auto" w:fill="A0C6C7"/>
          </w:tcPr>
          <w:p>
            <w:pPr>
              <w:pStyle w:val="TableParagraph"/>
              <w:spacing w:line="235" w:lineRule="auto" w:before="78"/>
              <w:ind w:left="80" w:right="59"/>
              <w:rPr>
                <w:sz w:val="19"/>
              </w:rPr>
            </w:pPr>
            <w:r>
              <w:rPr>
                <w:color w:val="231F20"/>
                <w:sz w:val="19"/>
              </w:rPr>
              <w:t>We will work together with you to formulate solutions and incorporate your advice and recommendations into the decisions to the maximum extent possible.</w:t>
            </w:r>
          </w:p>
        </w:tc>
        <w:tc>
          <w:tcPr>
            <w:tcW w:w="1871" w:type="dxa"/>
            <w:shd w:val="clear" w:color="auto" w:fill="8FBDBF"/>
          </w:tcPr>
          <w:p>
            <w:pPr>
              <w:pStyle w:val="TableParagraph"/>
              <w:spacing w:line="235" w:lineRule="auto" w:before="78"/>
              <w:ind w:left="79" w:right="231"/>
              <w:rPr>
                <w:sz w:val="19"/>
              </w:rPr>
            </w:pPr>
            <w:r>
              <w:rPr>
                <w:color w:val="231F20"/>
                <w:sz w:val="19"/>
              </w:rPr>
              <w:t>We will implement what you decide.</w:t>
            </w:r>
          </w:p>
        </w:tc>
      </w:tr>
    </w:tbl>
    <w:p>
      <w:pPr>
        <w:spacing w:after="0" w:line="235" w:lineRule="auto"/>
        <w:rPr>
          <w:sz w:val="19"/>
        </w:rPr>
        <w:sectPr>
          <w:type w:val="continuous"/>
          <w:pgSz w:w="11910" w:h="16840"/>
          <w:pgMar w:top="1580" w:bottom="280" w:left="740" w:right="640"/>
        </w:sectPr>
      </w:pPr>
    </w:p>
    <w:p>
      <w:pPr>
        <w:pStyle w:val="BodyText"/>
        <w:rPr>
          <w:sz w:val="20"/>
        </w:rPr>
      </w:pPr>
    </w:p>
    <w:p>
      <w:pPr>
        <w:pStyle w:val="BodyText"/>
        <w:rPr>
          <w:sz w:val="20"/>
        </w:rPr>
      </w:pPr>
    </w:p>
    <w:p>
      <w:pPr>
        <w:pStyle w:val="BodyText"/>
        <w:rPr>
          <w:sz w:val="20"/>
        </w:rPr>
      </w:pPr>
    </w:p>
    <w:p>
      <w:pPr>
        <w:pStyle w:val="BodyText"/>
        <w:spacing w:before="11"/>
        <w:rPr>
          <w:sz w:val="16"/>
        </w:rPr>
      </w:pPr>
    </w:p>
    <w:p>
      <w:pPr>
        <w:spacing w:after="0"/>
        <w:rPr>
          <w:sz w:val="16"/>
        </w:rPr>
        <w:sectPr>
          <w:pgSz w:w="11910" w:h="16840"/>
          <w:pgMar w:header="0" w:footer="558" w:top="1600" w:bottom="740" w:left="740" w:right="640"/>
        </w:sectPr>
      </w:pPr>
    </w:p>
    <w:p>
      <w:pPr>
        <w:spacing w:line="230" w:lineRule="auto" w:before="109"/>
        <w:ind w:left="280" w:right="110" w:firstLine="0"/>
        <w:jc w:val="left"/>
        <w:rPr>
          <w:sz w:val="22"/>
        </w:rPr>
      </w:pPr>
      <w:r>
        <w:rPr>
          <w:color w:val="231F20"/>
          <w:sz w:val="22"/>
        </w:rPr>
        <w:t>as </w:t>
      </w:r>
      <w:r>
        <w:rPr>
          <w:rFonts w:ascii="Helvetica-LightOblique"/>
          <w:i/>
          <w:color w:val="231F20"/>
          <w:sz w:val="22"/>
        </w:rPr>
        <w:t>the </w:t>
      </w:r>
      <w:r>
        <w:rPr>
          <w:rFonts w:ascii="Helvetica-LightOblique"/>
          <w:i/>
          <w:color w:val="231F20"/>
          <w:spacing w:val="-3"/>
          <w:sz w:val="22"/>
        </w:rPr>
        <w:t>process through </w:t>
      </w:r>
      <w:r>
        <w:rPr>
          <w:rFonts w:ascii="Helvetica-LightOblique"/>
          <w:i/>
          <w:color w:val="231F20"/>
          <w:sz w:val="22"/>
        </w:rPr>
        <w:t>which an agency of </w:t>
      </w:r>
      <w:r>
        <w:rPr>
          <w:rFonts w:ascii="Helvetica-LightOblique"/>
          <w:i/>
          <w:color w:val="231F20"/>
          <w:spacing w:val="-3"/>
          <w:sz w:val="22"/>
        </w:rPr>
        <w:t>control </w:t>
      </w:r>
      <w:r>
        <w:rPr>
          <w:rFonts w:ascii="Helvetica-LightOblique"/>
          <w:i/>
          <w:color w:val="231F20"/>
          <w:sz w:val="22"/>
        </w:rPr>
        <w:t>(such as a government department) deliberately </w:t>
      </w:r>
      <w:r>
        <w:rPr>
          <w:rFonts w:ascii="Helvetica-LightOblique"/>
          <w:i/>
          <w:color w:val="231F20"/>
          <w:spacing w:val="-3"/>
          <w:sz w:val="22"/>
        </w:rPr>
        <w:t>relinquishes </w:t>
      </w:r>
      <w:r>
        <w:rPr>
          <w:rFonts w:ascii="Helvetica-LightOblique"/>
          <w:i/>
          <w:color w:val="231F20"/>
          <w:sz w:val="22"/>
        </w:rPr>
        <w:t>aspects of </w:t>
      </w:r>
      <w:r>
        <w:rPr>
          <w:rFonts w:ascii="Helvetica-LightOblique"/>
          <w:i/>
          <w:color w:val="231F20"/>
          <w:spacing w:val="-3"/>
          <w:sz w:val="22"/>
        </w:rPr>
        <w:t>control </w:t>
      </w:r>
      <w:r>
        <w:rPr>
          <w:rFonts w:ascii="Helvetica-LightOblique"/>
          <w:i/>
          <w:color w:val="231F20"/>
          <w:sz w:val="22"/>
        </w:rPr>
        <w:t>over the organisations or functions for which it is </w:t>
      </w:r>
      <w:r>
        <w:rPr>
          <w:rFonts w:ascii="Helvetica-LightOblique"/>
          <w:i/>
          <w:color w:val="231F20"/>
          <w:spacing w:val="-3"/>
          <w:sz w:val="22"/>
        </w:rPr>
        <w:t>responsible, </w:t>
      </w:r>
      <w:r>
        <w:rPr>
          <w:rFonts w:ascii="Helvetica-LightOblique"/>
          <w:i/>
          <w:color w:val="231F20"/>
          <w:sz w:val="22"/>
        </w:rPr>
        <w:t>in </w:t>
      </w:r>
      <w:r>
        <w:rPr>
          <w:rFonts w:ascii="Helvetica-LightOblique"/>
          <w:i/>
          <w:color w:val="231F20"/>
          <w:spacing w:val="-3"/>
          <w:sz w:val="22"/>
        </w:rPr>
        <w:t>order </w:t>
      </w:r>
      <w:r>
        <w:rPr>
          <w:rFonts w:ascii="Helvetica-LightOblique"/>
          <w:i/>
          <w:color w:val="231F20"/>
          <w:sz w:val="22"/>
        </w:rPr>
        <w:t>for those organisations or functions to move further </w:t>
      </w:r>
      <w:r>
        <w:rPr>
          <w:rFonts w:ascii="Helvetica-LightOblique"/>
          <w:i/>
          <w:color w:val="231F20"/>
          <w:spacing w:val="-3"/>
          <w:sz w:val="22"/>
        </w:rPr>
        <w:t>towards </w:t>
      </w:r>
      <w:r>
        <w:rPr>
          <w:rFonts w:ascii="Helvetica-LightOblique"/>
          <w:i/>
          <w:color w:val="231F20"/>
          <w:sz w:val="22"/>
        </w:rPr>
        <w:t>self- management</w:t>
      </w:r>
      <w:r>
        <w:rPr>
          <w:rFonts w:ascii="Helvetica-LightOblique"/>
          <w:i/>
          <w:color w:val="231F20"/>
          <w:spacing w:val="-12"/>
          <w:sz w:val="22"/>
        </w:rPr>
        <w:t> </w:t>
      </w:r>
      <w:r>
        <w:rPr>
          <w:color w:val="231F20"/>
          <w:sz w:val="22"/>
        </w:rPr>
        <w:t>(adapted</w:t>
      </w:r>
      <w:r>
        <w:rPr>
          <w:color w:val="231F20"/>
          <w:spacing w:val="-12"/>
          <w:sz w:val="22"/>
        </w:rPr>
        <w:t> </w:t>
      </w:r>
      <w:r>
        <w:rPr>
          <w:color w:val="231F20"/>
          <w:spacing w:val="-3"/>
          <w:sz w:val="22"/>
        </w:rPr>
        <w:t>from</w:t>
      </w:r>
      <w:r>
        <w:rPr>
          <w:color w:val="231F20"/>
          <w:spacing w:val="-11"/>
          <w:sz w:val="22"/>
        </w:rPr>
        <w:t> </w:t>
      </w:r>
      <w:r>
        <w:rPr>
          <w:color w:val="231F20"/>
          <w:sz w:val="22"/>
        </w:rPr>
        <w:t>Sharpe</w:t>
      </w:r>
      <w:r>
        <w:rPr>
          <w:color w:val="231F20"/>
          <w:spacing w:val="-12"/>
          <w:sz w:val="22"/>
        </w:rPr>
        <w:t> </w:t>
      </w:r>
      <w:r>
        <w:rPr>
          <w:color w:val="231F20"/>
          <w:sz w:val="22"/>
        </w:rPr>
        <w:t>1994).</w:t>
      </w:r>
      <w:r>
        <w:rPr>
          <w:color w:val="231F20"/>
          <w:spacing w:val="-12"/>
          <w:sz w:val="22"/>
        </w:rPr>
        <w:t> </w:t>
      </w:r>
      <w:r>
        <w:rPr>
          <w:color w:val="231F20"/>
          <w:spacing w:val="-2"/>
          <w:sz w:val="22"/>
        </w:rPr>
        <w:t>The </w:t>
      </w:r>
      <w:r>
        <w:rPr>
          <w:color w:val="231F20"/>
          <w:sz w:val="22"/>
        </w:rPr>
        <w:t>aim of devolved decision-making is to </w:t>
      </w:r>
      <w:r>
        <w:rPr>
          <w:color w:val="231F20"/>
          <w:spacing w:val="-2"/>
          <w:sz w:val="22"/>
        </w:rPr>
        <w:t>enable </w:t>
      </w:r>
      <w:r>
        <w:rPr>
          <w:color w:val="231F20"/>
          <w:sz w:val="22"/>
        </w:rPr>
        <w:t>the</w:t>
      </w:r>
      <w:r>
        <w:rPr>
          <w:color w:val="231F20"/>
          <w:spacing w:val="-10"/>
          <w:sz w:val="22"/>
        </w:rPr>
        <w:t> </w:t>
      </w:r>
      <w:r>
        <w:rPr>
          <w:color w:val="231F20"/>
          <w:sz w:val="22"/>
        </w:rPr>
        <w:t>party</w:t>
      </w:r>
      <w:r>
        <w:rPr>
          <w:color w:val="231F20"/>
          <w:spacing w:val="-9"/>
          <w:sz w:val="22"/>
        </w:rPr>
        <w:t> </w:t>
      </w:r>
      <w:r>
        <w:rPr>
          <w:color w:val="231F20"/>
          <w:sz w:val="22"/>
        </w:rPr>
        <w:t>to</w:t>
      </w:r>
      <w:r>
        <w:rPr>
          <w:color w:val="231F20"/>
          <w:spacing w:val="-9"/>
          <w:sz w:val="22"/>
        </w:rPr>
        <w:t> </w:t>
      </w:r>
      <w:r>
        <w:rPr>
          <w:color w:val="231F20"/>
          <w:sz w:val="22"/>
        </w:rPr>
        <w:t>which</w:t>
      </w:r>
      <w:r>
        <w:rPr>
          <w:color w:val="231F20"/>
          <w:spacing w:val="-9"/>
          <w:sz w:val="22"/>
        </w:rPr>
        <w:t> </w:t>
      </w:r>
      <w:r>
        <w:rPr>
          <w:color w:val="231F20"/>
          <w:sz w:val="22"/>
        </w:rPr>
        <w:t>decisions</w:t>
      </w:r>
      <w:r>
        <w:rPr>
          <w:color w:val="231F20"/>
          <w:spacing w:val="-9"/>
          <w:sz w:val="22"/>
        </w:rPr>
        <w:t> </w:t>
      </w:r>
      <w:r>
        <w:rPr>
          <w:color w:val="231F20"/>
          <w:spacing w:val="-3"/>
          <w:sz w:val="22"/>
        </w:rPr>
        <w:t>are</w:t>
      </w:r>
      <w:r>
        <w:rPr>
          <w:color w:val="231F20"/>
          <w:spacing w:val="-9"/>
          <w:sz w:val="22"/>
        </w:rPr>
        <w:t> </w:t>
      </w:r>
      <w:r>
        <w:rPr>
          <w:color w:val="231F20"/>
          <w:sz w:val="22"/>
        </w:rPr>
        <w:t>devolved</w:t>
      </w:r>
      <w:r>
        <w:rPr>
          <w:color w:val="231F20"/>
          <w:spacing w:val="-9"/>
          <w:sz w:val="22"/>
        </w:rPr>
        <w:t> </w:t>
      </w:r>
      <w:r>
        <w:rPr>
          <w:color w:val="231F20"/>
          <w:sz w:val="22"/>
        </w:rPr>
        <w:t>to</w:t>
      </w:r>
      <w:r>
        <w:rPr>
          <w:color w:val="231F20"/>
          <w:spacing w:val="-10"/>
          <w:sz w:val="22"/>
        </w:rPr>
        <w:t> </w:t>
      </w:r>
      <w:r>
        <w:rPr>
          <w:color w:val="231F20"/>
          <w:sz w:val="22"/>
        </w:rPr>
        <w:t>be </w:t>
      </w:r>
      <w:r>
        <w:rPr>
          <w:color w:val="231F20"/>
          <w:spacing w:val="-3"/>
          <w:sz w:val="22"/>
        </w:rPr>
        <w:t>more responsive </w:t>
      </w:r>
      <w:r>
        <w:rPr>
          <w:color w:val="231F20"/>
          <w:sz w:val="22"/>
        </w:rPr>
        <w:t>to local </w:t>
      </w:r>
      <w:r>
        <w:rPr>
          <w:color w:val="231F20"/>
          <w:spacing w:val="-3"/>
          <w:sz w:val="22"/>
        </w:rPr>
        <w:t>circumstances </w:t>
      </w:r>
      <w:r>
        <w:rPr>
          <w:color w:val="231F20"/>
          <w:spacing w:val="-2"/>
          <w:sz w:val="22"/>
        </w:rPr>
        <w:t>and </w:t>
      </w:r>
      <w:r>
        <w:rPr>
          <w:color w:val="231F20"/>
          <w:sz w:val="22"/>
        </w:rPr>
        <w:t>needs,</w:t>
      </w:r>
      <w:r>
        <w:rPr>
          <w:color w:val="231F20"/>
          <w:spacing w:val="-11"/>
          <w:sz w:val="22"/>
        </w:rPr>
        <w:t> </w:t>
      </w:r>
      <w:r>
        <w:rPr>
          <w:color w:val="231F20"/>
          <w:sz w:val="22"/>
        </w:rPr>
        <w:t>and</w:t>
      </w:r>
      <w:r>
        <w:rPr>
          <w:color w:val="231F20"/>
          <w:spacing w:val="-11"/>
          <w:sz w:val="22"/>
        </w:rPr>
        <w:t> </w:t>
      </w:r>
      <w:r>
        <w:rPr>
          <w:color w:val="231F20"/>
          <w:spacing w:val="-3"/>
          <w:sz w:val="22"/>
        </w:rPr>
        <w:t>more</w:t>
      </w:r>
      <w:r>
        <w:rPr>
          <w:color w:val="231F20"/>
          <w:spacing w:val="-10"/>
          <w:sz w:val="22"/>
        </w:rPr>
        <w:t> </w:t>
      </w:r>
      <w:r>
        <w:rPr>
          <w:color w:val="231F20"/>
          <w:sz w:val="22"/>
        </w:rPr>
        <w:t>flexible</w:t>
      </w:r>
      <w:r>
        <w:rPr>
          <w:color w:val="231F20"/>
          <w:spacing w:val="-11"/>
          <w:sz w:val="22"/>
        </w:rPr>
        <w:t> </w:t>
      </w:r>
      <w:r>
        <w:rPr>
          <w:color w:val="231F20"/>
          <w:sz w:val="22"/>
        </w:rPr>
        <w:t>in</w:t>
      </w:r>
      <w:r>
        <w:rPr>
          <w:color w:val="231F20"/>
          <w:spacing w:val="-10"/>
          <w:sz w:val="22"/>
        </w:rPr>
        <w:t> </w:t>
      </w:r>
      <w:r>
        <w:rPr>
          <w:color w:val="231F20"/>
          <w:sz w:val="22"/>
        </w:rPr>
        <w:t>dealing</w:t>
      </w:r>
      <w:r>
        <w:rPr>
          <w:color w:val="231F20"/>
          <w:spacing w:val="-11"/>
          <w:sz w:val="22"/>
        </w:rPr>
        <w:t> </w:t>
      </w:r>
      <w:r>
        <w:rPr>
          <w:color w:val="231F20"/>
          <w:sz w:val="22"/>
        </w:rPr>
        <w:t>with</w:t>
      </w:r>
      <w:r>
        <w:rPr>
          <w:color w:val="231F20"/>
          <w:spacing w:val="-10"/>
          <w:sz w:val="22"/>
        </w:rPr>
        <w:t> </w:t>
      </w:r>
      <w:r>
        <w:rPr>
          <w:color w:val="231F20"/>
          <w:sz w:val="22"/>
        </w:rPr>
        <w:t>rapidly changing </w:t>
      </w:r>
      <w:r>
        <w:rPr>
          <w:color w:val="231F20"/>
          <w:spacing w:val="-3"/>
          <w:sz w:val="22"/>
        </w:rPr>
        <w:t>environments </w:t>
      </w:r>
      <w:r>
        <w:rPr>
          <w:color w:val="231F20"/>
          <w:sz w:val="22"/>
        </w:rPr>
        <w:t>(Sharpe</w:t>
      </w:r>
      <w:r>
        <w:rPr>
          <w:color w:val="231F20"/>
          <w:spacing w:val="-9"/>
          <w:sz w:val="22"/>
        </w:rPr>
        <w:t> </w:t>
      </w:r>
      <w:r>
        <w:rPr>
          <w:color w:val="231F20"/>
          <w:spacing w:val="-2"/>
          <w:sz w:val="22"/>
        </w:rPr>
        <w:t>1996).</w:t>
      </w:r>
    </w:p>
    <w:p>
      <w:pPr>
        <w:pStyle w:val="BodyText"/>
        <w:spacing w:line="235" w:lineRule="auto" w:before="185"/>
        <w:ind w:left="280" w:right="159"/>
      </w:pPr>
      <w:r>
        <w:rPr>
          <w:color w:val="231F20"/>
        </w:rPr>
        <w:t>The language used in government and academic literature to describe the desired working relationships with Indigenous populations differs. The terms are not always clearly defined and are used interchangeably, resulting in a lack of clarity and meaning.</w:t>
      </w:r>
    </w:p>
    <w:p>
      <w:pPr>
        <w:pStyle w:val="BodyText"/>
        <w:spacing w:line="235" w:lineRule="auto"/>
        <w:ind w:left="280" w:right="244"/>
      </w:pPr>
      <w:r>
        <w:rPr>
          <w:color w:val="231F20"/>
        </w:rPr>
        <w:t>For example, in </w:t>
      </w:r>
      <w:r>
        <w:rPr>
          <w:color w:val="231F20"/>
          <w:spacing w:val="-3"/>
        </w:rPr>
        <w:t>environmental </w:t>
      </w:r>
      <w:r>
        <w:rPr>
          <w:color w:val="231F20"/>
        </w:rPr>
        <w:t>management, the concept of ‘co-management’ arises often (e.g. Armitage et al 2011; Robson &amp; Kant 2007;</w:t>
      </w:r>
      <w:r>
        <w:rPr>
          <w:color w:val="231F20"/>
          <w:spacing w:val="-9"/>
        </w:rPr>
        <w:t> </w:t>
      </w:r>
      <w:r>
        <w:rPr>
          <w:color w:val="231F20"/>
        </w:rPr>
        <w:t>Zurba</w:t>
      </w:r>
      <w:r>
        <w:rPr>
          <w:color w:val="231F20"/>
          <w:spacing w:val="-9"/>
        </w:rPr>
        <w:t> </w:t>
      </w:r>
      <w:r>
        <w:rPr>
          <w:color w:val="231F20"/>
        </w:rPr>
        <w:t>et</w:t>
      </w:r>
      <w:r>
        <w:rPr>
          <w:color w:val="231F20"/>
          <w:spacing w:val="-8"/>
        </w:rPr>
        <w:t> </w:t>
      </w:r>
      <w:r>
        <w:rPr>
          <w:color w:val="231F20"/>
        </w:rPr>
        <w:t>al</w:t>
      </w:r>
      <w:r>
        <w:rPr>
          <w:color w:val="231F20"/>
          <w:spacing w:val="-9"/>
        </w:rPr>
        <w:t> </w:t>
      </w:r>
      <w:r>
        <w:rPr>
          <w:color w:val="231F20"/>
        </w:rPr>
        <w:t>2012),</w:t>
      </w:r>
      <w:r>
        <w:rPr>
          <w:color w:val="231F20"/>
          <w:spacing w:val="-8"/>
        </w:rPr>
        <w:t> </w:t>
      </w:r>
      <w:r>
        <w:rPr>
          <w:color w:val="231F20"/>
        </w:rPr>
        <w:t>and</w:t>
      </w:r>
      <w:r>
        <w:rPr>
          <w:color w:val="231F20"/>
          <w:spacing w:val="-9"/>
        </w:rPr>
        <w:t> </w:t>
      </w:r>
      <w:r>
        <w:rPr>
          <w:color w:val="231F20"/>
          <w:spacing w:val="-3"/>
        </w:rPr>
        <w:t>refers</w:t>
      </w:r>
      <w:r>
        <w:rPr>
          <w:color w:val="231F20"/>
          <w:spacing w:val="-8"/>
        </w:rPr>
        <w:t> </w:t>
      </w:r>
      <w:r>
        <w:rPr>
          <w:color w:val="231F20"/>
        </w:rPr>
        <w:t>to</w:t>
      </w:r>
      <w:r>
        <w:rPr>
          <w:color w:val="231F20"/>
          <w:spacing w:val="-9"/>
        </w:rPr>
        <w:t> </w:t>
      </w:r>
      <w:r>
        <w:rPr>
          <w:color w:val="231F20"/>
        </w:rPr>
        <w:t>“various </w:t>
      </w:r>
      <w:r>
        <w:rPr>
          <w:color w:val="231F20"/>
          <w:spacing w:val="-3"/>
        </w:rPr>
        <w:t>degrees </w:t>
      </w:r>
      <w:r>
        <w:rPr>
          <w:color w:val="231F20"/>
        </w:rPr>
        <w:t>of integration and </w:t>
      </w:r>
      <w:r>
        <w:rPr>
          <w:color w:val="231F20"/>
          <w:spacing w:val="-3"/>
        </w:rPr>
        <w:t>power-sharing </w:t>
      </w:r>
      <w:r>
        <w:rPr>
          <w:color w:val="231F20"/>
        </w:rPr>
        <w:t>between</w:t>
      </w:r>
      <w:r>
        <w:rPr>
          <w:color w:val="231F20"/>
          <w:spacing w:val="-10"/>
        </w:rPr>
        <w:t> </w:t>
      </w:r>
      <w:r>
        <w:rPr>
          <w:color w:val="231F20"/>
          <w:spacing w:val="-3"/>
        </w:rPr>
        <w:t>pure</w:t>
      </w:r>
      <w:r>
        <w:rPr>
          <w:color w:val="231F20"/>
          <w:spacing w:val="-10"/>
        </w:rPr>
        <w:t> </w:t>
      </w:r>
      <w:r>
        <w:rPr>
          <w:color w:val="231F20"/>
        </w:rPr>
        <w:t>state</w:t>
      </w:r>
      <w:r>
        <w:rPr>
          <w:color w:val="231F20"/>
          <w:spacing w:val="-10"/>
        </w:rPr>
        <w:t> </w:t>
      </w:r>
      <w:r>
        <w:rPr>
          <w:color w:val="231F20"/>
        </w:rPr>
        <w:t>and</w:t>
      </w:r>
      <w:r>
        <w:rPr>
          <w:color w:val="231F20"/>
          <w:spacing w:val="-9"/>
        </w:rPr>
        <w:t> </w:t>
      </w:r>
      <w:r>
        <w:rPr>
          <w:color w:val="231F20"/>
          <w:spacing w:val="-3"/>
        </w:rPr>
        <w:t>pure</w:t>
      </w:r>
      <w:r>
        <w:rPr>
          <w:color w:val="231F20"/>
          <w:spacing w:val="-10"/>
        </w:rPr>
        <w:t> </w:t>
      </w:r>
      <w:r>
        <w:rPr>
          <w:color w:val="231F20"/>
        </w:rPr>
        <w:t>local</w:t>
      </w:r>
      <w:r>
        <w:rPr>
          <w:color w:val="231F20"/>
          <w:spacing w:val="-10"/>
        </w:rPr>
        <w:t> </w:t>
      </w:r>
      <w:r>
        <w:rPr>
          <w:color w:val="231F20"/>
        </w:rPr>
        <w:t>community </w:t>
      </w:r>
      <w:r>
        <w:rPr>
          <w:color w:val="231F20"/>
          <w:spacing w:val="-3"/>
        </w:rPr>
        <w:t>resource </w:t>
      </w:r>
      <w:r>
        <w:rPr>
          <w:color w:val="231F20"/>
        </w:rPr>
        <w:t>management systems, ranging </w:t>
      </w:r>
      <w:r>
        <w:rPr>
          <w:color w:val="231F20"/>
          <w:spacing w:val="-3"/>
        </w:rPr>
        <w:t>from </w:t>
      </w:r>
      <w:r>
        <w:rPr>
          <w:color w:val="231F20"/>
        </w:rPr>
        <w:t>government consultation with user </w:t>
      </w:r>
      <w:r>
        <w:rPr>
          <w:color w:val="231F20"/>
          <w:spacing w:val="-3"/>
        </w:rPr>
        <w:t>groups, through </w:t>
      </w:r>
      <w:r>
        <w:rPr>
          <w:color w:val="231F20"/>
        </w:rPr>
        <w:t>advisory </w:t>
      </w:r>
      <w:r>
        <w:rPr>
          <w:color w:val="231F20"/>
          <w:spacing w:val="-3"/>
        </w:rPr>
        <w:t>group </w:t>
      </w:r>
      <w:r>
        <w:rPr>
          <w:color w:val="231F20"/>
        </w:rPr>
        <w:t>input into government management, to user </w:t>
      </w:r>
      <w:r>
        <w:rPr>
          <w:color w:val="231F20"/>
          <w:spacing w:val="-3"/>
        </w:rPr>
        <w:t>group </w:t>
      </w:r>
      <w:r>
        <w:rPr>
          <w:color w:val="231F20"/>
        </w:rPr>
        <w:t>management with government assistance” (Robson &amp; Kant 2007, p. 1114). In health and other </w:t>
      </w:r>
      <w:r>
        <w:rPr>
          <w:color w:val="231F20"/>
          <w:spacing w:val="-3"/>
        </w:rPr>
        <w:t>literature, </w:t>
      </w:r>
      <w:r>
        <w:rPr>
          <w:color w:val="231F20"/>
        </w:rPr>
        <w:t>‘partnership’ (e.g. </w:t>
      </w:r>
      <w:r>
        <w:rPr>
          <w:color w:val="231F20"/>
          <w:spacing w:val="-6"/>
        </w:rPr>
        <w:t>Taylor </w:t>
      </w:r>
      <w:r>
        <w:rPr>
          <w:color w:val="231F20"/>
        </w:rPr>
        <w:t>et al 2013; </w:t>
      </w:r>
      <w:r>
        <w:rPr>
          <w:color w:val="231F20"/>
          <w:spacing w:val="-2"/>
        </w:rPr>
        <w:t>Thomas </w:t>
      </w:r>
      <w:r>
        <w:rPr>
          <w:color w:val="231F20"/>
        </w:rPr>
        <w:t>et</w:t>
      </w:r>
      <w:r>
        <w:rPr>
          <w:color w:val="231F20"/>
          <w:spacing w:val="-9"/>
        </w:rPr>
        <w:t> </w:t>
      </w:r>
      <w:r>
        <w:rPr>
          <w:color w:val="231F20"/>
        </w:rPr>
        <w:t>al</w:t>
      </w:r>
      <w:r>
        <w:rPr>
          <w:color w:val="231F20"/>
          <w:spacing w:val="-9"/>
        </w:rPr>
        <w:t> </w:t>
      </w:r>
      <w:r>
        <w:rPr>
          <w:color w:val="231F20"/>
        </w:rPr>
        <w:t>2015),</w:t>
      </w:r>
      <w:r>
        <w:rPr>
          <w:color w:val="231F20"/>
          <w:spacing w:val="-8"/>
        </w:rPr>
        <w:t> </w:t>
      </w:r>
      <w:r>
        <w:rPr>
          <w:color w:val="231F20"/>
        </w:rPr>
        <w:t>‘engagement’</w:t>
      </w:r>
      <w:r>
        <w:rPr>
          <w:color w:val="231F20"/>
          <w:spacing w:val="-9"/>
        </w:rPr>
        <w:t> </w:t>
      </w:r>
      <w:r>
        <w:rPr>
          <w:color w:val="231F20"/>
        </w:rPr>
        <w:t>(e.g.</w:t>
      </w:r>
      <w:r>
        <w:rPr>
          <w:color w:val="231F20"/>
          <w:spacing w:val="-8"/>
        </w:rPr>
        <w:t> </w:t>
      </w:r>
      <w:r>
        <w:rPr>
          <w:color w:val="231F20"/>
        </w:rPr>
        <w:t>Kelaher</w:t>
      </w:r>
      <w:r>
        <w:rPr>
          <w:color w:val="231F20"/>
          <w:spacing w:val="-9"/>
        </w:rPr>
        <w:t> </w:t>
      </w:r>
      <w:r>
        <w:rPr>
          <w:color w:val="231F20"/>
        </w:rPr>
        <w:t>et</w:t>
      </w:r>
      <w:r>
        <w:rPr>
          <w:color w:val="231F20"/>
          <w:spacing w:val="-9"/>
        </w:rPr>
        <w:t> </w:t>
      </w:r>
      <w:r>
        <w:rPr>
          <w:color w:val="231F20"/>
        </w:rPr>
        <w:t>al</w:t>
      </w:r>
    </w:p>
    <w:p>
      <w:pPr>
        <w:pStyle w:val="BodyText"/>
        <w:spacing w:line="235" w:lineRule="auto"/>
        <w:ind w:left="280" w:right="13"/>
      </w:pPr>
      <w:r>
        <w:rPr>
          <w:color w:val="231F20"/>
        </w:rPr>
        <w:t>2014) and ‘shared decision-making’ (e.g. Jull et al 2015) are used to describe varying degrees of engagement. It is unclear whether these terms are used consistently with the continua described above, or in a more generic way.</w:t>
      </w:r>
    </w:p>
    <w:p>
      <w:pPr>
        <w:pStyle w:val="BodyText"/>
        <w:spacing w:line="235" w:lineRule="auto"/>
        <w:ind w:left="280" w:right="37"/>
      </w:pPr>
      <w:r>
        <w:rPr>
          <w:color w:val="231F20"/>
        </w:rPr>
        <w:t>Given this, we are using the term ‘collaboration’ as a generic word to describe any level of partnership along the continuum.</w:t>
      </w:r>
    </w:p>
    <w:p>
      <w:pPr>
        <w:pStyle w:val="BodyText"/>
        <w:spacing w:before="10"/>
        <w:rPr>
          <w:sz w:val="25"/>
        </w:rPr>
      </w:pPr>
    </w:p>
    <w:p>
      <w:pPr>
        <w:pStyle w:val="Heading2"/>
        <w:ind w:right="159"/>
      </w:pPr>
      <w:r>
        <w:rPr>
          <w:color w:val="358384"/>
        </w:rPr>
        <w:t>There is considerable research on outcomes, but the focus has been on particular sectors</w:t>
      </w:r>
    </w:p>
    <w:p>
      <w:pPr>
        <w:pStyle w:val="BodyText"/>
        <w:spacing w:line="235" w:lineRule="auto" w:before="171"/>
        <w:ind w:left="280" w:right="33"/>
      </w:pPr>
      <w:r>
        <w:rPr>
          <w:color w:val="231F20"/>
        </w:rPr>
        <w:t>Achieving any of the above outcomes is </w:t>
      </w:r>
      <w:r>
        <w:rPr>
          <w:color w:val="231F20"/>
          <w:spacing w:val="-2"/>
        </w:rPr>
        <w:t>widely </w:t>
      </w:r>
      <w:r>
        <w:rPr>
          <w:color w:val="231F20"/>
          <w:spacing w:val="-3"/>
        </w:rPr>
        <w:t>recognised </w:t>
      </w:r>
      <w:r>
        <w:rPr>
          <w:color w:val="231F20"/>
        </w:rPr>
        <w:t>by governments and </w:t>
      </w:r>
      <w:r>
        <w:rPr>
          <w:color w:val="231F20"/>
          <w:spacing w:val="-3"/>
        </w:rPr>
        <w:t>researchers </w:t>
      </w:r>
      <w:r>
        <w:rPr>
          <w:color w:val="231F20"/>
        </w:rPr>
        <w:t>as a ‘wicked </w:t>
      </w:r>
      <w:r>
        <w:rPr>
          <w:color w:val="231F20"/>
          <w:spacing w:val="-3"/>
        </w:rPr>
        <w:t>problem’ </w:t>
      </w:r>
      <w:r>
        <w:rPr>
          <w:color w:val="231F20"/>
        </w:rPr>
        <w:t>(e.g. Hunter 2007; Signal et</w:t>
      </w:r>
    </w:p>
    <w:p>
      <w:pPr>
        <w:pStyle w:val="BodyText"/>
        <w:spacing w:line="235" w:lineRule="auto" w:before="104"/>
        <w:ind w:left="280" w:right="248"/>
      </w:pPr>
      <w:r>
        <w:rPr/>
        <w:br w:type="column"/>
      </w:r>
      <w:r>
        <w:rPr>
          <w:color w:val="231F20"/>
        </w:rPr>
        <w:t>al 2013). Considerable </w:t>
      </w:r>
      <w:r>
        <w:rPr>
          <w:color w:val="231F20"/>
          <w:spacing w:val="-3"/>
        </w:rPr>
        <w:t>research </w:t>
      </w:r>
      <w:r>
        <w:rPr>
          <w:color w:val="231F20"/>
        </w:rPr>
        <w:t>in Australia, </w:t>
      </w:r>
      <w:r>
        <w:rPr>
          <w:color w:val="231F20"/>
          <w:spacing w:val="-2"/>
        </w:rPr>
        <w:t>and </w:t>
      </w:r>
      <w:r>
        <w:rPr>
          <w:color w:val="231F20"/>
        </w:rPr>
        <w:t>countries such as New Zealand and Canada, has examined whether governments have</w:t>
      </w:r>
    </w:p>
    <w:p>
      <w:pPr>
        <w:pStyle w:val="BodyText"/>
        <w:spacing w:line="235" w:lineRule="auto"/>
        <w:ind w:left="280" w:right="278"/>
      </w:pPr>
      <w:r>
        <w:rPr>
          <w:color w:val="231F20"/>
        </w:rPr>
        <w:t>been successful in engaging with Indigenous populations to achieve stated objectives. </w:t>
      </w:r>
      <w:r>
        <w:rPr>
          <w:color w:val="231F20"/>
          <w:spacing w:val="-2"/>
        </w:rPr>
        <w:t>The </w:t>
      </w:r>
      <w:r>
        <w:rPr>
          <w:color w:val="231F20"/>
        </w:rPr>
        <w:t>majority of this </w:t>
      </w:r>
      <w:r>
        <w:rPr>
          <w:color w:val="231F20"/>
          <w:spacing w:val="-3"/>
        </w:rPr>
        <w:t>research </w:t>
      </w:r>
      <w:r>
        <w:rPr>
          <w:color w:val="231F20"/>
        </w:rPr>
        <w:t>draws on specific case studies, and to a lesser extent, interviews with stakeholders. The case studies have </w:t>
      </w:r>
      <w:r>
        <w:rPr>
          <w:color w:val="231F20"/>
          <w:spacing w:val="-2"/>
        </w:rPr>
        <w:t>mostly </w:t>
      </w:r>
      <w:r>
        <w:rPr>
          <w:color w:val="231F20"/>
        </w:rPr>
        <w:t>focused on specific initiatives in </w:t>
      </w:r>
      <w:r>
        <w:rPr>
          <w:color w:val="231F20"/>
          <w:spacing w:val="-3"/>
        </w:rPr>
        <w:t>environmental </w:t>
      </w:r>
      <w:r>
        <w:rPr>
          <w:color w:val="231F20"/>
        </w:rPr>
        <w:t>management and health. Nevertheless, </w:t>
      </w:r>
      <w:r>
        <w:rPr>
          <w:color w:val="231F20"/>
          <w:spacing w:val="-2"/>
        </w:rPr>
        <w:t>common </w:t>
      </w:r>
      <w:r>
        <w:rPr>
          <w:color w:val="231F20"/>
        </w:rPr>
        <w:t>themes have emerged </w:t>
      </w:r>
      <w:r>
        <w:rPr>
          <w:color w:val="231F20"/>
          <w:spacing w:val="-3"/>
        </w:rPr>
        <w:t>regarding </w:t>
      </w:r>
      <w:r>
        <w:rPr>
          <w:color w:val="231F20"/>
        </w:rPr>
        <w:t>the barriers and incentives to </w:t>
      </w:r>
      <w:r>
        <w:rPr>
          <w:color w:val="231F20"/>
          <w:spacing w:val="-3"/>
        </w:rPr>
        <w:t>shared </w:t>
      </w:r>
      <w:r>
        <w:rPr>
          <w:color w:val="231F20"/>
        </w:rPr>
        <w:t>or devolved decision- making with Indigenous </w:t>
      </w:r>
      <w:r>
        <w:rPr>
          <w:color w:val="231F20"/>
          <w:spacing w:val="-2"/>
        </w:rPr>
        <w:t>populations.</w:t>
      </w:r>
    </w:p>
    <w:p>
      <w:pPr>
        <w:pStyle w:val="BodyText"/>
        <w:spacing w:before="8"/>
        <w:rPr>
          <w:sz w:val="31"/>
        </w:rPr>
      </w:pPr>
    </w:p>
    <w:p>
      <w:pPr>
        <w:pStyle w:val="Heading2"/>
        <w:ind w:right="248"/>
      </w:pPr>
      <w:r>
        <w:rPr>
          <w:color w:val="358384"/>
        </w:rPr>
        <w:t>Both institutional (structural) and individual (attitudinal) frameworks may affect actions to devolve decision-making</w:t>
      </w:r>
    </w:p>
    <w:p>
      <w:pPr>
        <w:pStyle w:val="BodyText"/>
        <w:spacing w:line="235" w:lineRule="auto" w:before="172"/>
        <w:ind w:left="280" w:right="276"/>
      </w:pPr>
      <w:r>
        <w:rPr>
          <w:color w:val="231F20"/>
        </w:rPr>
        <w:t>Both the </w:t>
      </w:r>
      <w:r>
        <w:rPr>
          <w:color w:val="231F20"/>
          <w:spacing w:val="-3"/>
        </w:rPr>
        <w:t>structures </w:t>
      </w:r>
      <w:r>
        <w:rPr>
          <w:color w:val="231F20"/>
        </w:rPr>
        <w:t>of an organisation and </w:t>
      </w:r>
      <w:r>
        <w:rPr>
          <w:color w:val="231F20"/>
          <w:spacing w:val="-2"/>
        </w:rPr>
        <w:t>the </w:t>
      </w:r>
      <w:r>
        <w:rPr>
          <w:color w:val="231F20"/>
        </w:rPr>
        <w:t>beliefs and attitudes of its individual employees can have a </w:t>
      </w:r>
      <w:r>
        <w:rPr>
          <w:color w:val="231F20"/>
          <w:spacing w:val="-3"/>
        </w:rPr>
        <w:t>profound effect </w:t>
      </w:r>
      <w:r>
        <w:rPr>
          <w:color w:val="231F20"/>
        </w:rPr>
        <w:t>on that </w:t>
      </w:r>
      <w:r>
        <w:rPr>
          <w:color w:val="231F20"/>
          <w:spacing w:val="-3"/>
        </w:rPr>
        <w:t>organisation’s </w:t>
      </w:r>
      <w:r>
        <w:rPr>
          <w:color w:val="231F20"/>
        </w:rPr>
        <w:t>ability to collaborate successfully with Aboriginal communities. </w:t>
      </w:r>
      <w:r>
        <w:rPr>
          <w:color w:val="231F20"/>
          <w:spacing w:val="-3"/>
        </w:rPr>
        <w:t>“Compared </w:t>
      </w:r>
      <w:r>
        <w:rPr>
          <w:color w:val="231F20"/>
        </w:rPr>
        <w:t>with the </w:t>
      </w:r>
      <w:r>
        <w:rPr>
          <w:color w:val="231F20"/>
          <w:spacing w:val="-3"/>
        </w:rPr>
        <w:t>rest </w:t>
      </w:r>
      <w:r>
        <w:rPr>
          <w:color w:val="231F20"/>
        </w:rPr>
        <w:t>of </w:t>
      </w:r>
      <w:r>
        <w:rPr>
          <w:color w:val="231F20"/>
          <w:spacing w:val="-2"/>
        </w:rPr>
        <w:t>the </w:t>
      </w:r>
      <w:r>
        <w:rPr>
          <w:color w:val="231F20"/>
        </w:rPr>
        <w:t>Australian </w:t>
      </w:r>
      <w:r>
        <w:rPr>
          <w:color w:val="231F20"/>
          <w:spacing w:val="-4"/>
        </w:rPr>
        <w:t>community, </w:t>
      </w:r>
      <w:r>
        <w:rPr>
          <w:color w:val="231F20"/>
        </w:rPr>
        <w:t>most Aboriginal </w:t>
      </w:r>
      <w:r>
        <w:rPr>
          <w:color w:val="231F20"/>
          <w:spacing w:val="-2"/>
        </w:rPr>
        <w:t>people </w:t>
      </w:r>
      <w:r>
        <w:rPr>
          <w:color w:val="231F20"/>
          <w:spacing w:val="-3"/>
        </w:rPr>
        <w:t>are </w:t>
      </w:r>
      <w:r>
        <w:rPr>
          <w:color w:val="231F20"/>
        </w:rPr>
        <w:t>considerably disadvantaged. It may be that </w:t>
      </w:r>
      <w:r>
        <w:rPr>
          <w:color w:val="231F20"/>
          <w:spacing w:val="-3"/>
        </w:rPr>
        <w:t>prejudice toward </w:t>
      </w:r>
      <w:r>
        <w:rPr>
          <w:color w:val="231F20"/>
        </w:rPr>
        <w:t>Aboriginal people by non- Aboriginal Australians would, either </w:t>
      </w:r>
      <w:r>
        <w:rPr>
          <w:color w:val="231F20"/>
          <w:spacing w:val="-3"/>
        </w:rPr>
        <w:t>directly </w:t>
      </w:r>
      <w:r>
        <w:rPr>
          <w:color w:val="231F20"/>
        </w:rPr>
        <w:t>or </w:t>
      </w:r>
      <w:r>
        <w:rPr>
          <w:color w:val="231F20"/>
          <w:spacing w:val="-4"/>
        </w:rPr>
        <w:t>indirectly, </w:t>
      </w:r>
      <w:r>
        <w:rPr>
          <w:color w:val="231F20"/>
        </w:rPr>
        <w:t>inhibit any positive moves to </w:t>
      </w:r>
      <w:r>
        <w:rPr>
          <w:color w:val="231F20"/>
          <w:spacing w:val="-2"/>
        </w:rPr>
        <w:t>assist</w:t>
      </w:r>
    </w:p>
    <w:p>
      <w:pPr>
        <w:pStyle w:val="BodyText"/>
        <w:spacing w:line="235" w:lineRule="auto"/>
        <w:ind w:left="280" w:right="423"/>
      </w:pPr>
      <w:r>
        <w:rPr>
          <w:color w:val="231F20"/>
        </w:rPr>
        <w:t>in changing this situation” (Pendersen et al 2000, p. 111). Issues surrounding Aboriginal disadvantage and negative attitudes in Australia are a combination of both societal and individual processes (Pendersen et al 2004). Racial discrimination can occur not only at the individual level, but also at the system</w:t>
      </w:r>
    </w:p>
    <w:p>
      <w:pPr>
        <w:pStyle w:val="BodyText"/>
        <w:spacing w:line="235" w:lineRule="auto"/>
        <w:ind w:left="280" w:right="533"/>
      </w:pPr>
      <w:r>
        <w:rPr>
          <w:color w:val="231F20"/>
        </w:rPr>
        <w:t>or institutional level, as a result of the policies, conditions and practices that affect a broad group of people (AHRC 2012).</w:t>
      </w:r>
    </w:p>
    <w:p>
      <w:pPr>
        <w:pStyle w:val="BodyText"/>
        <w:spacing w:line="235" w:lineRule="auto" w:before="150"/>
        <w:ind w:left="280" w:right="251"/>
      </w:pPr>
      <w:r>
        <w:rPr>
          <w:color w:val="231F20"/>
        </w:rPr>
        <w:t>Structural or institutional frameworks are work roles and administrative mechanisms that allow organisations to conduct, coordinate and control their work. Structural frameworks may be real</w:t>
      </w:r>
    </w:p>
    <w:p>
      <w:pPr>
        <w:pStyle w:val="BodyText"/>
        <w:spacing w:line="235" w:lineRule="auto"/>
        <w:ind w:left="280" w:right="240"/>
      </w:pPr>
      <w:r>
        <w:rPr>
          <w:color w:val="231F20"/>
        </w:rPr>
        <w:t>or conceptual, and may include regulations, delegations, policies, resource allocation, politics, networks and relationships, hierarchies and corporate structures, power, performance targets and measurement, and risk management (Rapert &amp; Wren 1998).</w:t>
      </w:r>
    </w:p>
    <w:p>
      <w:pPr>
        <w:spacing w:after="0" w:line="235" w:lineRule="auto"/>
        <w:sectPr>
          <w:type w:val="continuous"/>
          <w:pgSz w:w="11910" w:h="16840"/>
          <w:pgMar w:top="1580" w:bottom="280" w:left="740" w:right="640"/>
          <w:cols w:num="2" w:equalWidth="0">
            <w:col w:w="4996" w:space="201"/>
            <w:col w:w="5333"/>
          </w:cols>
        </w:sect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after="0"/>
        <w:rPr>
          <w:sz w:val="21"/>
        </w:rPr>
        <w:sectPr>
          <w:pgSz w:w="11910" w:h="16840"/>
          <w:pgMar w:header="0" w:footer="558" w:top="1600" w:bottom="740" w:left="740" w:right="640"/>
        </w:sectPr>
      </w:pPr>
    </w:p>
    <w:p>
      <w:pPr>
        <w:pStyle w:val="BodyText"/>
        <w:spacing w:line="235" w:lineRule="auto" w:before="104"/>
        <w:ind w:left="280" w:right="81"/>
      </w:pPr>
      <w:r>
        <w:rPr>
          <w:color w:val="231F20"/>
        </w:rPr>
        <w:t>At the organisation or society-wide level, institutional racism may explain why an organisation’s or a government’s efforts to improve outcomes for Indigenous populations have had limited success. Institutional racism refers to “the manner in which a society’s institutions operate systematically, both </w:t>
      </w:r>
      <w:r>
        <w:rPr>
          <w:color w:val="231F20"/>
          <w:spacing w:val="-3"/>
        </w:rPr>
        <w:t>directly </w:t>
      </w:r>
      <w:r>
        <w:rPr>
          <w:color w:val="231F20"/>
        </w:rPr>
        <w:t>and </w:t>
      </w:r>
      <w:r>
        <w:rPr>
          <w:color w:val="231F20"/>
          <w:spacing w:val="-3"/>
        </w:rPr>
        <w:t>indirectly, </w:t>
      </w:r>
      <w:r>
        <w:rPr>
          <w:color w:val="231F20"/>
        </w:rPr>
        <w:t>to favo[u]r some groups over others regarding access to opportunities and valued resources” (Delgado 2015, para</w:t>
      </w:r>
      <w:r>
        <w:rPr>
          <w:color w:val="231F20"/>
          <w:spacing w:val="-4"/>
        </w:rPr>
        <w:t> </w:t>
      </w:r>
      <w:r>
        <w:rPr>
          <w:color w:val="231F20"/>
        </w:rPr>
        <w:t>1).</w:t>
      </w:r>
    </w:p>
    <w:p>
      <w:pPr>
        <w:pStyle w:val="BodyText"/>
        <w:spacing w:line="235" w:lineRule="auto"/>
        <w:ind w:left="280" w:right="81"/>
      </w:pPr>
      <w:r>
        <w:rPr>
          <w:color w:val="231F20"/>
        </w:rPr>
        <w:t>Institutional racism can persist even if the individuals working within the organisation do not have racist beliefs, attitudes or actions (Delgado 2015; Pierce 2014). Direct, overt forms of institutional racism are easier to </w:t>
      </w:r>
      <w:r>
        <w:rPr>
          <w:color w:val="231F20"/>
          <w:spacing w:val="-3"/>
        </w:rPr>
        <w:t>identify, </w:t>
      </w:r>
      <w:r>
        <w:rPr>
          <w:color w:val="231F20"/>
        </w:rPr>
        <w:t>address and eradicate than indirect forms (Delgado 2015). Indirect institutional racism, </w:t>
      </w:r>
      <w:r>
        <w:rPr>
          <w:color w:val="231F20"/>
          <w:spacing w:val="-3"/>
        </w:rPr>
        <w:t>however, </w:t>
      </w:r>
      <w:r>
        <w:rPr>
          <w:color w:val="231F20"/>
        </w:rPr>
        <w:t>may continue to exist even </w:t>
      </w:r>
      <w:r>
        <w:rPr>
          <w:color w:val="231F20"/>
          <w:spacing w:val="-9"/>
        </w:rPr>
        <w:t>if </w:t>
      </w:r>
      <w:r>
        <w:rPr>
          <w:color w:val="231F20"/>
        </w:rPr>
        <w:t>earlier laws, policies and practices that were specifically designed to exclude particular groups have since been eliminated (Delgado 2015), for example racial segregation</w:t>
      </w:r>
      <w:r>
        <w:rPr>
          <w:color w:val="231F20"/>
          <w:spacing w:val="-2"/>
        </w:rPr>
        <w:t> </w:t>
      </w:r>
      <w:r>
        <w:rPr>
          <w:color w:val="231F20"/>
        </w:rPr>
        <w:t>laws</w:t>
      </w:r>
    </w:p>
    <w:p>
      <w:pPr>
        <w:pStyle w:val="BodyText"/>
        <w:spacing w:line="235" w:lineRule="auto"/>
        <w:ind w:left="280" w:right="298"/>
      </w:pPr>
      <w:r>
        <w:rPr>
          <w:color w:val="231F20"/>
        </w:rPr>
        <w:t>in the United States, apartheid in South Africa, and the White Australia </w:t>
      </w:r>
      <w:r>
        <w:rPr>
          <w:color w:val="231F20"/>
          <w:spacing w:val="-3"/>
        </w:rPr>
        <w:t>Policy. </w:t>
      </w:r>
      <w:r>
        <w:rPr>
          <w:color w:val="231F20"/>
        </w:rPr>
        <w:t>Indirect institutional racism can go some </w:t>
      </w:r>
      <w:r>
        <w:rPr>
          <w:color w:val="231F20"/>
          <w:spacing w:val="-6"/>
        </w:rPr>
        <w:t>way </w:t>
      </w:r>
      <w:r>
        <w:rPr>
          <w:color w:val="231F20"/>
        </w:rPr>
        <w:t>to explaining why overt racism (e.g. hate crimes) is socially unacceptable, but racial disadvantage persists (Pierce</w:t>
      </w:r>
      <w:r>
        <w:rPr>
          <w:color w:val="231F20"/>
          <w:spacing w:val="-1"/>
        </w:rPr>
        <w:t> </w:t>
      </w:r>
      <w:r>
        <w:rPr>
          <w:color w:val="231F20"/>
        </w:rPr>
        <w:t>2014).</w:t>
      </w:r>
    </w:p>
    <w:p>
      <w:pPr>
        <w:pStyle w:val="BodyText"/>
        <w:spacing w:line="235" w:lineRule="auto" w:before="143"/>
        <w:ind w:left="280" w:right="119"/>
      </w:pPr>
      <w:r>
        <w:rPr>
          <w:color w:val="231F20"/>
        </w:rPr>
        <w:t>At the </w:t>
      </w:r>
      <w:r>
        <w:rPr>
          <w:color w:val="231F20"/>
          <w:spacing w:val="-3"/>
        </w:rPr>
        <w:t>individual level, </w:t>
      </w:r>
      <w:r>
        <w:rPr>
          <w:color w:val="231F20"/>
          <w:spacing w:val="-5"/>
        </w:rPr>
        <w:t>people’s </w:t>
      </w:r>
      <w:r>
        <w:rPr>
          <w:color w:val="231F20"/>
          <w:spacing w:val="-3"/>
        </w:rPr>
        <w:t>attitudes, beliefs </w:t>
      </w:r>
      <w:r>
        <w:rPr>
          <w:color w:val="231F20"/>
        </w:rPr>
        <w:t>and </w:t>
      </w:r>
      <w:r>
        <w:rPr>
          <w:color w:val="231F20"/>
          <w:spacing w:val="-3"/>
        </w:rPr>
        <w:t>actions </w:t>
      </w:r>
      <w:r>
        <w:rPr>
          <w:color w:val="231F20"/>
        </w:rPr>
        <w:t>can act to </w:t>
      </w:r>
      <w:r>
        <w:rPr>
          <w:color w:val="231F20"/>
          <w:spacing w:val="-3"/>
        </w:rPr>
        <w:t>disadvantage some </w:t>
      </w:r>
      <w:r>
        <w:rPr>
          <w:color w:val="231F20"/>
          <w:spacing w:val="-4"/>
        </w:rPr>
        <w:t>groups </w:t>
      </w:r>
      <w:r>
        <w:rPr>
          <w:color w:val="231F20"/>
          <w:spacing w:val="-3"/>
        </w:rPr>
        <w:t>over others. Attitudes </w:t>
      </w:r>
      <w:r>
        <w:rPr>
          <w:color w:val="231F20"/>
          <w:spacing w:val="-4"/>
        </w:rPr>
        <w:t>represent </w:t>
      </w:r>
      <w:r>
        <w:rPr>
          <w:color w:val="231F20"/>
          <w:spacing w:val="-3"/>
        </w:rPr>
        <w:t>an “enduring favourable </w:t>
      </w:r>
      <w:r>
        <w:rPr>
          <w:color w:val="231F20"/>
        </w:rPr>
        <w:t>or </w:t>
      </w:r>
      <w:r>
        <w:rPr>
          <w:color w:val="231F20"/>
          <w:spacing w:val="-3"/>
        </w:rPr>
        <w:t>unfavourable </w:t>
      </w:r>
      <w:r>
        <w:rPr>
          <w:color w:val="231F20"/>
          <w:spacing w:val="-4"/>
        </w:rPr>
        <w:t>response </w:t>
      </w:r>
      <w:r>
        <w:rPr>
          <w:color w:val="231F20"/>
          <w:spacing w:val="-3"/>
        </w:rPr>
        <w:t>disposition </w:t>
      </w:r>
      <w:r>
        <w:rPr>
          <w:color w:val="231F20"/>
          <w:spacing w:val="-4"/>
        </w:rPr>
        <w:t>towards </w:t>
      </w:r>
      <w:r>
        <w:rPr>
          <w:color w:val="231F20"/>
        </w:rPr>
        <w:t>a </w:t>
      </w:r>
      <w:r>
        <w:rPr>
          <w:color w:val="231F20"/>
          <w:spacing w:val="-3"/>
        </w:rPr>
        <w:t>person, object </w:t>
      </w:r>
      <w:r>
        <w:rPr>
          <w:color w:val="231F20"/>
        </w:rPr>
        <w:t>or </w:t>
      </w:r>
      <w:r>
        <w:rPr>
          <w:color w:val="231F20"/>
          <w:spacing w:val="-3"/>
        </w:rPr>
        <w:t>issue” (Cacioppo </w:t>
      </w:r>
      <w:r>
        <w:rPr>
          <w:color w:val="231F20"/>
        </w:rPr>
        <w:t>et al </w:t>
      </w:r>
      <w:r>
        <w:rPr>
          <w:color w:val="231F20"/>
          <w:spacing w:val="-3"/>
        </w:rPr>
        <w:t>1991, </w:t>
      </w:r>
      <w:r>
        <w:rPr>
          <w:color w:val="231F20"/>
        </w:rPr>
        <w:t>p. </w:t>
      </w:r>
      <w:r>
        <w:rPr>
          <w:color w:val="231F20"/>
          <w:spacing w:val="-3"/>
        </w:rPr>
        <w:t>523). Attitudes </w:t>
      </w:r>
      <w:r>
        <w:rPr>
          <w:color w:val="231F20"/>
          <w:spacing w:val="-4"/>
        </w:rPr>
        <w:t>are </w:t>
      </w:r>
      <w:r>
        <w:rPr>
          <w:color w:val="231F20"/>
          <w:spacing w:val="-3"/>
        </w:rPr>
        <w:t>generally explained </w:t>
      </w:r>
      <w:r>
        <w:rPr>
          <w:color w:val="231F20"/>
        </w:rPr>
        <w:t>in </w:t>
      </w:r>
      <w:r>
        <w:rPr>
          <w:color w:val="231F20"/>
          <w:spacing w:val="-3"/>
        </w:rPr>
        <w:t>positive </w:t>
      </w:r>
      <w:r>
        <w:rPr>
          <w:color w:val="231F20"/>
        </w:rPr>
        <w:t>and </w:t>
      </w:r>
      <w:r>
        <w:rPr>
          <w:color w:val="231F20"/>
          <w:spacing w:val="-3"/>
        </w:rPr>
        <w:t>negative attribute dimensions, such </w:t>
      </w:r>
      <w:r>
        <w:rPr>
          <w:color w:val="231F20"/>
        </w:rPr>
        <w:t>as </w:t>
      </w:r>
      <w:r>
        <w:rPr>
          <w:color w:val="231F20"/>
          <w:spacing w:val="-3"/>
        </w:rPr>
        <w:t>good-bad, harmful-beneficial, pleasant-unpleasant,</w:t>
      </w:r>
    </w:p>
    <w:p>
      <w:pPr>
        <w:pStyle w:val="BodyText"/>
        <w:spacing w:line="235" w:lineRule="auto"/>
        <w:ind w:left="280" w:right="100"/>
      </w:pPr>
      <w:r>
        <w:rPr>
          <w:color w:val="231F20"/>
        </w:rPr>
        <w:t>and </w:t>
      </w:r>
      <w:r>
        <w:rPr>
          <w:color w:val="231F20"/>
          <w:spacing w:val="-3"/>
        </w:rPr>
        <w:t>likeable-dislikeable (Ajzen 2001). The object </w:t>
      </w:r>
      <w:r>
        <w:rPr>
          <w:color w:val="231F20"/>
        </w:rPr>
        <w:t>of the </w:t>
      </w:r>
      <w:r>
        <w:rPr>
          <w:color w:val="231F20"/>
          <w:spacing w:val="-3"/>
        </w:rPr>
        <w:t>attitude could </w:t>
      </w:r>
      <w:r>
        <w:rPr>
          <w:color w:val="231F20"/>
        </w:rPr>
        <w:t>be </w:t>
      </w:r>
      <w:r>
        <w:rPr>
          <w:color w:val="231F20"/>
          <w:spacing w:val="-3"/>
        </w:rPr>
        <w:t>anything </w:t>
      </w:r>
      <w:r>
        <w:rPr>
          <w:color w:val="231F20"/>
        </w:rPr>
        <w:t>in </w:t>
      </w:r>
      <w:r>
        <w:rPr>
          <w:color w:val="231F20"/>
          <w:spacing w:val="-3"/>
        </w:rPr>
        <w:t>the </w:t>
      </w:r>
      <w:r>
        <w:rPr>
          <w:color w:val="231F20"/>
          <w:spacing w:val="-4"/>
        </w:rPr>
        <w:t>environment, </w:t>
      </w:r>
      <w:r>
        <w:rPr>
          <w:color w:val="231F20"/>
          <w:spacing w:val="-3"/>
        </w:rPr>
        <w:t>such </w:t>
      </w:r>
      <w:r>
        <w:rPr>
          <w:color w:val="231F20"/>
        </w:rPr>
        <w:t>as a </w:t>
      </w:r>
      <w:r>
        <w:rPr>
          <w:color w:val="231F20"/>
          <w:spacing w:val="-4"/>
        </w:rPr>
        <w:t>concrete </w:t>
      </w:r>
      <w:r>
        <w:rPr>
          <w:color w:val="231F20"/>
          <w:spacing w:val="-3"/>
        </w:rPr>
        <w:t>target, person, </w:t>
      </w:r>
      <w:r>
        <w:rPr>
          <w:color w:val="231F20"/>
          <w:spacing w:val="-5"/>
        </w:rPr>
        <w:t>behaviour, </w:t>
      </w:r>
      <w:r>
        <w:rPr>
          <w:color w:val="231F20"/>
          <w:spacing w:val="-3"/>
        </w:rPr>
        <w:t>abstract </w:t>
      </w:r>
      <w:r>
        <w:rPr>
          <w:color w:val="231F20"/>
          <w:spacing w:val="-6"/>
        </w:rPr>
        <w:t>entity, </w:t>
      </w:r>
      <w:r>
        <w:rPr>
          <w:color w:val="231F20"/>
        </w:rPr>
        <w:t>or </w:t>
      </w:r>
      <w:r>
        <w:rPr>
          <w:color w:val="231F20"/>
          <w:spacing w:val="-3"/>
        </w:rPr>
        <w:t>event (Albarracin  </w:t>
      </w:r>
      <w:r>
        <w:rPr>
          <w:color w:val="231F20"/>
        </w:rPr>
        <w:t>et al </w:t>
      </w:r>
      <w:r>
        <w:rPr>
          <w:color w:val="231F20"/>
          <w:spacing w:val="-3"/>
        </w:rPr>
        <w:t>2010). People organise their </w:t>
      </w:r>
      <w:r>
        <w:rPr>
          <w:color w:val="231F20"/>
          <w:spacing w:val="-4"/>
        </w:rPr>
        <w:t>perceptions</w:t>
      </w:r>
      <w:r>
        <w:rPr>
          <w:color w:val="231F20"/>
          <w:spacing w:val="-9"/>
        </w:rPr>
        <w:t> </w:t>
      </w:r>
      <w:r>
        <w:rPr>
          <w:color w:val="231F20"/>
          <w:spacing w:val="-3"/>
        </w:rPr>
        <w:t>of</w:t>
      </w:r>
    </w:p>
    <w:p>
      <w:pPr>
        <w:pStyle w:val="BodyText"/>
        <w:spacing w:line="235" w:lineRule="auto"/>
        <w:ind w:left="280" w:right="6"/>
      </w:pPr>
      <w:r>
        <w:rPr>
          <w:color w:val="231F20"/>
        </w:rPr>
        <w:t>the </w:t>
      </w:r>
      <w:r>
        <w:rPr>
          <w:color w:val="231F20"/>
          <w:spacing w:val="-3"/>
        </w:rPr>
        <w:t>world </w:t>
      </w:r>
      <w:r>
        <w:rPr>
          <w:color w:val="231F20"/>
        </w:rPr>
        <w:t>in terms of </w:t>
      </w:r>
      <w:r>
        <w:rPr>
          <w:color w:val="231F20"/>
          <w:spacing w:val="-3"/>
        </w:rPr>
        <w:t>their attitudes, </w:t>
      </w:r>
      <w:r>
        <w:rPr>
          <w:color w:val="231F20"/>
        </w:rPr>
        <w:t>and </w:t>
      </w:r>
      <w:r>
        <w:rPr>
          <w:color w:val="231F20"/>
          <w:spacing w:val="-3"/>
        </w:rPr>
        <w:t>attitudes </w:t>
      </w:r>
      <w:r>
        <w:rPr>
          <w:color w:val="231F20"/>
        </w:rPr>
        <w:t>can </w:t>
      </w:r>
      <w:r>
        <w:rPr>
          <w:color w:val="231F20"/>
          <w:spacing w:val="-3"/>
        </w:rPr>
        <w:t>influence </w:t>
      </w:r>
      <w:r>
        <w:rPr>
          <w:color w:val="231F20"/>
        </w:rPr>
        <w:t>how </w:t>
      </w:r>
      <w:r>
        <w:rPr>
          <w:color w:val="231F20"/>
          <w:spacing w:val="-3"/>
        </w:rPr>
        <w:t>people behave (Cacioppo</w:t>
      </w:r>
    </w:p>
    <w:p>
      <w:pPr>
        <w:pStyle w:val="BodyText"/>
        <w:spacing w:line="235" w:lineRule="auto"/>
        <w:ind w:left="280" w:right="232"/>
      </w:pPr>
      <w:r>
        <w:rPr>
          <w:color w:val="231F20"/>
        </w:rPr>
        <w:t>et al </w:t>
      </w:r>
      <w:r>
        <w:rPr>
          <w:color w:val="231F20"/>
          <w:spacing w:val="-3"/>
        </w:rPr>
        <w:t>1991). These include racist attitudes and beliefs. Like institutional racism, individual racism </w:t>
      </w:r>
      <w:r>
        <w:rPr>
          <w:color w:val="231F20"/>
        </w:rPr>
        <w:t>has </w:t>
      </w:r>
      <w:r>
        <w:rPr>
          <w:color w:val="231F20"/>
          <w:spacing w:val="-3"/>
        </w:rPr>
        <w:t>changed over time, </w:t>
      </w:r>
      <w:r>
        <w:rPr>
          <w:color w:val="231F20"/>
          <w:spacing w:val="-4"/>
        </w:rPr>
        <w:t>where </w:t>
      </w:r>
      <w:r>
        <w:rPr>
          <w:color w:val="231F20"/>
        </w:rPr>
        <w:t>‘modern</w:t>
      </w:r>
    </w:p>
    <w:p>
      <w:pPr>
        <w:pStyle w:val="BodyText"/>
        <w:spacing w:line="235" w:lineRule="auto" w:before="104"/>
        <w:ind w:left="280" w:right="395"/>
      </w:pPr>
      <w:r>
        <w:rPr/>
        <w:br w:type="column"/>
      </w:r>
      <w:r>
        <w:rPr>
          <w:color w:val="231F20"/>
          <w:spacing w:val="-4"/>
        </w:rPr>
        <w:t>prejudice’ </w:t>
      </w:r>
      <w:r>
        <w:rPr>
          <w:color w:val="231F20"/>
        </w:rPr>
        <w:t>is </w:t>
      </w:r>
      <w:r>
        <w:rPr>
          <w:color w:val="231F20"/>
          <w:spacing w:val="-4"/>
        </w:rPr>
        <w:t>more prevalent </w:t>
      </w:r>
      <w:r>
        <w:rPr>
          <w:color w:val="231F20"/>
          <w:spacing w:val="-3"/>
        </w:rPr>
        <w:t>than ‘old-fashioned’ racism (Pendersen </w:t>
      </w:r>
      <w:r>
        <w:rPr>
          <w:color w:val="231F20"/>
        </w:rPr>
        <w:t>et al </w:t>
      </w:r>
      <w:r>
        <w:rPr>
          <w:color w:val="231F20"/>
          <w:spacing w:val="-3"/>
        </w:rPr>
        <w:t>2000). </w:t>
      </w:r>
      <w:r>
        <w:rPr>
          <w:color w:val="231F20"/>
          <w:spacing w:val="-4"/>
        </w:rPr>
        <w:t>Where </w:t>
      </w:r>
      <w:r>
        <w:rPr>
          <w:color w:val="231F20"/>
          <w:spacing w:val="-3"/>
        </w:rPr>
        <w:t>the</w:t>
      </w:r>
    </w:p>
    <w:p>
      <w:pPr>
        <w:pStyle w:val="BodyText"/>
        <w:spacing w:line="235" w:lineRule="auto"/>
        <w:ind w:left="280" w:right="395"/>
      </w:pPr>
      <w:r>
        <w:rPr>
          <w:color w:val="231F20"/>
          <w:spacing w:val="-3"/>
        </w:rPr>
        <w:t>old-fashioned </w:t>
      </w:r>
      <w:r>
        <w:rPr>
          <w:color w:val="231F20"/>
        </w:rPr>
        <w:t>form is </w:t>
      </w:r>
      <w:r>
        <w:rPr>
          <w:color w:val="231F20"/>
          <w:spacing w:val="-3"/>
        </w:rPr>
        <w:t>characterised </w:t>
      </w:r>
      <w:r>
        <w:rPr>
          <w:color w:val="231F20"/>
        </w:rPr>
        <w:t>by overt </w:t>
      </w:r>
      <w:r>
        <w:rPr>
          <w:color w:val="231F20"/>
          <w:spacing w:val="-3"/>
        </w:rPr>
        <w:t>hostility </w:t>
      </w:r>
      <w:r>
        <w:rPr>
          <w:color w:val="231F20"/>
        </w:rPr>
        <w:t>and </w:t>
      </w:r>
      <w:r>
        <w:rPr>
          <w:color w:val="231F20"/>
          <w:spacing w:val="-4"/>
        </w:rPr>
        <w:t>rejection, </w:t>
      </w:r>
      <w:r>
        <w:rPr>
          <w:color w:val="231F20"/>
        </w:rPr>
        <w:t>the modern form is </w:t>
      </w:r>
      <w:r>
        <w:rPr>
          <w:color w:val="231F20"/>
          <w:spacing w:val="-4"/>
        </w:rPr>
        <w:t>more </w:t>
      </w:r>
      <w:r>
        <w:rPr>
          <w:color w:val="231F20"/>
          <w:spacing w:val="-3"/>
        </w:rPr>
        <w:t>subtle </w:t>
      </w:r>
      <w:r>
        <w:rPr>
          <w:color w:val="231F20"/>
        </w:rPr>
        <w:t>and covert, </w:t>
      </w:r>
      <w:r>
        <w:rPr>
          <w:color w:val="231F20"/>
          <w:spacing w:val="-3"/>
        </w:rPr>
        <w:t>involving individualistic values (Pendersen </w:t>
      </w:r>
      <w:r>
        <w:rPr>
          <w:color w:val="231F20"/>
        </w:rPr>
        <w:t>et al </w:t>
      </w:r>
      <w:r>
        <w:rPr>
          <w:color w:val="231F20"/>
          <w:spacing w:val="-3"/>
        </w:rPr>
        <w:t>2004). Poteat </w:t>
      </w:r>
      <w:r>
        <w:rPr>
          <w:color w:val="231F20"/>
        </w:rPr>
        <w:t>and </w:t>
      </w:r>
      <w:r>
        <w:rPr>
          <w:color w:val="231F20"/>
          <w:spacing w:val="-3"/>
        </w:rPr>
        <w:t>Spanierman (2012) state that </w:t>
      </w:r>
      <w:r>
        <w:rPr>
          <w:color w:val="231F20"/>
        </w:rPr>
        <w:t>“modern </w:t>
      </w:r>
      <w:r>
        <w:rPr>
          <w:color w:val="231F20"/>
          <w:spacing w:val="-3"/>
        </w:rPr>
        <w:t>racism attitudes comprise beliefs that racial minorities </w:t>
      </w:r>
      <w:r>
        <w:rPr>
          <w:color w:val="231F20"/>
          <w:spacing w:val="-4"/>
        </w:rPr>
        <w:t>are </w:t>
      </w:r>
      <w:r>
        <w:rPr>
          <w:color w:val="231F20"/>
          <w:spacing w:val="-3"/>
        </w:rPr>
        <w:t>overly </w:t>
      </w:r>
      <w:r>
        <w:rPr>
          <w:color w:val="231F20"/>
          <w:spacing w:val="-4"/>
        </w:rPr>
        <w:t>aggressive </w:t>
      </w:r>
      <w:r>
        <w:rPr>
          <w:color w:val="231F20"/>
        </w:rPr>
        <w:t>and </w:t>
      </w:r>
      <w:r>
        <w:rPr>
          <w:color w:val="231F20"/>
          <w:spacing w:val="-4"/>
        </w:rPr>
        <w:t>forceful </w:t>
      </w:r>
      <w:r>
        <w:rPr>
          <w:color w:val="231F20"/>
        </w:rPr>
        <w:t>in </w:t>
      </w:r>
      <w:r>
        <w:rPr>
          <w:color w:val="231F20"/>
          <w:spacing w:val="-3"/>
        </w:rPr>
        <w:t>attaining societal </w:t>
      </w:r>
      <w:r>
        <w:rPr>
          <w:color w:val="231F20"/>
          <w:spacing w:val="-4"/>
        </w:rPr>
        <w:t>resources, receive </w:t>
      </w:r>
      <w:r>
        <w:rPr>
          <w:color w:val="231F20"/>
          <w:spacing w:val="-3"/>
        </w:rPr>
        <w:t>unfair opportunities, and</w:t>
      </w:r>
    </w:p>
    <w:p>
      <w:pPr>
        <w:pStyle w:val="BodyText"/>
        <w:spacing w:line="235" w:lineRule="auto"/>
        <w:ind w:left="280" w:right="523"/>
      </w:pPr>
      <w:r>
        <w:rPr>
          <w:color w:val="231F20"/>
          <w:spacing w:val="-4"/>
        </w:rPr>
        <w:t>are </w:t>
      </w:r>
      <w:r>
        <w:rPr>
          <w:color w:val="231F20"/>
          <w:spacing w:val="-3"/>
        </w:rPr>
        <w:t>undeserving </w:t>
      </w:r>
      <w:r>
        <w:rPr>
          <w:color w:val="231F20"/>
        </w:rPr>
        <w:t>of the </w:t>
      </w:r>
      <w:r>
        <w:rPr>
          <w:color w:val="231F20"/>
          <w:spacing w:val="-3"/>
        </w:rPr>
        <w:t>positions </w:t>
      </w:r>
      <w:r>
        <w:rPr>
          <w:color w:val="231F20"/>
        </w:rPr>
        <w:t>of </w:t>
      </w:r>
      <w:r>
        <w:rPr>
          <w:color w:val="231F20"/>
          <w:spacing w:val="-3"/>
        </w:rPr>
        <w:t>status they have attained” </w:t>
      </w:r>
      <w:r>
        <w:rPr>
          <w:color w:val="231F20"/>
        </w:rPr>
        <w:t>(p. </w:t>
      </w:r>
      <w:r>
        <w:rPr>
          <w:color w:val="231F20"/>
          <w:spacing w:val="-3"/>
        </w:rPr>
        <w:t>759). Studies have shown that </w:t>
      </w:r>
      <w:r>
        <w:rPr>
          <w:color w:val="231F20"/>
        </w:rPr>
        <w:t>a </w:t>
      </w:r>
      <w:r>
        <w:rPr>
          <w:color w:val="231F20"/>
          <w:spacing w:val="-5"/>
        </w:rPr>
        <w:t>person’s </w:t>
      </w:r>
      <w:r>
        <w:rPr>
          <w:color w:val="231F20"/>
          <w:spacing w:val="-4"/>
        </w:rPr>
        <w:t>awareness </w:t>
      </w:r>
      <w:r>
        <w:rPr>
          <w:color w:val="231F20"/>
        </w:rPr>
        <w:t>of </w:t>
      </w:r>
      <w:r>
        <w:rPr>
          <w:color w:val="231F20"/>
          <w:spacing w:val="-3"/>
        </w:rPr>
        <w:t>their personally- held biases </w:t>
      </w:r>
      <w:r>
        <w:rPr>
          <w:color w:val="231F20"/>
        </w:rPr>
        <w:t>is </w:t>
      </w:r>
      <w:r>
        <w:rPr>
          <w:color w:val="231F20"/>
          <w:spacing w:val="-3"/>
        </w:rPr>
        <w:t>critical </w:t>
      </w:r>
      <w:r>
        <w:rPr>
          <w:color w:val="231F20"/>
        </w:rPr>
        <w:t>in </w:t>
      </w:r>
      <w:r>
        <w:rPr>
          <w:color w:val="231F20"/>
          <w:spacing w:val="-4"/>
        </w:rPr>
        <w:t>reducing </w:t>
      </w:r>
      <w:r>
        <w:rPr>
          <w:color w:val="231F20"/>
        </w:rPr>
        <w:t>an </w:t>
      </w:r>
      <w:r>
        <w:rPr>
          <w:color w:val="231F20"/>
          <w:spacing w:val="-5"/>
        </w:rPr>
        <w:t>individual’s </w:t>
      </w:r>
      <w:r>
        <w:rPr>
          <w:color w:val="231F20"/>
        </w:rPr>
        <w:t>modern forms of </w:t>
      </w:r>
      <w:r>
        <w:rPr>
          <w:color w:val="231F20"/>
          <w:spacing w:val="-4"/>
        </w:rPr>
        <w:t>prejudice </w:t>
      </w:r>
      <w:r>
        <w:rPr>
          <w:color w:val="231F20"/>
        </w:rPr>
        <w:t>and </w:t>
      </w:r>
      <w:r>
        <w:rPr>
          <w:color w:val="231F20"/>
          <w:spacing w:val="-3"/>
        </w:rPr>
        <w:t>discrimination. “When </w:t>
      </w:r>
      <w:r>
        <w:rPr>
          <w:color w:val="231F20"/>
          <w:spacing w:val="-5"/>
        </w:rPr>
        <w:t>people’s </w:t>
      </w:r>
      <w:r>
        <w:rPr>
          <w:color w:val="231F20"/>
          <w:spacing w:val="-3"/>
        </w:rPr>
        <w:t>goals </w:t>
      </w:r>
      <w:r>
        <w:rPr>
          <w:color w:val="231F20"/>
        </w:rPr>
        <w:t>to be </w:t>
      </w:r>
      <w:r>
        <w:rPr>
          <w:color w:val="231F20"/>
          <w:spacing w:val="-4"/>
        </w:rPr>
        <w:t>non-prejudiced are </w:t>
      </w:r>
      <w:r>
        <w:rPr>
          <w:color w:val="231F20"/>
          <w:spacing w:val="-3"/>
        </w:rPr>
        <w:t>made salient, they often adjust their attitudes </w:t>
      </w:r>
      <w:r>
        <w:rPr>
          <w:color w:val="231F20"/>
        </w:rPr>
        <w:t>and </w:t>
      </w:r>
      <w:r>
        <w:rPr>
          <w:color w:val="231F20"/>
          <w:spacing w:val="-3"/>
        </w:rPr>
        <w:t>behaviours </w:t>
      </w:r>
      <w:r>
        <w:rPr>
          <w:color w:val="231F20"/>
        </w:rPr>
        <w:t>to be </w:t>
      </w:r>
      <w:r>
        <w:rPr>
          <w:color w:val="231F20"/>
          <w:spacing w:val="-4"/>
        </w:rPr>
        <w:t>more </w:t>
      </w:r>
      <w:r>
        <w:rPr>
          <w:color w:val="231F20"/>
          <w:spacing w:val="-3"/>
        </w:rPr>
        <w:t>egalitarian, and they work </w:t>
      </w:r>
      <w:r>
        <w:rPr>
          <w:color w:val="231F20"/>
          <w:spacing w:val="-4"/>
        </w:rPr>
        <w:t>harder </w:t>
      </w:r>
      <w:r>
        <w:rPr>
          <w:color w:val="231F20"/>
        </w:rPr>
        <w:t>to </w:t>
      </w:r>
      <w:r>
        <w:rPr>
          <w:color w:val="231F20"/>
          <w:spacing w:val="-3"/>
        </w:rPr>
        <w:t>compensate </w:t>
      </w:r>
      <w:r>
        <w:rPr>
          <w:color w:val="231F20"/>
        </w:rPr>
        <w:t>for</w:t>
      </w:r>
      <w:r>
        <w:rPr>
          <w:color w:val="231F20"/>
          <w:spacing w:val="-9"/>
        </w:rPr>
        <w:t> </w:t>
      </w:r>
      <w:r>
        <w:rPr>
          <w:color w:val="231F20"/>
          <w:spacing w:val="-4"/>
        </w:rPr>
        <w:t>prejudiced</w:t>
      </w:r>
    </w:p>
    <w:p>
      <w:pPr>
        <w:pStyle w:val="BodyText"/>
        <w:spacing w:line="235" w:lineRule="auto"/>
        <w:ind w:left="280" w:right="380"/>
      </w:pPr>
      <w:r>
        <w:rPr>
          <w:color w:val="231F20"/>
          <w:spacing w:val="-3"/>
        </w:rPr>
        <w:t>behaviour” </w:t>
      </w:r>
      <w:r>
        <w:rPr>
          <w:color w:val="231F20"/>
        </w:rPr>
        <w:t>(Perry et al </w:t>
      </w:r>
      <w:r>
        <w:rPr>
          <w:color w:val="231F20"/>
          <w:spacing w:val="-3"/>
        </w:rPr>
        <w:t>2015, </w:t>
      </w:r>
      <w:r>
        <w:rPr>
          <w:color w:val="231F20"/>
        </w:rPr>
        <w:t>p. </w:t>
      </w:r>
      <w:r>
        <w:rPr>
          <w:color w:val="231F20"/>
          <w:spacing w:val="-3"/>
        </w:rPr>
        <w:t>64). </w:t>
      </w:r>
      <w:r>
        <w:rPr>
          <w:color w:val="231F20"/>
        </w:rPr>
        <w:t>On the </w:t>
      </w:r>
      <w:r>
        <w:rPr>
          <w:color w:val="231F20"/>
          <w:spacing w:val="-3"/>
        </w:rPr>
        <w:t>other hand, when </w:t>
      </w:r>
      <w:r>
        <w:rPr>
          <w:color w:val="231F20"/>
          <w:spacing w:val="-5"/>
        </w:rPr>
        <w:t>people’s </w:t>
      </w:r>
      <w:r>
        <w:rPr>
          <w:color w:val="231F20"/>
          <w:spacing w:val="-3"/>
        </w:rPr>
        <w:t>biases </w:t>
      </w:r>
      <w:r>
        <w:rPr>
          <w:color w:val="231F20"/>
          <w:spacing w:val="-4"/>
        </w:rPr>
        <w:t>are </w:t>
      </w:r>
      <w:r>
        <w:rPr>
          <w:color w:val="231F20"/>
        </w:rPr>
        <w:t>not </w:t>
      </w:r>
      <w:r>
        <w:rPr>
          <w:color w:val="231F20"/>
          <w:spacing w:val="-4"/>
        </w:rPr>
        <w:t>recognised, </w:t>
      </w:r>
      <w:r>
        <w:rPr>
          <w:color w:val="231F20"/>
          <w:spacing w:val="-3"/>
        </w:rPr>
        <w:t>they </w:t>
      </w:r>
      <w:r>
        <w:rPr>
          <w:color w:val="231F20"/>
          <w:spacing w:val="-4"/>
        </w:rPr>
        <w:t>are </w:t>
      </w:r>
      <w:r>
        <w:rPr>
          <w:color w:val="231F20"/>
          <w:spacing w:val="-3"/>
        </w:rPr>
        <w:t>likely </w:t>
      </w:r>
      <w:r>
        <w:rPr>
          <w:color w:val="231F20"/>
        </w:rPr>
        <w:t>to </w:t>
      </w:r>
      <w:r>
        <w:rPr>
          <w:color w:val="231F20"/>
          <w:spacing w:val="-3"/>
        </w:rPr>
        <w:t>continue </w:t>
      </w:r>
      <w:r>
        <w:rPr>
          <w:color w:val="231F20"/>
          <w:spacing w:val="-4"/>
        </w:rPr>
        <w:t>prejudiced </w:t>
      </w:r>
      <w:r>
        <w:rPr>
          <w:color w:val="231F20"/>
          <w:spacing w:val="-3"/>
        </w:rPr>
        <w:t>behaviours. </w:t>
      </w:r>
      <w:r>
        <w:rPr>
          <w:color w:val="231F20"/>
          <w:spacing w:val="-4"/>
        </w:rPr>
        <w:t>Therefore, </w:t>
      </w:r>
      <w:r>
        <w:rPr>
          <w:color w:val="231F20"/>
        </w:rPr>
        <w:t>a </w:t>
      </w:r>
      <w:r>
        <w:rPr>
          <w:color w:val="231F20"/>
          <w:spacing w:val="-5"/>
        </w:rPr>
        <w:t>person’s </w:t>
      </w:r>
      <w:r>
        <w:rPr>
          <w:color w:val="231F20"/>
          <w:spacing w:val="-4"/>
        </w:rPr>
        <w:t>awareness </w:t>
      </w:r>
      <w:r>
        <w:rPr>
          <w:color w:val="231F20"/>
        </w:rPr>
        <w:t>of and concern for his or her own </w:t>
      </w:r>
      <w:r>
        <w:rPr>
          <w:color w:val="231F20"/>
          <w:spacing w:val="-3"/>
        </w:rPr>
        <w:t>biases </w:t>
      </w:r>
      <w:r>
        <w:rPr>
          <w:color w:val="231F20"/>
          <w:spacing w:val="-4"/>
        </w:rPr>
        <w:t>are </w:t>
      </w:r>
      <w:r>
        <w:rPr>
          <w:color w:val="231F20"/>
          <w:spacing w:val="-3"/>
        </w:rPr>
        <w:t>critical factors in </w:t>
      </w:r>
      <w:r>
        <w:rPr>
          <w:color w:val="231F20"/>
          <w:spacing w:val="-4"/>
        </w:rPr>
        <w:t>reducing prejudice, </w:t>
      </w:r>
      <w:r>
        <w:rPr>
          <w:color w:val="231F20"/>
        </w:rPr>
        <w:t>and </w:t>
      </w:r>
      <w:r>
        <w:rPr>
          <w:color w:val="231F20"/>
          <w:spacing w:val="-3"/>
        </w:rPr>
        <w:t>people </w:t>
      </w:r>
      <w:r>
        <w:rPr>
          <w:color w:val="231F20"/>
        </w:rPr>
        <w:t>may </w:t>
      </w:r>
      <w:r>
        <w:rPr>
          <w:color w:val="231F20"/>
          <w:spacing w:val="-4"/>
        </w:rPr>
        <w:t>‘correct’ </w:t>
      </w:r>
      <w:r>
        <w:rPr>
          <w:color w:val="231F20"/>
          <w:spacing w:val="-3"/>
        </w:rPr>
        <w:t>their thoughts </w:t>
      </w:r>
      <w:r>
        <w:rPr>
          <w:color w:val="231F20"/>
        </w:rPr>
        <w:t>and </w:t>
      </w:r>
      <w:r>
        <w:rPr>
          <w:color w:val="231F20"/>
          <w:spacing w:val="-3"/>
        </w:rPr>
        <w:t>actions </w:t>
      </w:r>
      <w:r>
        <w:rPr>
          <w:color w:val="231F20"/>
        </w:rPr>
        <w:t>to </w:t>
      </w:r>
      <w:r>
        <w:rPr>
          <w:color w:val="231F20"/>
          <w:spacing w:val="-3"/>
        </w:rPr>
        <w:t>become </w:t>
      </w:r>
      <w:r>
        <w:rPr>
          <w:color w:val="231F20"/>
          <w:spacing w:val="-4"/>
        </w:rPr>
        <w:t>more </w:t>
      </w:r>
      <w:r>
        <w:rPr>
          <w:color w:val="231F20"/>
          <w:spacing w:val="-3"/>
        </w:rPr>
        <w:t>egalitarian when they become </w:t>
      </w:r>
      <w:r>
        <w:rPr>
          <w:color w:val="231F20"/>
          <w:spacing w:val="-4"/>
        </w:rPr>
        <w:t>aware </w:t>
      </w:r>
      <w:r>
        <w:rPr>
          <w:color w:val="231F20"/>
        </w:rPr>
        <w:t>of </w:t>
      </w:r>
      <w:r>
        <w:rPr>
          <w:color w:val="231F20"/>
          <w:spacing w:val="-3"/>
        </w:rPr>
        <w:t>their  bias </w:t>
      </w:r>
      <w:r>
        <w:rPr>
          <w:color w:val="231F20"/>
        </w:rPr>
        <w:t>(Perry et al</w:t>
      </w:r>
      <w:r>
        <w:rPr>
          <w:color w:val="231F20"/>
          <w:spacing w:val="-19"/>
        </w:rPr>
        <w:t> </w:t>
      </w:r>
      <w:r>
        <w:rPr>
          <w:color w:val="231F20"/>
          <w:spacing w:val="-3"/>
        </w:rPr>
        <w:t>2015).</w:t>
      </w:r>
    </w:p>
    <w:p>
      <w:pPr>
        <w:pStyle w:val="BodyText"/>
        <w:spacing w:before="5"/>
        <w:rPr>
          <w:sz w:val="30"/>
        </w:rPr>
      </w:pPr>
    </w:p>
    <w:p>
      <w:pPr>
        <w:pStyle w:val="Heading2"/>
        <w:spacing w:before="1"/>
        <w:ind w:right="469"/>
      </w:pPr>
      <w:r>
        <w:rPr>
          <w:color w:val="358384"/>
        </w:rPr>
        <w:t>Barriers to devolved decision-making are well documented, as are theories for supporting it</w:t>
      </w:r>
    </w:p>
    <w:p>
      <w:pPr>
        <w:pStyle w:val="BodyText"/>
        <w:spacing w:line="235" w:lineRule="auto" w:before="171"/>
        <w:ind w:left="280" w:right="425"/>
      </w:pPr>
      <w:r>
        <w:rPr>
          <w:color w:val="231F20"/>
        </w:rPr>
        <w:t>The literature analysing government approaches to collaborating with Indigenous populations identifies barriers to success and ways to improve collaboration, both in Australia and overseas.</w:t>
      </w:r>
    </w:p>
    <w:p>
      <w:pPr>
        <w:pStyle w:val="BodyText"/>
        <w:spacing w:line="235" w:lineRule="auto" w:before="165"/>
        <w:ind w:left="280" w:right="571"/>
      </w:pPr>
      <w:r>
        <w:rPr>
          <w:color w:val="231F20"/>
        </w:rPr>
        <w:t>The barriers or limitations include the legacy of the colonial past and a history of poor outcomes, which has engendered a lack of respect, understanding and trust between the</w:t>
      </w:r>
    </w:p>
    <w:p>
      <w:pPr>
        <w:pStyle w:val="BodyText"/>
        <w:spacing w:line="235" w:lineRule="auto"/>
        <w:ind w:left="280" w:right="375"/>
      </w:pPr>
      <w:r>
        <w:rPr>
          <w:color w:val="231F20"/>
        </w:rPr>
        <w:t>parties. Examples from the literature include the use of ‘white’ language (Quayle &amp; Sonn 2013); historical and cultural differences, including insensitivity to Indigenous cultural customs (Closing the Gap Clearinghouse 2013; Escott et</w:t>
      </w:r>
    </w:p>
    <w:p>
      <w:pPr>
        <w:spacing w:after="0" w:line="235" w:lineRule="auto"/>
        <w:sectPr>
          <w:type w:val="continuous"/>
          <w:pgSz w:w="11910" w:h="16840"/>
          <w:pgMar w:top="1580" w:bottom="280" w:left="740" w:right="640"/>
          <w:cols w:num="2" w:equalWidth="0">
            <w:col w:w="5003" w:space="156"/>
            <w:col w:w="5371"/>
          </w:cols>
        </w:sect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0" w:footer="558" w:top="1600" w:bottom="740" w:left="740" w:right="640"/>
        </w:sectPr>
      </w:pPr>
    </w:p>
    <w:p>
      <w:pPr>
        <w:pStyle w:val="BodyText"/>
        <w:spacing w:line="235" w:lineRule="auto" w:before="105"/>
        <w:ind w:left="280" w:right="12"/>
      </w:pPr>
      <w:r>
        <w:rPr>
          <w:color w:val="231F20"/>
        </w:rPr>
        <w:t>al 2015; Hunt 2007; Taylor et al 2013); tokenistic inclusion of Indigenous representatives</w:t>
      </w:r>
    </w:p>
    <w:p>
      <w:pPr>
        <w:pStyle w:val="BodyText"/>
        <w:spacing w:line="235" w:lineRule="auto"/>
        <w:ind w:left="280" w:right="45"/>
      </w:pPr>
      <w:r>
        <w:rPr>
          <w:color w:val="231F20"/>
        </w:rPr>
        <w:t>in governance structures which offer no opportunity for real influence (Escott et al 2015); and a coercive or paternalistic approach on</w:t>
      </w:r>
    </w:p>
    <w:p>
      <w:pPr>
        <w:pStyle w:val="BodyText"/>
        <w:spacing w:line="235" w:lineRule="auto"/>
        <w:ind w:left="280" w:right="620"/>
      </w:pPr>
      <w:r>
        <w:rPr>
          <w:color w:val="231F20"/>
        </w:rPr>
        <w:t>the part of governments, particularly when problems arise (Hunt 2007; New Zealand Productivity Commission 2015).</w:t>
      </w:r>
    </w:p>
    <w:p>
      <w:pPr>
        <w:pStyle w:val="BodyText"/>
        <w:spacing w:line="235" w:lineRule="auto" w:before="162"/>
        <w:ind w:left="280" w:right="268"/>
      </w:pPr>
      <w:r>
        <w:rPr>
          <w:color w:val="231F20"/>
        </w:rPr>
        <w:t>The structures and frameworks used to establish and develop working relationships have also been subject to criticism. For example, issues which can hinder the development of relationships include:</w:t>
      </w:r>
    </w:p>
    <w:p>
      <w:pPr>
        <w:pStyle w:val="ListParagraph"/>
        <w:numPr>
          <w:ilvl w:val="0"/>
          <w:numId w:val="2"/>
        </w:numPr>
        <w:tabs>
          <w:tab w:pos="621" w:val="left" w:leader="none"/>
        </w:tabs>
        <w:spacing w:line="235" w:lineRule="auto" w:before="166" w:after="0"/>
        <w:ind w:left="620" w:right="199" w:hanging="227"/>
        <w:jc w:val="left"/>
        <w:rPr>
          <w:sz w:val="22"/>
        </w:rPr>
      </w:pPr>
      <w:r>
        <w:rPr>
          <w:color w:val="231F20"/>
          <w:sz w:val="22"/>
        </w:rPr>
        <w:t>disengagement and high turnover of government staff (CIRCA 2015; Closing </w:t>
      </w:r>
      <w:r>
        <w:rPr>
          <w:color w:val="231F20"/>
          <w:spacing w:val="-6"/>
          <w:sz w:val="22"/>
        </w:rPr>
        <w:t>the </w:t>
      </w:r>
      <w:r>
        <w:rPr>
          <w:color w:val="231F20"/>
          <w:sz w:val="22"/>
        </w:rPr>
        <w:t>Gap Clearinghouse 2013; Hunt 2007)</w:t>
      </w:r>
    </w:p>
    <w:p>
      <w:pPr>
        <w:pStyle w:val="ListParagraph"/>
        <w:numPr>
          <w:ilvl w:val="0"/>
          <w:numId w:val="2"/>
        </w:numPr>
        <w:tabs>
          <w:tab w:pos="621" w:val="left" w:leader="none"/>
        </w:tabs>
        <w:spacing w:line="235" w:lineRule="auto" w:before="167" w:after="0"/>
        <w:ind w:left="620" w:right="309" w:hanging="227"/>
        <w:jc w:val="left"/>
        <w:rPr>
          <w:sz w:val="22"/>
        </w:rPr>
      </w:pPr>
      <w:r>
        <w:rPr>
          <w:color w:val="231F20"/>
          <w:sz w:val="22"/>
        </w:rPr>
        <w:t>government failure to understand the customary decision-making processes of Aboriginal communities (Zurba et al</w:t>
      </w:r>
      <w:r>
        <w:rPr>
          <w:color w:val="231F20"/>
          <w:spacing w:val="3"/>
          <w:sz w:val="22"/>
        </w:rPr>
        <w:t> </w:t>
      </w:r>
      <w:r>
        <w:rPr>
          <w:color w:val="231F20"/>
          <w:spacing w:val="-4"/>
          <w:sz w:val="22"/>
        </w:rPr>
        <w:t>2012)</w:t>
      </w:r>
    </w:p>
    <w:p>
      <w:pPr>
        <w:pStyle w:val="ListParagraph"/>
        <w:numPr>
          <w:ilvl w:val="0"/>
          <w:numId w:val="2"/>
        </w:numPr>
        <w:tabs>
          <w:tab w:pos="621" w:val="left" w:leader="none"/>
        </w:tabs>
        <w:spacing w:line="235" w:lineRule="auto" w:before="167" w:after="0"/>
        <w:ind w:left="620" w:right="86" w:hanging="227"/>
        <w:jc w:val="left"/>
        <w:rPr>
          <w:sz w:val="22"/>
        </w:rPr>
      </w:pPr>
      <w:r>
        <w:rPr>
          <w:color w:val="231F20"/>
          <w:sz w:val="22"/>
        </w:rPr>
        <w:t>a </w:t>
      </w:r>
      <w:r>
        <w:rPr>
          <w:color w:val="231F20"/>
          <w:spacing w:val="-5"/>
          <w:sz w:val="22"/>
        </w:rPr>
        <w:t>government tendency </w:t>
      </w:r>
      <w:r>
        <w:rPr>
          <w:color w:val="231F20"/>
          <w:spacing w:val="-3"/>
          <w:sz w:val="22"/>
        </w:rPr>
        <w:t>to </w:t>
      </w:r>
      <w:r>
        <w:rPr>
          <w:color w:val="231F20"/>
          <w:spacing w:val="-4"/>
          <w:sz w:val="22"/>
        </w:rPr>
        <w:t>focus </w:t>
      </w:r>
      <w:r>
        <w:rPr>
          <w:color w:val="231F20"/>
          <w:spacing w:val="-3"/>
          <w:sz w:val="22"/>
        </w:rPr>
        <w:t>on </w:t>
      </w:r>
      <w:r>
        <w:rPr>
          <w:color w:val="231F20"/>
          <w:spacing w:val="-5"/>
          <w:sz w:val="22"/>
        </w:rPr>
        <w:t>managing </w:t>
      </w:r>
      <w:r>
        <w:rPr>
          <w:color w:val="231F20"/>
          <w:sz w:val="22"/>
        </w:rPr>
        <w:t>a </w:t>
      </w:r>
      <w:r>
        <w:rPr>
          <w:color w:val="231F20"/>
          <w:spacing w:val="-5"/>
          <w:sz w:val="22"/>
        </w:rPr>
        <w:t>relationship </w:t>
      </w:r>
      <w:r>
        <w:rPr>
          <w:color w:val="231F20"/>
          <w:spacing w:val="-3"/>
          <w:sz w:val="22"/>
        </w:rPr>
        <w:t>to </w:t>
      </w:r>
      <w:r>
        <w:rPr>
          <w:color w:val="231F20"/>
          <w:spacing w:val="-4"/>
          <w:sz w:val="22"/>
        </w:rPr>
        <w:t>the point </w:t>
      </w:r>
      <w:r>
        <w:rPr>
          <w:color w:val="231F20"/>
          <w:spacing w:val="-3"/>
          <w:sz w:val="22"/>
        </w:rPr>
        <w:t>of </w:t>
      </w:r>
      <w:r>
        <w:rPr>
          <w:color w:val="231F20"/>
          <w:spacing w:val="-6"/>
          <w:sz w:val="22"/>
        </w:rPr>
        <w:t>agreement </w:t>
      </w:r>
      <w:r>
        <w:rPr>
          <w:color w:val="231F20"/>
          <w:spacing w:val="-5"/>
          <w:sz w:val="22"/>
        </w:rPr>
        <w:t>instead </w:t>
      </w:r>
      <w:r>
        <w:rPr>
          <w:color w:val="231F20"/>
          <w:spacing w:val="-3"/>
          <w:sz w:val="22"/>
        </w:rPr>
        <w:t>of </w:t>
      </w:r>
      <w:r>
        <w:rPr>
          <w:color w:val="231F20"/>
          <w:spacing w:val="-5"/>
          <w:sz w:val="22"/>
        </w:rPr>
        <w:t>managing </w:t>
      </w:r>
      <w:r>
        <w:rPr>
          <w:color w:val="231F20"/>
          <w:spacing w:val="-3"/>
          <w:sz w:val="22"/>
        </w:rPr>
        <w:t>it in </w:t>
      </w:r>
      <w:r>
        <w:rPr>
          <w:color w:val="231F20"/>
          <w:spacing w:val="-5"/>
          <w:sz w:val="22"/>
        </w:rPr>
        <w:t>order </w:t>
      </w:r>
      <w:r>
        <w:rPr>
          <w:color w:val="231F20"/>
          <w:spacing w:val="-3"/>
          <w:sz w:val="22"/>
        </w:rPr>
        <w:t>to </w:t>
      </w:r>
      <w:r>
        <w:rPr>
          <w:color w:val="231F20"/>
          <w:spacing w:val="-5"/>
          <w:sz w:val="22"/>
        </w:rPr>
        <w:t>foster ongoing cooperation (Robson </w:t>
      </w:r>
      <w:r>
        <w:rPr>
          <w:color w:val="231F20"/>
          <w:sz w:val="22"/>
        </w:rPr>
        <w:t>&amp; </w:t>
      </w:r>
      <w:r>
        <w:rPr>
          <w:color w:val="231F20"/>
          <w:spacing w:val="-4"/>
          <w:sz w:val="22"/>
        </w:rPr>
        <w:t>Kant</w:t>
      </w:r>
      <w:r>
        <w:rPr>
          <w:color w:val="231F20"/>
          <w:spacing w:val="-23"/>
          <w:sz w:val="22"/>
        </w:rPr>
        <w:t> </w:t>
      </w:r>
      <w:r>
        <w:rPr>
          <w:color w:val="231F20"/>
          <w:spacing w:val="-5"/>
          <w:sz w:val="22"/>
        </w:rPr>
        <w:t>2007)</w:t>
      </w:r>
    </w:p>
    <w:p>
      <w:pPr>
        <w:pStyle w:val="ListParagraph"/>
        <w:numPr>
          <w:ilvl w:val="0"/>
          <w:numId w:val="2"/>
        </w:numPr>
        <w:tabs>
          <w:tab w:pos="621" w:val="left" w:leader="none"/>
        </w:tabs>
        <w:spacing w:line="235" w:lineRule="auto" w:before="166" w:after="0"/>
        <w:ind w:left="620" w:right="38" w:hanging="227"/>
        <w:jc w:val="left"/>
        <w:rPr>
          <w:sz w:val="22"/>
        </w:rPr>
      </w:pPr>
      <w:r>
        <w:rPr>
          <w:color w:val="231F20"/>
          <w:sz w:val="22"/>
        </w:rPr>
        <w:t>limited data on outcomes and limited evaluation of programs (Hunt 2007; Productivity Commission 2015; </w:t>
      </w:r>
      <w:r>
        <w:rPr>
          <w:color w:val="231F20"/>
          <w:spacing w:val="-13"/>
          <w:sz w:val="22"/>
        </w:rPr>
        <w:t>Te </w:t>
      </w:r>
      <w:r>
        <w:rPr>
          <w:color w:val="231F20"/>
          <w:sz w:val="22"/>
        </w:rPr>
        <w:t>Puni </w:t>
      </w:r>
      <w:r>
        <w:rPr>
          <w:color w:val="231F20"/>
          <w:spacing w:val="-3"/>
          <w:sz w:val="22"/>
        </w:rPr>
        <w:t>Kokiri </w:t>
      </w:r>
      <w:r>
        <w:rPr>
          <w:color w:val="231F20"/>
          <w:sz w:val="22"/>
        </w:rPr>
        <w:t>2013; </w:t>
      </w:r>
      <w:r>
        <w:rPr>
          <w:color w:val="231F20"/>
          <w:spacing w:val="-13"/>
          <w:sz w:val="22"/>
        </w:rPr>
        <w:t>Te </w:t>
      </w:r>
      <w:r>
        <w:rPr>
          <w:color w:val="231F20"/>
          <w:sz w:val="22"/>
        </w:rPr>
        <w:t>Rau Matatini</w:t>
      </w:r>
      <w:r>
        <w:rPr>
          <w:color w:val="231F20"/>
          <w:spacing w:val="13"/>
          <w:sz w:val="22"/>
        </w:rPr>
        <w:t> </w:t>
      </w:r>
      <w:r>
        <w:rPr>
          <w:color w:val="231F20"/>
          <w:sz w:val="22"/>
        </w:rPr>
        <w:t>2014)</w:t>
      </w:r>
    </w:p>
    <w:p>
      <w:pPr>
        <w:pStyle w:val="ListParagraph"/>
        <w:numPr>
          <w:ilvl w:val="0"/>
          <w:numId w:val="2"/>
        </w:numPr>
        <w:tabs>
          <w:tab w:pos="621" w:val="left" w:leader="none"/>
        </w:tabs>
        <w:spacing w:line="235" w:lineRule="auto" w:before="166" w:after="0"/>
        <w:ind w:left="620" w:right="888" w:hanging="227"/>
        <w:jc w:val="left"/>
        <w:rPr>
          <w:sz w:val="22"/>
        </w:rPr>
      </w:pPr>
      <w:r>
        <w:rPr>
          <w:color w:val="231F20"/>
          <w:sz w:val="22"/>
        </w:rPr>
        <w:t>short-term funding (Closing the </w:t>
      </w:r>
      <w:r>
        <w:rPr>
          <w:color w:val="231F20"/>
          <w:spacing w:val="-5"/>
          <w:sz w:val="22"/>
        </w:rPr>
        <w:t>Gap </w:t>
      </w:r>
      <w:r>
        <w:rPr>
          <w:color w:val="231F20"/>
          <w:sz w:val="22"/>
        </w:rPr>
        <w:t>Clearinghouse 2013)</w:t>
      </w:r>
    </w:p>
    <w:p>
      <w:pPr>
        <w:pStyle w:val="ListParagraph"/>
        <w:numPr>
          <w:ilvl w:val="0"/>
          <w:numId w:val="2"/>
        </w:numPr>
        <w:tabs>
          <w:tab w:pos="621" w:val="left" w:leader="none"/>
        </w:tabs>
        <w:spacing w:line="235" w:lineRule="auto" w:before="168" w:after="0"/>
        <w:ind w:left="620" w:right="38" w:hanging="227"/>
        <w:jc w:val="left"/>
        <w:rPr>
          <w:sz w:val="22"/>
        </w:rPr>
      </w:pPr>
      <w:r>
        <w:rPr>
          <w:color w:val="231F20"/>
          <w:sz w:val="22"/>
        </w:rPr>
        <w:t>programs delivered in isolation or where responsibilities are ambiguous (Closing the Gap Clearinghouse 2013; Kelly 2011) so </w:t>
      </w:r>
      <w:r>
        <w:rPr>
          <w:color w:val="231F20"/>
          <w:spacing w:val="-4"/>
          <w:sz w:val="22"/>
        </w:rPr>
        <w:t>that </w:t>
      </w:r>
      <w:r>
        <w:rPr>
          <w:color w:val="231F20"/>
          <w:sz w:val="22"/>
        </w:rPr>
        <w:t>Indigenous communities must</w:t>
      </w:r>
      <w:r>
        <w:rPr>
          <w:color w:val="231F20"/>
          <w:spacing w:val="1"/>
          <w:sz w:val="22"/>
        </w:rPr>
        <w:t> </w:t>
      </w:r>
      <w:r>
        <w:rPr>
          <w:color w:val="231F20"/>
          <w:sz w:val="22"/>
        </w:rPr>
        <w:t>participate</w:t>
      </w:r>
    </w:p>
    <w:p>
      <w:pPr>
        <w:pStyle w:val="BodyText"/>
        <w:spacing w:line="235" w:lineRule="auto"/>
        <w:ind w:left="620" w:right="268"/>
      </w:pPr>
      <w:r>
        <w:rPr>
          <w:color w:val="231F20"/>
        </w:rPr>
        <w:t>in multiple government relationships (Kelly 2011)</w:t>
      </w:r>
    </w:p>
    <w:p>
      <w:pPr>
        <w:pStyle w:val="ListParagraph"/>
        <w:numPr>
          <w:ilvl w:val="0"/>
          <w:numId w:val="2"/>
        </w:numPr>
        <w:tabs>
          <w:tab w:pos="621" w:val="left" w:leader="none"/>
        </w:tabs>
        <w:spacing w:line="235" w:lineRule="auto" w:before="165" w:after="0"/>
        <w:ind w:left="620" w:right="232" w:hanging="227"/>
        <w:jc w:val="left"/>
        <w:rPr>
          <w:sz w:val="22"/>
        </w:rPr>
      </w:pPr>
      <w:r>
        <w:rPr>
          <w:color w:val="231F20"/>
          <w:sz w:val="22"/>
        </w:rPr>
        <w:t>politicisation of the policy (Stewart &amp; </w:t>
      </w:r>
      <w:r>
        <w:rPr>
          <w:color w:val="231F20"/>
          <w:spacing w:val="-3"/>
          <w:sz w:val="22"/>
        </w:rPr>
        <w:t>Jarvie </w:t>
      </w:r>
      <w:r>
        <w:rPr>
          <w:color w:val="231F20"/>
          <w:sz w:val="22"/>
        </w:rPr>
        <w:t>2015; </w:t>
      </w:r>
      <w:r>
        <w:rPr>
          <w:color w:val="231F20"/>
          <w:spacing w:val="-13"/>
          <w:sz w:val="22"/>
        </w:rPr>
        <w:t>Te </w:t>
      </w:r>
      <w:r>
        <w:rPr>
          <w:color w:val="231F20"/>
          <w:sz w:val="22"/>
        </w:rPr>
        <w:t>Puni Kokiri</w:t>
      </w:r>
      <w:r>
        <w:rPr>
          <w:color w:val="231F20"/>
          <w:spacing w:val="13"/>
          <w:sz w:val="22"/>
        </w:rPr>
        <w:t> </w:t>
      </w:r>
      <w:r>
        <w:rPr>
          <w:color w:val="231F20"/>
          <w:sz w:val="22"/>
        </w:rPr>
        <w:t>2013).</w:t>
      </w:r>
    </w:p>
    <w:p>
      <w:pPr>
        <w:pStyle w:val="BodyText"/>
        <w:spacing w:line="235" w:lineRule="auto" w:before="168"/>
        <w:ind w:left="280" w:right="204"/>
      </w:pPr>
      <w:r>
        <w:rPr>
          <w:color w:val="231F20"/>
        </w:rPr>
        <w:t>As well as analysing barriers, the literature presents theories about what works, including many recommendations about best-practice collaboration with Aboriginal communities. It is clear that interactions with Aboriginal people,</w:t>
      </w:r>
    </w:p>
    <w:p>
      <w:pPr>
        <w:pStyle w:val="BodyText"/>
        <w:spacing w:line="235" w:lineRule="auto" w:before="105"/>
        <w:ind w:left="280" w:right="541"/>
      </w:pPr>
      <w:r>
        <w:rPr/>
        <w:br w:type="column"/>
      </w:r>
      <w:r>
        <w:rPr>
          <w:color w:val="231F20"/>
        </w:rPr>
        <w:t>particularly in the delivery of services, should be culturally appropriate or safe (Thomas et al 2015). This issue is raised frequently in research on the health </w:t>
      </w:r>
      <w:r>
        <w:rPr>
          <w:color w:val="231F20"/>
          <w:spacing w:val="-3"/>
        </w:rPr>
        <w:t>sector, </w:t>
      </w:r>
      <w:r>
        <w:rPr>
          <w:color w:val="231F20"/>
        </w:rPr>
        <w:t>where</w:t>
      </w:r>
      <w:r>
        <w:rPr>
          <w:color w:val="231F20"/>
          <w:spacing w:val="-24"/>
        </w:rPr>
        <w:t> </w:t>
      </w:r>
      <w:r>
        <w:rPr>
          <w:color w:val="231F20"/>
        </w:rPr>
        <w:t>culturally</w:t>
      </w:r>
    </w:p>
    <w:p>
      <w:pPr>
        <w:pStyle w:val="BodyText"/>
        <w:spacing w:line="235" w:lineRule="auto"/>
        <w:ind w:left="280" w:right="374"/>
      </w:pPr>
      <w:r>
        <w:rPr>
          <w:color w:val="231F20"/>
        </w:rPr>
        <w:t>appropriate models of care recognise a holistic approach to health and well-being. “Aboriginal health means not just the physical well-being of an individual but refers to the social, emotional and cultural wellbeing of the whole community in which each individual is able to achieve</w:t>
      </w:r>
    </w:p>
    <w:p>
      <w:pPr>
        <w:pStyle w:val="BodyText"/>
        <w:spacing w:line="235" w:lineRule="auto"/>
        <w:ind w:left="280" w:right="289"/>
      </w:pPr>
      <w:r>
        <w:rPr>
          <w:color w:val="231F20"/>
        </w:rPr>
        <w:t>their full potential as a human being, thereby bringing about the total wellbeing of their community” (National Aboriginal Health Strategy Working Group 1989). This holistic approach can also be observed in other Indigenous peoples’ beliefs and customs, including Mãori peoples (Te Rau Matatini 2014).</w:t>
      </w:r>
    </w:p>
    <w:p>
      <w:pPr>
        <w:pStyle w:val="BodyText"/>
        <w:spacing w:line="235" w:lineRule="auto" w:before="153"/>
        <w:ind w:left="280" w:right="647"/>
      </w:pPr>
      <w:r>
        <w:rPr>
          <w:color w:val="231F20"/>
        </w:rPr>
        <w:t>Building trust and developing genuine relationships with Aboriginal communities are also a strong theme in the literature. This includes allowing time for trusted personal relationships to develop and</w:t>
      </w:r>
      <w:r>
        <w:rPr>
          <w:color w:val="231F20"/>
          <w:spacing w:val="18"/>
        </w:rPr>
        <w:t> </w:t>
      </w:r>
      <w:r>
        <w:rPr>
          <w:color w:val="231F20"/>
        </w:rPr>
        <w:t>consolidate</w:t>
      </w:r>
    </w:p>
    <w:p>
      <w:pPr>
        <w:pStyle w:val="BodyText"/>
        <w:spacing w:line="235" w:lineRule="auto"/>
        <w:ind w:left="280" w:right="440"/>
      </w:pPr>
      <w:r>
        <w:rPr>
          <w:color w:val="231F20"/>
        </w:rPr>
        <w:t>before becoming operational (Closing the </w:t>
      </w:r>
      <w:r>
        <w:rPr>
          <w:color w:val="231F20"/>
          <w:spacing w:val="-4"/>
        </w:rPr>
        <w:t>Gap </w:t>
      </w:r>
      <w:r>
        <w:rPr>
          <w:color w:val="231F20"/>
        </w:rPr>
        <w:t>Clearinghouse 2015; </w:t>
      </w:r>
      <w:r>
        <w:rPr>
          <w:color w:val="231F20"/>
          <w:spacing w:val="-4"/>
        </w:rPr>
        <w:t>Taylor </w:t>
      </w:r>
      <w:r>
        <w:rPr>
          <w:color w:val="231F20"/>
        </w:rPr>
        <w:t>et al 2013; Zurba et al 2012), and taking care that government does not dictate the rules of engagement as the more powerful partner (Hutcheson</w:t>
      </w:r>
      <w:r>
        <w:rPr>
          <w:color w:val="231F20"/>
          <w:spacing w:val="34"/>
        </w:rPr>
        <w:t> </w:t>
      </w:r>
      <w:r>
        <w:rPr>
          <w:color w:val="231F20"/>
        </w:rPr>
        <w:t>2011).</w:t>
      </w:r>
    </w:p>
    <w:p>
      <w:pPr>
        <w:pStyle w:val="BodyText"/>
        <w:spacing w:line="235" w:lineRule="auto"/>
        <w:ind w:left="280" w:right="248"/>
      </w:pPr>
      <w:r>
        <w:rPr>
          <w:color w:val="231F20"/>
        </w:rPr>
        <w:t>Linked to this is supporting an organisational culture in government that fosters and supports Indigenous perspectives (Te Puni Kokiri 2013).</w:t>
      </w:r>
    </w:p>
    <w:p>
      <w:pPr>
        <w:pStyle w:val="BodyText"/>
        <w:spacing w:line="235" w:lineRule="auto"/>
        <w:ind w:left="280" w:right="463"/>
      </w:pPr>
      <w:r>
        <w:rPr>
          <w:color w:val="231F20"/>
        </w:rPr>
        <w:t>It is important to establish structures that  allow effective collaboration and</w:t>
      </w:r>
      <w:r>
        <w:rPr>
          <w:color w:val="231F20"/>
          <w:spacing w:val="27"/>
        </w:rPr>
        <w:t> </w:t>
      </w:r>
      <w:r>
        <w:rPr>
          <w:color w:val="231F20"/>
        </w:rPr>
        <w:t>engagement,</w:t>
      </w:r>
    </w:p>
    <w:p>
      <w:pPr>
        <w:pStyle w:val="BodyText"/>
        <w:spacing w:line="235" w:lineRule="auto"/>
        <w:ind w:left="280" w:right="248"/>
      </w:pPr>
      <w:r>
        <w:rPr>
          <w:color w:val="231F20"/>
        </w:rPr>
        <w:t>including providing opportunities for Aboriginal representatives to “sit at the table in true partnership … to identify issues and solutions” (NSW Ombudsman 2011) and other ongoing formal mechanisms for robust engagement on both the development and delivery of programs (Closing the Gap Clearinghouse 2015).</w:t>
      </w:r>
    </w:p>
    <w:p>
      <w:pPr>
        <w:pStyle w:val="BodyText"/>
        <w:spacing w:line="235" w:lineRule="auto"/>
        <w:ind w:left="280" w:right="300"/>
      </w:pPr>
      <w:r>
        <w:rPr>
          <w:color w:val="231F20"/>
        </w:rPr>
        <w:t>Flexibility in design and delivery is important so that local needs and contexts can be taken into account (Closing the Gap Clearinghouse 2015). There is a role for governments to develop capacity-building programs for Aboriginal representatives (Zurba et al 2012), including</w:t>
      </w:r>
    </w:p>
    <w:p>
      <w:pPr>
        <w:pStyle w:val="BodyText"/>
        <w:spacing w:line="235" w:lineRule="auto"/>
        <w:ind w:left="280" w:right="248"/>
      </w:pPr>
      <w:r>
        <w:rPr>
          <w:color w:val="231F20"/>
        </w:rPr>
        <w:t>in governance (Hunt 2007) and negotiation (CIRCA 2015), in addition to practical training</w:t>
      </w:r>
    </w:p>
    <w:p>
      <w:pPr>
        <w:spacing w:after="0" w:line="235" w:lineRule="auto"/>
        <w:sectPr>
          <w:type w:val="continuous"/>
          <w:pgSz w:w="11910" w:h="16840"/>
          <w:pgMar w:top="1580" w:bottom="280" w:left="740" w:right="640"/>
          <w:cols w:num="2" w:equalWidth="0">
            <w:col w:w="5065" w:space="132"/>
            <w:col w:w="5333"/>
          </w:cols>
        </w:sect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after="0"/>
        <w:rPr>
          <w:sz w:val="21"/>
        </w:rPr>
        <w:sectPr>
          <w:pgSz w:w="11910" w:h="16840"/>
          <w:pgMar w:header="0" w:footer="558" w:top="1600" w:bottom="740" w:left="740" w:right="640"/>
        </w:sectPr>
      </w:pPr>
    </w:p>
    <w:p>
      <w:pPr>
        <w:pStyle w:val="BodyText"/>
        <w:spacing w:line="235" w:lineRule="auto" w:before="104"/>
        <w:ind w:left="280"/>
      </w:pPr>
      <w:r>
        <w:rPr>
          <w:color w:val="231F20"/>
        </w:rPr>
        <w:t>in relation to the policy issue at hand (e.g. land management, health care, etc.).</w:t>
      </w:r>
    </w:p>
    <w:p>
      <w:pPr>
        <w:pStyle w:val="BodyText"/>
        <w:spacing w:line="235" w:lineRule="auto" w:before="168"/>
        <w:ind w:left="280" w:right="679"/>
      </w:pPr>
      <w:r>
        <w:rPr>
          <w:color w:val="231F20"/>
        </w:rPr>
        <w:t>It is also useful to discuss individual-level attitudinal barriers to collaboration, and how these might be overcome, as this</w:t>
      </w:r>
    </w:p>
    <w:p>
      <w:pPr>
        <w:pStyle w:val="BodyText"/>
        <w:spacing w:line="235" w:lineRule="auto"/>
        <w:ind w:left="280" w:right="14"/>
      </w:pPr>
      <w:r>
        <w:rPr>
          <w:color w:val="231F20"/>
        </w:rPr>
        <w:t>understanding may help to counter any beliefs or attitudes held by individual staff that do not align with the values of the organisation. A series of studies of factors that cause prejudice, and in particular those that are potentially modifiable, showed that less empathy towards Aboriginal Australians and less collective</w:t>
      </w:r>
    </w:p>
    <w:p>
      <w:pPr>
        <w:pStyle w:val="BodyText"/>
        <w:spacing w:line="235" w:lineRule="auto"/>
        <w:ind w:left="280"/>
      </w:pPr>
      <w:r>
        <w:rPr>
          <w:color w:val="231F20"/>
        </w:rPr>
        <w:t>guilt about past and present wrongs against Aboriginal peoples were strong predictors of negative attitudes toward Aboriginal Australians (Pendersen et al 2000; Pendersen et al 2004).</w:t>
      </w:r>
    </w:p>
    <w:p>
      <w:pPr>
        <w:pStyle w:val="BodyText"/>
        <w:spacing w:before="7"/>
        <w:rPr>
          <w:sz w:val="31"/>
        </w:rPr>
      </w:pPr>
    </w:p>
    <w:p>
      <w:pPr>
        <w:pStyle w:val="Heading2"/>
        <w:ind w:right="463"/>
        <w:jc w:val="both"/>
      </w:pPr>
      <w:r>
        <w:rPr>
          <w:color w:val="358384"/>
        </w:rPr>
        <w:t>There is limited research on practical strategies for addressing </w:t>
      </w:r>
      <w:r>
        <w:rPr>
          <w:color w:val="358384"/>
          <w:spacing w:val="-3"/>
        </w:rPr>
        <w:t>problematic </w:t>
      </w:r>
      <w:r>
        <w:rPr>
          <w:color w:val="358384"/>
        </w:rPr>
        <w:t>structural and attitudinal frameworks</w:t>
      </w:r>
    </w:p>
    <w:p>
      <w:pPr>
        <w:pStyle w:val="BodyText"/>
        <w:spacing w:line="235" w:lineRule="auto" w:before="171"/>
        <w:ind w:left="280" w:right="397"/>
      </w:pPr>
      <w:r>
        <w:rPr>
          <w:color w:val="231F20"/>
        </w:rPr>
        <w:t>Studies that specifically examine ways to address structural racism in organisations have found that no single activity will lead to</w:t>
      </w:r>
    </w:p>
    <w:p>
      <w:pPr>
        <w:pStyle w:val="BodyText"/>
        <w:spacing w:line="263" w:lineRule="exact"/>
        <w:ind w:left="280"/>
      </w:pPr>
      <w:r>
        <w:rPr>
          <w:color w:val="231F20"/>
        </w:rPr>
        <w:t>transformative organisational change. However,</w:t>
      </w:r>
    </w:p>
    <w:p>
      <w:pPr>
        <w:pStyle w:val="BodyText"/>
        <w:spacing w:line="235" w:lineRule="auto" w:before="104"/>
        <w:ind w:left="280" w:right="791"/>
      </w:pPr>
      <w:r>
        <w:rPr/>
        <w:br w:type="column"/>
      </w:r>
      <w:r>
        <w:rPr>
          <w:color w:val="231F20"/>
        </w:rPr>
        <w:t>it has been shown that a combination of practices can promote change (Abramovitz &amp; Blitz 2015). Practical activities that an organisation can undertake are presented in Table 1</w:t>
      </w:r>
      <w:r>
        <w:rPr>
          <w:rFonts w:ascii="Helvetica"/>
          <w:b/>
          <w:color w:val="231F20"/>
        </w:rPr>
        <w:t>. </w:t>
      </w:r>
      <w:r>
        <w:rPr>
          <w:color w:val="231F20"/>
        </w:rPr>
        <w:t>These are based on a study undertaken by Abramovitz and Blitz (2015).</w:t>
      </w:r>
    </w:p>
    <w:p>
      <w:pPr>
        <w:pStyle w:val="BodyText"/>
        <w:spacing w:line="235" w:lineRule="auto" w:before="164"/>
        <w:ind w:left="280" w:right="446"/>
      </w:pPr>
      <w:r>
        <w:rPr>
          <w:color w:val="231F20"/>
        </w:rPr>
        <w:t>These actions are supported by other authors, including those in the Australian context, who also recommend the provision of cultural safety training for staff (e.g. see Downing &amp; Kowal 2011; Fredericks 2006; Paradies et al 2008), although Downing and Kowal (2011) note that cultural safety training has limitations. </w:t>
      </w:r>
      <w:r>
        <w:rPr>
          <w:color w:val="231F20"/>
          <w:spacing w:val="-3"/>
        </w:rPr>
        <w:t>Further, </w:t>
      </w:r>
      <w:r>
        <w:rPr>
          <w:color w:val="231F20"/>
        </w:rPr>
        <w:t>organisational leaders are important to achieving change and engaging individuals in racial equity work. Racial equity initiatives tend to fare better when executive leaders openly and actively support the process (Abramovitz &amp; Blitz 2015). Organisational change to promote racial equity can however be limited by insufficient resources, the attitudes of staff, organisational reluctance to take on resource allocation conflicts, and an unwillingness to change an organisation’s structure</w:t>
      </w:r>
      <w:r>
        <w:rPr>
          <w:color w:val="231F20"/>
          <w:spacing w:val="-35"/>
        </w:rPr>
        <w:t> </w:t>
      </w:r>
      <w:r>
        <w:rPr>
          <w:color w:val="231F20"/>
        </w:rPr>
        <w:t>(Abramovitz &amp; Blitz 2015).</w:t>
      </w:r>
    </w:p>
    <w:p>
      <w:pPr>
        <w:spacing w:after="0" w:line="235" w:lineRule="auto"/>
        <w:sectPr>
          <w:type w:val="continuous"/>
          <w:pgSz w:w="11910" w:h="16840"/>
          <w:pgMar w:top="1580" w:bottom="280" w:left="740" w:right="640"/>
          <w:cols w:num="2" w:equalWidth="0">
            <w:col w:w="5026" w:space="133"/>
            <w:col w:w="5371"/>
          </w:cols>
        </w:sectPr>
      </w:pPr>
    </w:p>
    <w:p>
      <w:pPr>
        <w:pStyle w:val="BodyText"/>
        <w:rPr>
          <w:sz w:val="18"/>
        </w:rPr>
      </w:pPr>
    </w:p>
    <w:p>
      <w:pPr>
        <w:spacing w:before="100"/>
        <w:ind w:left="280" w:right="0" w:firstLine="0"/>
        <w:jc w:val="left"/>
        <w:rPr>
          <w:rFonts w:ascii="Helvetica-LightOblique"/>
          <w:i/>
          <w:sz w:val="22"/>
        </w:rPr>
      </w:pPr>
      <w:r>
        <w:rPr>
          <w:rFonts w:ascii="Helvetica-LightOblique"/>
          <w:i/>
          <w:color w:val="439FA0"/>
          <w:sz w:val="22"/>
        </w:rPr>
        <w:t>Table 1: Activities to address structural racism</w:t>
      </w:r>
    </w:p>
    <w:p>
      <w:pPr>
        <w:pStyle w:val="BodyText"/>
        <w:spacing w:before="1"/>
        <w:rPr>
          <w:rFonts w:ascii="Helvetica-LightOblique"/>
          <w:i/>
          <w:sz w:val="18"/>
        </w:rPr>
      </w:pPr>
    </w:p>
    <w:tbl>
      <w:tblPr>
        <w:tblW w:w="0" w:type="auto"/>
        <w:jc w:val="left"/>
        <w:tblInd w:w="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74"/>
      </w:tblGrid>
      <w:tr>
        <w:trPr>
          <w:trHeight w:val="581" w:hRule="atLeast"/>
        </w:trPr>
        <w:tc>
          <w:tcPr>
            <w:tcW w:w="9874" w:type="dxa"/>
            <w:tcBorders>
              <w:bottom w:val="single" w:sz="34" w:space="0" w:color="FFFFFF"/>
            </w:tcBorders>
            <w:shd w:val="clear" w:color="auto" w:fill="47A7A8"/>
          </w:tcPr>
          <w:p>
            <w:pPr>
              <w:pStyle w:val="TableParagraph"/>
              <w:spacing w:before="179"/>
              <w:ind w:left="283"/>
              <w:rPr>
                <w:rFonts w:ascii="Helvetica"/>
                <w:b/>
                <w:sz w:val="22"/>
              </w:rPr>
            </w:pPr>
            <w:r>
              <w:rPr>
                <w:rFonts w:ascii="Helvetica"/>
                <w:b/>
                <w:color w:val="FFFFFF"/>
                <w:sz w:val="22"/>
              </w:rPr>
              <w:t>Policies that express a commitment to racial equity</w:t>
            </w:r>
          </w:p>
        </w:tc>
      </w:tr>
      <w:tr>
        <w:trPr>
          <w:trHeight w:val="538" w:hRule="atLeast"/>
        </w:trPr>
        <w:tc>
          <w:tcPr>
            <w:tcW w:w="9874" w:type="dxa"/>
            <w:tcBorders>
              <w:top w:val="single" w:sz="34" w:space="0" w:color="FFFFFF"/>
              <w:bottom w:val="single" w:sz="34" w:space="0" w:color="FFFFFF"/>
            </w:tcBorders>
            <w:shd w:val="clear" w:color="auto" w:fill="47A7A8"/>
          </w:tcPr>
          <w:p>
            <w:pPr>
              <w:pStyle w:val="TableParagraph"/>
              <w:spacing w:before="137"/>
              <w:ind w:left="283"/>
              <w:rPr>
                <w:rFonts w:ascii="Helvetica"/>
                <w:b/>
                <w:sz w:val="22"/>
              </w:rPr>
            </w:pPr>
            <w:r>
              <w:rPr>
                <w:rFonts w:ascii="Helvetica"/>
                <w:b/>
                <w:color w:val="FFFFFF"/>
                <w:sz w:val="22"/>
              </w:rPr>
              <w:t>A deliberate strategy to hire, retain, and promote racially diverse staff</w:t>
            </w:r>
          </w:p>
        </w:tc>
      </w:tr>
      <w:tr>
        <w:trPr>
          <w:trHeight w:val="538" w:hRule="atLeast"/>
        </w:trPr>
        <w:tc>
          <w:tcPr>
            <w:tcW w:w="9874" w:type="dxa"/>
            <w:tcBorders>
              <w:top w:val="single" w:sz="34" w:space="0" w:color="FFFFFF"/>
              <w:bottom w:val="single" w:sz="34" w:space="0" w:color="FFFFFF"/>
            </w:tcBorders>
            <w:shd w:val="clear" w:color="auto" w:fill="47A7A8"/>
          </w:tcPr>
          <w:p>
            <w:pPr>
              <w:pStyle w:val="TableParagraph"/>
              <w:spacing w:before="137"/>
              <w:ind w:left="283"/>
              <w:rPr>
                <w:rFonts w:ascii="Helvetica"/>
                <w:b/>
                <w:sz w:val="22"/>
              </w:rPr>
            </w:pPr>
            <w:r>
              <w:rPr>
                <w:rFonts w:ascii="Helvetica"/>
                <w:b/>
                <w:color w:val="FFFFFF"/>
                <w:sz w:val="22"/>
              </w:rPr>
              <w:t>An orientation process for new staff that highlights the importance of racial equity</w:t>
            </w:r>
          </w:p>
        </w:tc>
      </w:tr>
      <w:tr>
        <w:trPr>
          <w:trHeight w:val="538" w:hRule="atLeast"/>
        </w:trPr>
        <w:tc>
          <w:tcPr>
            <w:tcW w:w="9874" w:type="dxa"/>
            <w:tcBorders>
              <w:top w:val="single" w:sz="34" w:space="0" w:color="FFFFFF"/>
              <w:bottom w:val="single" w:sz="34" w:space="0" w:color="FFFFFF"/>
            </w:tcBorders>
            <w:shd w:val="clear" w:color="auto" w:fill="47A7A8"/>
          </w:tcPr>
          <w:p>
            <w:pPr>
              <w:pStyle w:val="TableParagraph"/>
              <w:spacing w:before="137"/>
              <w:ind w:left="283"/>
              <w:rPr>
                <w:rFonts w:ascii="Helvetica"/>
                <w:b/>
                <w:sz w:val="22"/>
              </w:rPr>
            </w:pPr>
            <w:r>
              <w:rPr>
                <w:rFonts w:ascii="Helvetica"/>
                <w:b/>
                <w:color w:val="FFFFFF"/>
                <w:sz w:val="22"/>
              </w:rPr>
              <w:t>A shared language or analysis about race and racism within the organisation</w:t>
            </w:r>
          </w:p>
        </w:tc>
      </w:tr>
      <w:tr>
        <w:trPr>
          <w:trHeight w:val="538" w:hRule="atLeast"/>
        </w:trPr>
        <w:tc>
          <w:tcPr>
            <w:tcW w:w="9874" w:type="dxa"/>
            <w:tcBorders>
              <w:top w:val="single" w:sz="34" w:space="0" w:color="FFFFFF"/>
              <w:bottom w:val="single" w:sz="34" w:space="0" w:color="FFFFFF"/>
            </w:tcBorders>
            <w:shd w:val="clear" w:color="auto" w:fill="47A7A8"/>
          </w:tcPr>
          <w:p>
            <w:pPr>
              <w:pStyle w:val="TableParagraph"/>
              <w:spacing w:before="137"/>
              <w:ind w:left="283"/>
              <w:rPr>
                <w:rFonts w:ascii="Helvetica"/>
                <w:b/>
                <w:sz w:val="22"/>
              </w:rPr>
            </w:pPr>
            <w:r>
              <w:rPr>
                <w:rFonts w:ascii="Helvetica"/>
                <w:b/>
                <w:color w:val="FFFFFF"/>
                <w:sz w:val="22"/>
              </w:rPr>
              <w:t>Informal discussions with staff about racial equity issues</w:t>
            </w:r>
          </w:p>
        </w:tc>
      </w:tr>
      <w:tr>
        <w:trPr>
          <w:trHeight w:val="538" w:hRule="atLeast"/>
        </w:trPr>
        <w:tc>
          <w:tcPr>
            <w:tcW w:w="9874" w:type="dxa"/>
            <w:tcBorders>
              <w:top w:val="single" w:sz="34" w:space="0" w:color="FFFFFF"/>
              <w:bottom w:val="single" w:sz="34" w:space="0" w:color="FFFFFF"/>
            </w:tcBorders>
            <w:shd w:val="clear" w:color="auto" w:fill="47A7A8"/>
          </w:tcPr>
          <w:p>
            <w:pPr>
              <w:pStyle w:val="TableParagraph"/>
              <w:spacing w:before="137"/>
              <w:ind w:left="283"/>
              <w:rPr>
                <w:rFonts w:ascii="Helvetica"/>
                <w:b/>
                <w:sz w:val="22"/>
              </w:rPr>
            </w:pPr>
            <w:r>
              <w:rPr>
                <w:rFonts w:ascii="Helvetica"/>
                <w:b/>
                <w:color w:val="FFFFFF"/>
                <w:sz w:val="22"/>
              </w:rPr>
              <w:t>Anti-racism training or workshops which staff are encouraged to attend</w:t>
            </w:r>
          </w:p>
        </w:tc>
      </w:tr>
      <w:tr>
        <w:trPr>
          <w:trHeight w:val="538" w:hRule="atLeast"/>
        </w:trPr>
        <w:tc>
          <w:tcPr>
            <w:tcW w:w="9874" w:type="dxa"/>
            <w:tcBorders>
              <w:top w:val="single" w:sz="34" w:space="0" w:color="FFFFFF"/>
              <w:bottom w:val="single" w:sz="34" w:space="0" w:color="FFFFFF"/>
            </w:tcBorders>
            <w:shd w:val="clear" w:color="auto" w:fill="47A7A8"/>
          </w:tcPr>
          <w:p>
            <w:pPr>
              <w:pStyle w:val="TableParagraph"/>
              <w:spacing w:before="137"/>
              <w:ind w:left="283"/>
              <w:rPr>
                <w:rFonts w:ascii="Helvetica" w:hAnsi="Helvetica"/>
                <w:b/>
                <w:sz w:val="22"/>
              </w:rPr>
            </w:pPr>
            <w:r>
              <w:rPr>
                <w:rFonts w:ascii="Helvetica" w:hAnsi="Helvetica"/>
                <w:b/>
                <w:color w:val="FFFFFF"/>
                <w:sz w:val="22"/>
              </w:rPr>
              <w:t>Change the organisation’s physical environment to reflect diversity</w:t>
            </w:r>
          </w:p>
        </w:tc>
      </w:tr>
      <w:tr>
        <w:trPr>
          <w:trHeight w:val="581" w:hRule="atLeast"/>
        </w:trPr>
        <w:tc>
          <w:tcPr>
            <w:tcW w:w="9874" w:type="dxa"/>
            <w:tcBorders>
              <w:top w:val="single" w:sz="34" w:space="0" w:color="FFFFFF"/>
            </w:tcBorders>
            <w:shd w:val="clear" w:color="auto" w:fill="47A7A8"/>
          </w:tcPr>
          <w:p>
            <w:pPr>
              <w:pStyle w:val="TableParagraph"/>
              <w:spacing w:before="137"/>
              <w:ind w:left="283"/>
              <w:rPr>
                <w:rFonts w:ascii="Helvetica"/>
                <w:b/>
                <w:sz w:val="22"/>
              </w:rPr>
            </w:pPr>
            <w:r>
              <w:rPr>
                <w:rFonts w:ascii="Helvetica"/>
                <w:b/>
                <w:color w:val="FFFFFF"/>
                <w:sz w:val="22"/>
              </w:rPr>
              <w:t>Modification of clinical, student, or staff evaluation forms to address racial equity</w:t>
            </w:r>
          </w:p>
        </w:tc>
      </w:tr>
    </w:tbl>
    <w:p>
      <w:pPr>
        <w:spacing w:after="0"/>
        <w:rPr>
          <w:rFonts w:ascii="Helvetica"/>
          <w:sz w:val="22"/>
        </w:rPr>
        <w:sectPr>
          <w:type w:val="continuous"/>
          <w:pgSz w:w="11910" w:h="16840"/>
          <w:pgMar w:top="1580" w:bottom="280" w:left="740" w:right="640"/>
        </w:sect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spacing w:before="3"/>
        <w:rPr>
          <w:rFonts w:ascii="Helvetica-LightOblique"/>
          <w:i/>
          <w:sz w:val="20"/>
        </w:rPr>
      </w:pPr>
    </w:p>
    <w:p>
      <w:pPr>
        <w:spacing w:after="0"/>
        <w:rPr>
          <w:rFonts w:ascii="Helvetica-LightOblique"/>
          <w:sz w:val="20"/>
        </w:rPr>
        <w:sectPr>
          <w:pgSz w:w="11910" w:h="16840"/>
          <w:pgMar w:header="0" w:footer="558" w:top="1600" w:bottom="740" w:left="740" w:right="640"/>
        </w:sectPr>
      </w:pPr>
    </w:p>
    <w:p>
      <w:pPr>
        <w:pStyle w:val="BodyText"/>
        <w:spacing w:line="235" w:lineRule="auto" w:before="105"/>
        <w:ind w:left="280" w:right="28"/>
      </w:pPr>
      <w:r>
        <w:rPr>
          <w:color w:val="231F20"/>
        </w:rPr>
        <w:t>Studies have also shown it is possible to change prejudiced attitudes towards Aboriginal people through education campaigns that counter persistent false beliefs about this population (e.g. that Aboriginal people drink more alcohol than non-Aboriginal people, or that Aboriginal people receive more government benefits</w:t>
      </w:r>
    </w:p>
    <w:p>
      <w:pPr>
        <w:pStyle w:val="BodyText"/>
        <w:spacing w:line="235" w:lineRule="auto"/>
        <w:ind w:left="280" w:right="38"/>
      </w:pPr>
      <w:r>
        <w:rPr>
          <w:color w:val="231F20"/>
        </w:rPr>
        <w:t>than non-Aboriginal people), and inform about Aboriginal history (Pendersen et al 2000; Pendersen et al 2004). In addition, inducing empathy through something as simple as </w:t>
      </w:r>
      <w:r>
        <w:rPr>
          <w:color w:val="231F20"/>
          <w:spacing w:val="-3"/>
        </w:rPr>
        <w:t>asking </w:t>
      </w:r>
      <w:r>
        <w:rPr>
          <w:color w:val="231F20"/>
        </w:rPr>
        <w:t>people to read about commonplace acts of discrimination, has also been shown to change attitudes towards other racial groups (Finlay &amp; Stephan 2000).</w:t>
      </w:r>
    </w:p>
    <w:p>
      <w:pPr>
        <w:pStyle w:val="BodyText"/>
        <w:spacing w:before="6"/>
        <w:rPr>
          <w:sz w:val="31"/>
        </w:rPr>
      </w:pPr>
    </w:p>
    <w:p>
      <w:pPr>
        <w:pStyle w:val="Heading2"/>
        <w:ind w:right="494"/>
      </w:pPr>
      <w:r>
        <w:rPr>
          <w:color w:val="358384"/>
        </w:rPr>
        <w:t>Theories and practices from other disciplines offer ideas to assist in developing structures and supportive attitudes that are conducive to collaboration</w:t>
      </w:r>
    </w:p>
    <w:p>
      <w:pPr>
        <w:pStyle w:val="BodyText"/>
        <w:spacing w:line="235" w:lineRule="auto" w:before="175"/>
        <w:ind w:left="280" w:right="338"/>
      </w:pPr>
      <w:r>
        <w:rPr>
          <w:color w:val="231F20"/>
        </w:rPr>
        <w:t>On the spectrum discussed above (pp. 10- 11), the more intensive the collaboration, the more important it is to have a broad range of enabling factors in place (Nous Group 2013).</w:t>
      </w:r>
    </w:p>
    <w:p>
      <w:pPr>
        <w:pStyle w:val="BodyText"/>
        <w:spacing w:line="235" w:lineRule="auto"/>
        <w:ind w:left="280" w:right="81"/>
      </w:pPr>
      <w:r>
        <w:rPr>
          <w:color w:val="231F20"/>
        </w:rPr>
        <w:t>It is essential that a collaborative partnership has mutual goals, purposes and benefits. Other enablers include the existence or possibility of trust, effective leadership, influential individuals, and appropriate governance (NSW Public Service Commission 2014; Nous Group 2013). An organisation must also possess specific capabilities which support collaboration, including conceptual skills (e.g. big-picture thinking, creativity, risk tolerance), technical skills (e.g. risk analysis, evaluation design),</w:t>
      </w:r>
    </w:p>
    <w:p>
      <w:pPr>
        <w:pStyle w:val="BodyText"/>
        <w:spacing w:line="235" w:lineRule="auto"/>
        <w:ind w:left="280" w:right="209"/>
      </w:pPr>
      <w:r>
        <w:rPr>
          <w:color w:val="231F20"/>
        </w:rPr>
        <w:t>and interpersonal skills (e.g. relationship management, negotiation, communication, trust-building, diplomacy) (Nous Group 2013). One report (PRC 2015), which examines the way the recommendations of inquiries into institutional responses to child sex abuse have been implemented, and the factors that have</w:t>
      </w:r>
    </w:p>
    <w:p>
      <w:pPr>
        <w:pStyle w:val="BodyText"/>
        <w:spacing w:line="235" w:lineRule="auto"/>
        <w:ind w:left="280" w:right="-2"/>
      </w:pPr>
      <w:r>
        <w:rPr>
          <w:color w:val="231F20"/>
        </w:rPr>
        <w:t>assisted, or </w:t>
      </w:r>
      <w:r>
        <w:rPr>
          <w:color w:val="231F20"/>
          <w:spacing w:val="-3"/>
        </w:rPr>
        <w:t>hindered </w:t>
      </w:r>
      <w:r>
        <w:rPr>
          <w:color w:val="231F20"/>
        </w:rPr>
        <w:t>successful implementation, elucidates how structural frameworks help or hinder change in an organisation. The report found that the facilitating factors include an</w:t>
      </w:r>
    </w:p>
    <w:p>
      <w:pPr>
        <w:pStyle w:val="BodyText"/>
        <w:spacing w:line="235" w:lineRule="auto" w:before="105"/>
        <w:ind w:left="280" w:right="259"/>
      </w:pPr>
      <w:r>
        <w:rPr/>
        <w:br w:type="column"/>
      </w:r>
      <w:r>
        <w:rPr>
          <w:color w:val="231F20"/>
        </w:rPr>
        <w:t>individual or position to champion change, a </w:t>
      </w:r>
      <w:r>
        <w:rPr>
          <w:color w:val="231F20"/>
          <w:spacing w:val="-3"/>
        </w:rPr>
        <w:t>project </w:t>
      </w:r>
      <w:r>
        <w:rPr>
          <w:color w:val="231F20"/>
        </w:rPr>
        <w:t>team to oversee implementation, </w:t>
      </w:r>
      <w:r>
        <w:rPr>
          <w:color w:val="231F20"/>
          <w:spacing w:val="-2"/>
        </w:rPr>
        <w:t>public </w:t>
      </w:r>
      <w:r>
        <w:rPr>
          <w:color w:val="231F20"/>
        </w:rPr>
        <w:t>or government support for the reform, </w:t>
      </w:r>
      <w:r>
        <w:rPr>
          <w:color w:val="231F20"/>
          <w:spacing w:val="-3"/>
        </w:rPr>
        <w:t>resources </w:t>
      </w:r>
      <w:r>
        <w:rPr>
          <w:color w:val="231F20"/>
        </w:rPr>
        <w:t>(both financial and human), and political or ministerial support (PRC 2015, p. 80). Factors that hinder implementation include budgetary constraints, lack of human </w:t>
      </w:r>
      <w:r>
        <w:rPr>
          <w:color w:val="231F20"/>
          <w:spacing w:val="-3"/>
        </w:rPr>
        <w:t>resources, </w:t>
      </w:r>
      <w:r>
        <w:rPr>
          <w:color w:val="231F20"/>
        </w:rPr>
        <w:t>existing workload</w:t>
      </w:r>
      <w:r>
        <w:rPr>
          <w:color w:val="231F20"/>
          <w:spacing w:val="-13"/>
        </w:rPr>
        <w:t> </w:t>
      </w:r>
      <w:r>
        <w:rPr>
          <w:color w:val="231F20"/>
        </w:rPr>
        <w:t>or</w:t>
      </w:r>
      <w:r>
        <w:rPr>
          <w:color w:val="231F20"/>
          <w:spacing w:val="-12"/>
        </w:rPr>
        <w:t> </w:t>
      </w:r>
      <w:r>
        <w:rPr>
          <w:color w:val="231F20"/>
        </w:rPr>
        <w:t>time</w:t>
      </w:r>
      <w:r>
        <w:rPr>
          <w:color w:val="231F20"/>
          <w:spacing w:val="-13"/>
        </w:rPr>
        <w:t> </w:t>
      </w:r>
      <w:r>
        <w:rPr>
          <w:color w:val="231F20"/>
        </w:rPr>
        <w:t>constraints,</w:t>
      </w:r>
      <w:r>
        <w:rPr>
          <w:color w:val="231F20"/>
          <w:spacing w:val="-12"/>
        </w:rPr>
        <w:t> </w:t>
      </w:r>
      <w:r>
        <w:rPr>
          <w:color w:val="231F20"/>
        </w:rPr>
        <w:t>and</w:t>
      </w:r>
      <w:r>
        <w:rPr>
          <w:color w:val="231F20"/>
          <w:spacing w:val="-13"/>
        </w:rPr>
        <w:t> </w:t>
      </w:r>
      <w:r>
        <w:rPr>
          <w:color w:val="231F20"/>
        </w:rPr>
        <w:t>lack</w:t>
      </w:r>
      <w:r>
        <w:rPr>
          <w:color w:val="231F20"/>
          <w:spacing w:val="-12"/>
        </w:rPr>
        <w:t> </w:t>
      </w:r>
      <w:r>
        <w:rPr>
          <w:color w:val="231F20"/>
        </w:rPr>
        <w:t>of</w:t>
      </w:r>
      <w:r>
        <w:rPr>
          <w:color w:val="231F20"/>
          <w:spacing w:val="-13"/>
        </w:rPr>
        <w:t> </w:t>
      </w:r>
      <w:r>
        <w:rPr>
          <w:color w:val="231F20"/>
        </w:rPr>
        <w:t>political will (PRC 2015, p.</w:t>
      </w:r>
      <w:r>
        <w:rPr>
          <w:color w:val="231F20"/>
          <w:spacing w:val="-15"/>
        </w:rPr>
        <w:t> </w:t>
      </w:r>
      <w:r>
        <w:rPr>
          <w:color w:val="231F20"/>
        </w:rPr>
        <w:t>81).</w:t>
      </w:r>
    </w:p>
    <w:p>
      <w:pPr>
        <w:pStyle w:val="BodyText"/>
        <w:spacing w:line="235" w:lineRule="auto" w:before="161"/>
        <w:ind w:left="280" w:right="536"/>
      </w:pPr>
      <w:r>
        <w:rPr>
          <w:color w:val="231F20"/>
          <w:spacing w:val="-4"/>
        </w:rPr>
        <w:t>VicHealth’s </w:t>
      </w:r>
      <w:r>
        <w:rPr>
          <w:color w:val="231F20"/>
        </w:rPr>
        <w:t>partnership tool sets out a </w:t>
      </w:r>
      <w:r>
        <w:rPr>
          <w:color w:val="231F20"/>
          <w:spacing w:val="-2"/>
        </w:rPr>
        <w:t>change </w:t>
      </w:r>
      <w:r>
        <w:rPr>
          <w:color w:val="231F20"/>
          <w:spacing w:val="-3"/>
        </w:rPr>
        <w:t>process </w:t>
      </w:r>
      <w:r>
        <w:rPr>
          <w:color w:val="231F20"/>
        </w:rPr>
        <w:t>which organisations can follow to embed partnerships into an organisation as an ongoing way of working </w:t>
      </w:r>
      <w:r>
        <w:rPr>
          <w:color w:val="231F20"/>
          <w:spacing w:val="-3"/>
        </w:rPr>
        <w:t>(VicHealth </w:t>
      </w:r>
      <w:r>
        <w:rPr>
          <w:color w:val="231F20"/>
          <w:spacing w:val="-2"/>
        </w:rPr>
        <w:t>2011). </w:t>
      </w:r>
      <w:r>
        <w:rPr>
          <w:color w:val="231F20"/>
        </w:rPr>
        <w:t>This </w:t>
      </w:r>
      <w:r>
        <w:rPr>
          <w:color w:val="231F20"/>
          <w:spacing w:val="-3"/>
        </w:rPr>
        <w:t>process </w:t>
      </w:r>
      <w:r>
        <w:rPr>
          <w:color w:val="231F20"/>
        </w:rPr>
        <w:t>is similar to those described in traditional change management texts (e.g.</w:t>
      </w:r>
    </w:p>
    <w:p>
      <w:pPr>
        <w:pStyle w:val="BodyText"/>
        <w:spacing w:line="235" w:lineRule="auto"/>
        <w:ind w:left="280" w:right="294"/>
      </w:pPr>
      <w:r>
        <w:rPr>
          <w:color w:val="231F20"/>
        </w:rPr>
        <w:t>Lewin’s three-stage model (1947), the GE Work- Out model (Ulrich et al 2002) and John Kotter’s eight-step plan (1996)). VicHealth’s partnership tool comprises four steps: motivating change, developing support for change, maintaining</w:t>
      </w:r>
    </w:p>
    <w:p>
      <w:pPr>
        <w:pStyle w:val="BodyText"/>
        <w:spacing w:line="235" w:lineRule="auto"/>
        <w:ind w:left="280" w:right="524"/>
      </w:pPr>
      <w:r>
        <w:rPr>
          <w:color w:val="231F20"/>
        </w:rPr>
        <w:t>the transition, and sustaining momentum. </w:t>
      </w:r>
      <w:r>
        <w:rPr>
          <w:color w:val="231F20"/>
          <w:spacing w:val="-2"/>
        </w:rPr>
        <w:t>The </w:t>
      </w:r>
      <w:r>
        <w:rPr>
          <w:color w:val="231F20"/>
        </w:rPr>
        <w:t>tool also </w:t>
      </w:r>
      <w:r>
        <w:rPr>
          <w:color w:val="231F20"/>
          <w:spacing w:val="-3"/>
        </w:rPr>
        <w:t>provides </w:t>
      </w:r>
      <w:r>
        <w:rPr>
          <w:color w:val="231F20"/>
        </w:rPr>
        <w:t>a checklist for assessing the </w:t>
      </w:r>
      <w:r>
        <w:rPr>
          <w:color w:val="231F20"/>
          <w:spacing w:val="-3"/>
        </w:rPr>
        <w:t>strength </w:t>
      </w:r>
      <w:r>
        <w:rPr>
          <w:color w:val="231F20"/>
        </w:rPr>
        <w:t>of a particular partnership </w:t>
      </w:r>
      <w:r>
        <w:rPr>
          <w:color w:val="231F20"/>
          <w:spacing w:val="-2"/>
        </w:rPr>
        <w:t>the </w:t>
      </w:r>
      <w:r>
        <w:rPr>
          <w:color w:val="231F20"/>
        </w:rPr>
        <w:t>organisation has with another </w:t>
      </w:r>
      <w:r>
        <w:rPr>
          <w:color w:val="231F20"/>
          <w:spacing w:val="-5"/>
        </w:rPr>
        <w:t>party. </w:t>
      </w:r>
      <w:r>
        <w:rPr>
          <w:color w:val="231F20"/>
        </w:rPr>
        <w:t>The items</w:t>
      </w:r>
    </w:p>
    <w:p>
      <w:pPr>
        <w:pStyle w:val="BodyText"/>
        <w:spacing w:line="235" w:lineRule="auto"/>
        <w:ind w:left="280" w:right="253"/>
      </w:pPr>
      <w:r>
        <w:rPr>
          <w:color w:val="231F20"/>
        </w:rPr>
        <w:t>on the checklist reflect the capabilities outlined above, and focus on common goals, mutual benefit, skills and governance, and participatory decision-making (VicHealth 2011).</w:t>
      </w:r>
    </w:p>
    <w:p>
      <w:pPr>
        <w:pStyle w:val="BodyText"/>
        <w:spacing w:line="235" w:lineRule="auto" w:before="152"/>
        <w:ind w:left="280" w:right="159"/>
      </w:pPr>
      <w:r>
        <w:rPr>
          <w:color w:val="231F20"/>
        </w:rPr>
        <w:t>Genuine support is essential to bring about the conditions required for effective collaboration. Potential barriers to collaboration must be identified and removed; enabling factors and capabilities within the collaborating organisations and individuals must be developed (NSW Public Service Commission 2014). The NSW Public Service Commission identified four actions</w:t>
      </w:r>
    </w:p>
    <w:p>
      <w:pPr>
        <w:pStyle w:val="BodyText"/>
        <w:spacing w:line="235" w:lineRule="auto"/>
        <w:ind w:left="280" w:right="219"/>
      </w:pPr>
      <w:r>
        <w:rPr>
          <w:color w:val="231F20"/>
        </w:rPr>
        <w:t>that are required: 1) strong leadership from the Premier and ministers in adopting collaboration as a common way of working, with secretaries and chief executives leading the expansion of capability within their agencies; 2) supportive accountability and incentive arrangements, such as performance recognition of collaborative efforts and outcomes, and measures targeting the organisation and individuals to track progress; 3) active development of the capabilities required for collaboration, backed</w:t>
      </w:r>
    </w:p>
    <w:p>
      <w:pPr>
        <w:spacing w:after="0" w:line="235" w:lineRule="auto"/>
        <w:sectPr>
          <w:type w:val="continuous"/>
          <w:pgSz w:w="11910" w:h="16840"/>
          <w:pgMar w:top="1580" w:bottom="280" w:left="740" w:right="640"/>
          <w:cols w:num="2" w:equalWidth="0">
            <w:col w:w="5089" w:space="140"/>
            <w:col w:w="5301"/>
          </w:cols>
        </w:sect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BodyText"/>
        <w:spacing w:line="235" w:lineRule="auto" w:before="104"/>
        <w:ind w:left="280" w:right="5609"/>
      </w:pPr>
      <w:r>
        <w:rPr>
          <w:color w:val="231F20"/>
        </w:rPr>
        <w:t>by the necessary resources; and 4) increased opportunities to collaborate and learn through practice (NSW Public Service Commission 2014).</w:t>
      </w:r>
    </w:p>
    <w:p>
      <w:pPr>
        <w:pStyle w:val="BodyText"/>
        <w:spacing w:before="4"/>
        <w:rPr>
          <w:sz w:val="32"/>
        </w:rPr>
      </w:pPr>
    </w:p>
    <w:p>
      <w:pPr>
        <w:pStyle w:val="Heading2"/>
      </w:pPr>
      <w:r>
        <w:rPr>
          <w:color w:val="358384"/>
        </w:rPr>
        <w:t>Summary</w:t>
      </w:r>
    </w:p>
    <w:p>
      <w:pPr>
        <w:pStyle w:val="BodyText"/>
        <w:spacing w:line="235" w:lineRule="auto" w:before="168"/>
        <w:ind w:left="280" w:right="5911"/>
      </w:pPr>
      <w:r>
        <w:rPr>
          <w:color w:val="231F20"/>
        </w:rPr>
        <w:t>From widely differing geographic and </w:t>
      </w:r>
      <w:r>
        <w:rPr>
          <w:color w:val="231F20"/>
          <w:spacing w:val="-3"/>
        </w:rPr>
        <w:t>policy </w:t>
      </w:r>
      <w:r>
        <w:rPr>
          <w:color w:val="231F20"/>
        </w:rPr>
        <w:t>contexts, the barriers which hinder effective collaboration on public policy outcomes with Indigenous communities are</w:t>
      </w:r>
      <w:r>
        <w:rPr>
          <w:color w:val="231F20"/>
          <w:spacing w:val="-2"/>
        </w:rPr>
        <w:t> </w:t>
      </w:r>
      <w:r>
        <w:rPr>
          <w:color w:val="231F20"/>
        </w:rPr>
        <w:t>well</w:t>
      </w:r>
    </w:p>
    <w:p>
      <w:pPr>
        <w:pStyle w:val="BodyText"/>
        <w:spacing w:line="235" w:lineRule="auto"/>
        <w:ind w:left="280" w:right="5546"/>
      </w:pPr>
      <w:r>
        <w:rPr>
          <w:color w:val="231F20"/>
        </w:rPr>
        <w:t>documented. Recommendations about how to overcome them however tend to be expressed rhetorically, and in the form of broad concepts such as “culturally appropriate” practices (Thomas et al 2015), “flexible approaches … to focus on strengths” (Taylor et al 2013, p. 1) and “genuine engagement” (Hunt 2013; Hutcheson 2011). This provides little guidance on practical implementation. Much academic research studies specific engagement initiatives in localised geographic areas, and mostly in health and environmental management (e.g.</w:t>
      </w:r>
    </w:p>
    <w:p>
      <w:pPr>
        <w:pStyle w:val="BodyText"/>
        <w:spacing w:line="235" w:lineRule="auto"/>
        <w:ind w:left="280" w:right="5619"/>
      </w:pPr>
      <w:r>
        <w:rPr>
          <w:color w:val="231F20"/>
        </w:rPr>
        <w:t>Beaudoin 2015; Escott et al 2015; Kelaher et al 2014; Robson &amp; Kant 2007; Zurba et al 2012). There is limited research on other sectors and on practical ways to make the devolution of government decision-making to Indigenous communities more effective. Research outside Aboriginal affairs offers some strategies to make structural and attitudinal frameworks more conducive to effective collaboration</w:t>
      </w:r>
    </w:p>
    <w:p>
      <w:pPr>
        <w:pStyle w:val="BodyText"/>
        <w:spacing w:line="235" w:lineRule="auto"/>
        <w:ind w:left="280" w:right="5608"/>
      </w:pPr>
      <w:r>
        <w:rPr>
          <w:color w:val="231F20"/>
        </w:rPr>
        <w:t>(e.g. Nous Group 2013; NSW Public Service Commission 2014; PRC 2015; VicHealth 2011), but these apply broadly and it is not clear that they would work in Aboriginal affairs.</w:t>
      </w:r>
    </w:p>
    <w:p>
      <w:pPr>
        <w:spacing w:after="0" w:line="235" w:lineRule="auto"/>
        <w:sectPr>
          <w:pgSz w:w="11910" w:h="16840"/>
          <w:pgMar w:header="0" w:footer="558" w:top="1600" w:bottom="740" w:left="740" w:right="6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50"/>
      </w:pPr>
      <w:r>
        <w:rPr>
          <w:color w:val="C2B59B"/>
        </w:rPr>
        <w:t>METHODOLOGY AND METHODS</w:t>
      </w:r>
    </w:p>
    <w:p>
      <w:pPr>
        <w:pStyle w:val="BodyText"/>
        <w:spacing w:before="9"/>
        <w:rPr>
          <w:rFonts w:ascii="Helvetica"/>
          <w:sz w:val="25"/>
        </w:rPr>
      </w:pPr>
    </w:p>
    <w:p>
      <w:pPr>
        <w:spacing w:after="0"/>
        <w:rPr>
          <w:rFonts w:ascii="Helvetica"/>
          <w:sz w:val="25"/>
        </w:rPr>
        <w:sectPr>
          <w:headerReference w:type="default" r:id="rId42"/>
          <w:footerReference w:type="default" r:id="rId43"/>
          <w:pgSz w:w="11910" w:h="16840"/>
          <w:pgMar w:header="0" w:footer="558" w:top="0" w:bottom="740" w:left="740" w:right="640"/>
          <w:pgNumType w:start="18"/>
        </w:sectPr>
      </w:pPr>
    </w:p>
    <w:p>
      <w:pPr>
        <w:pStyle w:val="BodyText"/>
        <w:spacing w:line="235" w:lineRule="auto" w:before="104"/>
        <w:ind w:left="280" w:right="5"/>
      </w:pPr>
      <w:r>
        <w:rPr/>
        <w:pict>
          <v:group style="position:absolute;margin-left:.0pt;margin-top:0pt;width:595.3pt;height:368.55pt;mso-position-horizontal-relative:page;mso-position-vertical-relative:page;z-index:-71464" coordorigin="0,0" coordsize="11906,7371">
            <v:shape style="position:absolute;left:0;top:1615;width:11906;height:5755" type="#_x0000_t75" stroked="false">
              <v:imagedata r:id="rId31" o:title=""/>
            </v:shape>
            <v:rect style="position:absolute;left:0;top:6803;width:11906;height:567" filled="true" fillcolor="#439fa0" stroked="false">
              <v:fill opacity="41288f" type="solid"/>
            </v:rect>
            <v:rect style="position:absolute;left:0;top:1332;width:4105;height:284" filled="true" fillcolor="#14397f" stroked="false">
              <v:fill type="solid"/>
            </v:rect>
            <v:rect style="position:absolute;left:11111;top:1332;width:341;height:284" filled="true" fillcolor="#e3dad1" stroked="false">
              <v:fill type="solid"/>
            </v:rect>
            <v:rect style="position:absolute;left:4104;top:1332;width:1656;height:284" filled="true" fillcolor="#47a7a8" stroked="false">
              <v:fill type="solid"/>
            </v:rect>
            <v:rect style="position:absolute;left:5748;top:1332;width:218;height:284" filled="true" fillcolor="#e7bb20" stroked="false">
              <v:fill type="solid"/>
            </v:rect>
            <v:rect style="position:absolute;left:11451;top:1332;width:454;height:284" filled="true" fillcolor="#14397f" stroked="false">
              <v:fill type="solid"/>
            </v:rect>
            <v:shape style="position:absolute;left:0;top:0;width:11906;height:1333" type="#_x0000_t75" stroked="false">
              <v:imagedata r:id="rId22" o:title=""/>
            </v:shape>
            <v:rect style="position:absolute;left:0;top:0;width:11906;height:1333" filled="true" fillcolor="#439fa0" stroked="false">
              <v:fill opacity="37355f" type="solid"/>
            </v:rect>
            <v:shape style="position:absolute;left:5966;top:1332;width:5146;height:284" type="#_x0000_t202" filled="true" fillcolor="#14397f" stroked="false">
              <v:textbox inset="0,0,0,0">
                <w:txbxContent>
                  <w:p>
                    <w:pPr>
                      <w:spacing w:before="44"/>
                      <w:ind w:left="3184" w:right="0" w:firstLine="0"/>
                      <w:jc w:val="left"/>
                      <w:rPr>
                        <w:sz w:val="16"/>
                      </w:rPr>
                    </w:pPr>
                    <w:r>
                      <w:rPr>
                        <w:color w:val="FFFFFF"/>
                        <w:sz w:val="16"/>
                      </w:rPr>
                      <w:t>RHETORIC TO REALITY</w:t>
                    </w:r>
                  </w:p>
                </w:txbxContent>
              </v:textbox>
              <v:fill type="solid"/>
              <w10:wrap type="none"/>
            </v:shape>
            <w10:wrap type="none"/>
          </v:group>
        </w:pict>
      </w:r>
      <w:r>
        <w:rPr>
          <w:color w:val="231F20"/>
        </w:rPr>
        <w:t>Methodology refers to the rationale and philosophical assumptions that underlie research, while methods are the techniques and procedures followed to conduct it (McGregor &amp; Murnane 2010).</w:t>
      </w:r>
    </w:p>
    <w:p>
      <w:pPr>
        <w:pStyle w:val="BodyText"/>
        <w:spacing w:line="235" w:lineRule="auto" w:before="165"/>
        <w:ind w:left="280" w:right="-6"/>
      </w:pPr>
      <w:r>
        <w:rPr>
          <w:color w:val="231F20"/>
        </w:rPr>
        <w:t>The methodology and methods of the present study were informed by the research team’s and the project sponsor’s understanding of current issues, the research question and the available resources.</w:t>
      </w:r>
    </w:p>
    <w:p>
      <w:pPr>
        <w:pStyle w:val="BodyText"/>
        <w:spacing w:line="235" w:lineRule="auto" w:before="166"/>
        <w:ind w:left="280" w:right="42"/>
      </w:pPr>
      <w:r>
        <w:rPr>
          <w:color w:val="231F20"/>
          <w:spacing w:val="-15"/>
        </w:rPr>
        <w:t>To </w:t>
      </w:r>
      <w:r>
        <w:rPr>
          <w:color w:val="231F20"/>
          <w:spacing w:val="-5"/>
        </w:rPr>
        <w:t>answer </w:t>
      </w:r>
      <w:r>
        <w:rPr>
          <w:color w:val="231F20"/>
          <w:spacing w:val="-4"/>
        </w:rPr>
        <w:t>the </w:t>
      </w:r>
      <w:r>
        <w:rPr>
          <w:color w:val="231F20"/>
          <w:spacing w:val="-6"/>
        </w:rPr>
        <w:t>research </w:t>
      </w:r>
      <w:r>
        <w:rPr>
          <w:color w:val="231F20"/>
          <w:spacing w:val="-5"/>
        </w:rPr>
        <w:t>question, </w:t>
      </w:r>
      <w:r>
        <w:rPr>
          <w:color w:val="231F20"/>
          <w:spacing w:val="-3"/>
        </w:rPr>
        <w:t>it </w:t>
      </w:r>
      <w:r>
        <w:rPr>
          <w:color w:val="231F20"/>
          <w:spacing w:val="-4"/>
        </w:rPr>
        <w:t>was </w:t>
      </w:r>
      <w:r>
        <w:rPr>
          <w:color w:val="231F20"/>
          <w:spacing w:val="-5"/>
        </w:rPr>
        <w:t>essential </w:t>
      </w:r>
      <w:r>
        <w:rPr>
          <w:color w:val="231F20"/>
          <w:spacing w:val="-3"/>
        </w:rPr>
        <w:t>to </w:t>
      </w:r>
      <w:r>
        <w:rPr>
          <w:color w:val="231F20"/>
          <w:spacing w:val="-4"/>
        </w:rPr>
        <w:t>find out </w:t>
      </w:r>
      <w:r>
        <w:rPr>
          <w:color w:val="231F20"/>
          <w:spacing w:val="-3"/>
        </w:rPr>
        <w:t>in </w:t>
      </w:r>
      <w:r>
        <w:rPr>
          <w:color w:val="231F20"/>
          <w:spacing w:val="-5"/>
        </w:rPr>
        <w:t>detail </w:t>
      </w:r>
      <w:r>
        <w:rPr>
          <w:color w:val="231F20"/>
          <w:spacing w:val="-4"/>
        </w:rPr>
        <w:t>what NSW </w:t>
      </w:r>
      <w:r>
        <w:rPr>
          <w:color w:val="231F20"/>
          <w:spacing w:val="-5"/>
        </w:rPr>
        <w:t>public servants working </w:t>
      </w:r>
      <w:r>
        <w:rPr>
          <w:color w:val="231F20"/>
          <w:spacing w:val="-4"/>
        </w:rPr>
        <w:t>with </w:t>
      </w:r>
      <w:r>
        <w:rPr>
          <w:color w:val="231F20"/>
          <w:spacing w:val="-5"/>
        </w:rPr>
        <w:t>Aboriginal communities were experiencing, </w:t>
      </w:r>
      <w:r>
        <w:rPr>
          <w:color w:val="231F20"/>
          <w:spacing w:val="-4"/>
        </w:rPr>
        <w:t>and what they </w:t>
      </w:r>
      <w:r>
        <w:rPr>
          <w:color w:val="231F20"/>
          <w:spacing w:val="-5"/>
        </w:rPr>
        <w:t>thought </w:t>
      </w:r>
      <w:r>
        <w:rPr>
          <w:color w:val="231F20"/>
          <w:spacing w:val="-4"/>
        </w:rPr>
        <w:t>would </w:t>
      </w:r>
      <w:r>
        <w:rPr>
          <w:color w:val="231F20"/>
          <w:spacing w:val="-5"/>
        </w:rPr>
        <w:t>hinder </w:t>
      </w:r>
      <w:r>
        <w:rPr>
          <w:color w:val="231F20"/>
          <w:spacing w:val="-3"/>
        </w:rPr>
        <w:t>or </w:t>
      </w:r>
      <w:r>
        <w:rPr>
          <w:color w:val="231F20"/>
          <w:spacing w:val="-5"/>
        </w:rPr>
        <w:t>assist devolved decision-making. </w:t>
      </w:r>
      <w:r>
        <w:rPr>
          <w:color w:val="231F20"/>
          <w:spacing w:val="-15"/>
        </w:rPr>
        <w:t>To </w:t>
      </w:r>
      <w:r>
        <w:rPr>
          <w:color w:val="231F20"/>
          <w:spacing w:val="-4"/>
        </w:rPr>
        <w:t>that </w:t>
      </w:r>
      <w:r>
        <w:rPr>
          <w:color w:val="231F20"/>
          <w:spacing w:val="-5"/>
        </w:rPr>
        <w:t>end, </w:t>
      </w:r>
      <w:r>
        <w:rPr>
          <w:color w:val="231F20"/>
          <w:spacing w:val="-4"/>
        </w:rPr>
        <w:t>the </w:t>
      </w:r>
      <w:r>
        <w:rPr>
          <w:color w:val="231F20"/>
          <w:spacing w:val="-6"/>
        </w:rPr>
        <w:t>research </w:t>
      </w:r>
      <w:r>
        <w:rPr>
          <w:color w:val="231F20"/>
          <w:spacing w:val="-4"/>
        </w:rPr>
        <w:t>team </w:t>
      </w:r>
      <w:r>
        <w:rPr>
          <w:color w:val="231F20"/>
          <w:spacing w:val="-5"/>
        </w:rPr>
        <w:t>favoured qualitative methods. </w:t>
      </w:r>
      <w:r>
        <w:rPr>
          <w:color w:val="231F20"/>
          <w:spacing w:val="-4"/>
        </w:rPr>
        <w:t>O’Leary </w:t>
      </w:r>
      <w:r>
        <w:rPr>
          <w:color w:val="231F20"/>
          <w:spacing w:val="-5"/>
        </w:rPr>
        <w:t>(2014) </w:t>
      </w:r>
      <w:r>
        <w:rPr>
          <w:color w:val="231F20"/>
          <w:spacing w:val="-4"/>
        </w:rPr>
        <w:t>notes the goal </w:t>
      </w:r>
      <w:r>
        <w:rPr>
          <w:color w:val="231F20"/>
          <w:spacing w:val="-3"/>
        </w:rPr>
        <w:t>of </w:t>
      </w:r>
      <w:r>
        <w:rPr>
          <w:color w:val="231F20"/>
          <w:spacing w:val="-5"/>
        </w:rPr>
        <w:t>qualitative </w:t>
      </w:r>
      <w:r>
        <w:rPr>
          <w:color w:val="231F20"/>
          <w:spacing w:val="-6"/>
        </w:rPr>
        <w:t>research </w:t>
      </w:r>
      <w:r>
        <w:rPr>
          <w:color w:val="231F20"/>
          <w:spacing w:val="-3"/>
        </w:rPr>
        <w:t>is to </w:t>
      </w:r>
      <w:r>
        <w:rPr>
          <w:color w:val="231F20"/>
          <w:spacing w:val="-4"/>
        </w:rPr>
        <w:t>gain </w:t>
      </w:r>
      <w:r>
        <w:rPr>
          <w:color w:val="231F20"/>
          <w:spacing w:val="-3"/>
        </w:rPr>
        <w:t>an </w:t>
      </w:r>
      <w:r>
        <w:rPr>
          <w:color w:val="231F20"/>
          <w:spacing w:val="-5"/>
        </w:rPr>
        <w:t>intimate understanding</w:t>
      </w:r>
    </w:p>
    <w:p>
      <w:pPr>
        <w:pStyle w:val="BodyText"/>
        <w:spacing w:line="235" w:lineRule="auto"/>
        <w:ind w:left="280" w:right="296"/>
      </w:pPr>
      <w:r>
        <w:rPr>
          <w:color w:val="231F20"/>
          <w:spacing w:val="-3"/>
        </w:rPr>
        <w:t>of </w:t>
      </w:r>
      <w:r>
        <w:rPr>
          <w:color w:val="231F20"/>
          <w:spacing w:val="-5"/>
        </w:rPr>
        <w:t>people, places, cultures </w:t>
      </w:r>
      <w:r>
        <w:rPr>
          <w:color w:val="231F20"/>
          <w:spacing w:val="-4"/>
        </w:rPr>
        <w:t>and </w:t>
      </w:r>
      <w:r>
        <w:rPr>
          <w:color w:val="231F20"/>
          <w:spacing w:val="-5"/>
        </w:rPr>
        <w:t>situations through </w:t>
      </w:r>
      <w:r>
        <w:rPr>
          <w:color w:val="231F20"/>
          <w:spacing w:val="-4"/>
        </w:rPr>
        <w:t>rich </w:t>
      </w:r>
      <w:r>
        <w:rPr>
          <w:color w:val="231F20"/>
          <w:spacing w:val="-5"/>
        </w:rPr>
        <w:t>engagement </w:t>
      </w:r>
      <w:r>
        <w:rPr>
          <w:color w:val="231F20"/>
          <w:spacing w:val="-4"/>
        </w:rPr>
        <w:t>and even </w:t>
      </w:r>
      <w:r>
        <w:rPr>
          <w:color w:val="231F20"/>
          <w:spacing w:val="-5"/>
        </w:rPr>
        <w:t>immersion </w:t>
      </w:r>
      <w:r>
        <w:rPr>
          <w:color w:val="231F20"/>
          <w:spacing w:val="-3"/>
        </w:rPr>
        <w:t>in </w:t>
      </w:r>
      <w:r>
        <w:rPr>
          <w:color w:val="231F20"/>
          <w:spacing w:val="-4"/>
        </w:rPr>
        <w:t>the </w:t>
      </w:r>
      <w:r>
        <w:rPr>
          <w:color w:val="231F20"/>
          <w:spacing w:val="-5"/>
        </w:rPr>
        <w:t>reality </w:t>
      </w:r>
      <w:r>
        <w:rPr>
          <w:color w:val="231F20"/>
          <w:spacing w:val="-4"/>
        </w:rPr>
        <w:t>being </w:t>
      </w:r>
      <w:r>
        <w:rPr>
          <w:color w:val="231F20"/>
          <w:spacing w:val="-5"/>
        </w:rPr>
        <w:t>studied. Qualitative </w:t>
      </w:r>
      <w:r>
        <w:rPr>
          <w:color w:val="231F20"/>
          <w:spacing w:val="-6"/>
        </w:rPr>
        <w:t>research</w:t>
      </w:r>
    </w:p>
    <w:p>
      <w:pPr>
        <w:pStyle w:val="BodyText"/>
        <w:spacing w:line="235" w:lineRule="auto"/>
        <w:ind w:left="280" w:right="5"/>
      </w:pPr>
      <w:r>
        <w:rPr>
          <w:color w:val="231F20"/>
          <w:spacing w:val="-5"/>
        </w:rPr>
        <w:t>methods are particularly useful </w:t>
      </w:r>
      <w:r>
        <w:rPr>
          <w:color w:val="231F20"/>
          <w:spacing w:val="-4"/>
        </w:rPr>
        <w:t>for </w:t>
      </w:r>
      <w:r>
        <w:rPr>
          <w:color w:val="231F20"/>
          <w:spacing w:val="-5"/>
        </w:rPr>
        <w:t>understanding underlying reasons </w:t>
      </w:r>
      <w:r>
        <w:rPr>
          <w:color w:val="231F20"/>
          <w:spacing w:val="-4"/>
        </w:rPr>
        <w:t>and </w:t>
      </w:r>
      <w:r>
        <w:rPr>
          <w:color w:val="231F20"/>
          <w:spacing w:val="-5"/>
        </w:rPr>
        <w:t>motivations, for</w:t>
      </w:r>
    </w:p>
    <w:p>
      <w:pPr>
        <w:pStyle w:val="BodyText"/>
        <w:spacing w:line="235" w:lineRule="auto" w:before="104"/>
        <w:ind w:left="280" w:right="778"/>
      </w:pPr>
      <w:r>
        <w:rPr/>
        <w:br w:type="column"/>
      </w:r>
      <w:r>
        <w:rPr>
          <w:color w:val="231F20"/>
          <w:spacing w:val="-5"/>
        </w:rPr>
        <w:t>gaining insights </w:t>
      </w:r>
      <w:r>
        <w:rPr>
          <w:color w:val="231F20"/>
          <w:spacing w:val="-4"/>
        </w:rPr>
        <w:t>into the </w:t>
      </w:r>
      <w:r>
        <w:rPr>
          <w:color w:val="231F20"/>
          <w:spacing w:val="-5"/>
        </w:rPr>
        <w:t>context </w:t>
      </w:r>
      <w:r>
        <w:rPr>
          <w:color w:val="231F20"/>
          <w:spacing w:val="-3"/>
        </w:rPr>
        <w:t>of </w:t>
      </w:r>
      <w:r>
        <w:rPr>
          <w:color w:val="231F20"/>
        </w:rPr>
        <w:t>a </w:t>
      </w:r>
      <w:r>
        <w:rPr>
          <w:color w:val="231F20"/>
          <w:spacing w:val="-6"/>
        </w:rPr>
        <w:t>problem, </w:t>
      </w:r>
      <w:r>
        <w:rPr>
          <w:color w:val="231F20"/>
          <w:spacing w:val="-4"/>
        </w:rPr>
        <w:t>for </w:t>
      </w:r>
      <w:r>
        <w:rPr>
          <w:color w:val="231F20"/>
          <w:spacing w:val="-5"/>
        </w:rPr>
        <w:t>generating </w:t>
      </w:r>
      <w:r>
        <w:rPr>
          <w:color w:val="231F20"/>
          <w:spacing w:val="-4"/>
        </w:rPr>
        <w:t>ideas and </w:t>
      </w:r>
      <w:r>
        <w:rPr>
          <w:color w:val="231F20"/>
          <w:spacing w:val="-5"/>
        </w:rPr>
        <w:t>hypotheses, </w:t>
      </w:r>
      <w:r>
        <w:rPr>
          <w:color w:val="231F20"/>
          <w:spacing w:val="-4"/>
        </w:rPr>
        <w:t>and </w:t>
      </w:r>
      <w:r>
        <w:rPr>
          <w:color w:val="231F20"/>
          <w:spacing w:val="-5"/>
        </w:rPr>
        <w:t>for</w:t>
      </w:r>
    </w:p>
    <w:p>
      <w:pPr>
        <w:pStyle w:val="BodyText"/>
        <w:spacing w:line="264" w:lineRule="exact"/>
        <w:ind w:left="280"/>
      </w:pPr>
      <w:r>
        <w:rPr>
          <w:color w:val="231F20"/>
        </w:rPr>
        <w:t>uncovering prevalent opinions (Park &amp; Park 2016).</w:t>
      </w:r>
    </w:p>
    <w:p>
      <w:pPr>
        <w:pStyle w:val="BodyText"/>
        <w:spacing w:line="235" w:lineRule="auto" w:before="168"/>
        <w:ind w:left="280" w:right="931"/>
      </w:pPr>
      <w:r>
        <w:rPr>
          <w:color w:val="231F20"/>
        </w:rPr>
        <w:t>To assess existing knowledge as well as to collect primary data on the personal</w:t>
      </w:r>
    </w:p>
    <w:p>
      <w:pPr>
        <w:pStyle w:val="BodyText"/>
        <w:spacing w:line="235" w:lineRule="auto"/>
        <w:ind w:left="280" w:right="597"/>
      </w:pPr>
      <w:r>
        <w:rPr>
          <w:color w:val="231F20"/>
        </w:rPr>
        <w:t>perspectives and experiences of NSW public servants, the following methods were used:</w:t>
      </w:r>
    </w:p>
    <w:p>
      <w:pPr>
        <w:pStyle w:val="ListParagraph"/>
        <w:numPr>
          <w:ilvl w:val="0"/>
          <w:numId w:val="2"/>
        </w:numPr>
        <w:tabs>
          <w:tab w:pos="621" w:val="left" w:leader="none"/>
        </w:tabs>
        <w:spacing w:line="235" w:lineRule="auto" w:before="166" w:after="0"/>
        <w:ind w:left="620" w:right="417" w:hanging="227"/>
        <w:jc w:val="left"/>
        <w:rPr>
          <w:sz w:val="22"/>
        </w:rPr>
      </w:pPr>
      <w:r>
        <w:rPr>
          <w:color w:val="231F20"/>
          <w:sz w:val="22"/>
        </w:rPr>
        <w:t>in-depth interviews with NSW public </w:t>
      </w:r>
      <w:r>
        <w:rPr>
          <w:color w:val="231F20"/>
          <w:spacing w:val="-3"/>
          <w:sz w:val="22"/>
        </w:rPr>
        <w:t>service </w:t>
      </w:r>
      <w:r>
        <w:rPr>
          <w:color w:val="231F20"/>
          <w:sz w:val="22"/>
        </w:rPr>
        <w:t>executives</w:t>
      </w:r>
    </w:p>
    <w:p>
      <w:pPr>
        <w:pStyle w:val="ListParagraph"/>
        <w:numPr>
          <w:ilvl w:val="0"/>
          <w:numId w:val="2"/>
        </w:numPr>
        <w:tabs>
          <w:tab w:pos="621" w:val="left" w:leader="none"/>
        </w:tabs>
        <w:spacing w:line="240" w:lineRule="auto" w:before="164" w:after="0"/>
        <w:ind w:left="620" w:right="0" w:hanging="227"/>
        <w:jc w:val="left"/>
        <w:rPr>
          <w:sz w:val="22"/>
        </w:rPr>
      </w:pPr>
      <w:r>
        <w:rPr>
          <w:color w:val="231F20"/>
          <w:sz w:val="22"/>
        </w:rPr>
        <w:t>focus groups with NSW public</w:t>
      </w:r>
      <w:r>
        <w:rPr>
          <w:color w:val="231F20"/>
          <w:spacing w:val="-2"/>
          <w:sz w:val="22"/>
        </w:rPr>
        <w:t> </w:t>
      </w:r>
      <w:r>
        <w:rPr>
          <w:color w:val="231F20"/>
          <w:sz w:val="22"/>
        </w:rPr>
        <w:t>servants</w:t>
      </w:r>
    </w:p>
    <w:p>
      <w:pPr>
        <w:pStyle w:val="ListParagraph"/>
        <w:numPr>
          <w:ilvl w:val="0"/>
          <w:numId w:val="2"/>
        </w:numPr>
        <w:tabs>
          <w:tab w:pos="621" w:val="left" w:leader="none"/>
        </w:tabs>
        <w:spacing w:line="235" w:lineRule="auto" w:before="168" w:after="0"/>
        <w:ind w:left="620" w:right="950" w:hanging="227"/>
        <w:jc w:val="left"/>
        <w:rPr>
          <w:sz w:val="22"/>
        </w:rPr>
      </w:pPr>
      <w:r>
        <w:rPr>
          <w:color w:val="231F20"/>
          <w:sz w:val="22"/>
        </w:rPr>
        <w:t>a systematic review of literature on </w:t>
      </w:r>
      <w:r>
        <w:rPr>
          <w:color w:val="231F20"/>
          <w:spacing w:val="-6"/>
          <w:sz w:val="22"/>
        </w:rPr>
        <w:t>co- </w:t>
      </w:r>
      <w:r>
        <w:rPr>
          <w:color w:val="231F20"/>
          <w:sz w:val="22"/>
        </w:rPr>
        <w:t>design.</w:t>
      </w:r>
    </w:p>
    <w:p>
      <w:pPr>
        <w:pStyle w:val="BodyText"/>
        <w:spacing w:before="6"/>
        <w:rPr>
          <w:sz w:val="32"/>
        </w:rPr>
      </w:pPr>
    </w:p>
    <w:p>
      <w:pPr>
        <w:pStyle w:val="Heading2"/>
        <w:spacing w:before="1"/>
      </w:pPr>
      <w:r>
        <w:rPr>
          <w:color w:val="358384"/>
        </w:rPr>
        <w:t>Interviews and focus groups</w:t>
      </w:r>
    </w:p>
    <w:p>
      <w:pPr>
        <w:pStyle w:val="Heading3"/>
      </w:pPr>
      <w:r>
        <w:rPr>
          <w:color w:val="47A7A8"/>
        </w:rPr>
        <w:t>Sampling approach</w:t>
      </w:r>
    </w:p>
    <w:p>
      <w:pPr>
        <w:pStyle w:val="BodyText"/>
        <w:spacing w:line="235" w:lineRule="auto" w:before="172"/>
        <w:ind w:left="280" w:right="565"/>
      </w:pPr>
      <w:r>
        <w:rPr>
          <w:color w:val="231F20"/>
          <w:spacing w:val="-4"/>
        </w:rPr>
        <w:t>Given the </w:t>
      </w:r>
      <w:r>
        <w:rPr>
          <w:color w:val="231F20"/>
          <w:spacing w:val="-5"/>
        </w:rPr>
        <w:t>exploratory nature </w:t>
      </w:r>
      <w:r>
        <w:rPr>
          <w:color w:val="231F20"/>
          <w:spacing w:val="-3"/>
        </w:rPr>
        <w:t>of </w:t>
      </w:r>
      <w:r>
        <w:rPr>
          <w:color w:val="231F20"/>
          <w:spacing w:val="-4"/>
        </w:rPr>
        <w:t>the </w:t>
      </w:r>
      <w:r>
        <w:rPr>
          <w:color w:val="231F20"/>
          <w:spacing w:val="-8"/>
        </w:rPr>
        <w:t>study, </w:t>
      </w:r>
      <w:r>
        <w:rPr>
          <w:color w:val="231F20"/>
          <w:spacing w:val="-3"/>
        </w:rPr>
        <w:t>it </w:t>
      </w:r>
      <w:r>
        <w:rPr>
          <w:color w:val="231F20"/>
          <w:spacing w:val="-5"/>
        </w:rPr>
        <w:t>was considered </w:t>
      </w:r>
      <w:r>
        <w:rPr>
          <w:color w:val="231F20"/>
          <w:spacing w:val="-4"/>
        </w:rPr>
        <w:t>important </w:t>
      </w:r>
      <w:r>
        <w:rPr>
          <w:color w:val="231F20"/>
          <w:spacing w:val="-3"/>
        </w:rPr>
        <w:t>to </w:t>
      </w:r>
      <w:r>
        <w:rPr>
          <w:color w:val="231F20"/>
          <w:spacing w:val="-4"/>
        </w:rPr>
        <w:t>hear </w:t>
      </w:r>
      <w:r>
        <w:rPr>
          <w:color w:val="231F20"/>
          <w:spacing w:val="-5"/>
        </w:rPr>
        <w:t>from </w:t>
      </w:r>
      <w:r>
        <w:rPr>
          <w:color w:val="231F20"/>
          <w:spacing w:val="-4"/>
        </w:rPr>
        <w:t>those </w:t>
      </w:r>
      <w:r>
        <w:rPr>
          <w:color w:val="231F20"/>
          <w:spacing w:val="-5"/>
        </w:rPr>
        <w:t>public servants working </w:t>
      </w:r>
      <w:r>
        <w:rPr>
          <w:color w:val="231F20"/>
          <w:spacing w:val="-4"/>
        </w:rPr>
        <w:t>most </w:t>
      </w:r>
      <w:r>
        <w:rPr>
          <w:color w:val="231F20"/>
          <w:spacing w:val="-5"/>
        </w:rPr>
        <w:t>closely </w:t>
      </w:r>
      <w:r>
        <w:rPr>
          <w:color w:val="231F20"/>
          <w:spacing w:val="-4"/>
        </w:rPr>
        <w:t>with </w:t>
      </w:r>
      <w:r>
        <w:rPr>
          <w:color w:val="231F20"/>
          <w:spacing w:val="-5"/>
        </w:rPr>
        <w:t>Aboriginal communities, </w:t>
      </w:r>
      <w:r>
        <w:rPr>
          <w:color w:val="231F20"/>
          <w:spacing w:val="-3"/>
        </w:rPr>
        <w:t>as </w:t>
      </w:r>
      <w:r>
        <w:rPr>
          <w:color w:val="231F20"/>
          <w:spacing w:val="-4"/>
        </w:rPr>
        <w:t>their </w:t>
      </w:r>
      <w:r>
        <w:rPr>
          <w:color w:val="231F20"/>
          <w:spacing w:val="-5"/>
        </w:rPr>
        <w:t>experience would contribute </w:t>
      </w:r>
      <w:r>
        <w:rPr>
          <w:color w:val="231F20"/>
          <w:spacing w:val="-4"/>
        </w:rPr>
        <w:t>most </w:t>
      </w:r>
      <w:r>
        <w:rPr>
          <w:color w:val="231F20"/>
          <w:spacing w:val="-3"/>
        </w:rPr>
        <w:t>to </w:t>
      </w:r>
      <w:r>
        <w:rPr>
          <w:color w:val="231F20"/>
        </w:rPr>
        <w:t>a </w:t>
      </w:r>
      <w:r>
        <w:rPr>
          <w:color w:val="231F20"/>
          <w:spacing w:val="-5"/>
        </w:rPr>
        <w:t>better understanding </w:t>
      </w:r>
      <w:r>
        <w:rPr>
          <w:color w:val="231F20"/>
          <w:spacing w:val="-3"/>
        </w:rPr>
        <w:t>of </w:t>
      </w:r>
      <w:r>
        <w:rPr>
          <w:color w:val="231F20"/>
          <w:spacing w:val="-5"/>
        </w:rPr>
        <w:t>the</w:t>
      </w:r>
    </w:p>
    <w:p>
      <w:pPr>
        <w:spacing w:after="0" w:line="235" w:lineRule="auto"/>
        <w:sectPr>
          <w:type w:val="continuous"/>
          <w:pgSz w:w="11910" w:h="16840"/>
          <w:pgMar w:top="1580" w:bottom="280" w:left="740" w:right="640"/>
          <w:cols w:num="2" w:equalWidth="0">
            <w:col w:w="5050" w:space="132"/>
            <w:col w:w="5348"/>
          </w:cols>
        </w:sect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headerReference w:type="default" r:id="rId44"/>
          <w:pgSz w:w="11910" w:h="16840"/>
          <w:pgMar w:header="0" w:footer="558" w:top="1600" w:bottom="740" w:left="740" w:right="640"/>
        </w:sectPr>
      </w:pPr>
    </w:p>
    <w:p>
      <w:pPr>
        <w:pStyle w:val="BodyText"/>
        <w:spacing w:line="235" w:lineRule="auto" w:before="105"/>
        <w:ind w:left="280" w:right="38"/>
      </w:pPr>
      <w:r>
        <w:rPr>
          <w:color w:val="231F20"/>
          <w:spacing w:val="-5"/>
        </w:rPr>
        <w:t>issues. Purposive sampling </w:t>
      </w:r>
      <w:r>
        <w:rPr>
          <w:color w:val="231F20"/>
          <w:spacing w:val="-4"/>
        </w:rPr>
        <w:t>was </w:t>
      </w:r>
      <w:r>
        <w:rPr>
          <w:color w:val="231F20"/>
          <w:spacing w:val="-5"/>
        </w:rPr>
        <w:t>considered the </w:t>
      </w:r>
      <w:r>
        <w:rPr>
          <w:color w:val="231F20"/>
          <w:spacing w:val="-4"/>
        </w:rPr>
        <w:t>most </w:t>
      </w:r>
      <w:r>
        <w:rPr>
          <w:color w:val="231F20"/>
          <w:spacing w:val="-5"/>
        </w:rPr>
        <w:t>appropriate strategy </w:t>
      </w:r>
      <w:r>
        <w:rPr>
          <w:color w:val="231F20"/>
          <w:spacing w:val="-3"/>
        </w:rPr>
        <w:t>so </w:t>
      </w:r>
      <w:r>
        <w:rPr>
          <w:color w:val="231F20"/>
          <w:spacing w:val="-4"/>
        </w:rPr>
        <w:t>that </w:t>
      </w:r>
      <w:r>
        <w:rPr>
          <w:color w:val="231F20"/>
          <w:spacing w:val="-5"/>
        </w:rPr>
        <w:t>informants could </w:t>
      </w:r>
      <w:r>
        <w:rPr>
          <w:color w:val="231F20"/>
          <w:spacing w:val="-3"/>
        </w:rPr>
        <w:t>be </w:t>
      </w:r>
      <w:r>
        <w:rPr>
          <w:color w:val="231F20"/>
          <w:spacing w:val="-5"/>
        </w:rPr>
        <w:t>deliberately selected </w:t>
      </w:r>
      <w:r>
        <w:rPr>
          <w:color w:val="231F20"/>
          <w:spacing w:val="-4"/>
        </w:rPr>
        <w:t>based </w:t>
      </w:r>
      <w:r>
        <w:rPr>
          <w:color w:val="231F20"/>
          <w:spacing w:val="-3"/>
        </w:rPr>
        <w:t>on </w:t>
      </w:r>
      <w:r>
        <w:rPr>
          <w:color w:val="231F20"/>
          <w:spacing w:val="-4"/>
        </w:rPr>
        <w:t>their </w:t>
      </w:r>
      <w:r>
        <w:rPr>
          <w:color w:val="231F20"/>
          <w:spacing w:val="-5"/>
        </w:rPr>
        <w:t>experience </w:t>
      </w:r>
      <w:r>
        <w:rPr>
          <w:color w:val="231F20"/>
          <w:spacing w:val="-4"/>
        </w:rPr>
        <w:t>and </w:t>
      </w:r>
      <w:r>
        <w:rPr>
          <w:color w:val="231F20"/>
          <w:spacing w:val="-5"/>
        </w:rPr>
        <w:t>expertise. </w:t>
      </w:r>
      <w:r>
        <w:rPr>
          <w:color w:val="231F20"/>
          <w:spacing w:val="-4"/>
        </w:rPr>
        <w:t>“The </w:t>
      </w:r>
      <w:r>
        <w:rPr>
          <w:color w:val="231F20"/>
          <w:spacing w:val="-5"/>
        </w:rPr>
        <w:t>purposive sampling technique </w:t>
      </w:r>
      <w:r>
        <w:rPr>
          <w:color w:val="231F20"/>
          <w:spacing w:val="-3"/>
        </w:rPr>
        <w:t>is </w:t>
      </w:r>
      <w:r>
        <w:rPr>
          <w:color w:val="231F20"/>
        </w:rPr>
        <w:t>a </w:t>
      </w:r>
      <w:r>
        <w:rPr>
          <w:color w:val="231F20"/>
          <w:spacing w:val="-4"/>
        </w:rPr>
        <w:t>type </w:t>
      </w:r>
      <w:r>
        <w:rPr>
          <w:color w:val="231F20"/>
          <w:spacing w:val="-3"/>
        </w:rPr>
        <w:t>of </w:t>
      </w:r>
      <w:r>
        <w:rPr>
          <w:color w:val="231F20"/>
          <w:spacing w:val="-5"/>
        </w:rPr>
        <w:t>non-probability sampling </w:t>
      </w:r>
      <w:r>
        <w:rPr>
          <w:color w:val="231F20"/>
          <w:spacing w:val="-4"/>
        </w:rPr>
        <w:t>that </w:t>
      </w:r>
      <w:r>
        <w:rPr>
          <w:color w:val="231F20"/>
          <w:spacing w:val="-3"/>
        </w:rPr>
        <w:t>is </w:t>
      </w:r>
      <w:r>
        <w:rPr>
          <w:color w:val="231F20"/>
          <w:spacing w:val="-5"/>
        </w:rPr>
        <w:t>most effective </w:t>
      </w:r>
      <w:r>
        <w:rPr>
          <w:color w:val="231F20"/>
          <w:spacing w:val="-4"/>
        </w:rPr>
        <w:t>when one needs </w:t>
      </w:r>
      <w:r>
        <w:rPr>
          <w:color w:val="231F20"/>
          <w:spacing w:val="-3"/>
        </w:rPr>
        <w:t>to </w:t>
      </w:r>
      <w:r>
        <w:rPr>
          <w:color w:val="231F20"/>
          <w:spacing w:val="-4"/>
        </w:rPr>
        <w:t>study </w:t>
      </w:r>
      <w:r>
        <w:rPr>
          <w:color w:val="231F20"/>
        </w:rPr>
        <w:t>a </w:t>
      </w:r>
      <w:r>
        <w:rPr>
          <w:color w:val="231F20"/>
          <w:spacing w:val="-5"/>
        </w:rPr>
        <w:t>certain cultural domain </w:t>
      </w:r>
      <w:r>
        <w:rPr>
          <w:color w:val="231F20"/>
          <w:spacing w:val="-4"/>
        </w:rPr>
        <w:t>with </w:t>
      </w:r>
      <w:r>
        <w:rPr>
          <w:color w:val="231F20"/>
          <w:spacing w:val="-5"/>
        </w:rPr>
        <w:t>knowledgeable experts  within” </w:t>
      </w:r>
      <w:r>
        <w:rPr>
          <w:color w:val="231F20"/>
          <w:spacing w:val="-8"/>
        </w:rPr>
        <w:t>(Tongco </w:t>
      </w:r>
      <w:r>
        <w:rPr>
          <w:color w:val="231F20"/>
          <w:spacing w:val="-4"/>
        </w:rPr>
        <w:t>2007, </w:t>
      </w:r>
      <w:r>
        <w:rPr>
          <w:color w:val="231F20"/>
          <w:spacing w:val="-3"/>
        </w:rPr>
        <w:t>p.</w:t>
      </w:r>
      <w:r>
        <w:rPr>
          <w:color w:val="231F20"/>
          <w:spacing w:val="-19"/>
        </w:rPr>
        <w:t> </w:t>
      </w:r>
      <w:r>
        <w:rPr>
          <w:color w:val="231F20"/>
          <w:spacing w:val="-5"/>
        </w:rPr>
        <w:t>1).</w:t>
      </w:r>
    </w:p>
    <w:p>
      <w:pPr>
        <w:pStyle w:val="BodyText"/>
        <w:spacing w:line="235" w:lineRule="auto" w:before="162"/>
        <w:ind w:left="280" w:right="249"/>
      </w:pPr>
      <w:r>
        <w:rPr>
          <w:color w:val="231F20"/>
        </w:rPr>
        <w:t>At the same time, the research team wanted </w:t>
      </w:r>
      <w:r>
        <w:rPr>
          <w:color w:val="231F20"/>
          <w:spacing w:val="-9"/>
        </w:rPr>
        <w:t>to </w:t>
      </w:r>
      <w:r>
        <w:rPr>
          <w:color w:val="231F20"/>
        </w:rPr>
        <w:t>ensure a range of perspectives was obtained. Consequently, the purposive sampling strategy included a maximum variation schema. Purposive sampling with a maximum variation technique aims to provide the most representative sample while at the same time</w:t>
      </w:r>
    </w:p>
    <w:p>
      <w:pPr>
        <w:pStyle w:val="BodyText"/>
        <w:spacing w:line="235" w:lineRule="auto"/>
        <w:ind w:left="280" w:right="58"/>
      </w:pPr>
      <w:r>
        <w:rPr>
          <w:color w:val="231F20"/>
        </w:rPr>
        <w:t>generating contrasting views </w:t>
      </w:r>
      <w:r>
        <w:rPr>
          <w:color w:val="231F20"/>
          <w:spacing w:val="-5"/>
        </w:rPr>
        <w:t>(Teddy </w:t>
      </w:r>
      <w:r>
        <w:rPr>
          <w:color w:val="231F20"/>
        </w:rPr>
        <w:t>&amp; </w:t>
      </w:r>
      <w:r>
        <w:rPr>
          <w:color w:val="231F20"/>
          <w:spacing w:val="-5"/>
        </w:rPr>
        <w:t>Yu </w:t>
      </w:r>
      <w:r>
        <w:rPr>
          <w:color w:val="231F20"/>
          <w:spacing w:val="-3"/>
        </w:rPr>
        <w:t>2007). </w:t>
      </w:r>
      <w:r>
        <w:rPr>
          <w:color w:val="231F20"/>
        </w:rPr>
        <w:t>“Comparisons or contrasts are at the very core of qualitative data analysis strategies (e.g.</w:t>
      </w:r>
    </w:p>
    <w:p>
      <w:pPr>
        <w:pStyle w:val="BodyText"/>
        <w:spacing w:line="235" w:lineRule="auto"/>
        <w:ind w:left="280" w:right="277"/>
      </w:pPr>
      <w:r>
        <w:rPr>
          <w:color w:val="231F20"/>
        </w:rPr>
        <w:t>Glaser &amp; Strauss 1967; Mason 2002; Spradley 1979, 1980)” (Teddy &amp; Yu 2007 p. 81).</w:t>
      </w:r>
    </w:p>
    <w:p>
      <w:pPr>
        <w:pStyle w:val="BodyText"/>
        <w:spacing w:line="235" w:lineRule="auto" w:before="159"/>
        <w:ind w:left="280" w:right="180"/>
      </w:pPr>
      <w:r>
        <w:rPr>
          <w:color w:val="231F20"/>
        </w:rPr>
        <w:t>Aboriginal Affairs identified the following agencies as having the greatest involvement with Aboriginal communities, and as such, they were selected for inclusion:</w:t>
      </w:r>
    </w:p>
    <w:p>
      <w:pPr>
        <w:pStyle w:val="ListParagraph"/>
        <w:numPr>
          <w:ilvl w:val="0"/>
          <w:numId w:val="2"/>
        </w:numPr>
        <w:tabs>
          <w:tab w:pos="621" w:val="left" w:leader="none"/>
        </w:tabs>
        <w:spacing w:line="235" w:lineRule="auto" w:before="166" w:after="0"/>
        <w:ind w:left="620" w:right="431" w:hanging="227"/>
        <w:jc w:val="left"/>
        <w:rPr>
          <w:sz w:val="22"/>
        </w:rPr>
      </w:pPr>
      <w:r>
        <w:rPr>
          <w:color w:val="231F20"/>
          <w:sz w:val="22"/>
        </w:rPr>
        <w:t>Aboriginal Housing Office, Department </w:t>
      </w:r>
      <w:r>
        <w:rPr>
          <w:color w:val="231F20"/>
          <w:spacing w:val="-8"/>
          <w:sz w:val="22"/>
        </w:rPr>
        <w:t>of </w:t>
      </w:r>
      <w:r>
        <w:rPr>
          <w:color w:val="231F20"/>
          <w:sz w:val="22"/>
        </w:rPr>
        <w:t>Family and Community Services</w:t>
      </w:r>
    </w:p>
    <w:p>
      <w:pPr>
        <w:pStyle w:val="ListParagraph"/>
        <w:numPr>
          <w:ilvl w:val="0"/>
          <w:numId w:val="2"/>
        </w:numPr>
        <w:tabs>
          <w:tab w:pos="621" w:val="left" w:leader="none"/>
        </w:tabs>
        <w:spacing w:line="235" w:lineRule="auto" w:before="168" w:after="0"/>
        <w:ind w:left="620" w:right="770" w:hanging="227"/>
        <w:jc w:val="left"/>
        <w:rPr>
          <w:sz w:val="22"/>
        </w:rPr>
      </w:pPr>
      <w:r>
        <w:rPr>
          <w:color w:val="231F20"/>
          <w:sz w:val="22"/>
        </w:rPr>
        <w:t>Multiple policy units and districts, Department of Family and Community Services</w:t>
      </w:r>
    </w:p>
    <w:p>
      <w:pPr>
        <w:pStyle w:val="ListParagraph"/>
        <w:numPr>
          <w:ilvl w:val="0"/>
          <w:numId w:val="2"/>
        </w:numPr>
        <w:tabs>
          <w:tab w:pos="621" w:val="left" w:leader="none"/>
        </w:tabs>
        <w:spacing w:line="235" w:lineRule="auto" w:before="167" w:after="0"/>
        <w:ind w:left="620" w:right="1047" w:hanging="227"/>
        <w:jc w:val="left"/>
        <w:rPr>
          <w:sz w:val="22"/>
        </w:rPr>
      </w:pPr>
      <w:r>
        <w:rPr>
          <w:color w:val="231F20"/>
          <w:sz w:val="22"/>
        </w:rPr>
        <w:t>Cultural Heritage Division, Office </w:t>
      </w:r>
      <w:r>
        <w:rPr>
          <w:color w:val="231F20"/>
          <w:spacing w:val="-9"/>
          <w:sz w:val="22"/>
        </w:rPr>
        <w:t>of </w:t>
      </w:r>
      <w:r>
        <w:rPr>
          <w:color w:val="231F20"/>
          <w:sz w:val="22"/>
        </w:rPr>
        <w:t>Environment and</w:t>
      </w:r>
      <w:r>
        <w:rPr>
          <w:color w:val="231F20"/>
          <w:spacing w:val="-1"/>
          <w:sz w:val="22"/>
        </w:rPr>
        <w:t> </w:t>
      </w:r>
      <w:r>
        <w:rPr>
          <w:color w:val="231F20"/>
          <w:sz w:val="22"/>
        </w:rPr>
        <w:t>Heritage</w:t>
      </w:r>
    </w:p>
    <w:p>
      <w:pPr>
        <w:pStyle w:val="ListParagraph"/>
        <w:numPr>
          <w:ilvl w:val="0"/>
          <w:numId w:val="2"/>
        </w:numPr>
        <w:tabs>
          <w:tab w:pos="621" w:val="left" w:leader="none"/>
        </w:tabs>
        <w:spacing w:line="235" w:lineRule="auto" w:before="168" w:after="0"/>
        <w:ind w:left="620" w:right="117" w:hanging="227"/>
        <w:jc w:val="left"/>
        <w:rPr>
          <w:sz w:val="22"/>
        </w:rPr>
      </w:pPr>
      <w:r>
        <w:rPr>
          <w:color w:val="231F20"/>
          <w:sz w:val="22"/>
        </w:rPr>
        <w:t>National Parks and Wildlife Service, Office </w:t>
      </w:r>
      <w:r>
        <w:rPr>
          <w:color w:val="231F20"/>
          <w:spacing w:val="-8"/>
          <w:sz w:val="22"/>
        </w:rPr>
        <w:t>of </w:t>
      </w:r>
      <w:r>
        <w:rPr>
          <w:color w:val="231F20"/>
          <w:sz w:val="22"/>
        </w:rPr>
        <w:t>Environment and</w:t>
      </w:r>
      <w:r>
        <w:rPr>
          <w:color w:val="231F20"/>
          <w:spacing w:val="-1"/>
          <w:sz w:val="22"/>
        </w:rPr>
        <w:t> </w:t>
      </w:r>
      <w:r>
        <w:rPr>
          <w:color w:val="231F20"/>
          <w:sz w:val="22"/>
        </w:rPr>
        <w:t>Heritage</w:t>
      </w:r>
    </w:p>
    <w:p>
      <w:pPr>
        <w:pStyle w:val="ListParagraph"/>
        <w:numPr>
          <w:ilvl w:val="0"/>
          <w:numId w:val="2"/>
        </w:numPr>
        <w:tabs>
          <w:tab w:pos="621" w:val="left" w:leader="none"/>
        </w:tabs>
        <w:spacing w:line="235" w:lineRule="auto" w:before="168" w:after="0"/>
        <w:ind w:left="620" w:right="1193" w:hanging="227"/>
        <w:jc w:val="left"/>
        <w:rPr>
          <w:sz w:val="22"/>
        </w:rPr>
      </w:pPr>
      <w:r>
        <w:rPr>
          <w:color w:val="231F20"/>
          <w:sz w:val="22"/>
        </w:rPr>
        <w:t>Office of the NSW Small</w:t>
      </w:r>
      <w:r>
        <w:rPr>
          <w:color w:val="231F20"/>
          <w:spacing w:val="-19"/>
          <w:sz w:val="22"/>
        </w:rPr>
        <w:t> </w:t>
      </w:r>
      <w:r>
        <w:rPr>
          <w:color w:val="231F20"/>
          <w:sz w:val="22"/>
        </w:rPr>
        <w:t>Business Commissioner.</w:t>
      </w:r>
    </w:p>
    <w:p>
      <w:pPr>
        <w:pStyle w:val="BodyText"/>
        <w:spacing w:line="235" w:lineRule="auto" w:before="169"/>
        <w:ind w:left="280" w:right="49"/>
      </w:pPr>
      <w:r>
        <w:rPr>
          <w:color w:val="231F20"/>
        </w:rPr>
        <w:t>Public servants at various levels (including senior executives) in these agencies were nominated by their agency to participate in the research. The participants were from a mix of regional and metropolitan centres </w:t>
      </w:r>
      <w:r>
        <w:rPr>
          <w:color w:val="231F20"/>
          <w:spacing w:val="-3"/>
        </w:rPr>
        <w:t>(Sydney, </w:t>
      </w:r>
      <w:r>
        <w:rPr>
          <w:color w:val="231F20"/>
          <w:spacing w:val="-5"/>
        </w:rPr>
        <w:t>Coffs </w:t>
      </w:r>
      <w:r>
        <w:rPr>
          <w:color w:val="231F20"/>
        </w:rPr>
        <w:t>Harbour and Dubbo).</w:t>
      </w:r>
    </w:p>
    <w:p>
      <w:pPr>
        <w:pStyle w:val="BodyText"/>
        <w:spacing w:line="235" w:lineRule="auto" w:before="164"/>
        <w:ind w:left="280" w:right="180"/>
      </w:pPr>
      <w:r>
        <w:rPr>
          <w:color w:val="231F20"/>
        </w:rPr>
        <w:t>The NSW Public Service Commissioner was also included for interview. His broad view and</w:t>
      </w:r>
    </w:p>
    <w:p>
      <w:pPr>
        <w:pStyle w:val="BodyText"/>
        <w:spacing w:line="235" w:lineRule="auto" w:before="105"/>
        <w:ind w:left="280" w:right="806"/>
      </w:pPr>
      <w:r>
        <w:rPr/>
        <w:br w:type="column"/>
      </w:r>
      <w:r>
        <w:rPr>
          <w:color w:val="231F20"/>
        </w:rPr>
        <w:t>experience of the NSW public service was considered to be of particular value.</w:t>
      </w:r>
    </w:p>
    <w:p>
      <w:pPr>
        <w:pStyle w:val="BodyText"/>
        <w:spacing w:line="235" w:lineRule="auto" w:before="168"/>
        <w:ind w:left="280" w:right="520"/>
      </w:pPr>
      <w:r>
        <w:rPr>
          <w:color w:val="231F20"/>
        </w:rPr>
        <w:t>In accordance with the research </w:t>
      </w:r>
      <w:r>
        <w:rPr>
          <w:color w:val="231F20"/>
          <w:spacing w:val="-3"/>
        </w:rPr>
        <w:t>team’s </w:t>
      </w:r>
      <w:r>
        <w:rPr>
          <w:color w:val="231F20"/>
        </w:rPr>
        <w:t>approved application to the ANZSOG </w:t>
      </w:r>
      <w:r>
        <w:rPr>
          <w:color w:val="231F20"/>
          <w:spacing w:val="-4"/>
        </w:rPr>
        <w:t>Human </w:t>
      </w:r>
      <w:r>
        <w:rPr>
          <w:color w:val="231F20"/>
        </w:rPr>
        <w:t>Research Ethics Committee, all research participants were given an explanatory  paper and signed consent forms before</w:t>
      </w:r>
      <w:r>
        <w:rPr>
          <w:color w:val="231F20"/>
          <w:spacing w:val="-1"/>
        </w:rPr>
        <w:t> </w:t>
      </w:r>
      <w:r>
        <w:rPr>
          <w:color w:val="231F20"/>
        </w:rPr>
        <w:t>they</w:t>
      </w:r>
    </w:p>
    <w:p>
      <w:pPr>
        <w:pStyle w:val="BodyText"/>
        <w:spacing w:line="235" w:lineRule="auto"/>
        <w:ind w:left="280" w:right="317"/>
      </w:pPr>
      <w:r>
        <w:rPr>
          <w:color w:val="231F20"/>
        </w:rPr>
        <w:t>participated in an interview or focus group (see Appendices I-III). Participation was voluntary and participants were free to withdraw from the interviews or focus groups at any time.</w:t>
      </w:r>
    </w:p>
    <w:p>
      <w:pPr>
        <w:pStyle w:val="Heading3"/>
        <w:spacing w:before="161"/>
      </w:pPr>
      <w:r>
        <w:rPr>
          <w:color w:val="47A7A8"/>
        </w:rPr>
        <w:t>Interviews</w:t>
      </w:r>
    </w:p>
    <w:p>
      <w:pPr>
        <w:pStyle w:val="BodyText"/>
        <w:spacing w:line="235" w:lineRule="auto" w:before="172"/>
        <w:ind w:left="280" w:right="357"/>
      </w:pPr>
      <w:r>
        <w:rPr>
          <w:color w:val="231F20"/>
        </w:rPr>
        <w:t>During July and August 2016, 10 in-depth semi-structured interviews were conducted with senior executives; seven interviews were conducted by telephone and three were face- to-face. The interviews ran for approximately one hour. The interview guide was based on the research question and was designed using</w:t>
      </w:r>
    </w:p>
    <w:p>
      <w:pPr>
        <w:pStyle w:val="BodyText"/>
        <w:spacing w:line="235" w:lineRule="auto"/>
        <w:ind w:left="280" w:right="218"/>
      </w:pPr>
      <w:r>
        <w:rPr>
          <w:color w:val="231F20"/>
        </w:rPr>
        <w:t>processes outlined by Braun and Clarke (2013). The interview guide was tested initially with a senior executive with significant experience of working with local decision-making in Aboriginal communities; the question construction and flow of the interview were subsequently refined. A copy of the interview guide is in Appendix IV.</w:t>
      </w:r>
    </w:p>
    <w:p>
      <w:pPr>
        <w:pStyle w:val="Heading3"/>
        <w:spacing w:before="157"/>
      </w:pPr>
      <w:r>
        <w:rPr>
          <w:color w:val="47A7A8"/>
        </w:rPr>
        <w:t>Focus groups</w:t>
      </w:r>
    </w:p>
    <w:p>
      <w:pPr>
        <w:pStyle w:val="BodyText"/>
        <w:spacing w:line="235" w:lineRule="auto" w:before="171"/>
        <w:ind w:left="280" w:right="200"/>
      </w:pPr>
      <w:r>
        <w:rPr>
          <w:color w:val="231F20"/>
        </w:rPr>
        <w:t>Seven focus groups were held across three locations (Coffs Harbour, Dubbo and Sydney). Thirty-two public servants participated. The focus groups varied in size from two participants to 10. Five were conducted in-person and</w:t>
      </w:r>
    </w:p>
    <w:p>
      <w:pPr>
        <w:pStyle w:val="BodyText"/>
        <w:spacing w:line="235" w:lineRule="auto"/>
        <w:ind w:left="280" w:right="422"/>
      </w:pPr>
      <w:r>
        <w:rPr>
          <w:color w:val="231F20"/>
        </w:rPr>
        <w:t>two by teleconference. Each group ran for approximately two hours and was facilitated by two research team members. A copy of the focus group schedule is in Appendix V.</w:t>
      </w:r>
    </w:p>
    <w:p>
      <w:pPr>
        <w:pStyle w:val="BodyText"/>
        <w:spacing w:line="235" w:lineRule="auto" w:before="162"/>
        <w:ind w:left="280" w:right="150"/>
      </w:pPr>
      <w:r>
        <w:rPr>
          <w:color w:val="231F20"/>
        </w:rPr>
        <w:t>Twenty-eight focus group participants</w:t>
      </w:r>
      <w:r>
        <w:rPr>
          <w:color w:val="231F20"/>
          <w:spacing w:val="-44"/>
        </w:rPr>
        <w:t> </w:t>
      </w:r>
      <w:r>
        <w:rPr>
          <w:color w:val="231F20"/>
        </w:rPr>
        <w:t>completed an information sheet to assist researchers to understand the participants’ demographics. Half (n=14) of the participants identified as female and half (n=14) as male. Most of the participants (n=20) were aged between 35 and 54</w:t>
      </w:r>
      <w:r>
        <w:rPr>
          <w:color w:val="231F20"/>
          <w:spacing w:val="-2"/>
        </w:rPr>
        <w:t> </w:t>
      </w:r>
      <w:r>
        <w:rPr>
          <w:color w:val="231F20"/>
        </w:rPr>
        <w:t>years</w:t>
      </w:r>
    </w:p>
    <w:p>
      <w:pPr>
        <w:pStyle w:val="BodyText"/>
        <w:spacing w:line="235" w:lineRule="auto"/>
        <w:ind w:left="280" w:right="465"/>
        <w:jc w:val="both"/>
      </w:pPr>
      <w:r>
        <w:rPr>
          <w:color w:val="231F20"/>
        </w:rPr>
        <w:t>and had worked in the NSW public service </w:t>
      </w:r>
      <w:r>
        <w:rPr>
          <w:color w:val="231F20"/>
          <w:spacing w:val="-6"/>
        </w:rPr>
        <w:t>for </w:t>
      </w:r>
      <w:r>
        <w:rPr>
          <w:color w:val="231F20"/>
        </w:rPr>
        <w:t>10 years or more. Sixteen participants </w:t>
      </w:r>
      <w:r>
        <w:rPr>
          <w:color w:val="231F20"/>
          <w:spacing w:val="-3"/>
        </w:rPr>
        <w:t>worked </w:t>
      </w:r>
      <w:r>
        <w:rPr>
          <w:color w:val="231F20"/>
        </w:rPr>
        <w:t>in rural locations, eight in metropolitan</w:t>
      </w:r>
      <w:r>
        <w:rPr>
          <w:color w:val="231F20"/>
          <w:spacing w:val="-6"/>
        </w:rPr>
        <w:t> </w:t>
      </w:r>
      <w:r>
        <w:rPr>
          <w:color w:val="231F20"/>
        </w:rPr>
        <w:t>areas</w:t>
      </w:r>
    </w:p>
    <w:p>
      <w:pPr>
        <w:spacing w:after="0" w:line="235" w:lineRule="auto"/>
        <w:jc w:val="both"/>
        <w:sectPr>
          <w:type w:val="continuous"/>
          <w:pgSz w:w="11910" w:h="16840"/>
          <w:pgMar w:top="1580" w:bottom="280" w:left="740" w:right="640"/>
          <w:cols w:num="2" w:equalWidth="0">
            <w:col w:w="5114" w:space="153"/>
            <w:col w:w="5263"/>
          </w:cols>
        </w:sect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BodyText"/>
        <w:spacing w:line="235" w:lineRule="auto" w:before="104"/>
        <w:ind w:left="280" w:right="6097"/>
      </w:pPr>
      <w:r>
        <w:rPr>
          <w:color w:val="231F20"/>
        </w:rPr>
        <w:t>and four participants identified as working in both regional and metro areas. Almost all participants (n=23) reported they had</w:t>
      </w:r>
    </w:p>
    <w:p>
      <w:pPr>
        <w:pStyle w:val="BodyText"/>
        <w:spacing w:line="235" w:lineRule="auto"/>
        <w:ind w:left="280" w:right="5804"/>
      </w:pPr>
      <w:r>
        <w:rPr>
          <w:color w:val="231F20"/>
        </w:rPr>
        <w:t>experience working with Aboriginal people in the community.</w:t>
      </w:r>
    </w:p>
    <w:p>
      <w:pPr>
        <w:pStyle w:val="BodyText"/>
        <w:spacing w:line="235" w:lineRule="auto" w:before="165"/>
        <w:ind w:left="280" w:right="5672"/>
      </w:pPr>
      <w:r>
        <w:rPr>
          <w:color w:val="231F20"/>
        </w:rPr>
        <w:t>Those who conducted the interviews or focus groups partly transcribed the recordings while another research team member (not involved in that interview or group) listened to the recordings and edited the transcripts where appropriate. This ensured important themes and issues were not overlooked.</w:t>
      </w:r>
    </w:p>
    <w:p>
      <w:pPr>
        <w:pStyle w:val="BodyText"/>
        <w:spacing w:before="1"/>
        <w:rPr>
          <w:sz w:val="32"/>
        </w:rPr>
      </w:pPr>
    </w:p>
    <w:p>
      <w:pPr>
        <w:pStyle w:val="Heading2"/>
        <w:spacing w:before="1"/>
      </w:pPr>
      <w:r>
        <w:rPr>
          <w:color w:val="358384"/>
        </w:rPr>
        <w:t>Systematic review</w:t>
      </w:r>
    </w:p>
    <w:p>
      <w:pPr>
        <w:pStyle w:val="BodyText"/>
        <w:spacing w:line="235" w:lineRule="auto" w:before="167"/>
        <w:ind w:left="280" w:right="5535"/>
      </w:pPr>
      <w:r>
        <w:rPr>
          <w:color w:val="231F20"/>
        </w:rPr>
        <w:t>Positive outcomes achieved through genuine co-design were a common theme that emerged from the interviews and focus groups. To understand the practice more, and how it might contribute to changing public service practices, a focused systematic review was undertaken.</w:t>
      </w:r>
    </w:p>
    <w:p>
      <w:pPr>
        <w:pStyle w:val="BodyText"/>
        <w:spacing w:line="232" w:lineRule="auto" w:before="166"/>
        <w:ind w:left="280" w:right="5428"/>
      </w:pPr>
      <w:r>
        <w:rPr>
          <w:color w:val="231F20"/>
        </w:rPr>
        <w:t>The search engines Google scholar and Victoria University of Wellington Library’s Te Whaharoa were used. The search criteria were ‘</w:t>
      </w:r>
      <w:r>
        <w:rPr>
          <w:rFonts w:ascii="Helvetica-LightOblique" w:hAnsi="Helvetica-LightOblique"/>
          <w:i/>
          <w:color w:val="231F20"/>
        </w:rPr>
        <w:t>co-design</w:t>
      </w:r>
      <w:r>
        <w:rPr>
          <w:color w:val="231F20"/>
        </w:rPr>
        <w:t>’ in the title and ‘</w:t>
      </w:r>
      <w:r>
        <w:rPr>
          <w:rFonts w:ascii="Helvetica-LightOblique" w:hAnsi="Helvetica-LightOblique"/>
          <w:i/>
          <w:color w:val="231F20"/>
        </w:rPr>
        <w:t>community</w:t>
      </w:r>
      <w:r>
        <w:rPr>
          <w:color w:val="231F20"/>
        </w:rPr>
        <w:t>’. The search was limited to studies and articles completed in the last 10 years. Newspaper articles and studies that focused on ethnic committees and art were excluded as these were not seen as relevant to the research question.</w:t>
      </w:r>
    </w:p>
    <w:p>
      <w:pPr>
        <w:pStyle w:val="BodyText"/>
        <w:spacing w:line="235" w:lineRule="auto" w:before="174"/>
        <w:ind w:left="280" w:right="5669"/>
      </w:pPr>
      <w:r>
        <w:rPr>
          <w:color w:val="231F20"/>
        </w:rPr>
        <w:t>A matrix approach to the review evidence hierarchy was used that included the following headings:</w:t>
      </w:r>
    </w:p>
    <w:p>
      <w:pPr>
        <w:pStyle w:val="ListParagraph"/>
        <w:numPr>
          <w:ilvl w:val="0"/>
          <w:numId w:val="2"/>
        </w:numPr>
        <w:tabs>
          <w:tab w:pos="621" w:val="left" w:leader="none"/>
        </w:tabs>
        <w:spacing w:line="240" w:lineRule="auto" w:before="163" w:after="0"/>
        <w:ind w:left="620" w:right="0" w:hanging="227"/>
        <w:jc w:val="left"/>
        <w:rPr>
          <w:sz w:val="22"/>
        </w:rPr>
      </w:pPr>
      <w:r>
        <w:rPr>
          <w:color w:val="231F20"/>
          <w:sz w:val="22"/>
        </w:rPr>
        <w:t>reference/title</w:t>
      </w:r>
    </w:p>
    <w:p>
      <w:pPr>
        <w:pStyle w:val="ListParagraph"/>
        <w:numPr>
          <w:ilvl w:val="0"/>
          <w:numId w:val="2"/>
        </w:numPr>
        <w:tabs>
          <w:tab w:pos="621" w:val="left" w:leader="none"/>
        </w:tabs>
        <w:spacing w:line="240" w:lineRule="auto" w:before="164" w:after="0"/>
        <w:ind w:left="620" w:right="0" w:hanging="227"/>
        <w:jc w:val="left"/>
        <w:rPr>
          <w:sz w:val="22"/>
        </w:rPr>
      </w:pPr>
      <w:r>
        <w:rPr>
          <w:color w:val="231F20"/>
          <w:sz w:val="22"/>
        </w:rPr>
        <w:t>discipline (level in</w:t>
      </w:r>
      <w:r>
        <w:rPr>
          <w:color w:val="231F20"/>
          <w:spacing w:val="-1"/>
          <w:sz w:val="22"/>
        </w:rPr>
        <w:t> </w:t>
      </w:r>
      <w:r>
        <w:rPr>
          <w:color w:val="231F20"/>
          <w:sz w:val="22"/>
        </w:rPr>
        <w:t>hierarchy)</w:t>
      </w:r>
    </w:p>
    <w:p>
      <w:pPr>
        <w:pStyle w:val="ListParagraph"/>
        <w:numPr>
          <w:ilvl w:val="0"/>
          <w:numId w:val="2"/>
        </w:numPr>
        <w:tabs>
          <w:tab w:pos="621" w:val="left" w:leader="none"/>
        </w:tabs>
        <w:spacing w:line="240" w:lineRule="auto" w:before="163" w:after="0"/>
        <w:ind w:left="620" w:right="0" w:hanging="227"/>
        <w:jc w:val="left"/>
        <w:rPr>
          <w:sz w:val="22"/>
        </w:rPr>
      </w:pPr>
      <w:r>
        <w:rPr>
          <w:color w:val="231F20"/>
          <w:sz w:val="22"/>
        </w:rPr>
        <w:t>focus/research</w:t>
      </w:r>
      <w:r>
        <w:rPr>
          <w:color w:val="231F20"/>
          <w:spacing w:val="-1"/>
          <w:sz w:val="22"/>
        </w:rPr>
        <w:t> </w:t>
      </w:r>
      <w:r>
        <w:rPr>
          <w:color w:val="231F20"/>
          <w:sz w:val="22"/>
        </w:rPr>
        <w:t>question</w:t>
      </w:r>
    </w:p>
    <w:p>
      <w:pPr>
        <w:pStyle w:val="ListParagraph"/>
        <w:numPr>
          <w:ilvl w:val="0"/>
          <w:numId w:val="2"/>
        </w:numPr>
        <w:tabs>
          <w:tab w:pos="621" w:val="left" w:leader="none"/>
        </w:tabs>
        <w:spacing w:line="240" w:lineRule="auto" w:before="164" w:after="0"/>
        <w:ind w:left="620" w:right="0" w:hanging="227"/>
        <w:jc w:val="left"/>
        <w:rPr>
          <w:sz w:val="22"/>
        </w:rPr>
      </w:pPr>
      <w:r>
        <w:rPr>
          <w:color w:val="231F20"/>
          <w:sz w:val="22"/>
        </w:rPr>
        <w:t>key concepts/findings</w:t>
      </w:r>
    </w:p>
    <w:p>
      <w:pPr>
        <w:pStyle w:val="ListParagraph"/>
        <w:numPr>
          <w:ilvl w:val="0"/>
          <w:numId w:val="2"/>
        </w:numPr>
        <w:tabs>
          <w:tab w:pos="621" w:val="left" w:leader="none"/>
        </w:tabs>
        <w:spacing w:line="235" w:lineRule="auto" w:before="168" w:after="0"/>
        <w:ind w:left="620" w:right="5868" w:hanging="227"/>
        <w:jc w:val="left"/>
        <w:rPr>
          <w:sz w:val="22"/>
        </w:rPr>
      </w:pPr>
      <w:r>
        <w:rPr>
          <w:color w:val="231F20"/>
          <w:sz w:val="22"/>
        </w:rPr>
        <w:t>method, including sample size, sampling method and data collection.</w:t>
      </w:r>
    </w:p>
    <w:p>
      <w:pPr>
        <w:pStyle w:val="BodyText"/>
        <w:spacing w:line="235" w:lineRule="auto" w:before="168"/>
        <w:ind w:left="280" w:right="5510"/>
      </w:pPr>
      <w:r>
        <w:rPr>
          <w:color w:val="231F20"/>
        </w:rPr>
        <w:t>The findings of the systematic review are included in the </w:t>
      </w:r>
      <w:r>
        <w:rPr>
          <w:rFonts w:ascii="Helvetica-LightOblique"/>
          <w:i/>
          <w:color w:val="231F20"/>
        </w:rPr>
        <w:t>Discussion </w:t>
      </w:r>
      <w:r>
        <w:rPr>
          <w:color w:val="231F20"/>
        </w:rPr>
        <w:t>section of this report.</w:t>
      </w:r>
    </w:p>
    <w:p>
      <w:pPr>
        <w:spacing w:after="0" w:line="235" w:lineRule="auto"/>
        <w:sectPr>
          <w:pgSz w:w="11910" w:h="16840"/>
          <w:pgMar w:header="0" w:footer="558" w:top="1600" w:bottom="740" w:left="740" w:right="6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7"/>
        </w:rPr>
      </w:pPr>
    </w:p>
    <w:p>
      <w:pPr>
        <w:pStyle w:val="Heading1"/>
      </w:pPr>
      <w:r>
        <w:rPr>
          <w:color w:val="C2B59B"/>
        </w:rPr>
        <w:t>ANALYSIS</w:t>
      </w:r>
    </w:p>
    <w:p>
      <w:pPr>
        <w:pStyle w:val="BodyText"/>
        <w:spacing w:before="9"/>
        <w:rPr>
          <w:rFonts w:ascii="Helvetica"/>
          <w:sz w:val="25"/>
        </w:rPr>
      </w:pPr>
    </w:p>
    <w:p>
      <w:pPr>
        <w:spacing w:after="0"/>
        <w:rPr>
          <w:rFonts w:ascii="Helvetica"/>
          <w:sz w:val="25"/>
        </w:rPr>
        <w:sectPr>
          <w:headerReference w:type="default" r:id="rId45"/>
          <w:footerReference w:type="default" r:id="rId46"/>
          <w:pgSz w:w="11910" w:h="16840"/>
          <w:pgMar w:header="0" w:footer="558" w:top="0" w:bottom="740" w:left="740" w:right="640"/>
          <w:pgNumType w:start="21"/>
        </w:sectPr>
      </w:pPr>
    </w:p>
    <w:p>
      <w:pPr>
        <w:pStyle w:val="BodyText"/>
        <w:spacing w:line="235" w:lineRule="auto" w:before="105"/>
        <w:ind w:left="280" w:right="12"/>
      </w:pPr>
      <w:r>
        <w:rPr/>
        <w:pict>
          <v:group style="position:absolute;margin-left:.0pt;margin-top:0pt;width:595.3pt;height:368.55pt;mso-position-horizontal-relative:page;mso-position-vertical-relative:page;z-index:-71416" coordorigin="0,0" coordsize="11906,7371">
            <v:shape style="position:absolute;left:0;top:1615;width:11906;height:5755" type="#_x0000_t75" stroked="false">
              <v:imagedata r:id="rId31" o:title=""/>
            </v:shape>
            <v:rect style="position:absolute;left:0;top:6803;width:11906;height:567" filled="true" fillcolor="#439fa0" stroked="false">
              <v:fill opacity="41288f" type="solid"/>
            </v:rect>
            <v:rect style="position:absolute;left:0;top:1332;width:4105;height:284" filled="true" fillcolor="#14397f" stroked="false">
              <v:fill type="solid"/>
            </v:rect>
            <v:rect style="position:absolute;left:11111;top:1332;width:341;height:284" filled="true" fillcolor="#e3dad1" stroked="false">
              <v:fill type="solid"/>
            </v:rect>
            <v:rect style="position:absolute;left:4104;top:1332;width:1656;height:284" filled="true" fillcolor="#47a7a8" stroked="false">
              <v:fill type="solid"/>
            </v:rect>
            <v:rect style="position:absolute;left:5748;top:1332;width:218;height:284" filled="true" fillcolor="#e7bb20" stroked="false">
              <v:fill type="solid"/>
            </v:rect>
            <v:rect style="position:absolute;left:11451;top:1332;width:454;height:284" filled="true" fillcolor="#14397f" stroked="false">
              <v:fill type="solid"/>
            </v:rect>
            <v:shape style="position:absolute;left:0;top:0;width:11906;height:1333" type="#_x0000_t75" stroked="false">
              <v:imagedata r:id="rId22" o:title=""/>
            </v:shape>
            <v:rect style="position:absolute;left:0;top:0;width:11906;height:1333" filled="true" fillcolor="#439fa0" stroked="false">
              <v:fill opacity="37355f" type="solid"/>
            </v:rect>
            <v:shape style="position:absolute;left:5966;top:1332;width:5146;height:284" type="#_x0000_t202" filled="true" fillcolor="#14397f" stroked="false">
              <v:textbox inset="0,0,0,0">
                <w:txbxContent>
                  <w:p>
                    <w:pPr>
                      <w:spacing w:before="44"/>
                      <w:ind w:left="3184" w:right="0" w:firstLine="0"/>
                      <w:jc w:val="left"/>
                      <w:rPr>
                        <w:sz w:val="16"/>
                      </w:rPr>
                    </w:pPr>
                    <w:r>
                      <w:rPr>
                        <w:color w:val="FFFFFF"/>
                        <w:sz w:val="16"/>
                      </w:rPr>
                      <w:t>RHETORIC TO REALITY</w:t>
                    </w:r>
                  </w:p>
                </w:txbxContent>
              </v:textbox>
              <v:fill type="solid"/>
              <w10:wrap type="none"/>
            </v:shape>
            <w10:wrap type="none"/>
          </v:group>
        </w:pict>
      </w:r>
      <w:r>
        <w:rPr>
          <w:color w:val="231F20"/>
        </w:rPr>
        <w:t>The primary </w:t>
      </w:r>
      <w:r>
        <w:rPr>
          <w:color w:val="231F20"/>
          <w:spacing w:val="-3"/>
        </w:rPr>
        <w:t>data analysis followed </w:t>
      </w:r>
      <w:r>
        <w:rPr>
          <w:color w:val="231F20"/>
        </w:rPr>
        <w:t>the key </w:t>
      </w:r>
      <w:r>
        <w:rPr>
          <w:color w:val="231F20"/>
          <w:spacing w:val="-3"/>
        </w:rPr>
        <w:t>steps </w:t>
      </w:r>
      <w:r>
        <w:rPr>
          <w:color w:val="231F20"/>
        </w:rPr>
        <w:t>for </w:t>
      </w:r>
      <w:r>
        <w:rPr>
          <w:color w:val="231F20"/>
          <w:spacing w:val="-3"/>
        </w:rPr>
        <w:t>thematic analysis </w:t>
      </w:r>
      <w:r>
        <w:rPr>
          <w:color w:val="231F20"/>
        </w:rPr>
        <w:t>as </w:t>
      </w:r>
      <w:r>
        <w:rPr>
          <w:color w:val="231F20"/>
          <w:spacing w:val="-3"/>
        </w:rPr>
        <w:t>outlined </w:t>
      </w:r>
      <w:r>
        <w:rPr>
          <w:color w:val="231F20"/>
        </w:rPr>
        <w:t>by O’Leary </w:t>
      </w:r>
      <w:r>
        <w:rPr>
          <w:color w:val="231F20"/>
          <w:spacing w:val="-3"/>
        </w:rPr>
        <w:t>(2014, </w:t>
      </w:r>
      <w:r>
        <w:rPr>
          <w:color w:val="231F20"/>
        </w:rPr>
        <w:t>Ch. 13 &amp; 14) and </w:t>
      </w:r>
      <w:r>
        <w:rPr>
          <w:color w:val="231F20"/>
          <w:spacing w:val="-3"/>
        </w:rPr>
        <w:t>Braun </w:t>
      </w:r>
      <w:r>
        <w:rPr>
          <w:color w:val="231F20"/>
        </w:rPr>
        <w:t>and </w:t>
      </w:r>
      <w:r>
        <w:rPr>
          <w:color w:val="231F20"/>
          <w:spacing w:val="-3"/>
        </w:rPr>
        <w:t>Clarke (2013;</w:t>
      </w:r>
    </w:p>
    <w:p>
      <w:pPr>
        <w:pStyle w:val="BodyText"/>
        <w:spacing w:line="263" w:lineRule="exact"/>
        <w:ind w:left="280"/>
      </w:pPr>
      <w:r>
        <w:rPr>
          <w:color w:val="231F20"/>
        </w:rPr>
        <w:t>2006) summarised as:</w:t>
      </w:r>
    </w:p>
    <w:p>
      <w:pPr>
        <w:pStyle w:val="ListParagraph"/>
        <w:numPr>
          <w:ilvl w:val="0"/>
          <w:numId w:val="2"/>
        </w:numPr>
        <w:tabs>
          <w:tab w:pos="621" w:val="left" w:leader="none"/>
        </w:tabs>
        <w:spacing w:line="235" w:lineRule="auto" w:before="168" w:after="0"/>
        <w:ind w:left="620" w:right="896" w:hanging="227"/>
        <w:jc w:val="left"/>
        <w:rPr>
          <w:sz w:val="22"/>
        </w:rPr>
      </w:pPr>
      <w:r>
        <w:rPr>
          <w:color w:val="231F20"/>
          <w:sz w:val="22"/>
        </w:rPr>
        <w:t>identifying biases and noting </w:t>
      </w:r>
      <w:r>
        <w:rPr>
          <w:color w:val="231F20"/>
          <w:spacing w:val="-3"/>
          <w:sz w:val="22"/>
        </w:rPr>
        <w:t>overall </w:t>
      </w:r>
      <w:r>
        <w:rPr>
          <w:color w:val="231F20"/>
          <w:sz w:val="22"/>
        </w:rPr>
        <w:t>impressions</w:t>
      </w:r>
    </w:p>
    <w:p>
      <w:pPr>
        <w:pStyle w:val="ListParagraph"/>
        <w:numPr>
          <w:ilvl w:val="0"/>
          <w:numId w:val="2"/>
        </w:numPr>
        <w:tabs>
          <w:tab w:pos="621" w:val="left" w:leader="none"/>
        </w:tabs>
        <w:spacing w:line="240" w:lineRule="auto" w:before="135" w:after="0"/>
        <w:ind w:left="620" w:right="0" w:hanging="227"/>
        <w:jc w:val="left"/>
        <w:rPr>
          <w:sz w:val="22"/>
        </w:rPr>
      </w:pPr>
      <w:r>
        <w:rPr>
          <w:color w:val="231F20"/>
          <w:sz w:val="22"/>
        </w:rPr>
        <w:t>reducing the data and coding into</w:t>
      </w:r>
      <w:r>
        <w:rPr>
          <w:color w:val="231F20"/>
          <w:spacing w:val="-3"/>
          <w:sz w:val="22"/>
        </w:rPr>
        <w:t> </w:t>
      </w:r>
      <w:r>
        <w:rPr>
          <w:color w:val="231F20"/>
          <w:sz w:val="22"/>
        </w:rPr>
        <w:t>themes</w:t>
      </w:r>
    </w:p>
    <w:p>
      <w:pPr>
        <w:pStyle w:val="ListParagraph"/>
        <w:numPr>
          <w:ilvl w:val="0"/>
          <w:numId w:val="2"/>
        </w:numPr>
        <w:tabs>
          <w:tab w:pos="621" w:val="left" w:leader="none"/>
        </w:tabs>
        <w:spacing w:line="240" w:lineRule="auto" w:before="136" w:after="0"/>
        <w:ind w:left="620" w:right="0" w:hanging="227"/>
        <w:jc w:val="left"/>
        <w:rPr>
          <w:sz w:val="22"/>
        </w:rPr>
      </w:pPr>
      <w:r>
        <w:rPr>
          <w:color w:val="231F20"/>
          <w:sz w:val="22"/>
        </w:rPr>
        <w:t>searching for patterns and</w:t>
      </w:r>
      <w:r>
        <w:rPr>
          <w:color w:val="231F20"/>
          <w:spacing w:val="-4"/>
          <w:sz w:val="22"/>
        </w:rPr>
        <w:t> </w:t>
      </w:r>
      <w:r>
        <w:rPr>
          <w:color w:val="231F20"/>
          <w:sz w:val="22"/>
        </w:rPr>
        <w:t>interconnections</w:t>
      </w:r>
    </w:p>
    <w:p>
      <w:pPr>
        <w:pStyle w:val="ListParagraph"/>
        <w:numPr>
          <w:ilvl w:val="0"/>
          <w:numId w:val="2"/>
        </w:numPr>
        <w:tabs>
          <w:tab w:pos="621" w:val="left" w:leader="none"/>
        </w:tabs>
        <w:spacing w:line="240" w:lineRule="auto" w:before="135" w:after="0"/>
        <w:ind w:left="620" w:right="0" w:hanging="227"/>
        <w:jc w:val="left"/>
        <w:rPr>
          <w:sz w:val="22"/>
        </w:rPr>
      </w:pPr>
      <w:r>
        <w:rPr>
          <w:color w:val="231F20"/>
          <w:sz w:val="22"/>
        </w:rPr>
        <w:t>mapping and building themes</w:t>
      </w:r>
    </w:p>
    <w:p>
      <w:pPr>
        <w:pStyle w:val="ListParagraph"/>
        <w:numPr>
          <w:ilvl w:val="0"/>
          <w:numId w:val="2"/>
        </w:numPr>
        <w:tabs>
          <w:tab w:pos="621" w:val="left" w:leader="none"/>
        </w:tabs>
        <w:spacing w:line="240" w:lineRule="auto" w:before="135" w:after="0"/>
        <w:ind w:left="620" w:right="0" w:hanging="227"/>
        <w:jc w:val="left"/>
        <w:rPr>
          <w:sz w:val="22"/>
        </w:rPr>
      </w:pPr>
      <w:r>
        <w:rPr>
          <w:color w:val="231F20"/>
          <w:sz w:val="22"/>
        </w:rPr>
        <w:t>building and verifying theories</w:t>
      </w:r>
    </w:p>
    <w:p>
      <w:pPr>
        <w:pStyle w:val="ListParagraph"/>
        <w:numPr>
          <w:ilvl w:val="0"/>
          <w:numId w:val="2"/>
        </w:numPr>
        <w:tabs>
          <w:tab w:pos="621" w:val="left" w:leader="none"/>
        </w:tabs>
        <w:spacing w:line="240" w:lineRule="auto" w:before="136" w:after="0"/>
        <w:ind w:left="620" w:right="0" w:hanging="227"/>
        <w:jc w:val="left"/>
        <w:rPr>
          <w:sz w:val="22"/>
        </w:rPr>
      </w:pPr>
      <w:r>
        <w:rPr>
          <w:color w:val="231F20"/>
          <w:sz w:val="22"/>
        </w:rPr>
        <w:t>drawing conclusions.</w:t>
      </w:r>
    </w:p>
    <w:p>
      <w:pPr>
        <w:pStyle w:val="BodyText"/>
        <w:spacing w:line="235" w:lineRule="auto" w:before="139"/>
        <w:ind w:left="280" w:right="38"/>
      </w:pPr>
      <w:r>
        <w:rPr>
          <w:color w:val="231F20"/>
        </w:rPr>
        <w:t>The overall process was iterative and dynamic, involving cycles of both inductive and deductive reasoning. Research team members individually reviewed all of the written transcripts and identified common themes. The research team coded the data according to statements or ideas expressed by participants which were relevant to the research question (for example, mention of things that were barriers or</w:t>
      </w:r>
      <w:r>
        <w:rPr>
          <w:color w:val="231F20"/>
          <w:spacing w:val="-4"/>
        </w:rPr>
        <w:t> </w:t>
      </w:r>
      <w:r>
        <w:rPr>
          <w:color w:val="231F20"/>
        </w:rPr>
        <w:t>enablers</w:t>
      </w:r>
    </w:p>
    <w:p>
      <w:pPr>
        <w:pStyle w:val="BodyText"/>
        <w:spacing w:line="235" w:lineRule="auto" w:before="105"/>
        <w:ind w:left="280" w:right="439"/>
      </w:pPr>
      <w:r>
        <w:rPr/>
        <w:br w:type="column"/>
      </w:r>
      <w:r>
        <w:rPr>
          <w:color w:val="231F20"/>
        </w:rPr>
        <w:t>in the operation of structural or attitudinal frameworks, and of processes associated with devolved decision-making and the role of the public service), or which could be associated with concepts described in the literature, or were unusual or surprising.</w:t>
      </w:r>
    </w:p>
    <w:p>
      <w:pPr>
        <w:pStyle w:val="BodyText"/>
        <w:spacing w:line="235" w:lineRule="auto" w:before="164"/>
        <w:ind w:left="280"/>
      </w:pPr>
      <w:r>
        <w:rPr>
          <w:color w:val="231F20"/>
          <w:spacing w:val="-3"/>
        </w:rPr>
        <w:t>Relationships between </w:t>
      </w:r>
      <w:r>
        <w:rPr>
          <w:color w:val="231F20"/>
        </w:rPr>
        <w:t>the </w:t>
      </w:r>
      <w:r>
        <w:rPr>
          <w:color w:val="231F20"/>
          <w:spacing w:val="-3"/>
        </w:rPr>
        <w:t>themes </w:t>
      </w:r>
      <w:r>
        <w:rPr>
          <w:color w:val="231F20"/>
          <w:spacing w:val="-4"/>
        </w:rPr>
        <w:t>were </w:t>
      </w:r>
      <w:r>
        <w:rPr>
          <w:color w:val="231F20"/>
          <w:spacing w:val="-3"/>
        </w:rPr>
        <w:t>identified allowing </w:t>
      </w:r>
      <w:r>
        <w:rPr>
          <w:color w:val="231F20"/>
        </w:rPr>
        <w:t>the </w:t>
      </w:r>
      <w:r>
        <w:rPr>
          <w:color w:val="231F20"/>
          <w:spacing w:val="-3"/>
        </w:rPr>
        <w:t>data </w:t>
      </w:r>
      <w:r>
        <w:rPr>
          <w:color w:val="231F20"/>
        </w:rPr>
        <w:t>to be </w:t>
      </w:r>
      <w:r>
        <w:rPr>
          <w:color w:val="231F20"/>
          <w:spacing w:val="-4"/>
        </w:rPr>
        <w:t>reduced </w:t>
      </w:r>
      <w:r>
        <w:rPr>
          <w:color w:val="231F20"/>
          <w:spacing w:val="-5"/>
        </w:rPr>
        <w:t>further. </w:t>
      </w:r>
      <w:r>
        <w:rPr>
          <w:color w:val="231F20"/>
          <w:spacing w:val="-3"/>
        </w:rPr>
        <w:t>The</w:t>
      </w:r>
    </w:p>
    <w:p>
      <w:pPr>
        <w:pStyle w:val="BodyText"/>
        <w:spacing w:line="261" w:lineRule="exact"/>
        <w:ind w:left="280"/>
      </w:pPr>
      <w:r>
        <w:rPr>
          <w:color w:val="231F20"/>
        </w:rPr>
        <w:t>key themes that emerged are considered in the</w:t>
      </w:r>
    </w:p>
    <w:p>
      <w:pPr>
        <w:spacing w:line="272" w:lineRule="exact" w:before="0"/>
        <w:ind w:left="280" w:right="0" w:firstLine="0"/>
        <w:jc w:val="left"/>
        <w:rPr>
          <w:sz w:val="22"/>
        </w:rPr>
      </w:pPr>
      <w:r>
        <w:rPr>
          <w:rFonts w:ascii="Helvetica-LightOblique"/>
          <w:i/>
          <w:color w:val="231F20"/>
          <w:sz w:val="22"/>
        </w:rPr>
        <w:t>Discussion </w:t>
      </w:r>
      <w:r>
        <w:rPr>
          <w:color w:val="231F20"/>
          <w:sz w:val="22"/>
        </w:rPr>
        <w:t>section of this report.</w:t>
      </w:r>
    </w:p>
    <w:p>
      <w:pPr>
        <w:spacing w:after="0" w:line="272" w:lineRule="exact"/>
        <w:jc w:val="left"/>
        <w:rPr>
          <w:sz w:val="22"/>
        </w:rPr>
        <w:sectPr>
          <w:type w:val="continuous"/>
          <w:pgSz w:w="11910" w:h="16840"/>
          <w:pgMar w:top="1580" w:bottom="280" w:left="740" w:right="640"/>
          <w:cols w:num="2" w:equalWidth="0">
            <w:col w:w="5065" w:space="165"/>
            <w:col w:w="530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7"/>
        </w:rPr>
      </w:pPr>
    </w:p>
    <w:p>
      <w:pPr>
        <w:pStyle w:val="Heading1"/>
      </w:pPr>
      <w:r>
        <w:rPr>
          <w:color w:val="C2B59B"/>
        </w:rPr>
        <w:t>DISCUSSION</w:t>
      </w:r>
    </w:p>
    <w:p>
      <w:pPr>
        <w:pStyle w:val="BodyText"/>
        <w:spacing w:before="9"/>
        <w:rPr>
          <w:rFonts w:ascii="Helvetica"/>
          <w:sz w:val="25"/>
        </w:rPr>
      </w:pPr>
    </w:p>
    <w:p>
      <w:pPr>
        <w:spacing w:after="0"/>
        <w:rPr>
          <w:rFonts w:ascii="Helvetica"/>
          <w:sz w:val="25"/>
        </w:rPr>
        <w:sectPr>
          <w:headerReference w:type="default" r:id="rId47"/>
          <w:footerReference w:type="default" r:id="rId48"/>
          <w:pgSz w:w="11910" w:h="16840"/>
          <w:pgMar w:header="0" w:footer="558" w:top="0" w:bottom="740" w:left="740" w:right="640"/>
          <w:pgNumType w:start="22"/>
        </w:sectPr>
      </w:pPr>
    </w:p>
    <w:p>
      <w:pPr>
        <w:pStyle w:val="BodyText"/>
        <w:spacing w:line="235" w:lineRule="auto" w:before="105"/>
        <w:ind w:left="280" w:right="183"/>
      </w:pPr>
      <w:r>
        <w:rPr>
          <w:color w:val="231F20"/>
        </w:rPr>
        <w:t>The </w:t>
      </w:r>
      <w:r>
        <w:rPr>
          <w:color w:val="231F20"/>
          <w:spacing w:val="-3"/>
        </w:rPr>
        <w:t>thematic analysis </w:t>
      </w:r>
      <w:r>
        <w:rPr>
          <w:color w:val="231F20"/>
          <w:spacing w:val="-4"/>
        </w:rPr>
        <w:t>revealed strong </w:t>
      </w:r>
      <w:r>
        <w:rPr>
          <w:color w:val="231F20"/>
          <w:spacing w:val="-3"/>
        </w:rPr>
        <w:t>ideas about changes needed </w:t>
      </w:r>
      <w:r>
        <w:rPr>
          <w:color w:val="231F20"/>
        </w:rPr>
        <w:t>in the </w:t>
      </w:r>
      <w:r>
        <w:rPr>
          <w:color w:val="231F20"/>
          <w:spacing w:val="-3"/>
        </w:rPr>
        <w:t>public service to </w:t>
      </w:r>
      <w:r>
        <w:rPr>
          <w:color w:val="231F20"/>
        </w:rPr>
        <w:t>support </w:t>
      </w:r>
      <w:r>
        <w:rPr>
          <w:color w:val="231F20"/>
          <w:spacing w:val="-3"/>
        </w:rPr>
        <w:t>devolved </w:t>
      </w:r>
      <w:r>
        <w:rPr>
          <w:color w:val="231F20"/>
        </w:rPr>
        <w:t>or </w:t>
      </w:r>
      <w:r>
        <w:rPr>
          <w:color w:val="231F20"/>
          <w:spacing w:val="-4"/>
        </w:rPr>
        <w:t>shared </w:t>
      </w:r>
      <w:r>
        <w:rPr>
          <w:color w:val="231F20"/>
          <w:spacing w:val="-3"/>
        </w:rPr>
        <w:t>decision-making </w:t>
      </w:r>
      <w:r>
        <w:rPr>
          <w:color w:val="231F20"/>
        </w:rPr>
        <w:t>as a way to </w:t>
      </w:r>
      <w:r>
        <w:rPr>
          <w:color w:val="231F20"/>
          <w:spacing w:val="-4"/>
        </w:rPr>
        <w:t>improve </w:t>
      </w:r>
      <w:r>
        <w:rPr>
          <w:color w:val="231F20"/>
          <w:spacing w:val="-3"/>
        </w:rPr>
        <w:t>outcomes </w:t>
      </w:r>
      <w:r>
        <w:rPr>
          <w:color w:val="231F20"/>
        </w:rPr>
        <w:t>for</w:t>
      </w:r>
      <w:r>
        <w:rPr>
          <w:color w:val="231F20"/>
          <w:spacing w:val="-34"/>
        </w:rPr>
        <w:t> </w:t>
      </w:r>
      <w:r>
        <w:rPr>
          <w:color w:val="231F20"/>
          <w:spacing w:val="-3"/>
        </w:rPr>
        <w:t>Aboriginal</w:t>
      </w:r>
    </w:p>
    <w:p>
      <w:pPr>
        <w:spacing w:line="232" w:lineRule="auto" w:before="0"/>
        <w:ind w:left="280" w:right="38" w:firstLine="0"/>
        <w:jc w:val="left"/>
        <w:rPr>
          <w:sz w:val="22"/>
        </w:rPr>
      </w:pPr>
      <w:r>
        <w:rPr>
          <w:color w:val="231F20"/>
          <w:spacing w:val="-3"/>
          <w:sz w:val="22"/>
        </w:rPr>
        <w:t>communities. Considering </w:t>
      </w:r>
      <w:r>
        <w:rPr>
          <w:color w:val="231F20"/>
          <w:sz w:val="22"/>
        </w:rPr>
        <w:t>the </w:t>
      </w:r>
      <w:r>
        <w:rPr>
          <w:color w:val="231F20"/>
          <w:spacing w:val="-3"/>
          <w:sz w:val="22"/>
        </w:rPr>
        <w:t>theme categories </w:t>
      </w:r>
      <w:r>
        <w:rPr>
          <w:color w:val="231F20"/>
          <w:sz w:val="22"/>
        </w:rPr>
        <w:t>and </w:t>
      </w:r>
      <w:r>
        <w:rPr>
          <w:color w:val="231F20"/>
          <w:spacing w:val="-3"/>
          <w:sz w:val="22"/>
        </w:rPr>
        <w:t>sub-categories </w:t>
      </w:r>
      <w:r>
        <w:rPr>
          <w:color w:val="231F20"/>
          <w:sz w:val="22"/>
        </w:rPr>
        <w:t>as </w:t>
      </w:r>
      <w:r>
        <w:rPr>
          <w:color w:val="231F20"/>
          <w:spacing w:val="-3"/>
          <w:sz w:val="22"/>
        </w:rPr>
        <w:t>analysed against the </w:t>
      </w:r>
      <w:r>
        <w:rPr>
          <w:color w:val="231F20"/>
          <w:spacing w:val="-4"/>
          <w:sz w:val="22"/>
        </w:rPr>
        <w:t>research </w:t>
      </w:r>
      <w:r>
        <w:rPr>
          <w:color w:val="231F20"/>
          <w:spacing w:val="-3"/>
          <w:sz w:val="22"/>
        </w:rPr>
        <w:t>question </w:t>
      </w:r>
      <w:r>
        <w:rPr>
          <w:rFonts w:ascii="Helvetica-LightOblique"/>
          <w:i/>
          <w:color w:val="231F20"/>
          <w:sz w:val="22"/>
        </w:rPr>
        <w:t>How can the NSW </w:t>
      </w:r>
      <w:r>
        <w:rPr>
          <w:rFonts w:ascii="Helvetica-LightOblique"/>
          <w:i/>
          <w:color w:val="231F20"/>
          <w:spacing w:val="-3"/>
          <w:sz w:val="22"/>
        </w:rPr>
        <w:t>public service shift </w:t>
      </w:r>
      <w:r>
        <w:rPr>
          <w:rFonts w:ascii="Helvetica-LightOblique"/>
          <w:i/>
          <w:color w:val="231F20"/>
          <w:sz w:val="22"/>
        </w:rPr>
        <w:t>its </w:t>
      </w:r>
      <w:r>
        <w:rPr>
          <w:rFonts w:ascii="Helvetica-LightOblique"/>
          <w:i/>
          <w:color w:val="231F20"/>
          <w:spacing w:val="-3"/>
          <w:sz w:val="22"/>
        </w:rPr>
        <w:t>structural </w:t>
      </w:r>
      <w:r>
        <w:rPr>
          <w:rFonts w:ascii="Helvetica-LightOblique"/>
          <w:i/>
          <w:color w:val="231F20"/>
          <w:sz w:val="22"/>
        </w:rPr>
        <w:t>and </w:t>
      </w:r>
      <w:r>
        <w:rPr>
          <w:rFonts w:ascii="Helvetica-LightOblique"/>
          <w:i/>
          <w:color w:val="231F20"/>
          <w:spacing w:val="-3"/>
          <w:sz w:val="22"/>
        </w:rPr>
        <w:t>attitudinal frameworks </w:t>
      </w:r>
      <w:r>
        <w:rPr>
          <w:rFonts w:ascii="Helvetica-LightOblique"/>
          <w:i/>
          <w:color w:val="231F20"/>
          <w:sz w:val="22"/>
        </w:rPr>
        <w:t>to support </w:t>
      </w:r>
      <w:r>
        <w:rPr>
          <w:rFonts w:ascii="Helvetica-LightOblique"/>
          <w:i/>
          <w:color w:val="231F20"/>
          <w:spacing w:val="-3"/>
          <w:sz w:val="22"/>
        </w:rPr>
        <w:t>devolving decision- making </w:t>
      </w:r>
      <w:r>
        <w:rPr>
          <w:rFonts w:ascii="Helvetica-LightOblique"/>
          <w:i/>
          <w:color w:val="231F20"/>
          <w:sz w:val="22"/>
        </w:rPr>
        <w:t>to </w:t>
      </w:r>
      <w:r>
        <w:rPr>
          <w:rFonts w:ascii="Helvetica-LightOblique"/>
          <w:i/>
          <w:color w:val="231F20"/>
          <w:spacing w:val="-3"/>
          <w:sz w:val="22"/>
        </w:rPr>
        <w:t>Aboriginal communities? </w:t>
      </w:r>
      <w:r>
        <w:rPr>
          <w:color w:val="231F20"/>
          <w:sz w:val="22"/>
        </w:rPr>
        <w:t>the </w:t>
      </w:r>
      <w:r>
        <w:rPr>
          <w:color w:val="231F20"/>
          <w:spacing w:val="-4"/>
          <w:sz w:val="22"/>
        </w:rPr>
        <w:t>research </w:t>
      </w:r>
      <w:r>
        <w:rPr>
          <w:color w:val="231F20"/>
          <w:spacing w:val="-3"/>
          <w:sz w:val="22"/>
        </w:rPr>
        <w:t>team found that </w:t>
      </w:r>
      <w:r>
        <w:rPr>
          <w:color w:val="231F20"/>
          <w:sz w:val="22"/>
        </w:rPr>
        <w:t>for </w:t>
      </w:r>
      <w:r>
        <w:rPr>
          <w:color w:val="231F20"/>
          <w:spacing w:val="-3"/>
          <w:sz w:val="22"/>
        </w:rPr>
        <w:t>public servants, devolved decision-making occupied </w:t>
      </w:r>
      <w:r>
        <w:rPr>
          <w:color w:val="231F20"/>
          <w:sz w:val="22"/>
        </w:rPr>
        <w:t>a </w:t>
      </w:r>
      <w:r>
        <w:rPr>
          <w:color w:val="231F20"/>
          <w:spacing w:val="-3"/>
          <w:sz w:val="22"/>
        </w:rPr>
        <w:t>secondary</w:t>
      </w:r>
      <w:r>
        <w:rPr>
          <w:color w:val="231F20"/>
          <w:spacing w:val="-9"/>
          <w:sz w:val="22"/>
        </w:rPr>
        <w:t> </w:t>
      </w:r>
      <w:r>
        <w:rPr>
          <w:color w:val="231F20"/>
          <w:spacing w:val="-4"/>
          <w:sz w:val="22"/>
        </w:rPr>
        <w:t>role.</w:t>
      </w:r>
    </w:p>
    <w:p>
      <w:pPr>
        <w:spacing w:line="230" w:lineRule="auto" w:before="164"/>
        <w:ind w:left="280" w:right="183" w:firstLine="0"/>
        <w:jc w:val="left"/>
        <w:rPr>
          <w:rFonts w:ascii="Helvetica-LightOblique" w:hAnsi="Helvetica-LightOblique"/>
          <w:i/>
          <w:sz w:val="13"/>
        </w:rPr>
      </w:pPr>
      <w:r>
        <w:rPr>
          <w:rFonts w:ascii="Helvetica-LightOblique" w:hAnsi="Helvetica-LightOblique"/>
          <w:i/>
          <w:color w:val="231F20"/>
          <w:spacing w:val="-4"/>
          <w:sz w:val="22"/>
        </w:rPr>
        <w:t>“Don’t </w:t>
      </w:r>
      <w:r>
        <w:rPr>
          <w:rFonts w:ascii="Helvetica-LightOblique" w:hAnsi="Helvetica-LightOblique"/>
          <w:i/>
          <w:color w:val="231F20"/>
          <w:sz w:val="22"/>
        </w:rPr>
        <w:t>turn </w:t>
      </w:r>
      <w:r>
        <w:rPr>
          <w:rFonts w:ascii="Helvetica-LightOblique" w:hAnsi="Helvetica-LightOblique"/>
          <w:i/>
          <w:color w:val="231F20"/>
          <w:spacing w:val="-3"/>
          <w:sz w:val="22"/>
        </w:rPr>
        <w:t>devolved decision-making into an </w:t>
      </w:r>
      <w:r>
        <w:rPr>
          <w:rFonts w:ascii="Helvetica-LightOblique" w:hAnsi="Helvetica-LightOblique"/>
          <w:i/>
          <w:color w:val="231F20"/>
          <w:spacing w:val="-5"/>
          <w:sz w:val="22"/>
        </w:rPr>
        <w:t>ideology.” </w:t>
      </w:r>
      <w:r>
        <w:rPr>
          <w:rFonts w:ascii="Helvetica-LightOblique" w:hAnsi="Helvetica-LightOblique"/>
          <w:i/>
          <w:color w:val="231F20"/>
          <w:position w:val="7"/>
          <w:sz w:val="13"/>
        </w:rPr>
        <w:t>2</w:t>
      </w:r>
    </w:p>
    <w:p>
      <w:pPr>
        <w:pStyle w:val="BodyText"/>
        <w:spacing w:line="235" w:lineRule="auto" w:before="165"/>
        <w:ind w:left="280" w:right="28"/>
      </w:pPr>
      <w:r>
        <w:rPr>
          <w:color w:val="231F20"/>
        </w:rPr>
        <w:t>The </w:t>
      </w:r>
      <w:r>
        <w:rPr>
          <w:color w:val="231F20"/>
          <w:spacing w:val="-3"/>
        </w:rPr>
        <w:t>interviews </w:t>
      </w:r>
      <w:r>
        <w:rPr>
          <w:color w:val="231F20"/>
        </w:rPr>
        <w:t>and </w:t>
      </w:r>
      <w:r>
        <w:rPr>
          <w:color w:val="231F20"/>
          <w:spacing w:val="-3"/>
        </w:rPr>
        <w:t>focus </w:t>
      </w:r>
      <w:r>
        <w:rPr>
          <w:color w:val="231F20"/>
          <w:spacing w:val="-4"/>
        </w:rPr>
        <w:t>groups revealed </w:t>
      </w:r>
      <w:r>
        <w:rPr>
          <w:color w:val="231F20"/>
          <w:spacing w:val="-3"/>
        </w:rPr>
        <w:t>that </w:t>
      </w:r>
      <w:r>
        <w:rPr>
          <w:color w:val="231F20"/>
        </w:rPr>
        <w:t>for </w:t>
      </w:r>
      <w:r>
        <w:rPr>
          <w:color w:val="231F20"/>
          <w:spacing w:val="-3"/>
        </w:rPr>
        <w:t>participants, devolved decision-making in Aboriginal communities </w:t>
      </w:r>
      <w:r>
        <w:rPr>
          <w:color w:val="231F20"/>
        </w:rPr>
        <w:t>is not the </w:t>
      </w:r>
      <w:r>
        <w:rPr>
          <w:color w:val="231F20"/>
          <w:spacing w:val="-3"/>
        </w:rPr>
        <w:t>final objective. They </w:t>
      </w:r>
      <w:r>
        <w:rPr>
          <w:color w:val="231F20"/>
        </w:rPr>
        <w:t>did not </w:t>
      </w:r>
      <w:r>
        <w:rPr>
          <w:color w:val="231F20"/>
          <w:spacing w:val="-4"/>
        </w:rPr>
        <w:t>disagree </w:t>
      </w:r>
      <w:r>
        <w:rPr>
          <w:color w:val="231F20"/>
          <w:spacing w:val="-3"/>
        </w:rPr>
        <w:t>with </w:t>
      </w:r>
      <w:r>
        <w:rPr>
          <w:color w:val="231F20"/>
        </w:rPr>
        <w:t>the </w:t>
      </w:r>
      <w:r>
        <w:rPr>
          <w:color w:val="231F20"/>
          <w:spacing w:val="-3"/>
        </w:rPr>
        <w:t>concept of devolved decision-making, </w:t>
      </w:r>
      <w:r>
        <w:rPr>
          <w:color w:val="231F20"/>
        </w:rPr>
        <w:t>but </w:t>
      </w:r>
      <w:r>
        <w:rPr>
          <w:color w:val="231F20"/>
          <w:spacing w:val="-3"/>
        </w:rPr>
        <w:t>viewed </w:t>
      </w:r>
      <w:r>
        <w:rPr>
          <w:color w:val="231F20"/>
        </w:rPr>
        <w:t>it </w:t>
      </w:r>
      <w:r>
        <w:rPr>
          <w:color w:val="231F20"/>
          <w:spacing w:val="-3"/>
        </w:rPr>
        <w:t>as another policy initiative which </w:t>
      </w:r>
      <w:r>
        <w:rPr>
          <w:color w:val="231F20"/>
        </w:rPr>
        <w:t>was not </w:t>
      </w:r>
      <w:r>
        <w:rPr>
          <w:color w:val="231F20"/>
          <w:spacing w:val="-4"/>
        </w:rPr>
        <w:t>directly relevant </w:t>
      </w:r>
      <w:r>
        <w:rPr>
          <w:color w:val="231F20"/>
        </w:rPr>
        <w:t>to </w:t>
      </w:r>
      <w:r>
        <w:rPr>
          <w:color w:val="231F20"/>
          <w:spacing w:val="-3"/>
        </w:rPr>
        <w:t>their </w:t>
      </w:r>
      <w:r>
        <w:rPr>
          <w:color w:val="231F20"/>
          <w:spacing w:val="-4"/>
        </w:rPr>
        <w:t>current </w:t>
      </w:r>
      <w:r>
        <w:rPr>
          <w:color w:val="231F20"/>
          <w:spacing w:val="-3"/>
        </w:rPr>
        <w:t>work. Most participants </w:t>
      </w:r>
      <w:r>
        <w:rPr>
          <w:color w:val="231F20"/>
          <w:spacing w:val="-4"/>
        </w:rPr>
        <w:t>were </w:t>
      </w:r>
      <w:r>
        <w:rPr>
          <w:color w:val="231F20"/>
        </w:rPr>
        <w:t>not </w:t>
      </w:r>
      <w:r>
        <w:rPr>
          <w:color w:val="231F20"/>
          <w:spacing w:val="-3"/>
        </w:rPr>
        <w:t>involved significantly </w:t>
      </w:r>
      <w:r>
        <w:rPr>
          <w:color w:val="231F20"/>
        </w:rPr>
        <w:t>or </w:t>
      </w:r>
      <w:r>
        <w:rPr>
          <w:color w:val="231F20"/>
          <w:spacing w:val="-4"/>
        </w:rPr>
        <w:t>directly </w:t>
      </w:r>
      <w:r>
        <w:rPr>
          <w:color w:val="231F20"/>
          <w:spacing w:val="-3"/>
        </w:rPr>
        <w:t>in</w:t>
      </w:r>
    </w:p>
    <w:p>
      <w:pPr>
        <w:pStyle w:val="BodyText"/>
        <w:spacing w:line="232" w:lineRule="auto" w:before="107"/>
        <w:ind w:left="280" w:right="583"/>
      </w:pPr>
      <w:r>
        <w:rPr/>
        <w:br w:type="column"/>
      </w:r>
      <w:r>
        <w:rPr>
          <w:color w:val="231F20"/>
          <w:spacing w:val="-3"/>
        </w:rPr>
        <w:t>local decision-making under </w:t>
      </w:r>
      <w:r>
        <w:rPr>
          <w:rFonts w:ascii="Helvetica-LightOblique"/>
          <w:i/>
          <w:color w:val="231F20"/>
          <w:spacing w:val="-3"/>
        </w:rPr>
        <w:t>OCHRE</w:t>
      </w:r>
      <w:r>
        <w:rPr>
          <w:color w:val="231F20"/>
          <w:spacing w:val="-3"/>
        </w:rPr>
        <w:t>, </w:t>
      </w:r>
      <w:r>
        <w:rPr>
          <w:color w:val="231F20"/>
        </w:rPr>
        <w:t>but </w:t>
      </w:r>
      <w:r>
        <w:rPr>
          <w:color w:val="231F20"/>
          <w:spacing w:val="-4"/>
        </w:rPr>
        <w:t>were </w:t>
      </w:r>
      <w:r>
        <w:rPr>
          <w:color w:val="231F20"/>
          <w:spacing w:val="-3"/>
        </w:rPr>
        <w:t>experienced </w:t>
      </w:r>
      <w:r>
        <w:rPr>
          <w:color w:val="231F20"/>
        </w:rPr>
        <w:t>in </w:t>
      </w:r>
      <w:r>
        <w:rPr>
          <w:color w:val="231F20"/>
          <w:spacing w:val="-3"/>
        </w:rPr>
        <w:t>working with Aboriginal people </w:t>
      </w:r>
      <w:r>
        <w:rPr>
          <w:color w:val="231F20"/>
        </w:rPr>
        <w:t>and </w:t>
      </w:r>
      <w:r>
        <w:rPr>
          <w:color w:val="231F20"/>
          <w:spacing w:val="-3"/>
        </w:rPr>
        <w:t>communities, </w:t>
      </w:r>
      <w:r>
        <w:rPr>
          <w:color w:val="231F20"/>
        </w:rPr>
        <w:t>and in </w:t>
      </w:r>
      <w:r>
        <w:rPr>
          <w:color w:val="231F20"/>
          <w:spacing w:val="-3"/>
        </w:rPr>
        <w:t>earlier iterations of government policy mechanisms </w:t>
      </w:r>
      <w:r>
        <w:rPr>
          <w:color w:val="231F20"/>
        </w:rPr>
        <w:t>for </w:t>
      </w:r>
      <w:r>
        <w:rPr>
          <w:color w:val="231F20"/>
          <w:spacing w:val="-4"/>
        </w:rPr>
        <w:t>shared </w:t>
      </w:r>
      <w:r>
        <w:rPr>
          <w:color w:val="231F20"/>
          <w:spacing w:val="-3"/>
        </w:rPr>
        <w:t>decision-making. These public servants</w:t>
      </w:r>
    </w:p>
    <w:p>
      <w:pPr>
        <w:pStyle w:val="BodyText"/>
        <w:spacing w:line="232" w:lineRule="auto" w:before="4"/>
        <w:ind w:left="280" w:right="758"/>
      </w:pPr>
      <w:r>
        <w:rPr>
          <w:color w:val="231F20"/>
          <w:spacing w:val="-4"/>
        </w:rPr>
        <w:t>were interested </w:t>
      </w:r>
      <w:r>
        <w:rPr>
          <w:color w:val="231F20"/>
        </w:rPr>
        <w:t>in </w:t>
      </w:r>
      <w:r>
        <w:rPr>
          <w:color w:val="231F20"/>
          <w:spacing w:val="-3"/>
        </w:rPr>
        <w:t>shifting </w:t>
      </w:r>
      <w:r>
        <w:rPr>
          <w:color w:val="231F20"/>
        </w:rPr>
        <w:t>to </w:t>
      </w:r>
      <w:r>
        <w:rPr>
          <w:rFonts w:ascii="Helvetica-LightOblique"/>
          <w:i/>
          <w:color w:val="231F20"/>
          <w:spacing w:val="-4"/>
        </w:rPr>
        <w:t>different </w:t>
      </w:r>
      <w:r>
        <w:rPr>
          <w:rFonts w:ascii="Helvetica-LightOblique"/>
          <w:i/>
          <w:color w:val="231F20"/>
          <w:spacing w:val="-3"/>
        </w:rPr>
        <w:t>ways of working </w:t>
      </w:r>
      <w:r>
        <w:rPr>
          <w:color w:val="231F20"/>
          <w:spacing w:val="-3"/>
        </w:rPr>
        <w:t>with Aboriginal people that involve sharing knowledge </w:t>
      </w:r>
      <w:r>
        <w:rPr>
          <w:color w:val="231F20"/>
        </w:rPr>
        <w:t>and </w:t>
      </w:r>
      <w:r>
        <w:rPr>
          <w:color w:val="231F20"/>
          <w:spacing w:val="-6"/>
        </w:rPr>
        <w:t>power, </w:t>
      </w:r>
      <w:r>
        <w:rPr>
          <w:color w:val="231F20"/>
          <w:spacing w:val="-3"/>
        </w:rPr>
        <w:t>collaborating, </w:t>
      </w:r>
      <w:r>
        <w:rPr>
          <w:color w:val="231F20"/>
          <w:spacing w:val="-4"/>
        </w:rPr>
        <w:t>responding </w:t>
      </w:r>
      <w:r>
        <w:rPr>
          <w:color w:val="231F20"/>
        </w:rPr>
        <w:t>to </w:t>
      </w:r>
      <w:r>
        <w:rPr>
          <w:color w:val="231F20"/>
          <w:spacing w:val="-3"/>
        </w:rPr>
        <w:t>local contexts </w:t>
      </w:r>
      <w:r>
        <w:rPr>
          <w:color w:val="231F20"/>
        </w:rPr>
        <w:t>and </w:t>
      </w:r>
      <w:r>
        <w:rPr>
          <w:color w:val="231F20"/>
          <w:spacing w:val="-5"/>
        </w:rPr>
        <w:t>ultimately, </w:t>
      </w:r>
      <w:r>
        <w:rPr>
          <w:color w:val="231F20"/>
          <w:spacing w:val="-3"/>
        </w:rPr>
        <w:t>achieving better outcomes </w:t>
      </w:r>
      <w:r>
        <w:rPr>
          <w:color w:val="231F20"/>
        </w:rPr>
        <w:t>for </w:t>
      </w:r>
      <w:r>
        <w:rPr>
          <w:color w:val="231F20"/>
          <w:spacing w:val="-3"/>
        </w:rPr>
        <w:t>communities. </w:t>
      </w:r>
      <w:r>
        <w:rPr>
          <w:color w:val="231F20"/>
        </w:rPr>
        <w:t>The </w:t>
      </w:r>
      <w:r>
        <w:rPr>
          <w:color w:val="231F20"/>
          <w:spacing w:val="-3"/>
        </w:rPr>
        <w:t>central </w:t>
      </w:r>
      <w:r>
        <w:rPr>
          <w:color w:val="231F20"/>
        </w:rPr>
        <w:t>concern for </w:t>
      </w:r>
      <w:r>
        <w:rPr>
          <w:color w:val="231F20"/>
          <w:spacing w:val="-3"/>
        </w:rPr>
        <w:t>Aboriginal </w:t>
      </w:r>
      <w:r>
        <w:rPr>
          <w:color w:val="231F20"/>
        </w:rPr>
        <w:t>and </w:t>
      </w:r>
      <w:r>
        <w:rPr>
          <w:color w:val="231F20"/>
          <w:spacing w:val="-3"/>
        </w:rPr>
        <w:t>non- Aboriginal public servants participating in this </w:t>
      </w:r>
      <w:r>
        <w:rPr>
          <w:color w:val="231F20"/>
          <w:spacing w:val="-4"/>
        </w:rPr>
        <w:t>research </w:t>
      </w:r>
      <w:r>
        <w:rPr>
          <w:color w:val="231F20"/>
        </w:rPr>
        <w:t>was </w:t>
      </w:r>
      <w:r>
        <w:rPr>
          <w:color w:val="231F20"/>
          <w:spacing w:val="-3"/>
        </w:rPr>
        <w:t>better </w:t>
      </w:r>
      <w:r>
        <w:rPr>
          <w:color w:val="231F20"/>
          <w:spacing w:val="-4"/>
        </w:rPr>
        <w:t>shared</w:t>
      </w:r>
      <w:r>
        <w:rPr>
          <w:color w:val="231F20"/>
          <w:spacing w:val="-11"/>
        </w:rPr>
        <w:t> </w:t>
      </w:r>
      <w:r>
        <w:rPr>
          <w:color w:val="231F20"/>
          <w:spacing w:val="-3"/>
        </w:rPr>
        <w:t>outcomes.</w:t>
      </w:r>
    </w:p>
    <w:p>
      <w:pPr>
        <w:pStyle w:val="BodyText"/>
        <w:spacing w:line="232" w:lineRule="auto" w:before="4"/>
        <w:ind w:left="280" w:right="395"/>
      </w:pPr>
      <w:r>
        <w:rPr>
          <w:color w:val="231F20"/>
          <w:spacing w:val="-3"/>
        </w:rPr>
        <w:t>Whether </w:t>
      </w:r>
      <w:r>
        <w:rPr>
          <w:color w:val="231F20"/>
        </w:rPr>
        <w:t>the </w:t>
      </w:r>
      <w:r>
        <w:rPr>
          <w:color w:val="231F20"/>
          <w:spacing w:val="-3"/>
        </w:rPr>
        <w:t>means </w:t>
      </w:r>
      <w:r>
        <w:rPr>
          <w:color w:val="231F20"/>
        </w:rPr>
        <w:t>of </w:t>
      </w:r>
      <w:r>
        <w:rPr>
          <w:color w:val="231F20"/>
          <w:spacing w:val="-3"/>
        </w:rPr>
        <w:t>achieving these </w:t>
      </w:r>
      <w:r>
        <w:rPr>
          <w:color w:val="231F20"/>
        </w:rPr>
        <w:t>was </w:t>
      </w:r>
      <w:r>
        <w:rPr>
          <w:color w:val="231F20"/>
          <w:spacing w:val="-3"/>
        </w:rPr>
        <w:t>co- design, devolved decision-making, community development, </w:t>
      </w:r>
      <w:r>
        <w:rPr>
          <w:color w:val="231F20"/>
        </w:rPr>
        <w:t>or </w:t>
      </w:r>
      <w:r>
        <w:rPr>
          <w:color w:val="231F20"/>
          <w:spacing w:val="-3"/>
        </w:rPr>
        <w:t>other collaborative ways of working, </w:t>
      </w:r>
      <w:r>
        <w:rPr>
          <w:color w:val="231F20"/>
        </w:rPr>
        <w:t>the </w:t>
      </w:r>
      <w:r>
        <w:rPr>
          <w:color w:val="231F20"/>
          <w:spacing w:val="-3"/>
        </w:rPr>
        <w:t>most important thing </w:t>
      </w:r>
      <w:r>
        <w:rPr>
          <w:color w:val="231F20"/>
        </w:rPr>
        <w:t>was to </w:t>
      </w:r>
      <w:r>
        <w:rPr>
          <w:color w:val="231F20"/>
          <w:spacing w:val="-4"/>
        </w:rPr>
        <w:t>create </w:t>
      </w:r>
      <w:r>
        <w:rPr>
          <w:color w:val="231F20"/>
          <w:spacing w:val="-3"/>
        </w:rPr>
        <w:t>better </w:t>
      </w:r>
      <w:r>
        <w:rPr>
          <w:rFonts w:ascii="Helvetica-LightOblique"/>
          <w:i/>
          <w:color w:val="231F20"/>
          <w:spacing w:val="-4"/>
        </w:rPr>
        <w:t>shared </w:t>
      </w:r>
      <w:r>
        <w:rPr>
          <w:rFonts w:ascii="Helvetica-LightOblique"/>
          <w:i/>
          <w:color w:val="231F20"/>
          <w:spacing w:val="-3"/>
        </w:rPr>
        <w:t>outcomes </w:t>
      </w:r>
      <w:r>
        <w:rPr>
          <w:color w:val="231F20"/>
          <w:spacing w:val="-3"/>
        </w:rPr>
        <w:t>than </w:t>
      </w:r>
      <w:r>
        <w:rPr>
          <w:color w:val="231F20"/>
          <w:spacing w:val="-4"/>
        </w:rPr>
        <w:t>are currently </w:t>
      </w:r>
      <w:r>
        <w:rPr>
          <w:color w:val="231F20"/>
          <w:spacing w:val="-3"/>
        </w:rPr>
        <w:t>being experienced </w:t>
      </w:r>
      <w:r>
        <w:rPr>
          <w:color w:val="231F20"/>
        </w:rPr>
        <w:t>by </w:t>
      </w:r>
      <w:r>
        <w:rPr>
          <w:color w:val="231F20"/>
          <w:spacing w:val="-3"/>
        </w:rPr>
        <w:t>Aboriginal communities, </w:t>
      </w:r>
      <w:r>
        <w:rPr>
          <w:color w:val="231F20"/>
          <w:spacing w:val="-4"/>
        </w:rPr>
        <w:t>through </w:t>
      </w:r>
      <w:r>
        <w:rPr>
          <w:color w:val="231F20"/>
        </w:rPr>
        <w:t>a </w:t>
      </w:r>
      <w:r>
        <w:rPr>
          <w:color w:val="231F20"/>
          <w:spacing w:val="-3"/>
        </w:rPr>
        <w:t>shift </w:t>
      </w:r>
      <w:r>
        <w:rPr>
          <w:color w:val="231F20"/>
        </w:rPr>
        <w:t>in the </w:t>
      </w:r>
      <w:r>
        <w:rPr>
          <w:color w:val="231F20"/>
          <w:spacing w:val="-3"/>
        </w:rPr>
        <w:t>public service </w:t>
      </w:r>
      <w:r>
        <w:rPr>
          <w:color w:val="231F20"/>
        </w:rPr>
        <w:t>to </w:t>
      </w:r>
      <w:r>
        <w:rPr>
          <w:color w:val="231F20"/>
          <w:spacing w:val="-4"/>
        </w:rPr>
        <w:t>different </w:t>
      </w:r>
      <w:r>
        <w:rPr>
          <w:color w:val="231F20"/>
          <w:spacing w:val="-3"/>
        </w:rPr>
        <w:t>ways of working.</w:t>
      </w:r>
    </w:p>
    <w:p>
      <w:pPr>
        <w:pStyle w:val="BodyText"/>
        <w:spacing w:line="235" w:lineRule="auto" w:before="177"/>
        <w:ind w:left="280" w:right="375"/>
      </w:pPr>
      <w:r>
        <w:rPr>
          <w:color w:val="231F20"/>
          <w:spacing w:val="-3"/>
        </w:rPr>
        <w:t>With </w:t>
      </w:r>
      <w:r>
        <w:rPr>
          <w:color w:val="231F20"/>
          <w:spacing w:val="-4"/>
        </w:rPr>
        <w:t>shared </w:t>
      </w:r>
      <w:r>
        <w:rPr>
          <w:color w:val="231F20"/>
          <w:spacing w:val="-3"/>
        </w:rPr>
        <w:t>outcomes </w:t>
      </w:r>
      <w:r>
        <w:rPr>
          <w:color w:val="231F20"/>
        </w:rPr>
        <w:t>as the </w:t>
      </w:r>
      <w:r>
        <w:rPr>
          <w:color w:val="231F20"/>
          <w:spacing w:val="-3"/>
        </w:rPr>
        <w:t>goal, </w:t>
      </w:r>
      <w:r>
        <w:rPr>
          <w:color w:val="231F20"/>
        </w:rPr>
        <w:t>the </w:t>
      </w:r>
      <w:r>
        <w:rPr>
          <w:color w:val="231F20"/>
          <w:spacing w:val="-4"/>
        </w:rPr>
        <w:t>strong recurring </w:t>
      </w:r>
      <w:r>
        <w:rPr>
          <w:color w:val="231F20"/>
          <w:spacing w:val="-3"/>
        </w:rPr>
        <w:t>themes about what needs </w:t>
      </w:r>
      <w:r>
        <w:rPr>
          <w:color w:val="231F20"/>
        </w:rPr>
        <w:t>to </w:t>
      </w:r>
      <w:r>
        <w:rPr>
          <w:color w:val="231F20"/>
          <w:spacing w:val="-3"/>
        </w:rPr>
        <w:t>shift </w:t>
      </w:r>
      <w:r>
        <w:rPr>
          <w:color w:val="231F20"/>
        </w:rPr>
        <w:t>in </w:t>
      </w:r>
      <w:r>
        <w:rPr>
          <w:color w:val="231F20"/>
          <w:spacing w:val="-3"/>
        </w:rPr>
        <w:t>the</w:t>
      </w:r>
    </w:p>
    <w:p>
      <w:pPr>
        <w:spacing w:after="0" w:line="235" w:lineRule="auto"/>
        <w:sectPr>
          <w:type w:val="continuous"/>
          <w:pgSz w:w="11910" w:h="16840"/>
          <w:pgMar w:top="1580" w:bottom="280" w:left="740" w:right="640"/>
          <w:cols w:num="2" w:equalWidth="0">
            <w:col w:w="4955" w:space="204"/>
            <w:col w:w="5371"/>
          </w:cols>
        </w:sectPr>
      </w:pPr>
    </w:p>
    <w:p>
      <w:pPr>
        <w:pStyle w:val="BodyText"/>
        <w:spacing w:before="1"/>
      </w:pPr>
      <w:r>
        <w:rPr/>
        <w:pict>
          <v:group style="position:absolute;margin-left:.0pt;margin-top:0pt;width:595.3pt;height:368.55pt;mso-position-horizontal-relative:page;mso-position-vertical-relative:page;z-index:-71344" coordorigin="0,0" coordsize="11906,7371">
            <v:shape style="position:absolute;left:0;top:1615;width:11906;height:5755" type="#_x0000_t75" stroked="false">
              <v:imagedata r:id="rId31" o:title=""/>
            </v:shape>
            <v:rect style="position:absolute;left:0;top:6803;width:11906;height:567" filled="true" fillcolor="#439fa0" stroked="false">
              <v:fill opacity="41288f" type="solid"/>
            </v:rect>
            <v:rect style="position:absolute;left:0;top:1332;width:4105;height:284" filled="true" fillcolor="#14397f" stroked="false">
              <v:fill type="solid"/>
            </v:rect>
            <v:rect style="position:absolute;left:11111;top:1332;width:341;height:284" filled="true" fillcolor="#e3dad1" stroked="false">
              <v:fill type="solid"/>
            </v:rect>
            <v:rect style="position:absolute;left:4104;top:1332;width:1656;height:284" filled="true" fillcolor="#47a7a8" stroked="false">
              <v:fill type="solid"/>
            </v:rect>
            <v:rect style="position:absolute;left:5748;top:1332;width:218;height:284" filled="true" fillcolor="#e7bb20" stroked="false">
              <v:fill type="solid"/>
            </v:rect>
            <v:rect style="position:absolute;left:11451;top:1332;width:454;height:284" filled="true" fillcolor="#14397f" stroked="false">
              <v:fill type="solid"/>
            </v:rect>
            <v:shape style="position:absolute;left:0;top:0;width:11906;height:1333" type="#_x0000_t75" stroked="false">
              <v:imagedata r:id="rId22" o:title=""/>
            </v:shape>
            <v:rect style="position:absolute;left:0;top:0;width:11906;height:1333" filled="true" fillcolor="#439fa0" stroked="false">
              <v:fill opacity="37355f" type="solid"/>
            </v:rect>
            <v:shape style="position:absolute;left:5966;top:1332;width:5146;height:284" type="#_x0000_t202" filled="true" fillcolor="#14397f" stroked="false">
              <v:textbox inset="0,0,0,0">
                <w:txbxContent>
                  <w:p>
                    <w:pPr>
                      <w:spacing w:before="44"/>
                      <w:ind w:left="3184" w:right="0" w:firstLine="0"/>
                      <w:jc w:val="left"/>
                      <w:rPr>
                        <w:sz w:val="16"/>
                      </w:rPr>
                    </w:pPr>
                    <w:r>
                      <w:rPr>
                        <w:color w:val="FFFFFF"/>
                        <w:sz w:val="16"/>
                      </w:rPr>
                      <w:t>RHETORIC TO REALITY</w:t>
                    </w:r>
                  </w:p>
                </w:txbxContent>
              </v:textbox>
              <v:fill type="solid"/>
              <w10:wrap type="none"/>
            </v:shape>
            <w10:wrap type="none"/>
          </v:group>
        </w:pict>
      </w:r>
    </w:p>
    <w:p>
      <w:pPr>
        <w:pStyle w:val="BodyText"/>
        <w:spacing w:line="20" w:lineRule="exact"/>
        <w:ind w:left="270"/>
        <w:rPr>
          <w:sz w:val="2"/>
        </w:rPr>
      </w:pPr>
      <w:r>
        <w:rPr>
          <w:sz w:val="2"/>
        </w:rPr>
        <w:pict>
          <v:group style="width:72pt;height:1pt;mso-position-horizontal-relative:char;mso-position-vertical-relative:line" coordorigin="0,0" coordsize="1440,20">
            <v:line style="position:absolute" from="0,10" to="1440,10" stroked="true" strokeweight="1pt" strokecolor="#231f20">
              <v:stroke dashstyle="solid"/>
            </v:line>
          </v:group>
        </w:pict>
      </w:r>
      <w:r>
        <w:rPr>
          <w:sz w:val="2"/>
        </w:rPr>
      </w:r>
    </w:p>
    <w:p>
      <w:pPr>
        <w:spacing w:before="25"/>
        <w:ind w:left="280" w:right="0" w:firstLine="0"/>
        <w:jc w:val="left"/>
        <w:rPr>
          <w:sz w:val="16"/>
        </w:rPr>
      </w:pPr>
      <w:r>
        <w:rPr>
          <w:color w:val="231F20"/>
          <w:position w:val="5"/>
          <w:sz w:val="9"/>
        </w:rPr>
        <w:t>2 </w:t>
      </w:r>
      <w:r>
        <w:rPr>
          <w:color w:val="231F20"/>
          <w:sz w:val="16"/>
        </w:rPr>
        <w:t>All quotations in this section are from interview and focus group participants.</w:t>
      </w:r>
    </w:p>
    <w:p>
      <w:pPr>
        <w:spacing w:after="0"/>
        <w:jc w:val="left"/>
        <w:rPr>
          <w:sz w:val="16"/>
        </w:rPr>
        <w:sectPr>
          <w:type w:val="continuous"/>
          <w:pgSz w:w="11910" w:h="16840"/>
          <w:pgMar w:top="1580" w:bottom="280" w:left="740" w:right="640"/>
        </w:sectPr>
      </w:pPr>
    </w:p>
    <w:p>
      <w:pPr>
        <w:pStyle w:val="BodyText"/>
        <w:rPr>
          <w:sz w:val="20"/>
        </w:rPr>
      </w:pPr>
    </w:p>
    <w:p>
      <w:pPr>
        <w:pStyle w:val="BodyText"/>
        <w:rPr>
          <w:sz w:val="20"/>
        </w:rPr>
      </w:pPr>
    </w:p>
    <w:p>
      <w:pPr>
        <w:pStyle w:val="BodyText"/>
        <w:rPr>
          <w:sz w:val="20"/>
        </w:rPr>
      </w:pPr>
    </w:p>
    <w:p>
      <w:pPr>
        <w:pStyle w:val="BodyText"/>
        <w:spacing w:before="12"/>
        <w:rPr>
          <w:sz w:val="25"/>
        </w:rPr>
      </w:pPr>
    </w:p>
    <w:p>
      <w:pPr>
        <w:spacing w:after="0"/>
        <w:rPr>
          <w:sz w:val="25"/>
        </w:rPr>
        <w:sectPr>
          <w:headerReference w:type="default" r:id="rId49"/>
          <w:pgSz w:w="11910" w:h="16840"/>
          <w:pgMar w:header="0" w:footer="558" w:top="1600" w:bottom="740" w:left="740" w:right="640"/>
        </w:sectPr>
      </w:pPr>
    </w:p>
    <w:p>
      <w:pPr>
        <w:pStyle w:val="BodyText"/>
        <w:spacing w:line="235" w:lineRule="auto" w:before="118"/>
        <w:ind w:left="280"/>
      </w:pPr>
      <w:r>
        <w:rPr>
          <w:color w:val="231F20"/>
          <w:spacing w:val="-3"/>
        </w:rPr>
        <w:t>public service </w:t>
      </w:r>
      <w:r>
        <w:rPr>
          <w:color w:val="231F20"/>
        </w:rPr>
        <w:t>to </w:t>
      </w:r>
      <w:r>
        <w:rPr>
          <w:color w:val="231F20"/>
          <w:spacing w:val="-3"/>
        </w:rPr>
        <w:t>achieve </w:t>
      </w:r>
      <w:r>
        <w:rPr>
          <w:color w:val="231F20"/>
        </w:rPr>
        <w:t>the </w:t>
      </w:r>
      <w:r>
        <w:rPr>
          <w:color w:val="231F20"/>
          <w:spacing w:val="-3"/>
        </w:rPr>
        <w:t>goal </w:t>
      </w:r>
      <w:r>
        <w:rPr>
          <w:color w:val="231F20"/>
          <w:spacing w:val="-4"/>
        </w:rPr>
        <w:t>were grouped </w:t>
      </w:r>
      <w:r>
        <w:rPr>
          <w:color w:val="231F20"/>
          <w:spacing w:val="-3"/>
        </w:rPr>
        <w:t>into </w:t>
      </w:r>
      <w:r>
        <w:rPr>
          <w:color w:val="231F20"/>
        </w:rPr>
        <w:t>the </w:t>
      </w:r>
      <w:r>
        <w:rPr>
          <w:color w:val="231F20"/>
          <w:spacing w:val="-3"/>
        </w:rPr>
        <w:t>following </w:t>
      </w:r>
      <w:r>
        <w:rPr>
          <w:color w:val="231F20"/>
          <w:spacing w:val="-4"/>
        </w:rPr>
        <w:t>three </w:t>
      </w:r>
      <w:r>
        <w:rPr>
          <w:color w:val="231F20"/>
          <w:spacing w:val="-3"/>
        </w:rPr>
        <w:t>categories (depicted in </w:t>
      </w:r>
      <w:r>
        <w:rPr>
          <w:color w:val="231F20"/>
          <w:spacing w:val="-4"/>
        </w:rPr>
        <w:t>Figure </w:t>
      </w:r>
      <w:r>
        <w:rPr>
          <w:color w:val="231F20"/>
          <w:spacing w:val="-3"/>
        </w:rPr>
        <w:t>3):</w:t>
      </w:r>
    </w:p>
    <w:p>
      <w:pPr>
        <w:pStyle w:val="ListParagraph"/>
        <w:numPr>
          <w:ilvl w:val="0"/>
          <w:numId w:val="3"/>
        </w:numPr>
        <w:tabs>
          <w:tab w:pos="621" w:val="left" w:leader="none"/>
        </w:tabs>
        <w:spacing w:line="240" w:lineRule="auto" w:before="163" w:after="0"/>
        <w:ind w:left="620" w:right="0" w:hanging="227"/>
        <w:jc w:val="left"/>
        <w:rPr>
          <w:sz w:val="22"/>
        </w:rPr>
      </w:pPr>
      <w:r>
        <w:rPr>
          <w:color w:val="231F20"/>
          <w:spacing w:val="-3"/>
          <w:sz w:val="22"/>
        </w:rPr>
        <w:t>Connecting </w:t>
      </w:r>
      <w:r>
        <w:rPr>
          <w:color w:val="231F20"/>
          <w:sz w:val="22"/>
        </w:rPr>
        <w:t>to </w:t>
      </w:r>
      <w:r>
        <w:rPr>
          <w:color w:val="231F20"/>
          <w:spacing w:val="-4"/>
          <w:sz w:val="22"/>
        </w:rPr>
        <w:t>culture, </w:t>
      </w:r>
      <w:r>
        <w:rPr>
          <w:color w:val="231F20"/>
          <w:spacing w:val="-3"/>
          <w:sz w:val="22"/>
        </w:rPr>
        <w:t>connecting </w:t>
      </w:r>
      <w:r>
        <w:rPr>
          <w:color w:val="231F20"/>
          <w:sz w:val="22"/>
        </w:rPr>
        <w:t>to</w:t>
      </w:r>
      <w:r>
        <w:rPr>
          <w:color w:val="231F20"/>
          <w:spacing w:val="-21"/>
          <w:sz w:val="22"/>
        </w:rPr>
        <w:t> </w:t>
      </w:r>
      <w:r>
        <w:rPr>
          <w:color w:val="231F20"/>
          <w:sz w:val="22"/>
        </w:rPr>
        <w:t>Country</w:t>
      </w:r>
    </w:p>
    <w:p>
      <w:pPr>
        <w:spacing w:line="244" w:lineRule="auto" w:before="170"/>
        <w:ind w:left="620" w:right="0" w:firstLine="0"/>
        <w:jc w:val="left"/>
        <w:rPr>
          <w:rFonts w:ascii="Helvetica" w:hAnsi="Helvetica"/>
          <w:i/>
          <w:sz w:val="22"/>
        </w:rPr>
      </w:pPr>
      <w:r>
        <w:rPr>
          <w:rFonts w:ascii="Helvetica" w:hAnsi="Helvetica"/>
          <w:i/>
          <w:color w:val="A09681"/>
          <w:spacing w:val="-4"/>
          <w:sz w:val="22"/>
        </w:rPr>
        <w:t>“We </w:t>
      </w:r>
      <w:r>
        <w:rPr>
          <w:rFonts w:ascii="Helvetica" w:hAnsi="Helvetica"/>
          <w:i/>
          <w:color w:val="A09681"/>
          <w:spacing w:val="-5"/>
          <w:sz w:val="22"/>
        </w:rPr>
        <w:t>have </w:t>
      </w:r>
      <w:r>
        <w:rPr>
          <w:rFonts w:ascii="Helvetica" w:hAnsi="Helvetica"/>
          <w:i/>
          <w:color w:val="A09681"/>
          <w:sz w:val="22"/>
        </w:rPr>
        <w:t>to learn to be the </w:t>
      </w:r>
      <w:r>
        <w:rPr>
          <w:rFonts w:ascii="Helvetica" w:hAnsi="Helvetica"/>
          <w:i/>
          <w:color w:val="A09681"/>
          <w:spacing w:val="-3"/>
          <w:sz w:val="22"/>
        </w:rPr>
        <w:t>servant </w:t>
      </w:r>
      <w:r>
        <w:rPr>
          <w:rFonts w:ascii="Helvetica" w:hAnsi="Helvetica"/>
          <w:i/>
          <w:color w:val="A09681"/>
          <w:sz w:val="22"/>
        </w:rPr>
        <w:t>and </w:t>
      </w:r>
      <w:r>
        <w:rPr>
          <w:rFonts w:ascii="Helvetica" w:hAnsi="Helvetica"/>
          <w:i/>
          <w:color w:val="A09681"/>
          <w:spacing w:val="-3"/>
          <w:sz w:val="22"/>
        </w:rPr>
        <w:t>not </w:t>
      </w:r>
      <w:r>
        <w:rPr>
          <w:rFonts w:ascii="Helvetica" w:hAnsi="Helvetica"/>
          <w:i/>
          <w:color w:val="A09681"/>
          <w:sz w:val="22"/>
        </w:rPr>
        <w:t>the </w:t>
      </w:r>
      <w:r>
        <w:rPr>
          <w:rFonts w:ascii="Helvetica" w:hAnsi="Helvetica"/>
          <w:i/>
          <w:color w:val="A09681"/>
          <w:spacing w:val="-3"/>
          <w:sz w:val="22"/>
        </w:rPr>
        <w:t>decision </w:t>
      </w:r>
      <w:r>
        <w:rPr>
          <w:rFonts w:ascii="Helvetica" w:hAnsi="Helvetica"/>
          <w:i/>
          <w:color w:val="A09681"/>
          <w:spacing w:val="-8"/>
          <w:sz w:val="22"/>
        </w:rPr>
        <w:t>maker.”</w:t>
      </w:r>
    </w:p>
    <w:p>
      <w:pPr>
        <w:spacing w:line="244" w:lineRule="auto" w:before="171"/>
        <w:ind w:left="620" w:right="0" w:firstLine="0"/>
        <w:jc w:val="left"/>
        <w:rPr>
          <w:rFonts w:ascii="Helvetica" w:hAnsi="Helvetica"/>
          <w:i/>
          <w:sz w:val="22"/>
        </w:rPr>
      </w:pPr>
      <w:r>
        <w:rPr>
          <w:rFonts w:ascii="Helvetica" w:hAnsi="Helvetica"/>
          <w:i/>
          <w:color w:val="A09681"/>
          <w:spacing w:val="-3"/>
          <w:sz w:val="22"/>
        </w:rPr>
        <w:t>“Cultural competency training </w:t>
      </w:r>
      <w:r>
        <w:rPr>
          <w:rFonts w:ascii="Helvetica" w:hAnsi="Helvetica"/>
          <w:i/>
          <w:color w:val="A09681"/>
          <w:sz w:val="22"/>
        </w:rPr>
        <w:t>is a </w:t>
      </w:r>
      <w:r>
        <w:rPr>
          <w:rFonts w:ascii="Helvetica" w:hAnsi="Helvetica"/>
          <w:i/>
          <w:color w:val="A09681"/>
          <w:spacing w:val="-4"/>
          <w:sz w:val="22"/>
        </w:rPr>
        <w:t>joke, </w:t>
      </w:r>
      <w:r>
        <w:rPr>
          <w:rFonts w:ascii="Helvetica" w:hAnsi="Helvetica"/>
          <w:i/>
          <w:color w:val="A09681"/>
          <w:spacing w:val="-3"/>
          <w:sz w:val="22"/>
        </w:rPr>
        <w:t>it’s generic, it’s pointless, it’s pretty </w:t>
      </w:r>
      <w:r>
        <w:rPr>
          <w:rFonts w:ascii="Helvetica" w:hAnsi="Helvetica"/>
          <w:i/>
          <w:color w:val="A09681"/>
          <w:spacing w:val="-5"/>
          <w:sz w:val="22"/>
        </w:rPr>
        <w:t>ridiculous.”</w:t>
      </w:r>
    </w:p>
    <w:p>
      <w:pPr>
        <w:pStyle w:val="ListParagraph"/>
        <w:numPr>
          <w:ilvl w:val="0"/>
          <w:numId w:val="3"/>
        </w:numPr>
        <w:tabs>
          <w:tab w:pos="621" w:val="left" w:leader="none"/>
        </w:tabs>
        <w:spacing w:line="240" w:lineRule="auto" w:before="164" w:after="0"/>
        <w:ind w:left="620" w:right="0" w:hanging="227"/>
        <w:jc w:val="left"/>
        <w:rPr>
          <w:sz w:val="22"/>
        </w:rPr>
      </w:pPr>
      <w:r>
        <w:rPr>
          <w:color w:val="231F20"/>
          <w:spacing w:val="-3"/>
          <w:sz w:val="22"/>
        </w:rPr>
        <w:t>Setting </w:t>
      </w:r>
      <w:r>
        <w:rPr>
          <w:color w:val="231F20"/>
          <w:sz w:val="22"/>
        </w:rPr>
        <w:t>the</w:t>
      </w:r>
      <w:r>
        <w:rPr>
          <w:color w:val="231F20"/>
          <w:spacing w:val="-8"/>
          <w:sz w:val="22"/>
        </w:rPr>
        <w:t> </w:t>
      </w:r>
      <w:r>
        <w:rPr>
          <w:color w:val="231F20"/>
          <w:spacing w:val="-3"/>
          <w:sz w:val="22"/>
        </w:rPr>
        <w:t>tone</w:t>
      </w:r>
    </w:p>
    <w:p>
      <w:pPr>
        <w:spacing w:before="170"/>
        <w:ind w:left="620" w:right="0" w:firstLine="0"/>
        <w:jc w:val="left"/>
        <w:rPr>
          <w:rFonts w:ascii="Helvetica" w:hAnsi="Helvetica"/>
          <w:i/>
          <w:sz w:val="22"/>
        </w:rPr>
      </w:pPr>
      <w:r>
        <w:rPr>
          <w:rFonts w:ascii="Helvetica" w:hAnsi="Helvetica"/>
          <w:i/>
          <w:color w:val="A09681"/>
          <w:sz w:val="22"/>
        </w:rPr>
        <w:t>“Strong leaders can change cultures.”</w:t>
      </w:r>
    </w:p>
    <w:p>
      <w:pPr>
        <w:pStyle w:val="ListParagraph"/>
        <w:numPr>
          <w:ilvl w:val="0"/>
          <w:numId w:val="3"/>
        </w:numPr>
        <w:tabs>
          <w:tab w:pos="621" w:val="left" w:leader="none"/>
        </w:tabs>
        <w:spacing w:line="240" w:lineRule="auto" w:before="169" w:after="0"/>
        <w:ind w:left="620" w:right="0" w:hanging="227"/>
        <w:jc w:val="left"/>
        <w:rPr>
          <w:sz w:val="22"/>
        </w:rPr>
      </w:pPr>
      <w:r>
        <w:rPr>
          <w:color w:val="231F20"/>
          <w:sz w:val="22"/>
        </w:rPr>
        <w:t>Achieving big </w:t>
      </w:r>
      <w:r>
        <w:rPr>
          <w:color w:val="231F20"/>
          <w:spacing w:val="-3"/>
          <w:sz w:val="22"/>
        </w:rPr>
        <w:t>change </w:t>
      </w:r>
      <w:r>
        <w:rPr>
          <w:color w:val="231F20"/>
          <w:sz w:val="22"/>
        </w:rPr>
        <w:t>by </w:t>
      </w:r>
      <w:r>
        <w:rPr>
          <w:color w:val="231F20"/>
          <w:spacing w:val="-3"/>
          <w:sz w:val="22"/>
        </w:rPr>
        <w:t>starting</w:t>
      </w:r>
      <w:r>
        <w:rPr>
          <w:color w:val="231F20"/>
          <w:spacing w:val="-24"/>
          <w:sz w:val="22"/>
        </w:rPr>
        <w:t> </w:t>
      </w:r>
      <w:r>
        <w:rPr>
          <w:color w:val="231F20"/>
          <w:spacing w:val="-3"/>
          <w:sz w:val="22"/>
        </w:rPr>
        <w:t>small:</w:t>
      </w:r>
    </w:p>
    <w:p>
      <w:pPr>
        <w:spacing w:line="244" w:lineRule="auto" w:before="170"/>
        <w:ind w:left="620" w:right="567" w:firstLine="0"/>
        <w:jc w:val="left"/>
        <w:rPr>
          <w:rFonts w:ascii="Helvetica" w:hAnsi="Helvetica"/>
          <w:i/>
          <w:sz w:val="22"/>
        </w:rPr>
      </w:pPr>
      <w:r>
        <w:rPr>
          <w:rFonts w:ascii="Helvetica" w:hAnsi="Helvetica"/>
          <w:i/>
          <w:color w:val="A09681"/>
          <w:spacing w:val="-3"/>
          <w:sz w:val="22"/>
        </w:rPr>
        <w:t>“Every </w:t>
      </w:r>
      <w:r>
        <w:rPr>
          <w:rFonts w:ascii="Helvetica" w:hAnsi="Helvetica"/>
          <w:i/>
          <w:color w:val="A09681"/>
          <w:spacing w:val="-6"/>
          <w:sz w:val="22"/>
        </w:rPr>
        <w:t>community, </w:t>
      </w:r>
      <w:r>
        <w:rPr>
          <w:rFonts w:ascii="Helvetica" w:hAnsi="Helvetica"/>
          <w:i/>
          <w:color w:val="A09681"/>
          <w:spacing w:val="-4"/>
          <w:sz w:val="22"/>
        </w:rPr>
        <w:t>every </w:t>
      </w:r>
      <w:r>
        <w:rPr>
          <w:rFonts w:ascii="Helvetica" w:hAnsi="Helvetica"/>
          <w:i/>
          <w:color w:val="A09681"/>
          <w:spacing w:val="-3"/>
          <w:sz w:val="22"/>
        </w:rPr>
        <w:t>parent </w:t>
      </w:r>
      <w:r>
        <w:rPr>
          <w:rFonts w:ascii="Helvetica" w:hAnsi="Helvetica"/>
          <w:i/>
          <w:color w:val="A09681"/>
          <w:spacing w:val="-4"/>
          <w:sz w:val="22"/>
        </w:rPr>
        <w:t>wants </w:t>
      </w:r>
      <w:r>
        <w:rPr>
          <w:rFonts w:ascii="Helvetica" w:hAnsi="Helvetica"/>
          <w:i/>
          <w:color w:val="A09681"/>
          <w:sz w:val="22"/>
        </w:rPr>
        <w:t>the </w:t>
      </w:r>
      <w:r>
        <w:rPr>
          <w:rFonts w:ascii="Helvetica" w:hAnsi="Helvetica"/>
          <w:i/>
          <w:color w:val="A09681"/>
          <w:spacing w:val="-3"/>
          <w:sz w:val="22"/>
        </w:rPr>
        <w:t>best </w:t>
      </w:r>
      <w:r>
        <w:rPr>
          <w:rFonts w:ascii="Helvetica" w:hAnsi="Helvetica"/>
          <w:i/>
          <w:color w:val="A09681"/>
          <w:spacing w:val="-4"/>
          <w:sz w:val="22"/>
        </w:rPr>
        <w:t>for </w:t>
      </w:r>
      <w:r>
        <w:rPr>
          <w:rFonts w:ascii="Helvetica" w:hAnsi="Helvetica"/>
          <w:i/>
          <w:color w:val="A09681"/>
          <w:spacing w:val="-3"/>
          <w:sz w:val="22"/>
        </w:rPr>
        <w:t>their child, </w:t>
      </w:r>
      <w:r>
        <w:rPr>
          <w:rFonts w:ascii="Helvetica" w:hAnsi="Helvetica"/>
          <w:i/>
          <w:color w:val="A09681"/>
          <w:spacing w:val="-4"/>
          <w:sz w:val="22"/>
        </w:rPr>
        <w:t>but </w:t>
      </w:r>
      <w:r>
        <w:rPr>
          <w:rFonts w:ascii="Helvetica" w:hAnsi="Helvetica"/>
          <w:i/>
          <w:color w:val="A09681"/>
          <w:spacing w:val="-3"/>
          <w:sz w:val="22"/>
        </w:rPr>
        <w:t>people </w:t>
      </w:r>
      <w:r>
        <w:rPr>
          <w:rFonts w:ascii="Helvetica" w:hAnsi="Helvetica"/>
          <w:i/>
          <w:color w:val="A09681"/>
          <w:sz w:val="22"/>
        </w:rPr>
        <w:t>are </w:t>
      </w:r>
      <w:r>
        <w:rPr>
          <w:rFonts w:ascii="Helvetica" w:hAnsi="Helvetica"/>
          <w:i/>
          <w:color w:val="A09681"/>
          <w:spacing w:val="-3"/>
          <w:sz w:val="22"/>
        </w:rPr>
        <w:t>so </w:t>
      </w:r>
      <w:r>
        <w:rPr>
          <w:rFonts w:ascii="Helvetica" w:hAnsi="Helvetica"/>
          <w:i/>
          <w:color w:val="A09681"/>
          <w:spacing w:val="-4"/>
          <w:sz w:val="22"/>
        </w:rPr>
        <w:t>disempowered </w:t>
      </w:r>
      <w:r>
        <w:rPr>
          <w:rFonts w:ascii="Helvetica" w:hAnsi="Helvetica"/>
          <w:i/>
          <w:color w:val="A09681"/>
          <w:sz w:val="22"/>
        </w:rPr>
        <w:t>and </w:t>
      </w:r>
      <w:r>
        <w:rPr>
          <w:rFonts w:ascii="Helvetica" w:hAnsi="Helvetica"/>
          <w:i/>
          <w:color w:val="A09681"/>
          <w:spacing w:val="-4"/>
          <w:sz w:val="22"/>
        </w:rPr>
        <w:t>overwhelmed by </w:t>
      </w:r>
      <w:r>
        <w:rPr>
          <w:rFonts w:ascii="Helvetica" w:hAnsi="Helvetica"/>
          <w:i/>
          <w:color w:val="A09681"/>
          <w:spacing w:val="-3"/>
          <w:sz w:val="22"/>
        </w:rPr>
        <w:t>the</w:t>
      </w:r>
    </w:p>
    <w:p>
      <w:pPr>
        <w:spacing w:line="244" w:lineRule="auto" w:before="1"/>
        <w:ind w:left="620" w:right="11" w:firstLine="0"/>
        <w:jc w:val="left"/>
        <w:rPr>
          <w:rFonts w:ascii="Helvetica" w:hAnsi="Helvetica"/>
          <w:i/>
          <w:sz w:val="22"/>
        </w:rPr>
      </w:pPr>
      <w:r>
        <w:rPr>
          <w:rFonts w:ascii="Helvetica" w:hAnsi="Helvetica"/>
          <w:i/>
          <w:color w:val="A09681"/>
          <w:sz w:val="22"/>
        </w:rPr>
        <w:t>enormity of the </w:t>
      </w:r>
      <w:r>
        <w:rPr>
          <w:rFonts w:ascii="Helvetica" w:hAnsi="Helvetica"/>
          <w:i/>
          <w:color w:val="A09681"/>
          <w:spacing w:val="-4"/>
          <w:sz w:val="22"/>
        </w:rPr>
        <w:t>problems </w:t>
      </w:r>
      <w:r>
        <w:rPr>
          <w:rFonts w:ascii="Helvetica" w:hAnsi="Helvetica"/>
          <w:i/>
          <w:color w:val="A09681"/>
          <w:spacing w:val="-3"/>
          <w:sz w:val="22"/>
        </w:rPr>
        <w:t>that </w:t>
      </w:r>
      <w:r>
        <w:rPr>
          <w:rFonts w:ascii="Helvetica" w:hAnsi="Helvetica"/>
          <w:i/>
          <w:color w:val="A09681"/>
          <w:spacing w:val="-4"/>
          <w:sz w:val="22"/>
        </w:rPr>
        <w:t>they’re </w:t>
      </w:r>
      <w:r>
        <w:rPr>
          <w:rFonts w:ascii="Helvetica" w:hAnsi="Helvetica"/>
          <w:i/>
          <w:color w:val="A09681"/>
          <w:sz w:val="22"/>
        </w:rPr>
        <w:t>not </w:t>
      </w:r>
      <w:r>
        <w:rPr>
          <w:rFonts w:ascii="Helvetica" w:hAnsi="Helvetica"/>
          <w:i/>
          <w:color w:val="A09681"/>
          <w:spacing w:val="-6"/>
          <w:sz w:val="22"/>
        </w:rPr>
        <w:t>even </w:t>
      </w:r>
      <w:r>
        <w:rPr>
          <w:rFonts w:ascii="Helvetica" w:hAnsi="Helvetica"/>
          <w:i/>
          <w:color w:val="A09681"/>
          <w:spacing w:val="-3"/>
          <w:sz w:val="22"/>
        </w:rPr>
        <w:t>prepared </w:t>
      </w:r>
      <w:r>
        <w:rPr>
          <w:rFonts w:ascii="Helvetica" w:hAnsi="Helvetica"/>
          <w:i/>
          <w:color w:val="A09681"/>
          <w:sz w:val="22"/>
        </w:rPr>
        <w:t>to start </w:t>
      </w:r>
      <w:r>
        <w:rPr>
          <w:rFonts w:ascii="Helvetica" w:hAnsi="Helvetica"/>
          <w:i/>
          <w:color w:val="A09681"/>
          <w:spacing w:val="-6"/>
          <w:sz w:val="22"/>
        </w:rPr>
        <w:t>small.”</w:t>
      </w:r>
    </w:p>
    <w:p>
      <w:pPr>
        <w:pStyle w:val="BodyText"/>
        <w:spacing w:before="5"/>
        <w:rPr>
          <w:rFonts w:ascii="Helvetica"/>
          <w:i/>
          <w:sz w:val="28"/>
        </w:rPr>
      </w:pPr>
    </w:p>
    <w:p>
      <w:pPr>
        <w:spacing w:line="230" w:lineRule="auto" w:before="0"/>
        <w:ind w:left="220" w:right="0" w:firstLine="0"/>
        <w:jc w:val="left"/>
        <w:rPr>
          <w:rFonts w:ascii="Helvetica-LightOblique" w:hAnsi="Helvetica-LightOblique"/>
          <w:i/>
          <w:sz w:val="22"/>
        </w:rPr>
      </w:pPr>
      <w:r>
        <w:rPr>
          <w:rFonts w:ascii="Helvetica-LightOblique" w:hAnsi="Helvetica-LightOblique"/>
          <w:i/>
          <w:color w:val="439FA0"/>
          <w:sz w:val="22"/>
        </w:rPr>
        <w:t>Figure 3: Findings of major themes emerging from ‘Rhetoric to Reality’</w:t>
      </w:r>
    </w:p>
    <w:p>
      <w:pPr>
        <w:pStyle w:val="BodyText"/>
        <w:spacing w:before="11" w:after="40"/>
        <w:rPr>
          <w:rFonts w:ascii="Helvetica-LightOblique"/>
          <w:i/>
          <w:sz w:val="12"/>
        </w:rPr>
      </w:pPr>
    </w:p>
    <w:p>
      <w:pPr>
        <w:pStyle w:val="BodyText"/>
        <w:ind w:left="210"/>
        <w:rPr>
          <w:rFonts w:ascii="Helvetica-LightOblique"/>
          <w:sz w:val="20"/>
        </w:rPr>
      </w:pPr>
      <w:r>
        <w:rPr>
          <w:rFonts w:ascii="Helvetica-LightOblique"/>
          <w:sz w:val="20"/>
        </w:rPr>
        <w:pict>
          <v:group style="width:235.3pt;height:235.95pt;mso-position-horizontal-relative:char;mso-position-vertical-relative:line" coordorigin="0,0" coordsize="4706,4719">
            <v:shape style="position:absolute;left:0;top:0;width:4706;height:4719" type="#_x0000_t75" stroked="false">
              <v:imagedata r:id="rId50" o:title=""/>
            </v:shape>
            <v:shape style="position:absolute;left:387;top:475;width:3847;height:2557" type="#_x0000_t75" stroked="false">
              <v:imagedata r:id="rId51" o:title=""/>
            </v:shape>
            <v:shape style="position:absolute;left:1457;top:3803;width:1768;height:416" type="#_x0000_t75" stroked="false">
              <v:imagedata r:id="rId52" o:title=""/>
            </v:shape>
          </v:group>
        </w:pict>
      </w:r>
      <w:r>
        <w:rPr>
          <w:rFonts w:ascii="Helvetica-LightOblique"/>
          <w:sz w:val="20"/>
        </w:rPr>
      </w:r>
    </w:p>
    <w:p>
      <w:pPr>
        <w:pStyle w:val="Heading2"/>
        <w:spacing w:before="56"/>
        <w:ind w:left="220" w:right="1644"/>
      </w:pPr>
      <w:r>
        <w:rPr>
          <w:b w:val="0"/>
        </w:rPr>
        <w:br w:type="column"/>
      </w:r>
      <w:r>
        <w:rPr>
          <w:color w:val="358384"/>
        </w:rPr>
        <w:t>Shift 1: Connecting to culture, connecting to Country</w:t>
      </w:r>
    </w:p>
    <w:p>
      <w:pPr>
        <w:pStyle w:val="Heading3"/>
        <w:spacing w:before="169"/>
        <w:ind w:left="220"/>
      </w:pPr>
      <w:r>
        <w:rPr>
          <w:color w:val="47A7A8"/>
        </w:rPr>
        <w:t>Key findings</w:t>
      </w:r>
    </w:p>
    <w:p>
      <w:pPr>
        <w:pStyle w:val="BodyText"/>
        <w:spacing w:line="235" w:lineRule="auto" w:before="172"/>
        <w:ind w:left="220" w:right="514"/>
      </w:pPr>
      <w:r>
        <w:rPr>
          <w:color w:val="231F20"/>
        </w:rPr>
        <w:t>The theme which emerged most clearly from our research was how important it is for public servants to develop and maintain genuine cultural competence. Almost all participants raised some aspect of cultural awareness or competence training as an example of what works and what does not. Participants felt strongly that the current approach to cultural competence in the public service can be ad hoc, tokenistic, generic and static. </w:t>
      </w:r>
      <w:r>
        <w:rPr>
          <w:color w:val="231F20"/>
          <w:spacing w:val="-3"/>
        </w:rPr>
        <w:t>Similarly, </w:t>
      </w:r>
      <w:r>
        <w:rPr>
          <w:color w:val="231F20"/>
        </w:rPr>
        <w:t>we found that ideas about cultural awareness, competence, safety or intelligence are not </w:t>
      </w:r>
      <w:r>
        <w:rPr>
          <w:color w:val="231F20"/>
          <w:spacing w:val="-5"/>
        </w:rPr>
        <w:t>well </w:t>
      </w:r>
      <w:r>
        <w:rPr>
          <w:color w:val="231F20"/>
        </w:rPr>
        <w:t>articulated or understood in the NSW public service. The following statements provided by participants highlight these ideas:</w:t>
      </w:r>
    </w:p>
    <w:p>
      <w:pPr>
        <w:spacing w:line="244" w:lineRule="auto" w:before="157"/>
        <w:ind w:left="561" w:right="224" w:firstLine="0"/>
        <w:jc w:val="left"/>
        <w:rPr>
          <w:rFonts w:ascii="Helvetica" w:hAnsi="Helvetica"/>
          <w:i/>
          <w:sz w:val="22"/>
        </w:rPr>
      </w:pPr>
      <w:r>
        <w:rPr>
          <w:rFonts w:ascii="Helvetica" w:hAnsi="Helvetica"/>
          <w:i/>
          <w:color w:val="A09681"/>
          <w:spacing w:val="-4"/>
          <w:sz w:val="22"/>
        </w:rPr>
        <w:t>“We’re </w:t>
      </w:r>
      <w:r>
        <w:rPr>
          <w:rFonts w:ascii="Helvetica" w:hAnsi="Helvetica"/>
          <w:i/>
          <w:color w:val="A09681"/>
          <w:spacing w:val="-3"/>
          <w:sz w:val="22"/>
        </w:rPr>
        <w:t>underdone </w:t>
      </w:r>
      <w:r>
        <w:rPr>
          <w:rFonts w:ascii="Helvetica" w:hAnsi="Helvetica"/>
          <w:i/>
          <w:color w:val="A09681"/>
          <w:sz w:val="22"/>
        </w:rPr>
        <w:t>on </w:t>
      </w:r>
      <w:r>
        <w:rPr>
          <w:rFonts w:ascii="Helvetica" w:hAnsi="Helvetica"/>
          <w:i/>
          <w:color w:val="A09681"/>
          <w:spacing w:val="-4"/>
          <w:sz w:val="22"/>
        </w:rPr>
        <w:t>comprehensive </w:t>
      </w:r>
      <w:r>
        <w:rPr>
          <w:rFonts w:ascii="Helvetica" w:hAnsi="Helvetica"/>
          <w:i/>
          <w:color w:val="A09681"/>
          <w:sz w:val="22"/>
        </w:rPr>
        <w:t>support </w:t>
      </w:r>
      <w:r>
        <w:rPr>
          <w:rFonts w:ascii="Helvetica" w:hAnsi="Helvetica"/>
          <w:i/>
          <w:color w:val="A09681"/>
          <w:spacing w:val="-4"/>
          <w:sz w:val="22"/>
        </w:rPr>
        <w:t>for developing </w:t>
      </w:r>
      <w:r>
        <w:rPr>
          <w:rFonts w:ascii="Helvetica" w:hAnsi="Helvetica"/>
          <w:i/>
          <w:color w:val="A09681"/>
          <w:spacing w:val="-3"/>
          <w:sz w:val="22"/>
        </w:rPr>
        <w:t>cultural </w:t>
      </w:r>
      <w:r>
        <w:rPr>
          <w:rFonts w:ascii="Helvetica" w:hAnsi="Helvetica"/>
          <w:i/>
          <w:color w:val="A09681"/>
          <w:spacing w:val="-7"/>
          <w:sz w:val="22"/>
        </w:rPr>
        <w:t>competency.”</w:t>
      </w:r>
    </w:p>
    <w:p>
      <w:pPr>
        <w:spacing w:line="244" w:lineRule="auto" w:before="171"/>
        <w:ind w:left="561" w:right="224" w:firstLine="0"/>
        <w:jc w:val="left"/>
        <w:rPr>
          <w:rFonts w:ascii="Helvetica" w:hAnsi="Helvetica"/>
          <w:i/>
          <w:sz w:val="22"/>
        </w:rPr>
      </w:pPr>
      <w:r>
        <w:rPr>
          <w:rFonts w:ascii="Helvetica" w:hAnsi="Helvetica"/>
          <w:i/>
          <w:color w:val="A09681"/>
          <w:sz w:val="22"/>
        </w:rPr>
        <w:t>“I </w:t>
      </w:r>
      <w:r>
        <w:rPr>
          <w:rFonts w:ascii="Helvetica" w:hAnsi="Helvetica"/>
          <w:i/>
          <w:color w:val="A09681"/>
          <w:spacing w:val="-3"/>
          <w:sz w:val="22"/>
        </w:rPr>
        <w:t>think we </w:t>
      </w:r>
      <w:r>
        <w:rPr>
          <w:rFonts w:ascii="Helvetica" w:hAnsi="Helvetica"/>
          <w:i/>
          <w:color w:val="A09681"/>
          <w:sz w:val="22"/>
        </w:rPr>
        <w:t>can all put our </w:t>
      </w:r>
      <w:r>
        <w:rPr>
          <w:rFonts w:ascii="Helvetica" w:hAnsi="Helvetica"/>
          <w:i/>
          <w:color w:val="A09681"/>
          <w:spacing w:val="-3"/>
          <w:sz w:val="22"/>
        </w:rPr>
        <w:t>hand </w:t>
      </w:r>
      <w:r>
        <w:rPr>
          <w:rFonts w:ascii="Helvetica" w:hAnsi="Helvetica"/>
          <w:i/>
          <w:color w:val="A09681"/>
          <w:spacing w:val="-5"/>
          <w:sz w:val="22"/>
        </w:rPr>
        <w:t>up, </w:t>
      </w:r>
      <w:r>
        <w:rPr>
          <w:rFonts w:ascii="Helvetica" w:hAnsi="Helvetica"/>
          <w:i/>
          <w:color w:val="A09681"/>
          <w:spacing w:val="-10"/>
          <w:sz w:val="22"/>
        </w:rPr>
        <w:t>‘Yep, </w:t>
      </w:r>
      <w:r>
        <w:rPr>
          <w:rFonts w:ascii="Helvetica" w:hAnsi="Helvetica"/>
          <w:i/>
          <w:color w:val="A09681"/>
          <w:spacing w:val="-3"/>
          <w:sz w:val="22"/>
        </w:rPr>
        <w:t>job </w:t>
      </w:r>
      <w:r>
        <w:rPr>
          <w:rFonts w:ascii="Helvetica" w:hAnsi="Helvetica"/>
          <w:i/>
          <w:color w:val="A09681"/>
          <w:spacing w:val="-7"/>
          <w:sz w:val="22"/>
        </w:rPr>
        <w:t>done,’ </w:t>
      </w:r>
      <w:r>
        <w:rPr>
          <w:rFonts w:ascii="Helvetica" w:hAnsi="Helvetica"/>
          <w:i/>
          <w:color w:val="A09681"/>
          <w:spacing w:val="-4"/>
          <w:sz w:val="22"/>
        </w:rPr>
        <w:t>but </w:t>
      </w:r>
      <w:r>
        <w:rPr>
          <w:rFonts w:ascii="Helvetica" w:hAnsi="Helvetica"/>
          <w:i/>
          <w:color w:val="A09681"/>
          <w:spacing w:val="-3"/>
          <w:sz w:val="22"/>
        </w:rPr>
        <w:t>then </w:t>
      </w:r>
      <w:r>
        <w:rPr>
          <w:rFonts w:ascii="Helvetica" w:hAnsi="Helvetica"/>
          <w:i/>
          <w:color w:val="A09681"/>
          <w:sz w:val="22"/>
        </w:rPr>
        <w:t>not </w:t>
      </w:r>
      <w:r>
        <w:rPr>
          <w:rFonts w:ascii="Helvetica" w:hAnsi="Helvetica"/>
          <w:i/>
          <w:color w:val="A09681"/>
          <w:spacing w:val="-3"/>
          <w:sz w:val="22"/>
        </w:rPr>
        <w:t>actually spending any time with Aboriginal communities </w:t>
      </w:r>
      <w:r>
        <w:rPr>
          <w:rFonts w:ascii="Helvetica" w:hAnsi="Helvetica"/>
          <w:i/>
          <w:color w:val="A09681"/>
          <w:sz w:val="22"/>
        </w:rPr>
        <w:t>or </w:t>
      </w:r>
      <w:r>
        <w:rPr>
          <w:rFonts w:ascii="Helvetica" w:hAnsi="Helvetica"/>
          <w:i/>
          <w:color w:val="A09681"/>
          <w:spacing w:val="-3"/>
          <w:sz w:val="22"/>
        </w:rPr>
        <w:t>adding </w:t>
      </w:r>
      <w:r>
        <w:rPr>
          <w:rFonts w:ascii="Helvetica" w:hAnsi="Helvetica"/>
          <w:i/>
          <w:color w:val="A09681"/>
          <w:sz w:val="22"/>
        </w:rPr>
        <w:t>on </w:t>
      </w:r>
      <w:r>
        <w:rPr>
          <w:rFonts w:ascii="Helvetica" w:hAnsi="Helvetica"/>
          <w:i/>
          <w:color w:val="A09681"/>
          <w:spacing w:val="-3"/>
          <w:sz w:val="22"/>
        </w:rPr>
        <w:t>that </w:t>
      </w:r>
      <w:r>
        <w:rPr>
          <w:rFonts w:ascii="Helvetica" w:hAnsi="Helvetica"/>
          <w:i/>
          <w:color w:val="A09681"/>
          <w:spacing w:val="-4"/>
          <w:sz w:val="22"/>
        </w:rPr>
        <w:t>extra </w:t>
      </w:r>
      <w:r>
        <w:rPr>
          <w:rFonts w:ascii="Helvetica" w:hAnsi="Helvetica"/>
          <w:i/>
          <w:color w:val="A09681"/>
          <w:spacing w:val="-5"/>
          <w:sz w:val="22"/>
        </w:rPr>
        <w:t>layer </w:t>
      </w:r>
      <w:r>
        <w:rPr>
          <w:rFonts w:ascii="Helvetica" w:hAnsi="Helvetica"/>
          <w:i/>
          <w:color w:val="A09681"/>
          <w:sz w:val="22"/>
        </w:rPr>
        <w:t>to </w:t>
      </w:r>
      <w:r>
        <w:rPr>
          <w:rFonts w:ascii="Helvetica" w:hAnsi="Helvetica"/>
          <w:i/>
          <w:color w:val="A09681"/>
          <w:spacing w:val="-3"/>
          <w:sz w:val="22"/>
        </w:rPr>
        <w:t>think about </w:t>
      </w:r>
      <w:r>
        <w:rPr>
          <w:rFonts w:ascii="Helvetica" w:hAnsi="Helvetica"/>
          <w:i/>
          <w:color w:val="A09681"/>
          <w:spacing w:val="-7"/>
          <w:sz w:val="22"/>
        </w:rPr>
        <w:t>them.”</w:t>
      </w:r>
    </w:p>
    <w:p>
      <w:pPr>
        <w:spacing w:line="244" w:lineRule="auto" w:before="171"/>
        <w:ind w:left="561" w:right="423" w:firstLine="0"/>
        <w:jc w:val="left"/>
        <w:rPr>
          <w:rFonts w:ascii="Helvetica" w:hAnsi="Helvetica"/>
          <w:i/>
          <w:sz w:val="22"/>
        </w:rPr>
      </w:pPr>
      <w:r>
        <w:rPr>
          <w:rFonts w:ascii="Helvetica" w:hAnsi="Helvetica"/>
          <w:i/>
          <w:color w:val="A09681"/>
          <w:spacing w:val="-3"/>
          <w:sz w:val="22"/>
        </w:rPr>
        <w:t>“Cultural competency training must be </w:t>
      </w:r>
      <w:r>
        <w:rPr>
          <w:rFonts w:ascii="Helvetica" w:hAnsi="Helvetica"/>
          <w:i/>
          <w:color w:val="A09681"/>
          <w:spacing w:val="-4"/>
          <w:sz w:val="22"/>
        </w:rPr>
        <w:t>delivered </w:t>
      </w:r>
      <w:r>
        <w:rPr>
          <w:rFonts w:ascii="Helvetica" w:hAnsi="Helvetica"/>
          <w:i/>
          <w:color w:val="A09681"/>
          <w:sz w:val="22"/>
        </w:rPr>
        <w:t>in the </w:t>
      </w:r>
      <w:r>
        <w:rPr>
          <w:rFonts w:ascii="Helvetica" w:hAnsi="Helvetica"/>
          <w:i/>
          <w:color w:val="A09681"/>
          <w:spacing w:val="-3"/>
          <w:sz w:val="22"/>
        </w:rPr>
        <w:t>most authentic </w:t>
      </w:r>
      <w:r>
        <w:rPr>
          <w:rFonts w:ascii="Helvetica" w:hAnsi="Helvetica"/>
          <w:i/>
          <w:color w:val="A09681"/>
          <w:spacing w:val="-5"/>
          <w:sz w:val="22"/>
        </w:rPr>
        <w:t>way </w:t>
      </w:r>
      <w:r>
        <w:rPr>
          <w:rFonts w:ascii="Helvetica" w:hAnsi="Helvetica"/>
          <w:i/>
          <w:color w:val="A09681"/>
          <w:spacing w:val="-4"/>
          <w:sz w:val="22"/>
        </w:rPr>
        <w:t>possible. </w:t>
      </w:r>
      <w:r>
        <w:rPr>
          <w:rFonts w:ascii="Helvetica" w:hAnsi="Helvetica"/>
          <w:i/>
          <w:color w:val="A09681"/>
          <w:sz w:val="22"/>
        </w:rPr>
        <w:t>It has to be </w:t>
      </w:r>
      <w:r>
        <w:rPr>
          <w:rFonts w:ascii="Helvetica" w:hAnsi="Helvetica"/>
          <w:i/>
          <w:color w:val="A09681"/>
          <w:spacing w:val="-3"/>
          <w:sz w:val="22"/>
        </w:rPr>
        <w:t>real, practical </w:t>
      </w:r>
      <w:r>
        <w:rPr>
          <w:rFonts w:ascii="Helvetica" w:hAnsi="Helvetica"/>
          <w:i/>
          <w:color w:val="A09681"/>
          <w:sz w:val="22"/>
        </w:rPr>
        <w:t>and </w:t>
      </w:r>
      <w:r>
        <w:rPr>
          <w:rFonts w:ascii="Helvetica" w:hAnsi="Helvetica"/>
          <w:i/>
          <w:color w:val="A09681"/>
          <w:spacing w:val="-4"/>
          <w:sz w:val="22"/>
        </w:rPr>
        <w:t>relevant </w:t>
      </w:r>
      <w:r>
        <w:rPr>
          <w:rFonts w:ascii="Helvetica" w:hAnsi="Helvetica"/>
          <w:i/>
          <w:color w:val="A09681"/>
          <w:spacing w:val="-5"/>
          <w:sz w:val="22"/>
        </w:rPr>
        <w:t>for </w:t>
      </w:r>
      <w:r>
        <w:rPr>
          <w:rFonts w:ascii="Helvetica" w:hAnsi="Helvetica"/>
          <w:i/>
          <w:color w:val="A09681"/>
          <w:spacing w:val="-3"/>
          <w:sz w:val="22"/>
        </w:rPr>
        <w:t>staff </w:t>
      </w:r>
      <w:r>
        <w:rPr>
          <w:rFonts w:ascii="Helvetica" w:hAnsi="Helvetica"/>
          <w:i/>
          <w:color w:val="A09681"/>
          <w:sz w:val="22"/>
        </w:rPr>
        <w:t>in </w:t>
      </w:r>
      <w:r>
        <w:rPr>
          <w:rFonts w:ascii="Helvetica" w:hAnsi="Helvetica"/>
          <w:i/>
          <w:color w:val="A09681"/>
          <w:spacing w:val="-3"/>
          <w:sz w:val="22"/>
        </w:rPr>
        <w:t>their</w:t>
      </w:r>
      <w:r>
        <w:rPr>
          <w:rFonts w:ascii="Helvetica" w:hAnsi="Helvetica"/>
          <w:i/>
          <w:color w:val="A09681"/>
          <w:spacing w:val="-12"/>
          <w:sz w:val="22"/>
        </w:rPr>
        <w:t> </w:t>
      </w:r>
      <w:r>
        <w:rPr>
          <w:rFonts w:ascii="Helvetica" w:hAnsi="Helvetica"/>
          <w:i/>
          <w:color w:val="A09681"/>
          <w:spacing w:val="-7"/>
          <w:sz w:val="22"/>
        </w:rPr>
        <w:t>roles.”</w:t>
      </w:r>
    </w:p>
    <w:p>
      <w:pPr>
        <w:spacing w:line="244" w:lineRule="auto" w:before="171"/>
        <w:ind w:left="561" w:right="224" w:firstLine="0"/>
        <w:jc w:val="left"/>
        <w:rPr>
          <w:rFonts w:ascii="Helvetica" w:hAnsi="Helvetica"/>
          <w:i/>
          <w:sz w:val="22"/>
        </w:rPr>
      </w:pPr>
      <w:r>
        <w:rPr>
          <w:rFonts w:ascii="Helvetica" w:hAnsi="Helvetica"/>
          <w:i/>
          <w:color w:val="A09681"/>
          <w:sz w:val="22"/>
        </w:rPr>
        <w:t>“It </w:t>
      </w:r>
      <w:r>
        <w:rPr>
          <w:rFonts w:ascii="Helvetica" w:hAnsi="Helvetica"/>
          <w:i/>
          <w:color w:val="A09681"/>
          <w:spacing w:val="-3"/>
          <w:sz w:val="22"/>
        </w:rPr>
        <w:t>needs </w:t>
      </w:r>
      <w:r>
        <w:rPr>
          <w:rFonts w:ascii="Helvetica" w:hAnsi="Helvetica"/>
          <w:i/>
          <w:color w:val="A09681"/>
          <w:sz w:val="22"/>
        </w:rPr>
        <w:t>to be </w:t>
      </w:r>
      <w:r>
        <w:rPr>
          <w:rFonts w:ascii="Helvetica" w:hAnsi="Helvetica"/>
          <w:i/>
          <w:color w:val="A09681"/>
          <w:spacing w:val="-3"/>
          <w:sz w:val="22"/>
        </w:rPr>
        <w:t>honest </w:t>
      </w:r>
      <w:r>
        <w:rPr>
          <w:rFonts w:ascii="Helvetica" w:hAnsi="Helvetica"/>
          <w:i/>
          <w:color w:val="A09681"/>
          <w:sz w:val="22"/>
        </w:rPr>
        <w:t>and </w:t>
      </w:r>
      <w:r>
        <w:rPr>
          <w:rFonts w:ascii="Helvetica" w:hAnsi="Helvetica"/>
          <w:i/>
          <w:color w:val="A09681"/>
          <w:spacing w:val="-4"/>
          <w:sz w:val="22"/>
        </w:rPr>
        <w:t>delivered</w:t>
      </w:r>
      <w:r>
        <w:rPr>
          <w:rFonts w:ascii="Helvetica" w:hAnsi="Helvetica"/>
          <w:i/>
          <w:color w:val="A09681"/>
          <w:spacing w:val="-34"/>
          <w:sz w:val="22"/>
        </w:rPr>
        <w:t> </w:t>
      </w:r>
      <w:r>
        <w:rPr>
          <w:rFonts w:ascii="Helvetica" w:hAnsi="Helvetica"/>
          <w:i/>
          <w:color w:val="A09681"/>
          <w:spacing w:val="-4"/>
          <w:sz w:val="22"/>
        </w:rPr>
        <w:t>by </w:t>
      </w:r>
      <w:r>
        <w:rPr>
          <w:rFonts w:ascii="Helvetica" w:hAnsi="Helvetica"/>
          <w:i/>
          <w:color w:val="A09681"/>
          <w:spacing w:val="-3"/>
          <w:sz w:val="22"/>
        </w:rPr>
        <w:t>Aboriginal</w:t>
      </w:r>
      <w:r>
        <w:rPr>
          <w:rFonts w:ascii="Helvetica" w:hAnsi="Helvetica"/>
          <w:i/>
          <w:color w:val="A09681"/>
          <w:spacing w:val="-5"/>
          <w:sz w:val="22"/>
        </w:rPr>
        <w:t> </w:t>
      </w:r>
      <w:r>
        <w:rPr>
          <w:rFonts w:ascii="Helvetica" w:hAnsi="Helvetica"/>
          <w:i/>
          <w:color w:val="A09681"/>
          <w:spacing w:val="-6"/>
          <w:sz w:val="22"/>
        </w:rPr>
        <w:t>people.”</w:t>
      </w:r>
    </w:p>
    <w:p>
      <w:pPr>
        <w:pStyle w:val="BodyText"/>
        <w:spacing w:line="235" w:lineRule="auto" w:before="169"/>
        <w:ind w:left="220" w:right="412"/>
      </w:pPr>
      <w:r>
        <w:rPr>
          <w:color w:val="231F20"/>
        </w:rPr>
        <w:t>Research participants considered genuine cultural competence to be critical to changing public sector attitudes and structures. This finding is supported by the literature, which shows that cultural understanding (Zurba et al 2012) and culturally appropriate or safe service delivery (Thomas et al 2015) are important to building relationships with Aboriginal people.</w:t>
      </w:r>
    </w:p>
    <w:p>
      <w:pPr>
        <w:pStyle w:val="BodyText"/>
        <w:spacing w:line="235" w:lineRule="auto"/>
        <w:ind w:left="220" w:right="987"/>
        <w:jc w:val="both"/>
      </w:pPr>
      <w:r>
        <w:rPr>
          <w:color w:val="231F20"/>
        </w:rPr>
        <w:t>Studies have shown that a combination of practices can change structural racism in organisations (Abramovitz &amp; Blitz 2015).</w:t>
      </w:r>
    </w:p>
    <w:p>
      <w:pPr>
        <w:spacing w:after="0" w:line="235" w:lineRule="auto"/>
        <w:jc w:val="both"/>
        <w:sectPr>
          <w:type w:val="continuous"/>
          <w:pgSz w:w="11910" w:h="16840"/>
          <w:pgMar w:top="1580" w:bottom="280" w:left="740" w:right="640"/>
          <w:cols w:num="2" w:equalWidth="0">
            <w:col w:w="5020" w:space="199"/>
            <w:col w:w="5311"/>
          </w:cols>
        </w:sect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after="0"/>
        <w:rPr>
          <w:sz w:val="21"/>
        </w:rPr>
        <w:sectPr>
          <w:pgSz w:w="11910" w:h="16840"/>
          <w:pgMar w:header="0" w:footer="558" w:top="1600" w:bottom="740" w:left="740" w:right="640"/>
        </w:sectPr>
      </w:pPr>
    </w:p>
    <w:p>
      <w:pPr>
        <w:pStyle w:val="BodyText"/>
        <w:spacing w:line="235" w:lineRule="auto" w:before="104"/>
        <w:ind w:left="280" w:right="290"/>
      </w:pPr>
      <w:r>
        <w:rPr>
          <w:color w:val="231F20"/>
        </w:rPr>
        <w:t>The literature also supports the provision of cultural training for staff (Downing &amp; Kowal 2011, Fredericks 2006, Paradies et al 2008). The limitations of cultural awareness training as a stand-alone activity were noted by our research participants and have been noted</w:t>
      </w:r>
      <w:r>
        <w:rPr>
          <w:color w:val="231F20"/>
          <w:spacing w:val="-5"/>
        </w:rPr>
        <w:t> </w:t>
      </w:r>
      <w:r>
        <w:rPr>
          <w:color w:val="231F20"/>
          <w:spacing w:val="-8"/>
        </w:rPr>
        <w:t>in</w:t>
      </w:r>
    </w:p>
    <w:p>
      <w:pPr>
        <w:pStyle w:val="BodyText"/>
        <w:spacing w:line="235" w:lineRule="auto"/>
        <w:ind w:left="280" w:right="26"/>
      </w:pPr>
      <w:r>
        <w:rPr>
          <w:color w:val="231F20"/>
        </w:rPr>
        <w:t>previous research (e.g. Downing &amp; Kowal </w:t>
      </w:r>
      <w:r>
        <w:rPr>
          <w:color w:val="231F20"/>
          <w:spacing w:val="-3"/>
        </w:rPr>
        <w:t>2011), </w:t>
      </w:r>
      <w:r>
        <w:rPr>
          <w:color w:val="231F20"/>
        </w:rPr>
        <w:t>including the risk of stereotyping, promoting ‘otherness’ and ignoring systemic</w:t>
      </w:r>
      <w:r>
        <w:rPr>
          <w:color w:val="231F20"/>
          <w:spacing w:val="-1"/>
        </w:rPr>
        <w:t> </w:t>
      </w:r>
      <w:r>
        <w:rPr>
          <w:color w:val="231F20"/>
        </w:rPr>
        <w:t>responses.</w:t>
      </w:r>
    </w:p>
    <w:p>
      <w:pPr>
        <w:pStyle w:val="BodyText"/>
        <w:spacing w:line="235" w:lineRule="auto"/>
        <w:ind w:left="280" w:right="69"/>
      </w:pPr>
      <w:r>
        <w:rPr>
          <w:color w:val="231F20"/>
        </w:rPr>
        <w:t>However, studies have shown it is possible to change prejudiced attitudes towards Aboriginal people through specific education activities (Finlay &amp; Stephan 2000; Pendersen et al 2000 &amp; 2004).</w:t>
      </w:r>
    </w:p>
    <w:p>
      <w:pPr>
        <w:pStyle w:val="BodyText"/>
        <w:spacing w:line="232" w:lineRule="auto" w:before="159"/>
        <w:ind w:left="280" w:right="26"/>
      </w:pPr>
      <w:r>
        <w:rPr>
          <w:color w:val="231F20"/>
        </w:rPr>
        <w:t>The </w:t>
      </w:r>
      <w:r>
        <w:rPr>
          <w:color w:val="231F20"/>
          <w:spacing w:val="-3"/>
        </w:rPr>
        <w:t>local decision-making framework </w:t>
      </w:r>
      <w:r>
        <w:rPr>
          <w:color w:val="231F20"/>
          <w:spacing w:val="-4"/>
        </w:rPr>
        <w:t>recognises </w:t>
      </w:r>
      <w:r>
        <w:rPr>
          <w:color w:val="231F20"/>
          <w:spacing w:val="-3"/>
        </w:rPr>
        <w:t>that public servants need </w:t>
      </w:r>
      <w:r>
        <w:rPr>
          <w:color w:val="231F20"/>
        </w:rPr>
        <w:t>a </w:t>
      </w:r>
      <w:r>
        <w:rPr>
          <w:color w:val="231F20"/>
          <w:spacing w:val="-3"/>
        </w:rPr>
        <w:t>level </w:t>
      </w:r>
      <w:r>
        <w:rPr>
          <w:color w:val="231F20"/>
        </w:rPr>
        <w:t>of </w:t>
      </w:r>
      <w:r>
        <w:rPr>
          <w:color w:val="231F20"/>
          <w:spacing w:val="-3"/>
        </w:rPr>
        <w:t>cultural competence </w:t>
      </w:r>
      <w:r>
        <w:rPr>
          <w:color w:val="231F20"/>
        </w:rPr>
        <w:t>to </w:t>
      </w:r>
      <w:r>
        <w:rPr>
          <w:color w:val="231F20"/>
          <w:spacing w:val="-3"/>
        </w:rPr>
        <w:t>participate. </w:t>
      </w:r>
      <w:r>
        <w:rPr>
          <w:color w:val="231F20"/>
        </w:rPr>
        <w:t>The </w:t>
      </w:r>
      <w:r>
        <w:rPr>
          <w:color w:val="231F20"/>
          <w:spacing w:val="-5"/>
        </w:rPr>
        <w:t>Premier’s </w:t>
      </w:r>
      <w:r>
        <w:rPr>
          <w:color w:val="231F20"/>
          <w:spacing w:val="-3"/>
        </w:rPr>
        <w:t>Memorandum </w:t>
      </w:r>
      <w:r>
        <w:rPr>
          <w:rFonts w:ascii="Helvetica-LightOblique" w:hAnsi="Helvetica-LightOblique"/>
          <w:i/>
          <w:color w:val="231F20"/>
          <w:spacing w:val="-3"/>
        </w:rPr>
        <w:t>M2015-01 Local Decision Making</w:t>
      </w:r>
      <w:r>
        <w:rPr>
          <w:color w:val="231F20"/>
          <w:spacing w:val="-3"/>
        </w:rPr>
        <w:t>, states that “NSW agencies will </w:t>
      </w:r>
      <w:r>
        <w:rPr>
          <w:color w:val="231F20"/>
          <w:spacing w:val="-4"/>
        </w:rPr>
        <w:t>adhere </w:t>
      </w:r>
      <w:r>
        <w:rPr>
          <w:color w:val="231F20"/>
        </w:rPr>
        <w:t>to </w:t>
      </w:r>
      <w:r>
        <w:rPr>
          <w:color w:val="231F20"/>
          <w:spacing w:val="-3"/>
        </w:rPr>
        <w:t>the principles </w:t>
      </w:r>
      <w:r>
        <w:rPr>
          <w:color w:val="231F20"/>
        </w:rPr>
        <w:t>of </w:t>
      </w:r>
      <w:r>
        <w:rPr>
          <w:color w:val="231F20"/>
          <w:spacing w:val="-3"/>
        </w:rPr>
        <w:t>local decision-making </w:t>
      </w:r>
      <w:r>
        <w:rPr>
          <w:color w:val="231F20"/>
        </w:rPr>
        <w:t>and </w:t>
      </w:r>
      <w:r>
        <w:rPr>
          <w:color w:val="231F20"/>
          <w:spacing w:val="-4"/>
        </w:rPr>
        <w:t>ensure staff are </w:t>
      </w:r>
      <w:r>
        <w:rPr>
          <w:color w:val="231F20"/>
          <w:spacing w:val="-3"/>
        </w:rPr>
        <w:t>educated </w:t>
      </w:r>
      <w:r>
        <w:rPr>
          <w:color w:val="231F20"/>
        </w:rPr>
        <w:t>to </w:t>
      </w:r>
      <w:r>
        <w:rPr>
          <w:color w:val="231F20"/>
          <w:spacing w:val="-4"/>
        </w:rPr>
        <w:t>respond </w:t>
      </w:r>
      <w:r>
        <w:rPr>
          <w:color w:val="231F20"/>
        </w:rPr>
        <w:t>to the </w:t>
      </w:r>
      <w:r>
        <w:rPr>
          <w:color w:val="231F20"/>
          <w:spacing w:val="-3"/>
        </w:rPr>
        <w:t>needs of Aboriginal communities </w:t>
      </w:r>
      <w:r>
        <w:rPr>
          <w:color w:val="231F20"/>
        </w:rPr>
        <w:t>in a </w:t>
      </w:r>
      <w:r>
        <w:rPr>
          <w:color w:val="231F20"/>
          <w:spacing w:val="-3"/>
        </w:rPr>
        <w:t>culturally sensitive </w:t>
      </w:r>
      <w:r>
        <w:rPr>
          <w:color w:val="231F20"/>
        </w:rPr>
        <w:t>and </w:t>
      </w:r>
      <w:r>
        <w:rPr>
          <w:color w:val="231F20"/>
          <w:spacing w:val="-4"/>
        </w:rPr>
        <w:t>appropriate </w:t>
      </w:r>
      <w:r>
        <w:rPr>
          <w:color w:val="231F20"/>
          <w:spacing w:val="-3"/>
        </w:rPr>
        <w:t>manner”.</w:t>
      </w:r>
    </w:p>
    <w:p>
      <w:pPr>
        <w:pStyle w:val="BodyText"/>
        <w:spacing w:line="235" w:lineRule="auto" w:before="178"/>
        <w:ind w:left="280" w:right="57"/>
      </w:pPr>
      <w:r>
        <w:rPr>
          <w:color w:val="231F20"/>
        </w:rPr>
        <w:t>While cultural competence was recognised by our research participants and supported by the literature as a key enabler, the lack of a current framework for the development of genuine cultural competence by public servants persists as a dominant issue in shifting public service structural and attitudinal frameworks.</w:t>
      </w:r>
    </w:p>
    <w:p>
      <w:pPr>
        <w:spacing w:line="244" w:lineRule="auto" w:before="165"/>
        <w:ind w:left="620" w:right="290" w:firstLine="0"/>
        <w:jc w:val="left"/>
        <w:rPr>
          <w:rFonts w:ascii="Helvetica" w:hAnsi="Helvetica"/>
          <w:i/>
          <w:sz w:val="22"/>
        </w:rPr>
      </w:pPr>
      <w:r>
        <w:rPr>
          <w:rFonts w:ascii="Helvetica" w:hAnsi="Helvetica"/>
          <w:i/>
          <w:color w:val="A09681"/>
          <w:spacing w:val="-3"/>
          <w:sz w:val="22"/>
        </w:rPr>
        <w:t>“The </w:t>
      </w:r>
      <w:r>
        <w:rPr>
          <w:rFonts w:ascii="Helvetica" w:hAnsi="Helvetica"/>
          <w:i/>
          <w:color w:val="A09681"/>
          <w:spacing w:val="-5"/>
          <w:sz w:val="22"/>
        </w:rPr>
        <w:t>key </w:t>
      </w:r>
      <w:r>
        <w:rPr>
          <w:rFonts w:ascii="Helvetica" w:hAnsi="Helvetica"/>
          <w:i/>
          <w:color w:val="A09681"/>
          <w:sz w:val="22"/>
        </w:rPr>
        <w:t>is </w:t>
      </w:r>
      <w:r>
        <w:rPr>
          <w:rFonts w:ascii="Helvetica" w:hAnsi="Helvetica"/>
          <w:i/>
          <w:color w:val="A09681"/>
          <w:spacing w:val="-4"/>
          <w:sz w:val="22"/>
        </w:rPr>
        <w:t>having </w:t>
      </w:r>
      <w:r>
        <w:rPr>
          <w:rFonts w:ascii="Helvetica" w:hAnsi="Helvetica"/>
          <w:i/>
          <w:color w:val="A09681"/>
          <w:sz w:val="22"/>
        </w:rPr>
        <w:t>a </w:t>
      </w:r>
      <w:r>
        <w:rPr>
          <w:rFonts w:ascii="Helvetica" w:hAnsi="Helvetica"/>
          <w:i/>
          <w:color w:val="A09681"/>
          <w:spacing w:val="-3"/>
          <w:sz w:val="22"/>
        </w:rPr>
        <w:t>culturally competent </w:t>
      </w:r>
      <w:r>
        <w:rPr>
          <w:rFonts w:ascii="Helvetica" w:hAnsi="Helvetica"/>
          <w:i/>
          <w:color w:val="A09681"/>
          <w:sz w:val="22"/>
        </w:rPr>
        <w:t>NSW </w:t>
      </w:r>
      <w:r>
        <w:rPr>
          <w:rFonts w:ascii="Helvetica" w:hAnsi="Helvetica"/>
          <w:i/>
          <w:color w:val="A09681"/>
          <w:spacing w:val="-5"/>
          <w:sz w:val="22"/>
        </w:rPr>
        <w:t>government.”</w:t>
      </w:r>
    </w:p>
    <w:p>
      <w:pPr>
        <w:pStyle w:val="BodyText"/>
        <w:spacing w:line="235" w:lineRule="auto" w:before="169"/>
        <w:ind w:left="280" w:right="398"/>
      </w:pPr>
      <w:r>
        <w:rPr>
          <w:color w:val="231F20"/>
          <w:spacing w:val="-3"/>
        </w:rPr>
        <w:t>Below </w:t>
      </w:r>
      <w:r>
        <w:rPr>
          <w:color w:val="231F20"/>
        </w:rPr>
        <w:t>we </w:t>
      </w:r>
      <w:r>
        <w:rPr>
          <w:color w:val="231F20"/>
          <w:spacing w:val="-3"/>
        </w:rPr>
        <w:t>note </w:t>
      </w:r>
      <w:r>
        <w:rPr>
          <w:color w:val="231F20"/>
        </w:rPr>
        <w:t>a </w:t>
      </w:r>
      <w:r>
        <w:rPr>
          <w:color w:val="231F20"/>
          <w:spacing w:val="-3"/>
        </w:rPr>
        <w:t>number </w:t>
      </w:r>
      <w:r>
        <w:rPr>
          <w:color w:val="231F20"/>
        </w:rPr>
        <w:t>of </w:t>
      </w:r>
      <w:r>
        <w:rPr>
          <w:color w:val="231F20"/>
          <w:spacing w:val="-4"/>
        </w:rPr>
        <w:t>recurring </w:t>
      </w:r>
      <w:r>
        <w:rPr>
          <w:color w:val="231F20"/>
          <w:spacing w:val="-3"/>
        </w:rPr>
        <w:t>ideas </w:t>
      </w:r>
      <w:r>
        <w:rPr>
          <w:color w:val="231F20"/>
        </w:rPr>
        <w:t>for </w:t>
      </w:r>
      <w:r>
        <w:rPr>
          <w:color w:val="231F20"/>
          <w:spacing w:val="-4"/>
        </w:rPr>
        <w:t>improvement </w:t>
      </w:r>
      <w:r>
        <w:rPr>
          <w:color w:val="231F20"/>
        </w:rPr>
        <w:t>in the </w:t>
      </w:r>
      <w:r>
        <w:rPr>
          <w:color w:val="231F20"/>
          <w:spacing w:val="-3"/>
        </w:rPr>
        <w:t>understanding </w:t>
      </w:r>
      <w:r>
        <w:rPr>
          <w:color w:val="231F20"/>
        </w:rPr>
        <w:t>and</w:t>
      </w:r>
      <w:r>
        <w:rPr>
          <w:color w:val="231F20"/>
          <w:spacing w:val="-31"/>
        </w:rPr>
        <w:t> </w:t>
      </w:r>
      <w:r>
        <w:rPr>
          <w:color w:val="231F20"/>
          <w:spacing w:val="-3"/>
        </w:rPr>
        <w:t>the</w:t>
      </w:r>
    </w:p>
    <w:p>
      <w:pPr>
        <w:pStyle w:val="BodyText"/>
        <w:spacing w:line="235" w:lineRule="auto"/>
        <w:ind w:left="280" w:right="26"/>
      </w:pPr>
      <w:r>
        <w:rPr>
          <w:color w:val="231F20"/>
          <w:spacing w:val="-3"/>
        </w:rPr>
        <w:t>application </w:t>
      </w:r>
      <w:r>
        <w:rPr>
          <w:color w:val="231F20"/>
        </w:rPr>
        <w:t>of </w:t>
      </w:r>
      <w:r>
        <w:rPr>
          <w:color w:val="231F20"/>
          <w:spacing w:val="-3"/>
        </w:rPr>
        <w:t>cultural competence </w:t>
      </w:r>
      <w:r>
        <w:rPr>
          <w:color w:val="231F20"/>
        </w:rPr>
        <w:t>in the </w:t>
      </w:r>
      <w:r>
        <w:rPr>
          <w:color w:val="231F20"/>
          <w:spacing w:val="-3"/>
        </w:rPr>
        <w:t>public service that </w:t>
      </w:r>
      <w:r>
        <w:rPr>
          <w:color w:val="231F20"/>
          <w:spacing w:val="-4"/>
        </w:rPr>
        <w:t>were </w:t>
      </w:r>
      <w:r>
        <w:rPr>
          <w:color w:val="231F20"/>
          <w:spacing w:val="-3"/>
        </w:rPr>
        <w:t>raised </w:t>
      </w:r>
      <w:r>
        <w:rPr>
          <w:color w:val="231F20"/>
        </w:rPr>
        <w:t>by </w:t>
      </w:r>
      <w:r>
        <w:rPr>
          <w:color w:val="231F20"/>
          <w:spacing w:val="-4"/>
        </w:rPr>
        <w:t>research</w:t>
      </w:r>
      <w:r>
        <w:rPr>
          <w:color w:val="231F20"/>
          <w:spacing w:val="-3"/>
        </w:rPr>
        <w:t> participants.</w:t>
      </w:r>
    </w:p>
    <w:p>
      <w:pPr>
        <w:spacing w:line="232" w:lineRule="auto" w:before="168"/>
        <w:ind w:left="280" w:right="290" w:firstLine="0"/>
        <w:jc w:val="left"/>
        <w:rPr>
          <w:sz w:val="22"/>
        </w:rPr>
      </w:pPr>
      <w:r>
        <w:rPr>
          <w:color w:val="231F20"/>
          <w:sz w:val="22"/>
        </w:rPr>
        <w:t>Accepting that racism and paternalism still exist in the attitudes and structures of the public service and which may be manifested in ‘unconscious bias’ was noted by many participants: </w:t>
      </w:r>
      <w:r>
        <w:rPr>
          <w:rFonts w:ascii="Helvetica-LightOblique" w:hAnsi="Helvetica-LightOblique"/>
          <w:i/>
          <w:color w:val="231F20"/>
          <w:sz w:val="22"/>
        </w:rPr>
        <w:t>“It’s hard to accept we have unconscious bias because people in the public sector are values driven.” </w:t>
      </w:r>
      <w:r>
        <w:rPr>
          <w:color w:val="231F20"/>
          <w:sz w:val="22"/>
        </w:rPr>
        <w:t>Participants were candid about what they perceive as paternalistic views and subtle forms of racism</w:t>
      </w:r>
    </w:p>
    <w:p>
      <w:pPr>
        <w:spacing w:line="230" w:lineRule="auto" w:before="108"/>
        <w:ind w:left="280" w:right="441" w:firstLine="0"/>
        <w:jc w:val="left"/>
        <w:rPr>
          <w:rFonts w:ascii="Helvetica-LightOblique" w:hAnsi="Helvetica-LightOblique"/>
          <w:i/>
          <w:sz w:val="22"/>
        </w:rPr>
      </w:pPr>
      <w:r>
        <w:rPr/>
        <w:br w:type="column"/>
      </w:r>
      <w:r>
        <w:rPr>
          <w:color w:val="231F20"/>
          <w:sz w:val="22"/>
        </w:rPr>
        <w:t>and bias shown by individuals and institutions: </w:t>
      </w:r>
      <w:r>
        <w:rPr>
          <w:rFonts w:ascii="Helvetica-LightOblique" w:hAnsi="Helvetica-LightOblique"/>
          <w:i/>
          <w:color w:val="231F20"/>
          <w:sz w:val="22"/>
        </w:rPr>
        <w:t>“I believe government and its agencies a lack of faith and trust in Aboriginal people’s ability to make sound decisions in the best interest of their communities.”</w:t>
      </w:r>
    </w:p>
    <w:p>
      <w:pPr>
        <w:spacing w:line="230" w:lineRule="auto" w:before="173"/>
        <w:ind w:left="280" w:right="259" w:firstLine="0"/>
        <w:jc w:val="left"/>
        <w:rPr>
          <w:rFonts w:ascii="Helvetica-LightOblique" w:hAnsi="Helvetica-LightOblique"/>
          <w:i/>
          <w:sz w:val="22"/>
        </w:rPr>
      </w:pPr>
      <w:r>
        <w:rPr>
          <w:color w:val="231F20"/>
          <w:sz w:val="22"/>
        </w:rPr>
        <w:t>Understanding history and the historical trauma experienced by Aboriginal people was viewed as critical. </w:t>
      </w:r>
      <w:r>
        <w:rPr>
          <w:rFonts w:ascii="Helvetica-LightOblique" w:hAnsi="Helvetica-LightOblique"/>
          <w:i/>
          <w:color w:val="231F20"/>
          <w:sz w:val="22"/>
        </w:rPr>
        <w:t>“From a community perspective there is a lot of historical hurt or pain from previous government decisions… You have to let them vent their anger and frustration of the historical decisions that have been made that have had a significant impact on their communities.”</w:t>
      </w:r>
    </w:p>
    <w:p>
      <w:pPr>
        <w:spacing w:line="230" w:lineRule="auto" w:before="177"/>
        <w:ind w:left="280" w:right="490" w:firstLine="0"/>
        <w:jc w:val="left"/>
        <w:rPr>
          <w:rFonts w:ascii="Helvetica-LightOblique" w:hAnsi="Helvetica-LightOblique"/>
          <w:i/>
          <w:sz w:val="22"/>
        </w:rPr>
      </w:pPr>
      <w:r>
        <w:rPr>
          <w:rFonts w:ascii="Helvetica-LightOblique" w:hAnsi="Helvetica-LightOblique"/>
          <w:i/>
          <w:color w:val="231F20"/>
          <w:sz w:val="22"/>
        </w:rPr>
        <w:t>“[A] lot of our staff don’t understand the stolen generation.”</w:t>
      </w:r>
    </w:p>
    <w:p>
      <w:pPr>
        <w:pStyle w:val="BodyText"/>
        <w:spacing w:line="232" w:lineRule="auto" w:before="167"/>
        <w:ind w:left="280" w:right="278"/>
      </w:pPr>
      <w:r>
        <w:rPr>
          <w:color w:val="231F20"/>
        </w:rPr>
        <w:t>Re-conceptualising cultural competence in the public service as a lifelong journey was seen by many participants as necessary for meaningful change. This includes real experience of working alongside Aboriginal people and communities, and ongoing reflective learning. </w:t>
      </w:r>
      <w:r>
        <w:rPr>
          <w:rFonts w:ascii="Helvetica-LightOblique" w:hAnsi="Helvetica-LightOblique"/>
          <w:i/>
          <w:color w:val="231F20"/>
        </w:rPr>
        <w:t>“We need our staff to keep asking, ‘Why is that the case?’” </w:t>
      </w:r>
      <w:r>
        <w:rPr>
          <w:color w:val="231F20"/>
        </w:rPr>
        <w:t>This finding is supported by the literature, which notes that enhancing a </w:t>
      </w:r>
      <w:r>
        <w:rPr>
          <w:color w:val="231F20"/>
          <w:spacing w:val="-6"/>
        </w:rPr>
        <w:t>person’s </w:t>
      </w:r>
      <w:r>
        <w:rPr>
          <w:color w:val="231F20"/>
        </w:rPr>
        <w:t>awareness of their biases is critical in reducing modern forms of prejudice and discrimination (e.g. Perry et al 2015).</w:t>
      </w:r>
    </w:p>
    <w:p>
      <w:pPr>
        <w:pStyle w:val="BodyText"/>
        <w:spacing w:line="235" w:lineRule="auto" w:before="178"/>
        <w:ind w:left="280" w:right="576"/>
      </w:pPr>
      <w:r>
        <w:rPr>
          <w:color w:val="231F20"/>
        </w:rPr>
        <w:t>Building trust was seen as vital. For example, participants talked about public servants, including senior public servants, taking the time before getting down to business to</w:t>
      </w:r>
    </w:p>
    <w:p>
      <w:pPr>
        <w:spacing w:line="232" w:lineRule="auto" w:before="0"/>
        <w:ind w:left="280" w:right="568" w:firstLine="0"/>
        <w:jc w:val="left"/>
        <w:rPr>
          <w:sz w:val="22"/>
        </w:rPr>
      </w:pPr>
      <w:r>
        <w:rPr>
          <w:color w:val="231F20"/>
          <w:sz w:val="22"/>
        </w:rPr>
        <w:t>build relationships with Aboriginal people, by having a cuppa on neutral ground, listening and building rapport: </w:t>
      </w:r>
      <w:r>
        <w:rPr>
          <w:rFonts w:ascii="Helvetica-LightOblique" w:hAnsi="Helvetica-LightOblique"/>
          <w:i/>
          <w:color w:val="231F20"/>
          <w:sz w:val="22"/>
        </w:rPr>
        <w:t>“It may take a couple  of meetings before you get down to the nitty gritty of developing your relationship with </w:t>
      </w:r>
      <w:r>
        <w:rPr>
          <w:rFonts w:ascii="Helvetica-LightOblique" w:hAnsi="Helvetica-LightOblique"/>
          <w:i/>
          <w:color w:val="231F20"/>
          <w:spacing w:val="-5"/>
          <w:sz w:val="22"/>
        </w:rPr>
        <w:t>that </w:t>
      </w:r>
      <w:r>
        <w:rPr>
          <w:rFonts w:ascii="Helvetica-LightOblique" w:hAnsi="Helvetica-LightOblique"/>
          <w:i/>
          <w:color w:val="231F20"/>
          <w:sz w:val="22"/>
        </w:rPr>
        <w:t>community.” </w:t>
      </w:r>
      <w:r>
        <w:rPr>
          <w:color w:val="231F20"/>
          <w:sz w:val="22"/>
        </w:rPr>
        <w:t>Building trust and</w:t>
      </w:r>
      <w:r>
        <w:rPr>
          <w:color w:val="231F20"/>
          <w:spacing w:val="-10"/>
          <w:sz w:val="22"/>
        </w:rPr>
        <w:t> </w:t>
      </w:r>
      <w:r>
        <w:rPr>
          <w:color w:val="231F20"/>
          <w:sz w:val="22"/>
        </w:rPr>
        <w:t>developing</w:t>
      </w:r>
    </w:p>
    <w:p>
      <w:pPr>
        <w:pStyle w:val="BodyText"/>
        <w:spacing w:line="235" w:lineRule="auto"/>
        <w:ind w:left="280" w:right="348"/>
        <w:jc w:val="both"/>
      </w:pPr>
      <w:r>
        <w:rPr>
          <w:color w:val="231F20"/>
        </w:rPr>
        <w:t>genuine relationships were also a strong theme in the literature (Closing the Gap Clearinghouse 2015; Taylor et al 2013; Zurba et al 2012).</w:t>
      </w:r>
    </w:p>
    <w:p>
      <w:pPr>
        <w:pStyle w:val="BodyText"/>
        <w:spacing w:line="235" w:lineRule="auto" w:before="154"/>
        <w:ind w:left="280" w:right="307"/>
      </w:pPr>
      <w:r>
        <w:rPr>
          <w:color w:val="231F20"/>
        </w:rPr>
        <w:t>Including Country as critical to the development of cultural competence was a universal theme. Participants provided examples of how this could be achieved, including through site- based training, localised activities, travelling</w:t>
      </w:r>
    </w:p>
    <w:p>
      <w:pPr>
        <w:spacing w:after="0" w:line="235" w:lineRule="auto"/>
        <w:sectPr>
          <w:type w:val="continuous"/>
          <w:pgSz w:w="11910" w:h="16840"/>
          <w:pgMar w:top="1580" w:bottom="280" w:left="740" w:right="640"/>
          <w:cols w:num="2" w:equalWidth="0">
            <w:col w:w="5077" w:space="138"/>
            <w:col w:w="5315"/>
          </w:cols>
        </w:sect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after="0"/>
        <w:rPr>
          <w:sz w:val="21"/>
        </w:rPr>
        <w:sectPr>
          <w:pgSz w:w="11910" w:h="16840"/>
          <w:pgMar w:header="0" w:footer="558" w:top="1600" w:bottom="740" w:left="740" w:right="640"/>
        </w:sectPr>
      </w:pPr>
    </w:p>
    <w:p>
      <w:pPr>
        <w:pStyle w:val="BodyText"/>
        <w:spacing w:line="235" w:lineRule="auto" w:before="104"/>
        <w:ind w:left="280" w:right="299"/>
        <w:rPr>
          <w:rFonts w:ascii="Helvetica-LightOblique" w:hAnsi="Helvetica-LightOblique"/>
          <w:i/>
        </w:rPr>
      </w:pPr>
      <w:r>
        <w:rPr>
          <w:color w:val="231F20"/>
        </w:rPr>
        <w:t>to community with regional staff, meeting with Aboriginal people, learning about Country and doing business on Country: </w:t>
      </w:r>
      <w:r>
        <w:rPr>
          <w:rFonts w:ascii="Helvetica-LightOblique" w:hAnsi="Helvetica-LightOblique"/>
          <w:i/>
          <w:color w:val="231F20"/>
        </w:rPr>
        <w:t>“Working</w:t>
      </w:r>
    </w:p>
    <w:p>
      <w:pPr>
        <w:spacing w:line="230" w:lineRule="auto" w:before="0"/>
        <w:ind w:left="280" w:right="226" w:firstLine="0"/>
        <w:jc w:val="left"/>
        <w:rPr>
          <w:rFonts w:ascii="Helvetica-LightOblique" w:hAnsi="Helvetica-LightOblique"/>
          <w:i/>
          <w:sz w:val="22"/>
        </w:rPr>
      </w:pPr>
      <w:r>
        <w:rPr>
          <w:rFonts w:ascii="Helvetica-LightOblique" w:hAnsi="Helvetica-LightOblique"/>
          <w:i/>
          <w:color w:val="231F20"/>
          <w:sz w:val="22"/>
        </w:rPr>
        <w:t>on Country is such a positive generator.” “Immersion delivers real learning.” “Immersion is the ideal form of training… need to remove the fear factor that white fellas have about talking to Aboriginal people.”</w:t>
      </w:r>
    </w:p>
    <w:p>
      <w:pPr>
        <w:pStyle w:val="BodyText"/>
        <w:spacing w:line="232" w:lineRule="auto" w:before="162"/>
        <w:ind w:left="280" w:right="38"/>
      </w:pPr>
      <w:r>
        <w:rPr>
          <w:color w:val="231F20"/>
        </w:rPr>
        <w:t>Exploring new ways of problem-solving with Aboriginal people was also seen to build cultural competence. Participants named co- design as a good example of an immersive practice that had the effect of building deep cultural awareness and competence: </w:t>
      </w:r>
      <w:r>
        <w:rPr>
          <w:rFonts w:ascii="Helvetica-LightOblique" w:hAnsi="Helvetica-LightOblique"/>
          <w:i/>
          <w:color w:val="231F20"/>
        </w:rPr>
        <w:t>“Hearing the stories, bringing the humanity back, sharing stories”</w:t>
      </w:r>
      <w:r>
        <w:rPr>
          <w:color w:val="231F20"/>
        </w:rPr>
        <w:t>. The systematic review also showed </w:t>
      </w:r>
      <w:r>
        <w:rPr>
          <w:color w:val="231F20"/>
          <w:spacing w:val="-5"/>
        </w:rPr>
        <w:t>that </w:t>
      </w:r>
      <w:r>
        <w:rPr>
          <w:color w:val="231F20"/>
        </w:rPr>
        <w:t>co-design can generate and nurture interaction between stakeholders (local and external) </w:t>
      </w:r>
      <w:r>
        <w:rPr>
          <w:color w:val="231F20"/>
          <w:spacing w:val="-3"/>
        </w:rPr>
        <w:t>which </w:t>
      </w:r>
      <w:r>
        <w:rPr>
          <w:color w:val="231F20"/>
        </w:rPr>
        <w:t>can lead in turn to community ownership of the solution to a problem (Sabiescu et al</w:t>
      </w:r>
      <w:r>
        <w:rPr>
          <w:color w:val="231F20"/>
          <w:spacing w:val="-2"/>
        </w:rPr>
        <w:t> </w:t>
      </w:r>
      <w:r>
        <w:rPr>
          <w:color w:val="231F20"/>
        </w:rPr>
        <w:t>2013).</w:t>
      </w:r>
    </w:p>
    <w:p>
      <w:pPr>
        <w:spacing w:line="232" w:lineRule="auto" w:before="176"/>
        <w:ind w:left="280" w:right="38" w:firstLine="0"/>
        <w:jc w:val="left"/>
        <w:rPr>
          <w:rFonts w:ascii="Helvetica-LightOblique" w:hAnsi="Helvetica-LightOblique"/>
          <w:i/>
          <w:sz w:val="22"/>
        </w:rPr>
      </w:pPr>
      <w:r>
        <w:rPr>
          <w:color w:val="231F20"/>
          <w:sz w:val="22"/>
        </w:rPr>
        <w:t>Developing the ability of public servants to deal with uncertainty, complexity and anger was </w:t>
      </w:r>
      <w:r>
        <w:rPr>
          <w:color w:val="231F20"/>
          <w:spacing w:val="-3"/>
          <w:sz w:val="22"/>
        </w:rPr>
        <w:t>mentioned </w:t>
      </w:r>
      <w:r>
        <w:rPr>
          <w:color w:val="231F20"/>
          <w:sz w:val="22"/>
        </w:rPr>
        <w:t>by </w:t>
      </w:r>
      <w:r>
        <w:rPr>
          <w:color w:val="231F20"/>
          <w:spacing w:val="-3"/>
          <w:sz w:val="22"/>
        </w:rPr>
        <w:t>many participants. </w:t>
      </w:r>
      <w:r>
        <w:rPr>
          <w:rFonts w:ascii="Helvetica-LightOblique" w:hAnsi="Helvetica-LightOblique"/>
          <w:i/>
          <w:color w:val="231F20"/>
          <w:spacing w:val="-3"/>
          <w:sz w:val="22"/>
        </w:rPr>
        <w:t>“Sometimes the public service gets </w:t>
      </w:r>
      <w:r>
        <w:rPr>
          <w:rFonts w:ascii="Helvetica-LightOblique" w:hAnsi="Helvetica-LightOblique"/>
          <w:i/>
          <w:color w:val="231F20"/>
          <w:sz w:val="22"/>
        </w:rPr>
        <w:t>a bit </w:t>
      </w:r>
      <w:r>
        <w:rPr>
          <w:rFonts w:ascii="Helvetica-LightOblique" w:hAnsi="Helvetica-LightOblique"/>
          <w:i/>
          <w:color w:val="231F20"/>
          <w:spacing w:val="-3"/>
          <w:sz w:val="22"/>
        </w:rPr>
        <w:t>soft. </w:t>
      </w:r>
      <w:r>
        <w:rPr>
          <w:rFonts w:ascii="Helvetica-LightOblique" w:hAnsi="Helvetica-LightOblique"/>
          <w:i/>
          <w:color w:val="231F20"/>
          <w:spacing w:val="-7"/>
          <w:sz w:val="22"/>
        </w:rPr>
        <w:t>It’s </w:t>
      </w:r>
      <w:r>
        <w:rPr>
          <w:rFonts w:ascii="Helvetica-LightOblique" w:hAnsi="Helvetica-LightOblique"/>
          <w:i/>
          <w:color w:val="231F20"/>
          <w:sz w:val="22"/>
        </w:rPr>
        <w:t>not </w:t>
      </w:r>
      <w:r>
        <w:rPr>
          <w:rFonts w:ascii="Helvetica-LightOblique" w:hAnsi="Helvetica-LightOblique"/>
          <w:i/>
          <w:color w:val="231F20"/>
          <w:spacing w:val="-3"/>
          <w:sz w:val="22"/>
        </w:rPr>
        <w:t>personal; people need </w:t>
      </w:r>
      <w:r>
        <w:rPr>
          <w:rFonts w:ascii="Helvetica-LightOblique" w:hAnsi="Helvetica-LightOblique"/>
          <w:i/>
          <w:color w:val="231F20"/>
          <w:sz w:val="22"/>
        </w:rPr>
        <w:t>to </w:t>
      </w:r>
      <w:r>
        <w:rPr>
          <w:rFonts w:ascii="Helvetica-LightOblique" w:hAnsi="Helvetica-LightOblique"/>
          <w:i/>
          <w:color w:val="231F20"/>
          <w:spacing w:val="-3"/>
          <w:sz w:val="22"/>
        </w:rPr>
        <w:t>vent… </w:t>
      </w:r>
      <w:r>
        <w:rPr>
          <w:rFonts w:ascii="Helvetica-LightOblique" w:hAnsi="Helvetica-LightOblique"/>
          <w:i/>
          <w:color w:val="231F20"/>
          <w:spacing w:val="-4"/>
          <w:sz w:val="22"/>
        </w:rPr>
        <w:t>We </w:t>
      </w:r>
      <w:r>
        <w:rPr>
          <w:rFonts w:ascii="Helvetica-LightOblique" w:hAnsi="Helvetica-LightOblique"/>
          <w:i/>
          <w:color w:val="231F20"/>
          <w:spacing w:val="-3"/>
          <w:sz w:val="22"/>
        </w:rPr>
        <w:t>need </w:t>
      </w:r>
      <w:r>
        <w:rPr>
          <w:rFonts w:ascii="Helvetica-LightOblique" w:hAnsi="Helvetica-LightOblique"/>
          <w:i/>
          <w:color w:val="231F20"/>
          <w:sz w:val="22"/>
        </w:rPr>
        <w:t>to </w:t>
      </w:r>
      <w:r>
        <w:rPr>
          <w:rFonts w:ascii="Helvetica-LightOblique" w:hAnsi="Helvetica-LightOblique"/>
          <w:i/>
          <w:color w:val="231F20"/>
          <w:spacing w:val="-3"/>
          <w:sz w:val="22"/>
        </w:rPr>
        <w:t>expect </w:t>
      </w:r>
      <w:r>
        <w:rPr>
          <w:rFonts w:ascii="Helvetica-LightOblique" w:hAnsi="Helvetica-LightOblique"/>
          <w:i/>
          <w:color w:val="231F20"/>
          <w:spacing w:val="-6"/>
          <w:sz w:val="22"/>
        </w:rPr>
        <w:t>there’s </w:t>
      </w:r>
      <w:r>
        <w:rPr>
          <w:rFonts w:ascii="Helvetica-LightOblique" w:hAnsi="Helvetica-LightOblique"/>
          <w:i/>
          <w:color w:val="231F20"/>
          <w:spacing w:val="-3"/>
          <w:sz w:val="22"/>
        </w:rPr>
        <w:t>always going </w:t>
      </w:r>
      <w:r>
        <w:rPr>
          <w:rFonts w:ascii="Helvetica-LightOblique" w:hAnsi="Helvetica-LightOblique"/>
          <w:i/>
          <w:color w:val="231F20"/>
          <w:sz w:val="22"/>
        </w:rPr>
        <w:t>to be a </w:t>
      </w:r>
      <w:r>
        <w:rPr>
          <w:rFonts w:ascii="Helvetica-LightOblique" w:hAnsi="Helvetica-LightOblique"/>
          <w:i/>
          <w:color w:val="231F20"/>
          <w:spacing w:val="-3"/>
          <w:sz w:val="22"/>
        </w:rPr>
        <w:t>contentious </w:t>
      </w:r>
      <w:r>
        <w:rPr>
          <w:rFonts w:ascii="Helvetica-LightOblique" w:hAnsi="Helvetica-LightOblique"/>
          <w:i/>
          <w:color w:val="231F20"/>
          <w:spacing w:val="-4"/>
          <w:sz w:val="22"/>
        </w:rPr>
        <w:t>relationship.</w:t>
      </w:r>
    </w:p>
    <w:p>
      <w:pPr>
        <w:spacing w:line="230" w:lineRule="auto" w:before="0"/>
        <w:ind w:left="280" w:right="38" w:firstLine="0"/>
        <w:jc w:val="left"/>
        <w:rPr>
          <w:rFonts w:ascii="Helvetica-LightOblique" w:hAnsi="Helvetica-LightOblique"/>
          <w:i/>
          <w:sz w:val="22"/>
        </w:rPr>
      </w:pPr>
      <w:r>
        <w:rPr>
          <w:rFonts w:ascii="Helvetica-LightOblique" w:hAnsi="Helvetica-LightOblique"/>
          <w:i/>
          <w:color w:val="231F20"/>
          <w:spacing w:val="-3"/>
          <w:sz w:val="22"/>
        </w:rPr>
        <w:t>Just </w:t>
      </w:r>
      <w:r>
        <w:rPr>
          <w:rFonts w:ascii="Helvetica-LightOblique" w:hAnsi="Helvetica-LightOblique"/>
          <w:i/>
          <w:color w:val="231F20"/>
          <w:sz w:val="22"/>
        </w:rPr>
        <w:t>be </w:t>
      </w:r>
      <w:r>
        <w:rPr>
          <w:rFonts w:ascii="Helvetica-LightOblique" w:hAnsi="Helvetica-LightOblique"/>
          <w:i/>
          <w:color w:val="231F20"/>
          <w:spacing w:val="-3"/>
          <w:sz w:val="22"/>
        </w:rPr>
        <w:t>comfortable with that </w:t>
      </w:r>
      <w:r>
        <w:rPr>
          <w:rFonts w:ascii="Helvetica-LightOblique" w:hAnsi="Helvetica-LightOblique"/>
          <w:i/>
          <w:color w:val="231F20"/>
          <w:sz w:val="22"/>
        </w:rPr>
        <w:t>— be </w:t>
      </w:r>
      <w:r>
        <w:rPr>
          <w:rFonts w:ascii="Helvetica-LightOblique" w:hAnsi="Helvetica-LightOblique"/>
          <w:i/>
          <w:color w:val="231F20"/>
          <w:spacing w:val="-3"/>
          <w:sz w:val="22"/>
        </w:rPr>
        <w:t>comfortable with being </w:t>
      </w:r>
      <w:r>
        <w:rPr>
          <w:rFonts w:ascii="Helvetica-LightOblique" w:hAnsi="Helvetica-LightOblique"/>
          <w:i/>
          <w:color w:val="231F20"/>
          <w:spacing w:val="-5"/>
          <w:sz w:val="22"/>
        </w:rPr>
        <w:t>unpopular.”</w:t>
      </w:r>
    </w:p>
    <w:p>
      <w:pPr>
        <w:pStyle w:val="BodyText"/>
        <w:spacing w:line="235" w:lineRule="auto" w:before="158"/>
        <w:ind w:left="280" w:right="38"/>
      </w:pPr>
      <w:r>
        <w:rPr>
          <w:color w:val="231F20"/>
        </w:rPr>
        <w:t>Significantly, participants noted that there was no standard expectation across the NSW public service about undertaking cultural competence development, and that practices across agencies varied widely.</w:t>
      </w:r>
    </w:p>
    <w:p>
      <w:pPr>
        <w:spacing w:line="230" w:lineRule="auto" w:before="170"/>
        <w:ind w:left="280" w:right="244" w:firstLine="0"/>
        <w:jc w:val="left"/>
        <w:rPr>
          <w:sz w:val="22"/>
        </w:rPr>
      </w:pPr>
      <w:r>
        <w:rPr>
          <w:color w:val="231F20"/>
          <w:sz w:val="22"/>
        </w:rPr>
        <w:t>A </w:t>
      </w:r>
      <w:r>
        <w:rPr>
          <w:color w:val="231F20"/>
          <w:spacing w:val="-3"/>
          <w:sz w:val="22"/>
        </w:rPr>
        <w:t>number </w:t>
      </w:r>
      <w:r>
        <w:rPr>
          <w:color w:val="231F20"/>
          <w:sz w:val="22"/>
        </w:rPr>
        <w:t>of </w:t>
      </w:r>
      <w:r>
        <w:rPr>
          <w:color w:val="231F20"/>
          <w:spacing w:val="-3"/>
          <w:sz w:val="22"/>
        </w:rPr>
        <w:t>participants held </w:t>
      </w:r>
      <w:r>
        <w:rPr>
          <w:color w:val="231F20"/>
          <w:sz w:val="22"/>
        </w:rPr>
        <w:t>up </w:t>
      </w:r>
      <w:r>
        <w:rPr>
          <w:rFonts w:ascii="Helvetica-LightOblique"/>
          <w:i/>
          <w:color w:val="231F20"/>
          <w:spacing w:val="-3"/>
          <w:sz w:val="22"/>
        </w:rPr>
        <w:t>Cultural competency lifecycle </w:t>
      </w:r>
      <w:r>
        <w:rPr>
          <w:rFonts w:ascii="Helvetica-LightOblique"/>
          <w:i/>
          <w:color w:val="231F20"/>
          <w:sz w:val="22"/>
        </w:rPr>
        <w:t>at the </w:t>
      </w:r>
      <w:r>
        <w:rPr>
          <w:rFonts w:ascii="Helvetica-LightOblique"/>
          <w:i/>
          <w:color w:val="231F20"/>
          <w:spacing w:val="-3"/>
          <w:sz w:val="22"/>
        </w:rPr>
        <w:t>Aboriginal Housing </w:t>
      </w:r>
      <w:r>
        <w:rPr>
          <w:rFonts w:ascii="Helvetica-LightOblique"/>
          <w:i/>
          <w:color w:val="231F20"/>
          <w:spacing w:val="-4"/>
          <w:sz w:val="22"/>
        </w:rPr>
        <w:t>Office </w:t>
      </w:r>
      <w:r>
        <w:rPr>
          <w:color w:val="231F20"/>
          <w:spacing w:val="-3"/>
          <w:sz w:val="22"/>
        </w:rPr>
        <w:t>(Aboriginal Housing </w:t>
      </w:r>
      <w:r>
        <w:rPr>
          <w:color w:val="231F20"/>
          <w:spacing w:val="-4"/>
          <w:sz w:val="22"/>
        </w:rPr>
        <w:t>Office, </w:t>
      </w:r>
      <w:r>
        <w:rPr>
          <w:color w:val="231F20"/>
          <w:spacing w:val="-3"/>
          <w:sz w:val="22"/>
        </w:rPr>
        <w:t>Family and Community Services) </w:t>
      </w:r>
      <w:r>
        <w:rPr>
          <w:color w:val="231F20"/>
          <w:sz w:val="22"/>
        </w:rPr>
        <w:t>as one </w:t>
      </w:r>
      <w:r>
        <w:rPr>
          <w:color w:val="231F20"/>
          <w:spacing w:val="-3"/>
          <w:sz w:val="22"/>
        </w:rPr>
        <w:t>example </w:t>
      </w:r>
      <w:r>
        <w:rPr>
          <w:color w:val="231F20"/>
          <w:sz w:val="22"/>
        </w:rPr>
        <w:t>of </w:t>
      </w:r>
      <w:r>
        <w:rPr>
          <w:color w:val="231F20"/>
          <w:spacing w:val="-3"/>
          <w:sz w:val="22"/>
        </w:rPr>
        <w:t>good practice because </w:t>
      </w:r>
      <w:r>
        <w:rPr>
          <w:color w:val="231F20"/>
          <w:sz w:val="22"/>
        </w:rPr>
        <w:t>it </w:t>
      </w:r>
      <w:r>
        <w:rPr>
          <w:color w:val="231F20"/>
          <w:spacing w:val="-3"/>
          <w:sz w:val="22"/>
        </w:rPr>
        <w:t>sets </w:t>
      </w:r>
      <w:r>
        <w:rPr>
          <w:color w:val="231F20"/>
          <w:sz w:val="22"/>
        </w:rPr>
        <w:t>out </w:t>
      </w:r>
      <w:r>
        <w:rPr>
          <w:color w:val="231F20"/>
          <w:spacing w:val="-3"/>
          <w:sz w:val="22"/>
        </w:rPr>
        <w:t>what </w:t>
      </w:r>
      <w:r>
        <w:rPr>
          <w:color w:val="231F20"/>
          <w:sz w:val="22"/>
        </w:rPr>
        <w:t>is </w:t>
      </w:r>
      <w:r>
        <w:rPr>
          <w:color w:val="231F20"/>
          <w:spacing w:val="-4"/>
          <w:sz w:val="22"/>
        </w:rPr>
        <w:t>required</w:t>
      </w:r>
    </w:p>
    <w:p>
      <w:pPr>
        <w:pStyle w:val="BodyText"/>
        <w:spacing w:line="235" w:lineRule="auto" w:before="3"/>
        <w:ind w:left="280" w:right="12"/>
      </w:pPr>
      <w:r>
        <w:rPr>
          <w:color w:val="231F20"/>
        </w:rPr>
        <w:t>as </w:t>
      </w:r>
      <w:r>
        <w:rPr>
          <w:color w:val="231F20"/>
          <w:spacing w:val="-3"/>
        </w:rPr>
        <w:t>cultural competence development, what </w:t>
      </w:r>
      <w:r>
        <w:rPr>
          <w:color w:val="231F20"/>
        </w:rPr>
        <w:t>support is </w:t>
      </w:r>
      <w:r>
        <w:rPr>
          <w:color w:val="231F20"/>
          <w:spacing w:val="-4"/>
        </w:rPr>
        <w:t>offered, </w:t>
      </w:r>
      <w:r>
        <w:rPr>
          <w:color w:val="231F20"/>
        </w:rPr>
        <w:t>and how </w:t>
      </w:r>
      <w:r>
        <w:rPr>
          <w:color w:val="231F20"/>
          <w:spacing w:val="-3"/>
        </w:rPr>
        <w:t>success </w:t>
      </w:r>
      <w:r>
        <w:rPr>
          <w:color w:val="231F20"/>
        </w:rPr>
        <w:t>is </w:t>
      </w:r>
      <w:r>
        <w:rPr>
          <w:color w:val="231F20"/>
          <w:spacing w:val="-4"/>
        </w:rPr>
        <w:t>measured throughout </w:t>
      </w:r>
      <w:r>
        <w:rPr>
          <w:color w:val="231F20"/>
        </w:rPr>
        <w:t>an </w:t>
      </w:r>
      <w:r>
        <w:rPr>
          <w:color w:val="231F20"/>
          <w:spacing w:val="-5"/>
        </w:rPr>
        <w:t>individual’s </w:t>
      </w:r>
      <w:r>
        <w:rPr>
          <w:color w:val="231F20"/>
          <w:spacing w:val="-3"/>
        </w:rPr>
        <w:t>employment with the Aboriginal Housing </w:t>
      </w:r>
      <w:r>
        <w:rPr>
          <w:color w:val="231F20"/>
          <w:spacing w:val="-4"/>
        </w:rPr>
        <w:t>Office </w:t>
      </w:r>
      <w:r>
        <w:rPr>
          <w:color w:val="231F20"/>
          <w:spacing w:val="-3"/>
        </w:rPr>
        <w:t>(copy </w:t>
      </w:r>
      <w:r>
        <w:rPr>
          <w:color w:val="231F20"/>
        </w:rPr>
        <w:t>at Appendix VI).</w:t>
      </w:r>
    </w:p>
    <w:p>
      <w:pPr>
        <w:pStyle w:val="BodyText"/>
        <w:spacing w:line="235" w:lineRule="auto" w:before="166"/>
        <w:ind w:left="280" w:right="213"/>
      </w:pPr>
      <w:r>
        <w:rPr>
          <w:color w:val="231F20"/>
        </w:rPr>
        <w:t>A potentially useful model for the development of cultural competence in the NSW public service that reflects the findings of this study and is similar to the Aboriginal Housing</w:t>
      </w:r>
    </w:p>
    <w:p>
      <w:pPr>
        <w:pStyle w:val="BodyText"/>
        <w:spacing w:line="235" w:lineRule="auto" w:before="104"/>
        <w:ind w:left="280" w:right="209"/>
      </w:pPr>
      <w:r>
        <w:rPr/>
        <w:br w:type="column"/>
      </w:r>
      <w:r>
        <w:rPr>
          <w:color w:val="231F20"/>
        </w:rPr>
        <w:t>Office model is found in the work of Ranzijn, McConnochie and Nolan (2009), who state that “… developing cultural competence is more complex than completing a series of training sessions, ticking a series of boxes and </w:t>
      </w:r>
      <w:r>
        <w:rPr>
          <w:color w:val="231F20"/>
          <w:spacing w:val="-3"/>
        </w:rPr>
        <w:t>claiming </w:t>
      </w:r>
      <w:r>
        <w:rPr>
          <w:color w:val="231F20"/>
        </w:rPr>
        <w:t>at the end that one is culturally competent”</w:t>
      </w:r>
    </w:p>
    <w:p>
      <w:pPr>
        <w:pStyle w:val="BodyText"/>
        <w:spacing w:line="232" w:lineRule="auto"/>
        <w:ind w:left="280" w:right="536"/>
      </w:pPr>
      <w:r>
        <w:rPr>
          <w:color w:val="231F20"/>
        </w:rPr>
        <w:t>(p. 5). The continuum of cultural competence, and the elements required to develop this competence are usefully depicted in the </w:t>
      </w:r>
      <w:r>
        <w:rPr>
          <w:rFonts w:ascii="Helvetica-LightOblique"/>
          <w:i/>
          <w:color w:val="231F20"/>
        </w:rPr>
        <w:t>Developmental model of cultural competence </w:t>
      </w:r>
      <w:r>
        <w:rPr>
          <w:color w:val="231F20"/>
        </w:rPr>
        <w:t>at Figure 4, below (McConnochie, Egege &amp; McDermott 2008 in Ranzijn,</w:t>
      </w:r>
      <w:r>
        <w:rPr>
          <w:color w:val="231F20"/>
          <w:spacing w:val="1"/>
        </w:rPr>
        <w:t> </w:t>
      </w:r>
      <w:r>
        <w:rPr>
          <w:color w:val="231F20"/>
        </w:rPr>
        <w:t>McConnochie</w:t>
      </w:r>
    </w:p>
    <w:p>
      <w:pPr>
        <w:pStyle w:val="BodyText"/>
        <w:spacing w:line="235" w:lineRule="auto"/>
        <w:ind w:left="280" w:right="463"/>
      </w:pPr>
      <w:r>
        <w:rPr>
          <w:color w:val="231F20"/>
        </w:rPr>
        <w:t>&amp; Nolan 2009, p. 9). This matrix has recently been used by the NSW Department of Justice, resulting in an agreement to move towards cultural competence rather than cultural awareness in the training and development</w:t>
      </w:r>
    </w:p>
    <w:p>
      <w:pPr>
        <w:pStyle w:val="BodyText"/>
        <w:spacing w:line="235" w:lineRule="auto"/>
        <w:ind w:left="280" w:right="757"/>
      </w:pPr>
      <w:r>
        <w:rPr>
          <w:color w:val="231F20"/>
        </w:rPr>
        <w:t>of the legal profession (NSW Department of Justice, May 2016).</w:t>
      </w:r>
    </w:p>
    <w:p>
      <w:pPr>
        <w:pStyle w:val="Heading3"/>
        <w:spacing w:before="163"/>
      </w:pPr>
      <w:r>
        <w:rPr>
          <w:color w:val="47A7A8"/>
        </w:rPr>
        <w:t>The way forward</w:t>
      </w:r>
    </w:p>
    <w:p>
      <w:pPr>
        <w:pStyle w:val="BodyText"/>
        <w:spacing w:line="235" w:lineRule="auto" w:before="172"/>
        <w:ind w:left="280" w:right="830"/>
      </w:pPr>
      <w:r>
        <w:rPr>
          <w:color w:val="231F20"/>
        </w:rPr>
        <w:t>Cultural competence programs need to be ongoing, on Country and localised.</w:t>
      </w:r>
    </w:p>
    <w:p>
      <w:pPr>
        <w:spacing w:line="244" w:lineRule="auto" w:before="170"/>
        <w:ind w:left="620" w:right="436" w:firstLine="0"/>
        <w:jc w:val="left"/>
        <w:rPr>
          <w:rFonts w:ascii="Helvetica" w:hAnsi="Helvetica"/>
          <w:i/>
          <w:sz w:val="22"/>
        </w:rPr>
      </w:pPr>
      <w:r>
        <w:rPr>
          <w:rFonts w:ascii="Helvetica" w:hAnsi="Helvetica"/>
          <w:i/>
          <w:color w:val="A09681"/>
          <w:sz w:val="22"/>
        </w:rPr>
        <w:t>“It has to be </w:t>
      </w:r>
      <w:r>
        <w:rPr>
          <w:rFonts w:ascii="Helvetica" w:hAnsi="Helvetica"/>
          <w:i/>
          <w:color w:val="A09681"/>
          <w:spacing w:val="-4"/>
          <w:sz w:val="22"/>
        </w:rPr>
        <w:t>focused, </w:t>
      </w:r>
      <w:r>
        <w:rPr>
          <w:rFonts w:ascii="Helvetica" w:hAnsi="Helvetica"/>
          <w:i/>
          <w:color w:val="A09681"/>
          <w:spacing w:val="-3"/>
          <w:sz w:val="22"/>
        </w:rPr>
        <w:t>down </w:t>
      </w:r>
      <w:r>
        <w:rPr>
          <w:rFonts w:ascii="Helvetica" w:hAnsi="Helvetica"/>
          <w:i/>
          <w:color w:val="A09681"/>
          <w:sz w:val="22"/>
        </w:rPr>
        <w:t>to </w:t>
      </w:r>
      <w:r>
        <w:rPr>
          <w:rFonts w:ascii="Helvetica" w:hAnsi="Helvetica"/>
          <w:i/>
          <w:color w:val="A09681"/>
          <w:spacing w:val="-3"/>
          <w:sz w:val="22"/>
        </w:rPr>
        <w:t>specific community </w:t>
      </w:r>
      <w:r>
        <w:rPr>
          <w:rFonts w:ascii="Helvetica" w:hAnsi="Helvetica"/>
          <w:i/>
          <w:color w:val="A09681"/>
          <w:spacing w:val="-5"/>
          <w:sz w:val="22"/>
        </w:rPr>
        <w:t>level. </w:t>
      </w:r>
      <w:r>
        <w:rPr>
          <w:rFonts w:ascii="Helvetica" w:hAnsi="Helvetica"/>
          <w:i/>
          <w:color w:val="A09681"/>
          <w:sz w:val="22"/>
        </w:rPr>
        <w:t>Get </w:t>
      </w:r>
      <w:r>
        <w:rPr>
          <w:rFonts w:ascii="Helvetica" w:hAnsi="Helvetica"/>
          <w:i/>
          <w:color w:val="A09681"/>
          <w:spacing w:val="-3"/>
          <w:sz w:val="22"/>
        </w:rPr>
        <w:t>local staff </w:t>
      </w:r>
      <w:r>
        <w:rPr>
          <w:rFonts w:ascii="Helvetica" w:hAnsi="Helvetica"/>
          <w:i/>
          <w:color w:val="A09681"/>
          <w:sz w:val="22"/>
        </w:rPr>
        <w:t>to do </w:t>
      </w:r>
      <w:r>
        <w:rPr>
          <w:rFonts w:ascii="Helvetica" w:hAnsi="Helvetica"/>
          <w:i/>
          <w:color w:val="A09681"/>
          <w:spacing w:val="-4"/>
          <w:sz w:val="22"/>
        </w:rPr>
        <w:t>cultural awareness </w:t>
      </w:r>
      <w:r>
        <w:rPr>
          <w:rFonts w:ascii="Helvetica" w:hAnsi="Helvetica"/>
          <w:i/>
          <w:color w:val="A09681"/>
          <w:spacing w:val="-3"/>
          <w:sz w:val="22"/>
        </w:rPr>
        <w:t>training… </w:t>
      </w:r>
      <w:r>
        <w:rPr>
          <w:rFonts w:ascii="Helvetica" w:hAnsi="Helvetica"/>
          <w:i/>
          <w:color w:val="A09681"/>
          <w:sz w:val="22"/>
        </w:rPr>
        <w:t>has to be </w:t>
      </w:r>
      <w:r>
        <w:rPr>
          <w:rFonts w:ascii="Helvetica" w:hAnsi="Helvetica"/>
          <w:i/>
          <w:color w:val="A09681"/>
          <w:spacing w:val="-3"/>
          <w:sz w:val="22"/>
        </w:rPr>
        <w:t>connected to </w:t>
      </w:r>
      <w:r>
        <w:rPr>
          <w:rFonts w:ascii="Helvetica" w:hAnsi="Helvetica"/>
          <w:i/>
          <w:color w:val="A09681"/>
          <w:sz w:val="22"/>
        </w:rPr>
        <w:t>the </w:t>
      </w:r>
      <w:r>
        <w:rPr>
          <w:rFonts w:ascii="Helvetica" w:hAnsi="Helvetica"/>
          <w:i/>
          <w:color w:val="A09681"/>
          <w:spacing w:val="-3"/>
          <w:sz w:val="22"/>
        </w:rPr>
        <w:t>people </w:t>
      </w:r>
      <w:r>
        <w:rPr>
          <w:rFonts w:ascii="Helvetica" w:hAnsi="Helvetica"/>
          <w:i/>
          <w:color w:val="A09681"/>
          <w:sz w:val="22"/>
        </w:rPr>
        <w:t>of the Country and </w:t>
      </w:r>
      <w:r>
        <w:rPr>
          <w:rFonts w:ascii="Helvetica" w:hAnsi="Helvetica"/>
          <w:i/>
          <w:color w:val="A09681"/>
          <w:spacing w:val="-5"/>
          <w:sz w:val="22"/>
        </w:rPr>
        <w:t>localised.”</w:t>
      </w:r>
    </w:p>
    <w:p>
      <w:pPr>
        <w:spacing w:line="244" w:lineRule="auto" w:before="171"/>
        <w:ind w:left="620" w:right="524" w:firstLine="0"/>
        <w:jc w:val="left"/>
        <w:rPr>
          <w:rFonts w:ascii="Helvetica" w:hAnsi="Helvetica"/>
          <w:i/>
          <w:sz w:val="22"/>
        </w:rPr>
      </w:pPr>
      <w:r>
        <w:rPr>
          <w:rFonts w:ascii="Helvetica" w:hAnsi="Helvetica"/>
          <w:i/>
          <w:color w:val="A09681"/>
          <w:spacing w:val="-4"/>
          <w:sz w:val="22"/>
        </w:rPr>
        <w:t>“Lifelong </w:t>
      </w:r>
      <w:r>
        <w:rPr>
          <w:rFonts w:ascii="Helvetica" w:hAnsi="Helvetica"/>
          <w:i/>
          <w:color w:val="A09681"/>
          <w:spacing w:val="-3"/>
          <w:sz w:val="22"/>
        </w:rPr>
        <w:t>cultural competence learning... perhaps consider </w:t>
      </w:r>
      <w:r>
        <w:rPr>
          <w:rFonts w:ascii="Helvetica" w:hAnsi="Helvetica"/>
          <w:i/>
          <w:color w:val="A09681"/>
          <w:spacing w:val="-5"/>
          <w:sz w:val="22"/>
        </w:rPr>
        <w:t>layers </w:t>
      </w:r>
      <w:r>
        <w:rPr>
          <w:rFonts w:ascii="Helvetica" w:hAnsi="Helvetica"/>
          <w:i/>
          <w:color w:val="A09681"/>
          <w:sz w:val="22"/>
        </w:rPr>
        <w:t>of learning </w:t>
      </w:r>
      <w:r>
        <w:rPr>
          <w:rFonts w:ascii="Helvetica" w:hAnsi="Helvetica"/>
          <w:i/>
          <w:color w:val="A09681"/>
          <w:spacing w:val="-3"/>
          <w:sz w:val="22"/>
        </w:rPr>
        <w:t>from basic, </w:t>
      </w:r>
      <w:r>
        <w:rPr>
          <w:rFonts w:ascii="Helvetica" w:hAnsi="Helvetica"/>
          <w:i/>
          <w:color w:val="A09681"/>
          <w:sz w:val="22"/>
        </w:rPr>
        <w:t>to </w:t>
      </w:r>
      <w:r>
        <w:rPr>
          <w:rFonts w:ascii="Helvetica" w:hAnsi="Helvetica"/>
          <w:i/>
          <w:color w:val="A09681"/>
          <w:spacing w:val="-3"/>
          <w:sz w:val="22"/>
        </w:rPr>
        <w:t>site visits, </w:t>
      </w:r>
      <w:r>
        <w:rPr>
          <w:rFonts w:ascii="Helvetica" w:hAnsi="Helvetica"/>
          <w:i/>
          <w:color w:val="A09681"/>
          <w:sz w:val="22"/>
        </w:rPr>
        <w:t>to </w:t>
      </w:r>
      <w:r>
        <w:rPr>
          <w:rFonts w:ascii="Helvetica" w:hAnsi="Helvetica"/>
          <w:i/>
          <w:color w:val="A09681"/>
          <w:spacing w:val="-3"/>
          <w:sz w:val="22"/>
        </w:rPr>
        <w:t>secondments in community organisations. </w:t>
      </w:r>
      <w:r>
        <w:rPr>
          <w:rFonts w:ascii="Helvetica" w:hAnsi="Helvetica"/>
          <w:i/>
          <w:color w:val="A09681"/>
          <w:sz w:val="22"/>
        </w:rPr>
        <w:t>Job </w:t>
      </w:r>
      <w:r>
        <w:rPr>
          <w:rFonts w:ascii="Helvetica" w:hAnsi="Helvetica"/>
          <w:i/>
          <w:color w:val="A09681"/>
          <w:spacing w:val="-5"/>
          <w:sz w:val="22"/>
        </w:rPr>
        <w:t>swaps </w:t>
      </w:r>
      <w:r>
        <w:rPr>
          <w:rFonts w:ascii="Helvetica" w:hAnsi="Helvetica"/>
          <w:i/>
          <w:color w:val="A09681"/>
          <w:sz w:val="22"/>
        </w:rPr>
        <w:t>too </w:t>
      </w:r>
      <w:r>
        <w:rPr>
          <w:rFonts w:ascii="Helvetica" w:hAnsi="Helvetica"/>
          <w:i/>
          <w:color w:val="A09681"/>
          <w:spacing w:val="-5"/>
          <w:sz w:val="22"/>
        </w:rPr>
        <w:t>for </w:t>
      </w:r>
      <w:r>
        <w:rPr>
          <w:rFonts w:ascii="Helvetica" w:hAnsi="Helvetica"/>
          <w:i/>
          <w:color w:val="A09681"/>
          <w:spacing w:val="-3"/>
          <w:sz w:val="22"/>
        </w:rPr>
        <w:t>managers </w:t>
      </w:r>
      <w:r>
        <w:rPr>
          <w:rFonts w:ascii="Helvetica" w:hAnsi="Helvetica"/>
          <w:i/>
          <w:color w:val="A09681"/>
          <w:sz w:val="22"/>
        </w:rPr>
        <w:t>and</w:t>
      </w:r>
      <w:r>
        <w:rPr>
          <w:rFonts w:ascii="Helvetica" w:hAnsi="Helvetica"/>
          <w:i/>
          <w:color w:val="A09681"/>
          <w:spacing w:val="-8"/>
          <w:sz w:val="22"/>
        </w:rPr>
        <w:t> execs.”</w:t>
      </w:r>
    </w:p>
    <w:p>
      <w:pPr>
        <w:pStyle w:val="BodyText"/>
        <w:spacing w:line="232" w:lineRule="auto" w:before="172"/>
        <w:ind w:left="280" w:right="366"/>
      </w:pPr>
      <w:r>
        <w:rPr>
          <w:color w:val="231F20"/>
        </w:rPr>
        <w:t>We note that the </w:t>
      </w:r>
      <w:r>
        <w:rPr>
          <w:rFonts w:ascii="Helvetica-LightOblique" w:hAnsi="Helvetica-LightOblique"/>
          <w:i/>
          <w:color w:val="231F20"/>
        </w:rPr>
        <w:t>NSW Public Sector Aboriginal Employment Strategy 2014–17 </w:t>
      </w:r>
      <w:r>
        <w:rPr>
          <w:color w:val="231F20"/>
        </w:rPr>
        <w:t>(NSW Public Service Commission 2013) includes a sector- wide strategy to “Improve Aboriginal Cultural Competency in the Workplace” (Sector-wide Strategy 5). Under this strategy the NSW Public Service Commission has responsibility for a review of “the relative effectiveness of various approaches to Aboriginal Cultural Competency development across the Sector including the need for a Sector-wide framework” and to “Develop Sector-wide approaches designed</w:t>
      </w:r>
    </w:p>
    <w:p>
      <w:pPr>
        <w:pStyle w:val="BodyText"/>
        <w:spacing w:line="235" w:lineRule="auto" w:before="8"/>
        <w:ind w:left="280" w:right="487"/>
      </w:pPr>
      <w:r>
        <w:rPr>
          <w:color w:val="231F20"/>
        </w:rPr>
        <w:t>to support agencies and staff to enhance their Aboriginal Cultural Competency”.</w:t>
      </w:r>
    </w:p>
    <w:p>
      <w:pPr>
        <w:spacing w:after="0" w:line="235" w:lineRule="auto"/>
        <w:sectPr>
          <w:type w:val="continuous"/>
          <w:pgSz w:w="11910" w:h="16840"/>
          <w:pgMar w:top="1580" w:bottom="280" w:left="740" w:right="640"/>
          <w:cols w:num="2" w:equalWidth="0">
            <w:col w:w="5074" w:space="132"/>
            <w:col w:w="5324"/>
          </w:cols>
        </w:sect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before="100"/>
        <w:ind w:left="282" w:right="0" w:firstLine="0"/>
        <w:jc w:val="left"/>
        <w:rPr>
          <w:rFonts w:ascii="Helvetica-LightOblique"/>
          <w:i/>
          <w:sz w:val="22"/>
        </w:rPr>
      </w:pPr>
      <w:r>
        <w:rPr/>
        <w:pict>
          <v:group style="position:absolute;margin-left:157.369400pt;margin-top:51.009521pt;width:386.45pt;height:196.65pt;mso-position-horizontal-relative:page;mso-position-vertical-relative:paragraph;z-index:-71272" coordorigin="3147,1020" coordsize="7729,3933">
            <v:line style="position:absolute" from="3167,4933" to="10717,1151" stroked="true" strokeweight="2.0pt" strokecolor="#14397f">
              <v:stroke dashstyle="solid"/>
            </v:line>
            <v:shape style="position:absolute;left:10576;top:1020;width:301;height:330" coordorigin="10576,1020" coordsize="301,330" path="m10576,1020l10782,1350,10876,1030,10576,1020xe" filled="true" fillcolor="#14397f" stroked="false">
              <v:path arrowok="t"/>
              <v:fill type="solid"/>
            </v:shape>
            <w10:wrap type="none"/>
          </v:group>
        </w:pict>
      </w:r>
      <w:r>
        <w:rPr>
          <w:rFonts w:ascii="Helvetica-LightOblique"/>
          <w:i/>
          <w:color w:val="439FA0"/>
          <w:sz w:val="22"/>
        </w:rPr>
        <w:t>Figure 4: Developmental model of cultural competence</w:t>
      </w:r>
    </w:p>
    <w:p>
      <w:pPr>
        <w:pStyle w:val="BodyText"/>
        <w:spacing w:before="2" w:after="1"/>
        <w:rPr>
          <w:rFonts w:ascii="Helvetica-LightOblique"/>
          <w:i/>
          <w:sz w:val="8"/>
        </w:rPr>
      </w:pPr>
    </w:p>
    <w:tbl>
      <w:tblPr>
        <w:tblW w:w="0" w:type="auto"/>
        <w:jc w:val="left"/>
        <w:tblInd w:w="28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2098"/>
        <w:gridCol w:w="1316"/>
        <w:gridCol w:w="1305"/>
        <w:gridCol w:w="1305"/>
        <w:gridCol w:w="1305"/>
        <w:gridCol w:w="1305"/>
        <w:gridCol w:w="1305"/>
      </w:tblGrid>
      <w:tr>
        <w:trPr>
          <w:trHeight w:val="446" w:hRule="atLeast"/>
        </w:trPr>
        <w:tc>
          <w:tcPr>
            <w:tcW w:w="2098" w:type="dxa"/>
            <w:tcBorders>
              <w:top w:val="nil"/>
              <w:left w:val="nil"/>
            </w:tcBorders>
          </w:tcPr>
          <w:p>
            <w:pPr>
              <w:pStyle w:val="TableParagraph"/>
              <w:rPr>
                <w:rFonts w:ascii="Times New Roman"/>
                <w:sz w:val="20"/>
              </w:rPr>
            </w:pPr>
          </w:p>
        </w:tc>
        <w:tc>
          <w:tcPr>
            <w:tcW w:w="1316" w:type="dxa"/>
            <w:tcBorders>
              <w:top w:val="nil"/>
            </w:tcBorders>
            <w:shd w:val="clear" w:color="auto" w:fill="47A7A8"/>
          </w:tcPr>
          <w:p>
            <w:pPr>
              <w:pStyle w:val="TableParagraph"/>
              <w:spacing w:before="47"/>
              <w:ind w:left="74" w:right="59" w:firstLine="192"/>
              <w:rPr>
                <w:rFonts w:ascii="Helvetica"/>
                <w:b/>
                <w:sz w:val="15"/>
              </w:rPr>
            </w:pPr>
            <w:r>
              <w:rPr>
                <w:rFonts w:ascii="Helvetica"/>
                <w:b/>
                <w:color w:val="FFFFFF"/>
                <w:sz w:val="15"/>
              </w:rPr>
              <w:t>CULTURAL </w:t>
            </w:r>
            <w:r>
              <w:rPr>
                <w:rFonts w:ascii="Helvetica"/>
                <w:b/>
                <w:color w:val="FFFFFF"/>
                <w:w w:val="95"/>
                <w:sz w:val="15"/>
              </w:rPr>
              <w:t>INCOMPETENCE</w:t>
            </w:r>
          </w:p>
        </w:tc>
        <w:tc>
          <w:tcPr>
            <w:tcW w:w="1305" w:type="dxa"/>
            <w:tcBorders>
              <w:top w:val="nil"/>
            </w:tcBorders>
            <w:shd w:val="clear" w:color="auto" w:fill="47A7A8"/>
          </w:tcPr>
          <w:p>
            <w:pPr>
              <w:pStyle w:val="TableParagraph"/>
              <w:spacing w:before="47"/>
              <w:ind w:left="172" w:right="130" w:firstLine="87"/>
              <w:rPr>
                <w:rFonts w:ascii="Helvetica"/>
                <w:b/>
                <w:sz w:val="15"/>
              </w:rPr>
            </w:pPr>
            <w:r>
              <w:rPr>
                <w:rFonts w:ascii="Helvetica"/>
                <w:b/>
                <w:color w:val="FFFFFF"/>
                <w:sz w:val="15"/>
              </w:rPr>
              <w:t>CULTURAL </w:t>
            </w:r>
            <w:r>
              <w:rPr>
                <w:rFonts w:ascii="Helvetica"/>
                <w:b/>
                <w:color w:val="FFFFFF"/>
                <w:w w:val="95"/>
                <w:sz w:val="15"/>
              </w:rPr>
              <w:t>KNOWLEDGE</w:t>
            </w:r>
          </w:p>
        </w:tc>
        <w:tc>
          <w:tcPr>
            <w:tcW w:w="1305" w:type="dxa"/>
            <w:tcBorders>
              <w:top w:val="nil"/>
            </w:tcBorders>
            <w:shd w:val="clear" w:color="auto" w:fill="47A7A8"/>
          </w:tcPr>
          <w:p>
            <w:pPr>
              <w:pStyle w:val="TableParagraph"/>
              <w:spacing w:before="47"/>
              <w:ind w:left="184" w:right="130" w:firstLine="74"/>
              <w:rPr>
                <w:rFonts w:ascii="Helvetica"/>
                <w:b/>
                <w:sz w:val="15"/>
              </w:rPr>
            </w:pPr>
            <w:r>
              <w:rPr>
                <w:rFonts w:ascii="Helvetica"/>
                <w:b/>
                <w:color w:val="FFFFFF"/>
                <w:sz w:val="15"/>
              </w:rPr>
              <w:t>CULTURAL </w:t>
            </w:r>
            <w:r>
              <w:rPr>
                <w:rFonts w:ascii="Helvetica"/>
                <w:b/>
                <w:color w:val="FFFFFF"/>
                <w:w w:val="95"/>
                <w:sz w:val="15"/>
              </w:rPr>
              <w:t>AWARENESS</w:t>
            </w:r>
          </w:p>
        </w:tc>
        <w:tc>
          <w:tcPr>
            <w:tcW w:w="1305" w:type="dxa"/>
            <w:tcBorders>
              <w:top w:val="nil"/>
            </w:tcBorders>
            <w:shd w:val="clear" w:color="auto" w:fill="47A7A8"/>
          </w:tcPr>
          <w:p>
            <w:pPr>
              <w:pStyle w:val="TableParagraph"/>
              <w:spacing w:before="47"/>
              <w:ind w:left="207" w:right="130" w:firstLine="50"/>
              <w:rPr>
                <w:rFonts w:ascii="Helvetica"/>
                <w:b/>
                <w:sz w:val="15"/>
              </w:rPr>
            </w:pPr>
            <w:r>
              <w:rPr>
                <w:rFonts w:ascii="Helvetica"/>
                <w:b/>
                <w:color w:val="FFFFFF"/>
                <w:sz w:val="15"/>
              </w:rPr>
              <w:t>CULTURAL </w:t>
            </w:r>
            <w:r>
              <w:rPr>
                <w:rFonts w:ascii="Helvetica"/>
                <w:b/>
                <w:color w:val="FFFFFF"/>
                <w:w w:val="95"/>
                <w:sz w:val="15"/>
              </w:rPr>
              <w:t>SENSITIVITY</w:t>
            </w:r>
          </w:p>
        </w:tc>
        <w:tc>
          <w:tcPr>
            <w:tcW w:w="1305" w:type="dxa"/>
            <w:tcBorders>
              <w:top w:val="nil"/>
            </w:tcBorders>
            <w:shd w:val="clear" w:color="auto" w:fill="47A7A8"/>
          </w:tcPr>
          <w:p>
            <w:pPr>
              <w:pStyle w:val="TableParagraph"/>
              <w:spacing w:before="47"/>
              <w:ind w:left="134" w:right="130" w:firstLine="122"/>
              <w:rPr>
                <w:rFonts w:ascii="Helvetica"/>
                <w:b/>
                <w:sz w:val="15"/>
              </w:rPr>
            </w:pPr>
            <w:r>
              <w:rPr>
                <w:rFonts w:ascii="Helvetica"/>
                <w:b/>
                <w:color w:val="FFFFFF"/>
                <w:sz w:val="15"/>
              </w:rPr>
              <w:t>CULTURAL </w:t>
            </w:r>
            <w:r>
              <w:rPr>
                <w:rFonts w:ascii="Helvetica"/>
                <w:b/>
                <w:color w:val="FFFFFF"/>
                <w:w w:val="95"/>
                <w:sz w:val="15"/>
              </w:rPr>
              <w:t>COMPETENCE</w:t>
            </w:r>
          </w:p>
        </w:tc>
        <w:tc>
          <w:tcPr>
            <w:tcW w:w="1305" w:type="dxa"/>
            <w:tcBorders>
              <w:top w:val="nil"/>
              <w:right w:val="nil"/>
            </w:tcBorders>
            <w:shd w:val="clear" w:color="auto" w:fill="47A7A8"/>
          </w:tcPr>
          <w:p>
            <w:pPr>
              <w:pStyle w:val="TableParagraph"/>
              <w:spacing w:before="47"/>
              <w:ind w:left="153" w:firstLine="102"/>
              <w:rPr>
                <w:rFonts w:ascii="Helvetica"/>
                <w:b/>
                <w:sz w:val="15"/>
              </w:rPr>
            </w:pPr>
            <w:r>
              <w:rPr>
                <w:rFonts w:ascii="Helvetica"/>
                <w:b/>
                <w:color w:val="FFFFFF"/>
                <w:sz w:val="15"/>
              </w:rPr>
              <w:t>CULTURAL </w:t>
            </w:r>
            <w:r>
              <w:rPr>
                <w:rFonts w:ascii="Helvetica"/>
                <w:b/>
                <w:color w:val="FFFFFF"/>
                <w:w w:val="95"/>
                <w:sz w:val="15"/>
              </w:rPr>
              <w:t>PROFICIENCY</w:t>
            </w:r>
          </w:p>
        </w:tc>
      </w:tr>
      <w:tr>
        <w:trPr>
          <w:trHeight w:val="665" w:hRule="atLeast"/>
        </w:trPr>
        <w:tc>
          <w:tcPr>
            <w:tcW w:w="2098" w:type="dxa"/>
            <w:tcBorders>
              <w:left w:val="nil"/>
            </w:tcBorders>
            <w:shd w:val="clear" w:color="auto" w:fill="47A7A8"/>
          </w:tcPr>
          <w:p>
            <w:pPr>
              <w:pStyle w:val="TableParagraph"/>
              <w:spacing w:before="140"/>
              <w:ind w:left="79"/>
              <w:rPr>
                <w:rFonts w:ascii="Helvetica"/>
                <w:b/>
                <w:sz w:val="16"/>
              </w:rPr>
            </w:pPr>
            <w:r>
              <w:rPr>
                <w:rFonts w:ascii="Helvetica"/>
                <w:b/>
                <w:color w:val="FFFFFF"/>
                <w:sz w:val="16"/>
              </w:rPr>
              <w:t>PROFESSIONALLY SPECIFIC SKILLS</w:t>
            </w:r>
          </w:p>
        </w:tc>
        <w:tc>
          <w:tcPr>
            <w:tcW w:w="1316" w:type="dxa"/>
            <w:shd w:val="clear" w:color="auto" w:fill="EAF1F1"/>
          </w:tcPr>
          <w:p>
            <w:pPr>
              <w:pStyle w:val="TableParagraph"/>
              <w:rPr>
                <w:rFonts w:ascii="Times New Roman"/>
                <w:sz w:val="20"/>
              </w:rPr>
            </w:pPr>
          </w:p>
        </w:tc>
        <w:tc>
          <w:tcPr>
            <w:tcW w:w="1305" w:type="dxa"/>
            <w:shd w:val="clear" w:color="auto" w:fill="EAF1F1"/>
          </w:tcPr>
          <w:p>
            <w:pPr>
              <w:pStyle w:val="TableParagraph"/>
              <w:rPr>
                <w:rFonts w:ascii="Times New Roman"/>
                <w:sz w:val="20"/>
              </w:rPr>
            </w:pPr>
          </w:p>
        </w:tc>
        <w:tc>
          <w:tcPr>
            <w:tcW w:w="1305" w:type="dxa"/>
            <w:shd w:val="clear" w:color="auto" w:fill="EAF1F1"/>
          </w:tcPr>
          <w:p>
            <w:pPr>
              <w:pStyle w:val="TableParagraph"/>
              <w:rPr>
                <w:rFonts w:ascii="Times New Roman"/>
                <w:sz w:val="20"/>
              </w:rPr>
            </w:pPr>
          </w:p>
        </w:tc>
        <w:tc>
          <w:tcPr>
            <w:tcW w:w="1305" w:type="dxa"/>
            <w:shd w:val="clear" w:color="auto" w:fill="EAF1F1"/>
          </w:tcPr>
          <w:p>
            <w:pPr>
              <w:pStyle w:val="TableParagraph"/>
              <w:rPr>
                <w:rFonts w:ascii="Times New Roman"/>
                <w:sz w:val="20"/>
              </w:rPr>
            </w:pPr>
          </w:p>
        </w:tc>
        <w:tc>
          <w:tcPr>
            <w:tcW w:w="1305" w:type="dxa"/>
            <w:shd w:val="clear" w:color="auto" w:fill="EAF1F1"/>
          </w:tcPr>
          <w:p>
            <w:pPr>
              <w:pStyle w:val="TableParagraph"/>
              <w:rPr>
                <w:rFonts w:ascii="Times New Roman"/>
                <w:sz w:val="20"/>
              </w:rPr>
            </w:pPr>
          </w:p>
        </w:tc>
        <w:tc>
          <w:tcPr>
            <w:tcW w:w="1305" w:type="dxa"/>
            <w:tcBorders>
              <w:right w:val="nil"/>
            </w:tcBorders>
            <w:shd w:val="clear" w:color="auto" w:fill="EAF1F1"/>
          </w:tcPr>
          <w:p>
            <w:pPr>
              <w:pStyle w:val="TableParagraph"/>
              <w:rPr>
                <w:rFonts w:ascii="Times New Roman"/>
                <w:sz w:val="20"/>
              </w:rPr>
            </w:pPr>
          </w:p>
        </w:tc>
      </w:tr>
      <w:tr>
        <w:trPr>
          <w:trHeight w:val="665" w:hRule="atLeast"/>
        </w:trPr>
        <w:tc>
          <w:tcPr>
            <w:tcW w:w="2098" w:type="dxa"/>
            <w:tcBorders>
              <w:left w:val="nil"/>
            </w:tcBorders>
            <w:shd w:val="clear" w:color="auto" w:fill="47A7A8"/>
          </w:tcPr>
          <w:p>
            <w:pPr>
              <w:pStyle w:val="TableParagraph"/>
              <w:spacing w:before="11"/>
              <w:rPr>
                <w:rFonts w:ascii="Helvetica-LightOblique"/>
                <w:i/>
                <w:sz w:val="18"/>
              </w:rPr>
            </w:pPr>
          </w:p>
          <w:p>
            <w:pPr>
              <w:pStyle w:val="TableParagraph"/>
              <w:ind w:left="79"/>
              <w:rPr>
                <w:rFonts w:ascii="Helvetica"/>
                <w:b/>
                <w:sz w:val="16"/>
              </w:rPr>
            </w:pPr>
            <w:r>
              <w:rPr>
                <w:rFonts w:ascii="Helvetica"/>
                <w:b/>
                <w:color w:val="FFFFFF"/>
                <w:sz w:val="16"/>
              </w:rPr>
              <w:t>GENERIC SKILLS</w:t>
            </w:r>
          </w:p>
        </w:tc>
        <w:tc>
          <w:tcPr>
            <w:tcW w:w="1316" w:type="dxa"/>
            <w:shd w:val="clear" w:color="auto" w:fill="C7DDDE"/>
          </w:tcPr>
          <w:p>
            <w:pPr>
              <w:pStyle w:val="TableParagraph"/>
              <w:rPr>
                <w:rFonts w:ascii="Times New Roman"/>
                <w:sz w:val="20"/>
              </w:rPr>
            </w:pPr>
          </w:p>
        </w:tc>
        <w:tc>
          <w:tcPr>
            <w:tcW w:w="1305" w:type="dxa"/>
            <w:shd w:val="clear" w:color="auto" w:fill="C7DDDE"/>
          </w:tcPr>
          <w:p>
            <w:pPr>
              <w:pStyle w:val="TableParagraph"/>
              <w:rPr>
                <w:rFonts w:ascii="Times New Roman"/>
                <w:sz w:val="20"/>
              </w:rPr>
            </w:pPr>
          </w:p>
        </w:tc>
        <w:tc>
          <w:tcPr>
            <w:tcW w:w="1305" w:type="dxa"/>
            <w:shd w:val="clear" w:color="auto" w:fill="C7DDDE"/>
          </w:tcPr>
          <w:p>
            <w:pPr>
              <w:pStyle w:val="TableParagraph"/>
              <w:rPr>
                <w:rFonts w:ascii="Times New Roman"/>
                <w:sz w:val="20"/>
              </w:rPr>
            </w:pPr>
          </w:p>
        </w:tc>
        <w:tc>
          <w:tcPr>
            <w:tcW w:w="1305" w:type="dxa"/>
            <w:shd w:val="clear" w:color="auto" w:fill="C7DDDE"/>
          </w:tcPr>
          <w:p>
            <w:pPr>
              <w:pStyle w:val="TableParagraph"/>
              <w:rPr>
                <w:rFonts w:ascii="Times New Roman"/>
                <w:sz w:val="20"/>
              </w:rPr>
            </w:pPr>
          </w:p>
        </w:tc>
        <w:tc>
          <w:tcPr>
            <w:tcW w:w="1305" w:type="dxa"/>
            <w:shd w:val="clear" w:color="auto" w:fill="C7DDDE"/>
          </w:tcPr>
          <w:p>
            <w:pPr>
              <w:pStyle w:val="TableParagraph"/>
              <w:rPr>
                <w:rFonts w:ascii="Times New Roman"/>
                <w:sz w:val="20"/>
              </w:rPr>
            </w:pPr>
          </w:p>
        </w:tc>
        <w:tc>
          <w:tcPr>
            <w:tcW w:w="1305" w:type="dxa"/>
            <w:tcBorders>
              <w:right w:val="nil"/>
            </w:tcBorders>
            <w:shd w:val="clear" w:color="auto" w:fill="C7DDDE"/>
          </w:tcPr>
          <w:p>
            <w:pPr>
              <w:pStyle w:val="TableParagraph"/>
              <w:rPr>
                <w:rFonts w:ascii="Times New Roman"/>
                <w:sz w:val="20"/>
              </w:rPr>
            </w:pPr>
          </w:p>
        </w:tc>
      </w:tr>
      <w:tr>
        <w:trPr>
          <w:trHeight w:val="665" w:hRule="atLeast"/>
        </w:trPr>
        <w:tc>
          <w:tcPr>
            <w:tcW w:w="2098" w:type="dxa"/>
            <w:tcBorders>
              <w:left w:val="nil"/>
            </w:tcBorders>
            <w:shd w:val="clear" w:color="auto" w:fill="47A7A8"/>
          </w:tcPr>
          <w:p>
            <w:pPr>
              <w:pStyle w:val="TableParagraph"/>
              <w:spacing w:before="140"/>
              <w:ind w:left="79"/>
              <w:rPr>
                <w:rFonts w:ascii="Helvetica"/>
                <w:b/>
                <w:sz w:val="16"/>
              </w:rPr>
            </w:pPr>
            <w:r>
              <w:rPr>
                <w:rFonts w:ascii="Helvetica"/>
                <w:b/>
                <w:color w:val="FFFFFF"/>
                <w:sz w:val="16"/>
              </w:rPr>
              <w:t>CRITICALLY EXAMINING THE PROFESSION</w:t>
            </w:r>
          </w:p>
        </w:tc>
        <w:tc>
          <w:tcPr>
            <w:tcW w:w="1316" w:type="dxa"/>
            <w:shd w:val="clear" w:color="auto" w:fill="EAF1F1"/>
          </w:tcPr>
          <w:p>
            <w:pPr>
              <w:pStyle w:val="TableParagraph"/>
              <w:rPr>
                <w:rFonts w:ascii="Times New Roman"/>
                <w:sz w:val="20"/>
              </w:rPr>
            </w:pPr>
          </w:p>
        </w:tc>
        <w:tc>
          <w:tcPr>
            <w:tcW w:w="1305" w:type="dxa"/>
            <w:shd w:val="clear" w:color="auto" w:fill="EAF1F1"/>
          </w:tcPr>
          <w:p>
            <w:pPr>
              <w:pStyle w:val="TableParagraph"/>
              <w:rPr>
                <w:rFonts w:ascii="Times New Roman"/>
                <w:sz w:val="20"/>
              </w:rPr>
            </w:pPr>
          </w:p>
        </w:tc>
        <w:tc>
          <w:tcPr>
            <w:tcW w:w="1305" w:type="dxa"/>
            <w:shd w:val="clear" w:color="auto" w:fill="EAF1F1"/>
          </w:tcPr>
          <w:p>
            <w:pPr>
              <w:pStyle w:val="TableParagraph"/>
              <w:rPr>
                <w:rFonts w:ascii="Times New Roman"/>
                <w:sz w:val="20"/>
              </w:rPr>
            </w:pPr>
          </w:p>
        </w:tc>
        <w:tc>
          <w:tcPr>
            <w:tcW w:w="1305" w:type="dxa"/>
            <w:shd w:val="clear" w:color="auto" w:fill="EAF1F1"/>
          </w:tcPr>
          <w:p>
            <w:pPr>
              <w:pStyle w:val="TableParagraph"/>
              <w:rPr>
                <w:rFonts w:ascii="Times New Roman"/>
                <w:sz w:val="20"/>
              </w:rPr>
            </w:pPr>
          </w:p>
        </w:tc>
        <w:tc>
          <w:tcPr>
            <w:tcW w:w="1305" w:type="dxa"/>
            <w:shd w:val="clear" w:color="auto" w:fill="EAF1F1"/>
          </w:tcPr>
          <w:p>
            <w:pPr>
              <w:pStyle w:val="TableParagraph"/>
              <w:rPr>
                <w:rFonts w:ascii="Times New Roman"/>
                <w:sz w:val="20"/>
              </w:rPr>
            </w:pPr>
          </w:p>
        </w:tc>
        <w:tc>
          <w:tcPr>
            <w:tcW w:w="1305" w:type="dxa"/>
            <w:shd w:val="clear" w:color="auto" w:fill="EAF1F1"/>
          </w:tcPr>
          <w:p>
            <w:pPr>
              <w:pStyle w:val="TableParagraph"/>
              <w:rPr>
                <w:rFonts w:ascii="Times New Roman"/>
                <w:sz w:val="20"/>
              </w:rPr>
            </w:pPr>
          </w:p>
        </w:tc>
      </w:tr>
      <w:tr>
        <w:trPr>
          <w:trHeight w:val="665" w:hRule="atLeast"/>
        </w:trPr>
        <w:tc>
          <w:tcPr>
            <w:tcW w:w="2098" w:type="dxa"/>
            <w:tcBorders>
              <w:left w:val="nil"/>
            </w:tcBorders>
            <w:shd w:val="clear" w:color="auto" w:fill="47A7A8"/>
          </w:tcPr>
          <w:p>
            <w:pPr>
              <w:pStyle w:val="TableParagraph"/>
              <w:spacing w:before="140"/>
              <w:ind w:left="79" w:right="75"/>
              <w:rPr>
                <w:rFonts w:ascii="Helvetica"/>
                <w:b/>
                <w:sz w:val="16"/>
              </w:rPr>
            </w:pPr>
            <w:r>
              <w:rPr>
                <w:rFonts w:ascii="Helvetica"/>
                <w:b/>
                <w:color w:val="FFFFFF"/>
                <w:sz w:val="16"/>
              </w:rPr>
              <w:t>INDIVIDUAL VALUES AND ATTITUDES</w:t>
            </w:r>
          </w:p>
        </w:tc>
        <w:tc>
          <w:tcPr>
            <w:tcW w:w="1316" w:type="dxa"/>
            <w:shd w:val="clear" w:color="auto" w:fill="C7DDDE"/>
          </w:tcPr>
          <w:p>
            <w:pPr>
              <w:pStyle w:val="TableParagraph"/>
              <w:rPr>
                <w:rFonts w:ascii="Times New Roman"/>
                <w:sz w:val="20"/>
              </w:rPr>
            </w:pPr>
          </w:p>
        </w:tc>
        <w:tc>
          <w:tcPr>
            <w:tcW w:w="1305" w:type="dxa"/>
            <w:shd w:val="clear" w:color="auto" w:fill="C7DDDE"/>
          </w:tcPr>
          <w:p>
            <w:pPr>
              <w:pStyle w:val="TableParagraph"/>
              <w:rPr>
                <w:rFonts w:ascii="Times New Roman"/>
                <w:sz w:val="20"/>
              </w:rPr>
            </w:pPr>
          </w:p>
        </w:tc>
        <w:tc>
          <w:tcPr>
            <w:tcW w:w="1305" w:type="dxa"/>
            <w:shd w:val="clear" w:color="auto" w:fill="C7DDDE"/>
          </w:tcPr>
          <w:p>
            <w:pPr>
              <w:pStyle w:val="TableParagraph"/>
              <w:rPr>
                <w:rFonts w:ascii="Times New Roman"/>
                <w:sz w:val="20"/>
              </w:rPr>
            </w:pPr>
          </w:p>
        </w:tc>
        <w:tc>
          <w:tcPr>
            <w:tcW w:w="1305" w:type="dxa"/>
            <w:shd w:val="clear" w:color="auto" w:fill="C7DDDE"/>
          </w:tcPr>
          <w:p>
            <w:pPr>
              <w:pStyle w:val="TableParagraph"/>
              <w:rPr>
                <w:rFonts w:ascii="Times New Roman"/>
                <w:sz w:val="20"/>
              </w:rPr>
            </w:pPr>
          </w:p>
        </w:tc>
        <w:tc>
          <w:tcPr>
            <w:tcW w:w="1305" w:type="dxa"/>
            <w:shd w:val="clear" w:color="auto" w:fill="C7DDDE"/>
          </w:tcPr>
          <w:p>
            <w:pPr>
              <w:pStyle w:val="TableParagraph"/>
              <w:rPr>
                <w:rFonts w:ascii="Times New Roman"/>
                <w:sz w:val="20"/>
              </w:rPr>
            </w:pPr>
          </w:p>
        </w:tc>
        <w:tc>
          <w:tcPr>
            <w:tcW w:w="1305" w:type="dxa"/>
            <w:shd w:val="clear" w:color="auto" w:fill="C7DDDE"/>
          </w:tcPr>
          <w:p>
            <w:pPr>
              <w:pStyle w:val="TableParagraph"/>
              <w:rPr>
                <w:rFonts w:ascii="Times New Roman"/>
                <w:sz w:val="20"/>
              </w:rPr>
            </w:pPr>
          </w:p>
        </w:tc>
      </w:tr>
      <w:tr>
        <w:trPr>
          <w:trHeight w:val="665" w:hRule="atLeast"/>
        </w:trPr>
        <w:tc>
          <w:tcPr>
            <w:tcW w:w="2098" w:type="dxa"/>
            <w:tcBorders>
              <w:left w:val="nil"/>
            </w:tcBorders>
            <w:shd w:val="clear" w:color="auto" w:fill="47A7A8"/>
          </w:tcPr>
          <w:p>
            <w:pPr>
              <w:pStyle w:val="TableParagraph"/>
              <w:spacing w:before="44"/>
              <w:ind w:left="79"/>
              <w:rPr>
                <w:rFonts w:ascii="Helvetica"/>
                <w:b/>
                <w:sz w:val="16"/>
              </w:rPr>
            </w:pPr>
            <w:r>
              <w:rPr>
                <w:rFonts w:ascii="Helvetica"/>
                <w:b/>
                <w:color w:val="FFFFFF"/>
                <w:sz w:val="16"/>
              </w:rPr>
              <w:t>UNDERSTANDING INDIGENOUS CULTURES AND HISTORIES</w:t>
            </w:r>
          </w:p>
        </w:tc>
        <w:tc>
          <w:tcPr>
            <w:tcW w:w="1316" w:type="dxa"/>
            <w:shd w:val="clear" w:color="auto" w:fill="EAF1F1"/>
          </w:tcPr>
          <w:p>
            <w:pPr>
              <w:pStyle w:val="TableParagraph"/>
              <w:rPr>
                <w:rFonts w:ascii="Times New Roman"/>
                <w:sz w:val="20"/>
              </w:rPr>
            </w:pPr>
          </w:p>
        </w:tc>
        <w:tc>
          <w:tcPr>
            <w:tcW w:w="1305" w:type="dxa"/>
            <w:shd w:val="clear" w:color="auto" w:fill="EAF1F1"/>
          </w:tcPr>
          <w:p>
            <w:pPr>
              <w:pStyle w:val="TableParagraph"/>
              <w:rPr>
                <w:rFonts w:ascii="Times New Roman"/>
                <w:sz w:val="20"/>
              </w:rPr>
            </w:pPr>
          </w:p>
        </w:tc>
        <w:tc>
          <w:tcPr>
            <w:tcW w:w="1305" w:type="dxa"/>
            <w:shd w:val="clear" w:color="auto" w:fill="EAF1F1"/>
          </w:tcPr>
          <w:p>
            <w:pPr>
              <w:pStyle w:val="TableParagraph"/>
              <w:rPr>
                <w:rFonts w:ascii="Times New Roman"/>
                <w:sz w:val="20"/>
              </w:rPr>
            </w:pPr>
          </w:p>
        </w:tc>
        <w:tc>
          <w:tcPr>
            <w:tcW w:w="1305" w:type="dxa"/>
            <w:shd w:val="clear" w:color="auto" w:fill="EAF1F1"/>
          </w:tcPr>
          <w:p>
            <w:pPr>
              <w:pStyle w:val="TableParagraph"/>
              <w:rPr>
                <w:rFonts w:ascii="Times New Roman"/>
                <w:sz w:val="20"/>
              </w:rPr>
            </w:pPr>
          </w:p>
        </w:tc>
        <w:tc>
          <w:tcPr>
            <w:tcW w:w="1305" w:type="dxa"/>
            <w:shd w:val="clear" w:color="auto" w:fill="EAF1F1"/>
          </w:tcPr>
          <w:p>
            <w:pPr>
              <w:pStyle w:val="TableParagraph"/>
              <w:rPr>
                <w:rFonts w:ascii="Times New Roman"/>
                <w:sz w:val="20"/>
              </w:rPr>
            </w:pPr>
          </w:p>
        </w:tc>
        <w:tc>
          <w:tcPr>
            <w:tcW w:w="1305" w:type="dxa"/>
            <w:shd w:val="clear" w:color="auto" w:fill="EAF1F1"/>
          </w:tcPr>
          <w:p>
            <w:pPr>
              <w:pStyle w:val="TableParagraph"/>
              <w:rPr>
                <w:rFonts w:ascii="Times New Roman"/>
                <w:sz w:val="20"/>
              </w:rPr>
            </w:pPr>
          </w:p>
        </w:tc>
      </w:tr>
      <w:tr>
        <w:trPr>
          <w:trHeight w:val="665" w:hRule="atLeast"/>
        </w:trPr>
        <w:tc>
          <w:tcPr>
            <w:tcW w:w="2098" w:type="dxa"/>
            <w:tcBorders>
              <w:left w:val="nil"/>
              <w:bottom w:val="nil"/>
            </w:tcBorders>
            <w:shd w:val="clear" w:color="auto" w:fill="47A7A8"/>
          </w:tcPr>
          <w:p>
            <w:pPr>
              <w:pStyle w:val="TableParagraph"/>
              <w:spacing w:before="44"/>
              <w:ind w:left="79"/>
              <w:rPr>
                <w:rFonts w:ascii="Helvetica"/>
                <w:b/>
                <w:sz w:val="16"/>
              </w:rPr>
            </w:pPr>
            <w:r>
              <w:rPr>
                <w:rFonts w:ascii="Helvetica"/>
                <w:b/>
                <w:color w:val="FFFFFF"/>
                <w:sz w:val="16"/>
              </w:rPr>
              <w:t>GENERIC UNDERSTANDING OF CULTURE</w:t>
            </w:r>
          </w:p>
        </w:tc>
        <w:tc>
          <w:tcPr>
            <w:tcW w:w="1316" w:type="dxa"/>
            <w:shd w:val="clear" w:color="auto" w:fill="C7DDDE"/>
          </w:tcPr>
          <w:p>
            <w:pPr>
              <w:pStyle w:val="TableParagraph"/>
              <w:rPr>
                <w:rFonts w:ascii="Times New Roman"/>
                <w:sz w:val="20"/>
              </w:rPr>
            </w:pPr>
          </w:p>
        </w:tc>
        <w:tc>
          <w:tcPr>
            <w:tcW w:w="1305" w:type="dxa"/>
            <w:shd w:val="clear" w:color="auto" w:fill="C7DDDE"/>
          </w:tcPr>
          <w:p>
            <w:pPr>
              <w:pStyle w:val="TableParagraph"/>
              <w:rPr>
                <w:rFonts w:ascii="Times New Roman"/>
                <w:sz w:val="20"/>
              </w:rPr>
            </w:pPr>
          </w:p>
        </w:tc>
        <w:tc>
          <w:tcPr>
            <w:tcW w:w="1305" w:type="dxa"/>
            <w:shd w:val="clear" w:color="auto" w:fill="C7DDDE"/>
          </w:tcPr>
          <w:p>
            <w:pPr>
              <w:pStyle w:val="TableParagraph"/>
              <w:rPr>
                <w:rFonts w:ascii="Times New Roman"/>
                <w:sz w:val="20"/>
              </w:rPr>
            </w:pPr>
          </w:p>
        </w:tc>
        <w:tc>
          <w:tcPr>
            <w:tcW w:w="1305" w:type="dxa"/>
            <w:shd w:val="clear" w:color="auto" w:fill="C7DDDE"/>
          </w:tcPr>
          <w:p>
            <w:pPr>
              <w:pStyle w:val="TableParagraph"/>
              <w:rPr>
                <w:rFonts w:ascii="Times New Roman"/>
                <w:sz w:val="20"/>
              </w:rPr>
            </w:pPr>
          </w:p>
        </w:tc>
        <w:tc>
          <w:tcPr>
            <w:tcW w:w="1305" w:type="dxa"/>
            <w:shd w:val="clear" w:color="auto" w:fill="C7DDDE"/>
          </w:tcPr>
          <w:p>
            <w:pPr>
              <w:pStyle w:val="TableParagraph"/>
              <w:rPr>
                <w:rFonts w:ascii="Times New Roman"/>
                <w:sz w:val="20"/>
              </w:rPr>
            </w:pPr>
          </w:p>
        </w:tc>
        <w:tc>
          <w:tcPr>
            <w:tcW w:w="1305" w:type="dxa"/>
            <w:shd w:val="clear" w:color="auto" w:fill="C7DDDE"/>
          </w:tcPr>
          <w:p>
            <w:pPr>
              <w:pStyle w:val="TableParagraph"/>
              <w:rPr>
                <w:rFonts w:ascii="Times New Roman"/>
                <w:sz w:val="20"/>
              </w:rPr>
            </w:pPr>
          </w:p>
        </w:tc>
      </w:tr>
    </w:tbl>
    <w:p>
      <w:pPr>
        <w:pStyle w:val="BodyText"/>
        <w:spacing w:before="6"/>
        <w:rPr>
          <w:rFonts w:ascii="Helvetica-LightOblique"/>
          <w:i/>
          <w:sz w:val="23"/>
        </w:rPr>
      </w:pPr>
    </w:p>
    <w:p>
      <w:pPr>
        <w:spacing w:after="0"/>
        <w:rPr>
          <w:rFonts w:ascii="Helvetica-LightOblique"/>
          <w:sz w:val="23"/>
        </w:rPr>
        <w:sectPr>
          <w:pgSz w:w="11910" w:h="16840"/>
          <w:pgMar w:header="0" w:footer="558" w:top="1600" w:bottom="740" w:left="740" w:right="640"/>
        </w:sectPr>
      </w:pPr>
    </w:p>
    <w:p>
      <w:pPr>
        <w:pStyle w:val="BodyText"/>
        <w:spacing w:before="1"/>
        <w:rPr>
          <w:rFonts w:ascii="Helvetica-LightOblique"/>
          <w:i/>
          <w:sz w:val="9"/>
        </w:rPr>
      </w:pPr>
    </w:p>
    <w:p>
      <w:pPr>
        <w:pStyle w:val="BodyText"/>
        <w:ind w:left="280" w:right="-58"/>
        <w:rPr>
          <w:rFonts w:ascii="Helvetica-LightOblique"/>
          <w:sz w:val="20"/>
        </w:rPr>
      </w:pPr>
      <w:r>
        <w:rPr>
          <w:rFonts w:ascii="Helvetica-LightOblique"/>
          <w:position w:val="0"/>
          <w:sz w:val="20"/>
        </w:rPr>
        <w:pict>
          <v:shape style="width:224.85pt;height:163.450pt;mso-position-horizontal-relative:char;mso-position-vertical-relative:line" type="#_x0000_t202" filled="false" stroked="true" strokeweight="1pt" strokecolor="#47a7a8">
            <w10:anchorlock/>
            <v:textbox inset="0,0,0,0">
              <w:txbxContent>
                <w:p>
                  <w:pPr>
                    <w:pStyle w:val="BodyText"/>
                    <w:spacing w:line="235" w:lineRule="auto" w:before="231"/>
                    <w:ind w:left="226" w:right="261"/>
                  </w:pPr>
                  <w:r>
                    <w:rPr>
                      <w:color w:val="47A7A8"/>
                    </w:rPr>
                    <w:t>Cultural competence is most effective when it is localised, ongoing and taught on-Country. Teaching on-Country also presents the opportunity to engage local communities in its delivery.</w:t>
                  </w:r>
                </w:p>
                <w:p>
                  <w:pPr>
                    <w:pStyle w:val="BodyText"/>
                    <w:spacing w:line="235" w:lineRule="auto" w:before="165"/>
                    <w:ind w:left="226" w:right="701"/>
                    <w:jc w:val="both"/>
                  </w:pPr>
                  <w:r>
                    <w:rPr>
                      <w:color w:val="47A7A8"/>
                    </w:rPr>
                    <w:t>Given the strong recurring nature of these themes, there would be value in considering these elements in the</w:t>
                  </w:r>
                </w:p>
                <w:p>
                  <w:pPr>
                    <w:pStyle w:val="BodyText"/>
                    <w:spacing w:line="235" w:lineRule="auto"/>
                    <w:ind w:left="226" w:right="220"/>
                  </w:pPr>
                  <w:r>
                    <w:rPr>
                      <w:color w:val="47A7A8"/>
                    </w:rPr>
                    <w:t>development of any NSW public sector- wide framework for cultural competence.</w:t>
                  </w:r>
                </w:p>
              </w:txbxContent>
            </v:textbox>
            <v:stroke dashstyle="solid"/>
          </v:shape>
        </w:pict>
      </w:r>
      <w:r>
        <w:rPr>
          <w:rFonts w:ascii="Helvetica-LightOblique"/>
          <w:position w:val="0"/>
          <w:sz w:val="20"/>
        </w:rPr>
      </w:r>
    </w:p>
    <w:p>
      <w:pPr>
        <w:pStyle w:val="BodyText"/>
        <w:spacing w:before="1"/>
        <w:rPr>
          <w:rFonts w:ascii="Helvetica-LightOblique"/>
          <w:i/>
          <w:sz w:val="26"/>
        </w:rPr>
      </w:pPr>
    </w:p>
    <w:p>
      <w:pPr>
        <w:pStyle w:val="Heading2"/>
      </w:pPr>
      <w:r>
        <w:rPr>
          <w:color w:val="358384"/>
        </w:rPr>
        <w:t>Shift 2: Setting the tone</w:t>
      </w:r>
    </w:p>
    <w:p>
      <w:pPr>
        <w:pStyle w:val="Heading3"/>
      </w:pPr>
      <w:r>
        <w:rPr>
          <w:color w:val="47A7A8"/>
        </w:rPr>
        <w:t>Key findings</w:t>
      </w:r>
    </w:p>
    <w:p>
      <w:pPr>
        <w:pStyle w:val="BodyText"/>
        <w:spacing w:line="235" w:lineRule="auto" w:before="172"/>
        <w:ind w:left="280" w:right="21"/>
      </w:pPr>
      <w:r>
        <w:rPr>
          <w:color w:val="231F20"/>
        </w:rPr>
        <w:t>The ‘tone’ set by the public service for achieving shared outcomes with Aboriginal communities needs to shift. Levers to achieve this change include strong public sector leadership and, support and strengthening career paths for Aboriginal public servants.</w:t>
      </w:r>
    </w:p>
    <w:p>
      <w:pPr>
        <w:spacing w:before="167"/>
        <w:ind w:left="280" w:right="0" w:firstLine="0"/>
        <w:jc w:val="left"/>
        <w:rPr>
          <w:rFonts w:ascii="Helvetica"/>
          <w:i/>
          <w:sz w:val="22"/>
        </w:rPr>
      </w:pPr>
      <w:r>
        <w:rPr>
          <w:rFonts w:ascii="Helvetica"/>
          <w:i/>
          <w:color w:val="47A7A8"/>
          <w:sz w:val="22"/>
        </w:rPr>
        <w:t>Public sector leaders</w:t>
      </w:r>
    </w:p>
    <w:p>
      <w:pPr>
        <w:pStyle w:val="BodyText"/>
        <w:spacing w:line="235" w:lineRule="auto" w:before="173"/>
        <w:ind w:left="280" w:right="217"/>
      </w:pPr>
      <w:r>
        <w:rPr>
          <w:color w:val="231F20"/>
        </w:rPr>
        <w:t>Participants repeatedly raised public sector leadership as an enabler of shared and devolved decision-making.</w:t>
      </w:r>
    </w:p>
    <w:p>
      <w:pPr>
        <w:spacing w:line="244" w:lineRule="auto" w:before="62"/>
        <w:ind w:left="620" w:right="448" w:firstLine="0"/>
        <w:jc w:val="left"/>
        <w:rPr>
          <w:rFonts w:ascii="Helvetica" w:hAnsi="Helvetica"/>
          <w:i/>
          <w:sz w:val="22"/>
        </w:rPr>
      </w:pPr>
      <w:r>
        <w:rPr/>
        <w:br w:type="column"/>
      </w:r>
      <w:r>
        <w:rPr>
          <w:rFonts w:ascii="Helvetica" w:hAnsi="Helvetica"/>
          <w:i/>
          <w:color w:val="A09681"/>
          <w:spacing w:val="-10"/>
          <w:sz w:val="22"/>
        </w:rPr>
        <w:t>“You </w:t>
      </w:r>
      <w:r>
        <w:rPr>
          <w:rFonts w:ascii="Helvetica" w:hAnsi="Helvetica"/>
          <w:i/>
          <w:color w:val="A09681"/>
          <w:spacing w:val="-3"/>
          <w:sz w:val="22"/>
        </w:rPr>
        <w:t>need </w:t>
      </w:r>
      <w:r>
        <w:rPr>
          <w:rFonts w:ascii="Helvetica" w:hAnsi="Helvetica"/>
          <w:i/>
          <w:color w:val="A09681"/>
          <w:sz w:val="22"/>
        </w:rPr>
        <w:t>an </w:t>
      </w:r>
      <w:r>
        <w:rPr>
          <w:rFonts w:ascii="Helvetica" w:hAnsi="Helvetica"/>
          <w:i/>
          <w:color w:val="A09681"/>
          <w:spacing w:val="-4"/>
          <w:sz w:val="22"/>
        </w:rPr>
        <w:t>innovative [public </w:t>
      </w:r>
      <w:r>
        <w:rPr>
          <w:rFonts w:ascii="Helvetica" w:hAnsi="Helvetica"/>
          <w:i/>
          <w:color w:val="A09681"/>
          <w:spacing w:val="-3"/>
          <w:sz w:val="22"/>
        </w:rPr>
        <w:t>service] leader </w:t>
      </w:r>
      <w:r>
        <w:rPr>
          <w:rFonts w:ascii="Helvetica" w:hAnsi="Helvetica"/>
          <w:i/>
          <w:color w:val="A09681"/>
          <w:sz w:val="22"/>
        </w:rPr>
        <w:t>who has a long-term </w:t>
      </w:r>
      <w:r>
        <w:rPr>
          <w:rFonts w:ascii="Helvetica" w:hAnsi="Helvetica"/>
          <w:i/>
          <w:color w:val="A09681"/>
          <w:spacing w:val="-3"/>
          <w:sz w:val="22"/>
        </w:rPr>
        <w:t>commitment to delivering </w:t>
      </w:r>
      <w:r>
        <w:rPr>
          <w:rFonts w:ascii="Helvetica" w:hAnsi="Helvetica"/>
          <w:i/>
          <w:color w:val="A09681"/>
          <w:sz w:val="22"/>
        </w:rPr>
        <w:t>services to </w:t>
      </w:r>
      <w:r>
        <w:rPr>
          <w:rFonts w:ascii="Helvetica" w:hAnsi="Helvetica"/>
          <w:i/>
          <w:color w:val="A09681"/>
          <w:spacing w:val="-3"/>
          <w:sz w:val="22"/>
        </w:rPr>
        <w:t>Aboriginal </w:t>
      </w:r>
      <w:r>
        <w:rPr>
          <w:rFonts w:ascii="Helvetica" w:hAnsi="Helvetica"/>
          <w:i/>
          <w:color w:val="A09681"/>
          <w:spacing w:val="-4"/>
          <w:sz w:val="22"/>
        </w:rPr>
        <w:t>communities </w:t>
      </w:r>
      <w:r>
        <w:rPr>
          <w:rFonts w:ascii="Helvetica" w:hAnsi="Helvetica"/>
          <w:i/>
          <w:color w:val="A09681"/>
          <w:sz w:val="22"/>
        </w:rPr>
        <w:t>and can </w:t>
      </w:r>
      <w:r>
        <w:rPr>
          <w:rFonts w:ascii="Helvetica" w:hAnsi="Helvetica"/>
          <w:i/>
          <w:color w:val="A09681"/>
          <w:spacing w:val="-4"/>
          <w:sz w:val="22"/>
        </w:rPr>
        <w:t>make </w:t>
      </w:r>
      <w:r>
        <w:rPr>
          <w:rFonts w:ascii="Helvetica" w:hAnsi="Helvetica"/>
          <w:i/>
          <w:color w:val="A09681"/>
          <w:spacing w:val="-3"/>
          <w:sz w:val="22"/>
        </w:rPr>
        <w:t>tough decisions </w:t>
      </w:r>
      <w:r>
        <w:rPr>
          <w:rFonts w:ascii="Helvetica" w:hAnsi="Helvetica"/>
          <w:i/>
          <w:color w:val="A09681"/>
          <w:sz w:val="22"/>
        </w:rPr>
        <w:t>and </w:t>
      </w:r>
      <w:r>
        <w:rPr>
          <w:rFonts w:ascii="Helvetica" w:hAnsi="Helvetica"/>
          <w:i/>
          <w:color w:val="A09681"/>
          <w:spacing w:val="-4"/>
          <w:sz w:val="22"/>
        </w:rPr>
        <w:t>stay </w:t>
      </w:r>
      <w:r>
        <w:rPr>
          <w:rFonts w:ascii="Helvetica" w:hAnsi="Helvetica"/>
          <w:i/>
          <w:color w:val="A09681"/>
          <w:sz w:val="22"/>
        </w:rPr>
        <w:t>firm</w:t>
      </w:r>
    </w:p>
    <w:p>
      <w:pPr>
        <w:spacing w:line="244" w:lineRule="auto" w:before="1"/>
        <w:ind w:left="620" w:right="516" w:firstLine="0"/>
        <w:jc w:val="left"/>
        <w:rPr>
          <w:rFonts w:ascii="Helvetica" w:hAnsi="Helvetica"/>
          <w:i/>
          <w:sz w:val="22"/>
        </w:rPr>
      </w:pPr>
      <w:r>
        <w:rPr>
          <w:rFonts w:ascii="Helvetica" w:hAnsi="Helvetica"/>
          <w:i/>
          <w:color w:val="A09681"/>
          <w:sz w:val="22"/>
        </w:rPr>
        <w:t>— not </w:t>
      </w:r>
      <w:r>
        <w:rPr>
          <w:rFonts w:ascii="Helvetica" w:hAnsi="Helvetica"/>
          <w:i/>
          <w:color w:val="A09681"/>
          <w:spacing w:val="-3"/>
          <w:sz w:val="22"/>
        </w:rPr>
        <w:t>being frightened. </w:t>
      </w:r>
      <w:r>
        <w:rPr>
          <w:rFonts w:ascii="Helvetica" w:hAnsi="Helvetica"/>
          <w:i/>
          <w:color w:val="A09681"/>
          <w:spacing w:val="-4"/>
          <w:sz w:val="22"/>
        </w:rPr>
        <w:t>Staying focused </w:t>
      </w:r>
      <w:r>
        <w:rPr>
          <w:rFonts w:ascii="Helvetica" w:hAnsi="Helvetica"/>
          <w:i/>
          <w:color w:val="A09681"/>
          <w:spacing w:val="-3"/>
          <w:sz w:val="22"/>
        </w:rPr>
        <w:t>and </w:t>
      </w:r>
      <w:r>
        <w:rPr>
          <w:rFonts w:ascii="Helvetica" w:hAnsi="Helvetica"/>
          <w:i/>
          <w:color w:val="A09681"/>
          <w:spacing w:val="-8"/>
          <w:sz w:val="22"/>
        </w:rPr>
        <w:t>clear.”</w:t>
      </w:r>
    </w:p>
    <w:p>
      <w:pPr>
        <w:spacing w:line="434" w:lineRule="exact" w:before="33"/>
        <w:ind w:left="679" w:right="625" w:hanging="59"/>
        <w:jc w:val="left"/>
        <w:rPr>
          <w:rFonts w:ascii="Helvetica" w:hAnsi="Helvetica"/>
          <w:i/>
          <w:sz w:val="22"/>
        </w:rPr>
      </w:pPr>
      <w:r>
        <w:rPr>
          <w:rFonts w:ascii="Helvetica" w:hAnsi="Helvetica"/>
          <w:i/>
          <w:color w:val="A09681"/>
          <w:spacing w:val="-3"/>
          <w:sz w:val="22"/>
        </w:rPr>
        <w:t>“Strong leaders </w:t>
      </w:r>
      <w:r>
        <w:rPr>
          <w:rFonts w:ascii="Helvetica" w:hAnsi="Helvetica"/>
          <w:i/>
          <w:color w:val="A09681"/>
          <w:sz w:val="22"/>
        </w:rPr>
        <w:t>can </w:t>
      </w:r>
      <w:r>
        <w:rPr>
          <w:rFonts w:ascii="Helvetica" w:hAnsi="Helvetica"/>
          <w:i/>
          <w:color w:val="A09681"/>
          <w:spacing w:val="-3"/>
          <w:sz w:val="22"/>
        </w:rPr>
        <w:t>change </w:t>
      </w:r>
      <w:r>
        <w:rPr>
          <w:rFonts w:ascii="Helvetica" w:hAnsi="Helvetica"/>
          <w:i/>
          <w:color w:val="A09681"/>
          <w:spacing w:val="-6"/>
          <w:sz w:val="22"/>
        </w:rPr>
        <w:t>cultures.” </w:t>
      </w:r>
      <w:r>
        <w:rPr>
          <w:rFonts w:ascii="Helvetica" w:hAnsi="Helvetica"/>
          <w:i/>
          <w:color w:val="A09681"/>
          <w:spacing w:val="-3"/>
          <w:sz w:val="22"/>
        </w:rPr>
        <w:t>“CEO going </w:t>
      </w:r>
      <w:r>
        <w:rPr>
          <w:rFonts w:ascii="Helvetica" w:hAnsi="Helvetica"/>
          <w:i/>
          <w:color w:val="A09681"/>
          <w:sz w:val="22"/>
        </w:rPr>
        <w:t>out and </w:t>
      </w:r>
      <w:r>
        <w:rPr>
          <w:rFonts w:ascii="Helvetica" w:hAnsi="Helvetica"/>
          <w:i/>
          <w:color w:val="A09681"/>
          <w:spacing w:val="-3"/>
          <w:sz w:val="22"/>
        </w:rPr>
        <w:t>fronting community</w:t>
      </w:r>
      <w:r>
        <w:rPr>
          <w:rFonts w:ascii="Helvetica" w:hAnsi="Helvetica"/>
          <w:i/>
          <w:color w:val="A09681"/>
          <w:spacing w:val="-24"/>
          <w:sz w:val="22"/>
        </w:rPr>
        <w:t> </w:t>
      </w:r>
      <w:r>
        <w:rPr>
          <w:rFonts w:ascii="Helvetica" w:hAnsi="Helvetica"/>
          <w:i/>
          <w:color w:val="A09681"/>
          <w:sz w:val="22"/>
        </w:rPr>
        <w:t>—</w:t>
      </w:r>
    </w:p>
    <w:p>
      <w:pPr>
        <w:spacing w:line="227" w:lineRule="exact" w:before="0"/>
        <w:ind w:left="620" w:right="0" w:firstLine="0"/>
        <w:jc w:val="left"/>
        <w:rPr>
          <w:rFonts w:ascii="Helvetica"/>
          <w:i/>
          <w:sz w:val="22"/>
        </w:rPr>
      </w:pPr>
      <w:r>
        <w:rPr>
          <w:rFonts w:ascii="Helvetica"/>
          <w:i/>
          <w:color w:val="A09681"/>
          <w:spacing w:val="-4"/>
          <w:sz w:val="22"/>
        </w:rPr>
        <w:t>having robust conversations, </w:t>
      </w:r>
      <w:r>
        <w:rPr>
          <w:rFonts w:ascii="Helvetica"/>
          <w:i/>
          <w:color w:val="A09681"/>
          <w:spacing w:val="-3"/>
          <w:sz w:val="22"/>
        </w:rPr>
        <w:t>leading from</w:t>
      </w:r>
      <w:r>
        <w:rPr>
          <w:rFonts w:ascii="Helvetica"/>
          <w:i/>
          <w:color w:val="A09681"/>
          <w:spacing w:val="10"/>
          <w:sz w:val="22"/>
        </w:rPr>
        <w:t> </w:t>
      </w:r>
      <w:r>
        <w:rPr>
          <w:rFonts w:ascii="Helvetica"/>
          <w:i/>
          <w:color w:val="A09681"/>
          <w:spacing w:val="-3"/>
          <w:sz w:val="22"/>
        </w:rPr>
        <w:t>the</w:t>
      </w:r>
    </w:p>
    <w:p>
      <w:pPr>
        <w:spacing w:before="5"/>
        <w:ind w:left="620" w:right="0" w:firstLine="0"/>
        <w:jc w:val="left"/>
        <w:rPr>
          <w:rFonts w:ascii="Helvetica" w:hAnsi="Helvetica"/>
          <w:i/>
          <w:sz w:val="22"/>
        </w:rPr>
      </w:pPr>
      <w:r>
        <w:rPr>
          <w:rFonts w:ascii="Helvetica" w:hAnsi="Helvetica"/>
          <w:i/>
          <w:color w:val="A09681"/>
          <w:spacing w:val="-3"/>
          <w:sz w:val="22"/>
        </w:rPr>
        <w:t>front, </w:t>
      </w:r>
      <w:r>
        <w:rPr>
          <w:rFonts w:ascii="Helvetica" w:hAnsi="Helvetica"/>
          <w:i/>
          <w:color w:val="A09681"/>
          <w:sz w:val="22"/>
        </w:rPr>
        <w:t>trust </w:t>
      </w:r>
      <w:r>
        <w:rPr>
          <w:rFonts w:ascii="Helvetica" w:hAnsi="Helvetica"/>
          <w:i/>
          <w:color w:val="A09681"/>
          <w:spacing w:val="-4"/>
          <w:sz w:val="22"/>
        </w:rPr>
        <w:t>building, always following</w:t>
      </w:r>
      <w:r>
        <w:rPr>
          <w:rFonts w:ascii="Helvetica" w:hAnsi="Helvetica"/>
          <w:i/>
          <w:color w:val="A09681"/>
          <w:spacing w:val="-1"/>
          <w:sz w:val="22"/>
        </w:rPr>
        <w:t> </w:t>
      </w:r>
      <w:r>
        <w:rPr>
          <w:rFonts w:ascii="Helvetica" w:hAnsi="Helvetica"/>
          <w:i/>
          <w:color w:val="A09681"/>
          <w:spacing w:val="-6"/>
          <w:sz w:val="22"/>
        </w:rPr>
        <w:t>through.”</w:t>
      </w:r>
    </w:p>
    <w:p>
      <w:pPr>
        <w:pStyle w:val="BodyText"/>
        <w:spacing w:line="235" w:lineRule="auto" w:before="174"/>
        <w:ind w:left="280" w:right="534"/>
      </w:pPr>
      <w:r>
        <w:rPr>
          <w:color w:val="231F20"/>
        </w:rPr>
        <w:t>Participants identified positive examples of public sector leaders who have worked with Aboriginal communities. Participants valued leaders who matched rhetoric with practice, and suggested the following characteristics of good leaders.</w:t>
      </w:r>
    </w:p>
    <w:p>
      <w:pPr>
        <w:pStyle w:val="ListParagraph"/>
        <w:numPr>
          <w:ilvl w:val="0"/>
          <w:numId w:val="2"/>
        </w:numPr>
        <w:tabs>
          <w:tab w:pos="621" w:val="left" w:leader="none"/>
        </w:tabs>
        <w:spacing w:line="235" w:lineRule="auto" w:before="164" w:after="0"/>
        <w:ind w:left="620" w:right="863" w:hanging="227"/>
        <w:jc w:val="both"/>
        <w:rPr>
          <w:sz w:val="22"/>
        </w:rPr>
      </w:pPr>
      <w:r>
        <w:rPr>
          <w:color w:val="231F20"/>
          <w:sz w:val="22"/>
        </w:rPr>
        <w:t>Communicating a clear vision, purpose and process for improved outcomes </w:t>
      </w:r>
      <w:r>
        <w:rPr>
          <w:color w:val="231F20"/>
          <w:spacing w:val="-6"/>
          <w:sz w:val="22"/>
        </w:rPr>
        <w:t>for </w:t>
      </w:r>
      <w:r>
        <w:rPr>
          <w:color w:val="231F20"/>
          <w:sz w:val="22"/>
        </w:rPr>
        <w:t>Aboriginal people in </w:t>
      </w:r>
      <w:r>
        <w:rPr>
          <w:color w:val="231F20"/>
          <w:spacing w:val="-5"/>
          <w:sz w:val="22"/>
        </w:rPr>
        <w:t>NSW.</w:t>
      </w:r>
    </w:p>
    <w:p>
      <w:pPr>
        <w:pStyle w:val="ListParagraph"/>
        <w:numPr>
          <w:ilvl w:val="0"/>
          <w:numId w:val="2"/>
        </w:numPr>
        <w:tabs>
          <w:tab w:pos="621" w:val="left" w:leader="none"/>
        </w:tabs>
        <w:spacing w:line="235" w:lineRule="auto" w:before="167" w:after="0"/>
        <w:ind w:left="620" w:right="883" w:hanging="227"/>
        <w:jc w:val="both"/>
        <w:rPr>
          <w:sz w:val="22"/>
        </w:rPr>
      </w:pPr>
      <w:r>
        <w:rPr>
          <w:color w:val="231F20"/>
          <w:sz w:val="22"/>
        </w:rPr>
        <w:t>Leading by example in getting out of the office and into communities to</w:t>
      </w:r>
      <w:r>
        <w:rPr>
          <w:color w:val="231F20"/>
          <w:spacing w:val="-1"/>
          <w:sz w:val="22"/>
        </w:rPr>
        <w:t> </w:t>
      </w:r>
      <w:r>
        <w:rPr>
          <w:color w:val="231F20"/>
          <w:spacing w:val="-4"/>
          <w:sz w:val="22"/>
        </w:rPr>
        <w:t>build</w:t>
      </w:r>
    </w:p>
    <w:p>
      <w:pPr>
        <w:pStyle w:val="BodyText"/>
        <w:spacing w:line="235" w:lineRule="auto"/>
        <w:ind w:left="620" w:right="525"/>
      </w:pPr>
      <w:r>
        <w:rPr>
          <w:color w:val="231F20"/>
        </w:rPr>
        <w:t>relationships with Aboriginal organisations, community members and representatives, and not just when there are difficult or contentious issues. Leaders are not afraid</w:t>
      </w:r>
    </w:p>
    <w:p>
      <w:pPr>
        <w:spacing w:after="0" w:line="235" w:lineRule="auto"/>
        <w:sectPr>
          <w:type w:val="continuous"/>
          <w:pgSz w:w="11910" w:h="16840"/>
          <w:pgMar w:top="1580" w:bottom="280" w:left="740" w:right="640"/>
          <w:cols w:num="2" w:equalWidth="0">
            <w:col w:w="4809" w:space="350"/>
            <w:col w:w="5371"/>
          </w:cols>
        </w:sect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after="0"/>
        <w:rPr>
          <w:sz w:val="21"/>
        </w:rPr>
        <w:sectPr>
          <w:pgSz w:w="11910" w:h="16840"/>
          <w:pgMar w:header="0" w:footer="558" w:top="1600" w:bottom="740" w:left="740" w:right="640"/>
        </w:sectPr>
      </w:pPr>
    </w:p>
    <w:p>
      <w:pPr>
        <w:spacing w:line="232" w:lineRule="auto" w:before="106"/>
        <w:ind w:left="620" w:right="9" w:firstLine="0"/>
        <w:jc w:val="left"/>
        <w:rPr>
          <w:sz w:val="22"/>
        </w:rPr>
      </w:pPr>
      <w:r>
        <w:rPr>
          <w:color w:val="231F20"/>
          <w:sz w:val="22"/>
        </w:rPr>
        <w:t>of hearing people’s anger in these situations, but genuinely listen– </w:t>
      </w:r>
      <w:r>
        <w:rPr>
          <w:rFonts w:ascii="Helvetica-LightOblique" w:hAnsi="Helvetica-LightOblique"/>
          <w:i/>
          <w:color w:val="231F20"/>
          <w:sz w:val="22"/>
        </w:rPr>
        <w:t>“leaders who are willing to give away their power” </w:t>
      </w:r>
      <w:r>
        <w:rPr>
          <w:color w:val="231F20"/>
          <w:sz w:val="22"/>
        </w:rPr>
        <w:t>– and make it a priority to engage with cultural events such as NAIDOC.</w:t>
      </w:r>
    </w:p>
    <w:p>
      <w:pPr>
        <w:pStyle w:val="ListParagraph"/>
        <w:numPr>
          <w:ilvl w:val="0"/>
          <w:numId w:val="2"/>
        </w:numPr>
        <w:tabs>
          <w:tab w:pos="621" w:val="left" w:leader="none"/>
        </w:tabs>
        <w:spacing w:line="235" w:lineRule="auto" w:before="167" w:after="0"/>
        <w:ind w:left="620" w:right="51" w:hanging="227"/>
        <w:jc w:val="left"/>
        <w:rPr>
          <w:sz w:val="22"/>
        </w:rPr>
      </w:pPr>
      <w:r>
        <w:rPr>
          <w:color w:val="231F20"/>
          <w:sz w:val="22"/>
        </w:rPr>
        <w:t>Devolving decision-making to public servants who are closer to the communities, rather than holding all decision-making power in Sydney </w:t>
      </w:r>
      <w:r>
        <w:rPr>
          <w:color w:val="231F20"/>
          <w:spacing w:val="-7"/>
          <w:sz w:val="22"/>
        </w:rPr>
        <w:t>or, </w:t>
      </w:r>
      <w:r>
        <w:rPr>
          <w:color w:val="231F20"/>
          <w:sz w:val="22"/>
        </w:rPr>
        <w:t>if that is not possible, taking the decision makers to the community rather than requiring the community to come to the decision makers.</w:t>
      </w:r>
    </w:p>
    <w:p>
      <w:pPr>
        <w:pStyle w:val="ListParagraph"/>
        <w:numPr>
          <w:ilvl w:val="0"/>
          <w:numId w:val="2"/>
        </w:numPr>
        <w:tabs>
          <w:tab w:pos="621" w:val="left" w:leader="none"/>
        </w:tabs>
        <w:spacing w:line="232" w:lineRule="auto" w:before="165" w:after="0"/>
        <w:ind w:left="620" w:right="250" w:hanging="227"/>
        <w:jc w:val="left"/>
        <w:rPr>
          <w:rFonts w:ascii="Helvetica-LightOblique" w:hAnsi="Helvetica-LightOblique"/>
          <w:i/>
          <w:sz w:val="22"/>
        </w:rPr>
      </w:pPr>
      <w:r>
        <w:rPr>
          <w:color w:val="231F20"/>
          <w:sz w:val="22"/>
        </w:rPr>
        <w:t>Fostering a culture that allows failure and learning. Innovation is essential when working with communities on complex issues where past outcomes have been </w:t>
      </w:r>
      <w:r>
        <w:rPr>
          <w:color w:val="231F20"/>
          <w:spacing w:val="-5"/>
          <w:sz w:val="22"/>
        </w:rPr>
        <w:t>poor. </w:t>
      </w:r>
      <w:r>
        <w:rPr>
          <w:rFonts w:ascii="Helvetica-LightOblique" w:hAnsi="Helvetica-LightOblique"/>
          <w:i/>
          <w:color w:val="231F20"/>
          <w:sz w:val="22"/>
        </w:rPr>
        <w:t>“Government needs to let go of constant fear of repercussions if things don’t work out and a level of</w:t>
      </w:r>
      <w:r>
        <w:rPr>
          <w:rFonts w:ascii="Helvetica-LightOblique" w:hAnsi="Helvetica-LightOblique"/>
          <w:i/>
          <w:color w:val="231F20"/>
          <w:spacing w:val="-20"/>
          <w:sz w:val="22"/>
        </w:rPr>
        <w:t> </w:t>
      </w:r>
      <w:r>
        <w:rPr>
          <w:rFonts w:ascii="Helvetica-LightOblique" w:hAnsi="Helvetica-LightOblique"/>
          <w:i/>
          <w:color w:val="231F20"/>
          <w:sz w:val="22"/>
        </w:rPr>
        <w:t>accountability that makes us very nervous about making decisions. We need to focus on what is actually working in communities.”</w:t>
      </w:r>
    </w:p>
    <w:p>
      <w:pPr>
        <w:pStyle w:val="BodyText"/>
        <w:spacing w:line="235" w:lineRule="auto" w:before="156"/>
        <w:ind w:left="620" w:right="276"/>
      </w:pPr>
      <w:r>
        <w:rPr>
          <w:color w:val="231F20"/>
        </w:rPr>
        <w:t>A good example of this was discussed where a Secretary authorised a genuine co-design process for a complex issue without any preconceived expectation of the outcome, and then followed through by supporting the outcome. This example contrasts with what Parker and Gallagher (2007) term an 'empty promise' – the </w:t>
      </w:r>
      <w:r>
        <w:rPr>
          <w:color w:val="231F20"/>
          <w:spacing w:val="-7"/>
        </w:rPr>
        <w:t>more </w:t>
      </w:r>
      <w:r>
        <w:rPr>
          <w:color w:val="231F20"/>
        </w:rPr>
        <w:t>familiar experience of participants. Many discussed the way top-down control can inhibit potentially innovative solutions. The systematic review indicates this is likely to occur when consultation with community</w:t>
      </w:r>
    </w:p>
    <w:p>
      <w:pPr>
        <w:pStyle w:val="BodyText"/>
        <w:spacing w:line="235" w:lineRule="auto"/>
        <w:ind w:left="620" w:right="120"/>
      </w:pPr>
      <w:r>
        <w:rPr>
          <w:color w:val="231F20"/>
        </w:rPr>
        <w:t>members has no bearing on final decisions, and where bottom-up decision-making continues to be undermined by top-down directives (Walsh et al 2006).</w:t>
      </w:r>
    </w:p>
    <w:p>
      <w:pPr>
        <w:pStyle w:val="ListParagraph"/>
        <w:numPr>
          <w:ilvl w:val="0"/>
          <w:numId w:val="2"/>
        </w:numPr>
        <w:tabs>
          <w:tab w:pos="621" w:val="left" w:leader="none"/>
        </w:tabs>
        <w:spacing w:line="235" w:lineRule="auto" w:before="154" w:after="0"/>
        <w:ind w:left="620" w:right="102" w:hanging="227"/>
        <w:jc w:val="left"/>
        <w:rPr>
          <w:sz w:val="22"/>
        </w:rPr>
      </w:pPr>
      <w:r>
        <w:rPr>
          <w:color w:val="231F20"/>
          <w:sz w:val="22"/>
        </w:rPr>
        <w:t>Practising reflective learning. A </w:t>
      </w:r>
      <w:r>
        <w:rPr>
          <w:color w:val="231F20"/>
          <w:spacing w:val="-3"/>
          <w:sz w:val="22"/>
        </w:rPr>
        <w:t>good leader does </w:t>
      </w:r>
      <w:r>
        <w:rPr>
          <w:color w:val="231F20"/>
          <w:sz w:val="22"/>
        </w:rPr>
        <w:t>not </w:t>
      </w:r>
      <w:r>
        <w:rPr>
          <w:color w:val="231F20"/>
          <w:spacing w:val="-3"/>
          <w:sz w:val="22"/>
        </w:rPr>
        <w:t>accept poor outcomes </w:t>
      </w:r>
      <w:r>
        <w:rPr>
          <w:color w:val="231F20"/>
          <w:sz w:val="22"/>
        </w:rPr>
        <w:t>as the </w:t>
      </w:r>
      <w:r>
        <w:rPr>
          <w:color w:val="231F20"/>
          <w:spacing w:val="-3"/>
          <w:sz w:val="22"/>
        </w:rPr>
        <w:t>norm, </w:t>
      </w:r>
      <w:r>
        <w:rPr>
          <w:color w:val="231F20"/>
          <w:sz w:val="22"/>
        </w:rPr>
        <w:t>but </w:t>
      </w:r>
      <w:r>
        <w:rPr>
          <w:color w:val="231F20"/>
          <w:spacing w:val="-3"/>
          <w:sz w:val="22"/>
        </w:rPr>
        <w:t>continually asks, ‘Why </w:t>
      </w:r>
      <w:r>
        <w:rPr>
          <w:color w:val="231F20"/>
          <w:sz w:val="22"/>
        </w:rPr>
        <w:t>is </w:t>
      </w:r>
      <w:r>
        <w:rPr>
          <w:color w:val="231F20"/>
          <w:spacing w:val="-3"/>
          <w:sz w:val="22"/>
        </w:rPr>
        <w:t>that </w:t>
      </w:r>
      <w:r>
        <w:rPr>
          <w:color w:val="231F20"/>
          <w:sz w:val="22"/>
        </w:rPr>
        <w:t>the </w:t>
      </w:r>
      <w:r>
        <w:rPr>
          <w:color w:val="231F20"/>
          <w:spacing w:val="-3"/>
          <w:sz w:val="22"/>
        </w:rPr>
        <w:t>case?’ </w:t>
      </w:r>
      <w:r>
        <w:rPr>
          <w:color w:val="231F20"/>
          <w:sz w:val="22"/>
        </w:rPr>
        <w:t>and </w:t>
      </w:r>
      <w:r>
        <w:rPr>
          <w:color w:val="231F20"/>
          <w:spacing w:val="-3"/>
          <w:sz w:val="22"/>
        </w:rPr>
        <w:t>encourages </w:t>
      </w:r>
      <w:r>
        <w:rPr>
          <w:color w:val="231F20"/>
          <w:spacing w:val="-4"/>
          <w:sz w:val="22"/>
        </w:rPr>
        <w:t>staff </w:t>
      </w:r>
      <w:r>
        <w:rPr>
          <w:color w:val="231F20"/>
          <w:sz w:val="22"/>
        </w:rPr>
        <w:t>to do the</w:t>
      </w:r>
      <w:r>
        <w:rPr>
          <w:color w:val="231F20"/>
          <w:spacing w:val="-27"/>
          <w:sz w:val="22"/>
        </w:rPr>
        <w:t> </w:t>
      </w:r>
      <w:r>
        <w:rPr>
          <w:color w:val="231F20"/>
          <w:spacing w:val="-3"/>
          <w:sz w:val="22"/>
        </w:rPr>
        <w:t>same.</w:t>
      </w:r>
    </w:p>
    <w:p>
      <w:pPr>
        <w:pStyle w:val="BodyText"/>
        <w:spacing w:line="235" w:lineRule="auto" w:before="166"/>
        <w:ind w:left="280" w:right="276"/>
      </w:pPr>
      <w:r>
        <w:rPr>
          <w:color w:val="231F20"/>
        </w:rPr>
        <w:t>Many of the above characteristics are consistent with the continuum of cultural</w:t>
      </w:r>
    </w:p>
    <w:p>
      <w:pPr>
        <w:pStyle w:val="BodyText"/>
        <w:spacing w:line="235" w:lineRule="auto" w:before="104"/>
        <w:ind w:left="280" w:right="423"/>
      </w:pPr>
      <w:r>
        <w:rPr/>
        <w:br w:type="column"/>
      </w:r>
      <w:r>
        <w:rPr>
          <w:color w:val="231F20"/>
        </w:rPr>
        <w:t>competence discussed earlier. The literature also suggests that racial equity initiatives tend to fare better when executive leaders openly support and become active in the process (Abramovitz &amp; Blitz 2015). Participants were able to name good leaders in the public service, but noted that they are the exception rather than the rule. This suggests that good leaders who can develop and promote cultural competence should be given a higher profile.</w:t>
      </w:r>
    </w:p>
    <w:p>
      <w:pPr>
        <w:pStyle w:val="BodyText"/>
        <w:spacing w:before="156"/>
        <w:ind w:left="280"/>
      </w:pPr>
      <w:r>
        <w:rPr>
          <w:color w:val="231F20"/>
        </w:rPr>
        <w:t>The way forward</w:t>
      </w:r>
    </w:p>
    <w:p>
      <w:pPr>
        <w:pStyle w:val="BodyText"/>
        <w:spacing w:line="235" w:lineRule="auto" w:before="168"/>
        <w:ind w:left="280" w:right="867"/>
      </w:pPr>
      <w:r>
        <w:rPr>
          <w:color w:val="231F20"/>
        </w:rPr>
        <w:t>We suggest the leadership characteristics outlined above are best at enabling  shared and devolved  decision-making with Aboriginal communities, </w:t>
      </w:r>
      <w:r>
        <w:rPr>
          <w:color w:val="231F20"/>
          <w:spacing w:val="2"/>
        </w:rPr>
        <w:t>particularly </w:t>
      </w:r>
      <w:r>
        <w:rPr>
          <w:color w:val="231F20"/>
        </w:rPr>
        <w:t>when they are coupled with astute cultural competence. We note the NSW </w:t>
      </w:r>
      <w:r>
        <w:rPr>
          <w:color w:val="231F20"/>
          <w:spacing w:val="2"/>
        </w:rPr>
        <w:t>Public </w:t>
      </w:r>
      <w:r>
        <w:rPr>
          <w:color w:val="231F20"/>
        </w:rPr>
        <w:t>Service Commission’s work in</w:t>
      </w:r>
      <w:r>
        <w:rPr>
          <w:color w:val="231F20"/>
          <w:spacing w:val="48"/>
        </w:rPr>
        <w:t> </w:t>
      </w:r>
      <w:r>
        <w:rPr>
          <w:color w:val="231F20"/>
        </w:rPr>
        <w:t>developing</w:t>
      </w:r>
    </w:p>
    <w:p>
      <w:pPr>
        <w:pStyle w:val="BodyText"/>
        <w:spacing w:line="235" w:lineRule="auto"/>
        <w:ind w:left="280" w:right="302"/>
      </w:pPr>
      <w:r>
        <w:rPr>
          <w:color w:val="231F20"/>
        </w:rPr>
        <w:t>public-sector leaders and, in particular, the identification of leadership styles which foster high-performing organisations. There are similarities between the leadership styles identified by the commission and those identified in this research – for example, authenticity, development orientation (including collaboration), and people-development.</w:t>
      </w:r>
    </w:p>
    <w:p>
      <w:pPr>
        <w:pStyle w:val="BodyText"/>
        <w:spacing w:line="235" w:lineRule="auto" w:before="156"/>
        <w:ind w:left="280" w:right="638"/>
      </w:pPr>
      <w:r>
        <w:rPr>
          <w:color w:val="231F20"/>
        </w:rPr>
        <w:t>If public sector leaders are required or encouraged to demonstrate  clearly  that they are committed to developing their </w:t>
      </w:r>
      <w:r>
        <w:rPr>
          <w:color w:val="231F20"/>
          <w:spacing w:val="2"/>
        </w:rPr>
        <w:t>own </w:t>
      </w:r>
      <w:r>
        <w:rPr>
          <w:color w:val="231F20"/>
        </w:rPr>
        <w:t>cultural competence and that of their staff, their example is likely to shift attitudes about working collaboratively with Aboriginal </w:t>
      </w:r>
      <w:r>
        <w:rPr>
          <w:color w:val="231F20"/>
          <w:spacing w:val="2"/>
        </w:rPr>
        <w:t>communities.</w:t>
      </w:r>
    </w:p>
    <w:p>
      <w:pPr>
        <w:pStyle w:val="BodyText"/>
        <w:spacing w:before="8"/>
        <w:rPr>
          <w:sz w:val="29"/>
        </w:rPr>
      </w:pPr>
      <w:r>
        <w:rPr/>
        <w:pict>
          <v:shape style="position:absolute;margin-left:309.476013pt;margin-top:20.71566pt;width:228.65pt;height:145.75pt;mso-position-horizontal-relative:page;mso-position-vertical-relative:paragraph;z-index:32;mso-wrap-distance-left:0;mso-wrap-distance-right:0" type="#_x0000_t202" filled="false" stroked="true" strokeweight="1pt" strokecolor="#47a7a8">
            <v:textbox inset="0,0,0,0">
              <w:txbxContent>
                <w:p>
                  <w:pPr>
                    <w:pStyle w:val="BodyText"/>
                    <w:spacing w:before="5"/>
                    <w:rPr>
                      <w:sz w:val="23"/>
                    </w:rPr>
                  </w:pPr>
                </w:p>
                <w:p>
                  <w:pPr>
                    <w:pStyle w:val="BodyText"/>
                    <w:spacing w:line="235" w:lineRule="auto"/>
                    <w:ind w:left="283" w:right="530"/>
                  </w:pPr>
                  <w:r>
                    <w:rPr>
                      <w:color w:val="47A7A8"/>
                    </w:rPr>
                    <w:t>High performing public sector </w:t>
                  </w:r>
                  <w:r>
                    <w:rPr>
                      <w:color w:val="47A7A8"/>
                      <w:spacing w:val="-3"/>
                    </w:rPr>
                    <w:t>leaders </w:t>
                  </w:r>
                  <w:r>
                    <w:rPr>
                      <w:color w:val="47A7A8"/>
                    </w:rPr>
                    <w:t>with an ongoing commitment to strong cultural competence were identified as the most likely to set the tone for collaboration with Aboriginal</w:t>
                  </w:r>
                </w:p>
                <w:p>
                  <w:pPr>
                    <w:pStyle w:val="BodyText"/>
                    <w:spacing w:line="235" w:lineRule="auto"/>
                    <w:ind w:left="283" w:right="72"/>
                  </w:pPr>
                  <w:r>
                    <w:rPr>
                      <w:color w:val="47A7A8"/>
                    </w:rPr>
                    <w:t>communities. A process that recognises and shares leadership success may deliver wider value across the public sector.</w:t>
                  </w:r>
                </w:p>
              </w:txbxContent>
            </v:textbox>
            <v:stroke dashstyle="solid"/>
            <w10:wrap type="topAndBottom"/>
          </v:shape>
        </w:pict>
      </w:r>
    </w:p>
    <w:p>
      <w:pPr>
        <w:spacing w:after="0"/>
        <w:rPr>
          <w:sz w:val="29"/>
        </w:rPr>
        <w:sectPr>
          <w:type w:val="continuous"/>
          <w:pgSz w:w="11910" w:h="16840"/>
          <w:pgMar w:top="1580" w:bottom="280" w:left="740" w:right="640"/>
          <w:cols w:num="2" w:equalWidth="0">
            <w:col w:w="5064" w:space="133"/>
            <w:col w:w="5333"/>
          </w:cols>
        </w:sectPr>
      </w:pPr>
    </w:p>
    <w:p>
      <w:pPr>
        <w:pStyle w:val="BodyText"/>
        <w:rPr>
          <w:sz w:val="20"/>
        </w:rPr>
      </w:pPr>
    </w:p>
    <w:p>
      <w:pPr>
        <w:pStyle w:val="BodyText"/>
        <w:rPr>
          <w:sz w:val="20"/>
        </w:rPr>
      </w:pPr>
    </w:p>
    <w:p>
      <w:pPr>
        <w:pStyle w:val="BodyText"/>
        <w:rPr>
          <w:sz w:val="20"/>
        </w:rPr>
      </w:pPr>
    </w:p>
    <w:p>
      <w:pPr>
        <w:pStyle w:val="BodyText"/>
        <w:spacing w:before="9"/>
        <w:rPr>
          <w:sz w:val="20"/>
        </w:rPr>
      </w:pPr>
    </w:p>
    <w:p>
      <w:pPr>
        <w:spacing w:after="0"/>
        <w:rPr>
          <w:sz w:val="20"/>
        </w:rPr>
        <w:sectPr>
          <w:pgSz w:w="11910" w:h="16840"/>
          <w:pgMar w:header="0" w:footer="558" w:top="1600" w:bottom="740" w:left="740" w:right="640"/>
        </w:sectPr>
      </w:pPr>
    </w:p>
    <w:p>
      <w:pPr>
        <w:spacing w:before="62"/>
        <w:ind w:left="280" w:right="0" w:firstLine="0"/>
        <w:jc w:val="left"/>
        <w:rPr>
          <w:rFonts w:ascii="Helvetica"/>
          <w:i/>
          <w:sz w:val="22"/>
        </w:rPr>
      </w:pPr>
      <w:r>
        <w:rPr>
          <w:rFonts w:ascii="Helvetica"/>
          <w:i/>
          <w:color w:val="47A7A8"/>
          <w:sz w:val="22"/>
        </w:rPr>
        <w:t>Aboriginal public servants</w:t>
      </w:r>
    </w:p>
    <w:p>
      <w:pPr>
        <w:pStyle w:val="BodyText"/>
        <w:spacing w:line="235" w:lineRule="auto" w:before="173"/>
        <w:ind w:left="280" w:right="203"/>
      </w:pPr>
      <w:r>
        <w:rPr>
          <w:color w:val="231F20"/>
        </w:rPr>
        <w:t>Participants were united in their view that Aboriginal staff in the public service play a critical role in shifting the way government interacts with communities, and help greatly to develop the cultural competence of non-</w:t>
      </w:r>
    </w:p>
    <w:p>
      <w:pPr>
        <w:pStyle w:val="BodyText"/>
        <w:spacing w:line="235" w:lineRule="auto"/>
        <w:ind w:left="280" w:right="44"/>
      </w:pPr>
      <w:r>
        <w:rPr>
          <w:color w:val="231F20"/>
        </w:rPr>
        <w:t>Aboriginal staff. Two important themes emerged: first, the need to attract, support and retain Aboriginal staff, and second, the need for more Aboriginal people in senior decision- making roles in the public service.</w:t>
      </w:r>
    </w:p>
    <w:p>
      <w:pPr>
        <w:spacing w:line="244" w:lineRule="auto" w:before="163"/>
        <w:ind w:left="620" w:right="155" w:firstLine="0"/>
        <w:jc w:val="left"/>
        <w:rPr>
          <w:rFonts w:ascii="Helvetica" w:hAnsi="Helvetica"/>
          <w:i/>
          <w:sz w:val="22"/>
        </w:rPr>
      </w:pPr>
      <w:r>
        <w:rPr>
          <w:rFonts w:ascii="Helvetica" w:hAnsi="Helvetica"/>
          <w:i/>
          <w:color w:val="A09681"/>
          <w:spacing w:val="-4"/>
          <w:sz w:val="22"/>
        </w:rPr>
        <w:t>“We </w:t>
      </w:r>
      <w:r>
        <w:rPr>
          <w:rFonts w:ascii="Helvetica" w:hAnsi="Helvetica"/>
          <w:i/>
          <w:color w:val="A09681"/>
          <w:spacing w:val="-5"/>
          <w:sz w:val="22"/>
        </w:rPr>
        <w:t>have </w:t>
      </w:r>
      <w:r>
        <w:rPr>
          <w:rFonts w:ascii="Helvetica" w:hAnsi="Helvetica"/>
          <w:i/>
          <w:color w:val="A09681"/>
          <w:spacing w:val="-3"/>
          <w:sz w:val="22"/>
        </w:rPr>
        <w:t>Aboriginal workers </w:t>
      </w:r>
      <w:r>
        <w:rPr>
          <w:rFonts w:ascii="Helvetica" w:hAnsi="Helvetica"/>
          <w:i/>
          <w:color w:val="A09681"/>
          <w:sz w:val="22"/>
        </w:rPr>
        <w:t>as </w:t>
      </w:r>
      <w:r>
        <w:rPr>
          <w:rFonts w:ascii="Helvetica" w:hAnsi="Helvetica"/>
          <w:i/>
          <w:color w:val="A09681"/>
          <w:spacing w:val="-3"/>
          <w:sz w:val="22"/>
        </w:rPr>
        <w:t>front line </w:t>
      </w:r>
      <w:r>
        <w:rPr>
          <w:rFonts w:ascii="Helvetica" w:hAnsi="Helvetica"/>
          <w:i/>
          <w:color w:val="A09681"/>
          <w:spacing w:val="-4"/>
          <w:sz w:val="22"/>
        </w:rPr>
        <w:t>workers, but </w:t>
      </w:r>
      <w:r>
        <w:rPr>
          <w:rFonts w:ascii="Helvetica" w:hAnsi="Helvetica"/>
          <w:i/>
          <w:color w:val="A09681"/>
          <w:spacing w:val="-3"/>
          <w:sz w:val="22"/>
        </w:rPr>
        <w:t>we don’t </w:t>
      </w:r>
      <w:r>
        <w:rPr>
          <w:rFonts w:ascii="Helvetica" w:hAnsi="Helvetica"/>
          <w:i/>
          <w:color w:val="A09681"/>
          <w:spacing w:val="-5"/>
          <w:sz w:val="22"/>
        </w:rPr>
        <w:t>have </w:t>
      </w:r>
      <w:r>
        <w:rPr>
          <w:rFonts w:ascii="Helvetica" w:hAnsi="Helvetica"/>
          <w:i/>
          <w:color w:val="A09681"/>
          <w:spacing w:val="-3"/>
          <w:sz w:val="22"/>
        </w:rPr>
        <w:t>Aboriginal workers </w:t>
      </w:r>
      <w:r>
        <w:rPr>
          <w:rFonts w:ascii="Helvetica" w:hAnsi="Helvetica"/>
          <w:i/>
          <w:color w:val="A09681"/>
          <w:sz w:val="22"/>
        </w:rPr>
        <w:t>in </w:t>
      </w:r>
      <w:r>
        <w:rPr>
          <w:rFonts w:ascii="Helvetica" w:hAnsi="Helvetica"/>
          <w:i/>
          <w:color w:val="A09681"/>
          <w:spacing w:val="-3"/>
          <w:sz w:val="22"/>
        </w:rPr>
        <w:t>management </w:t>
      </w:r>
      <w:r>
        <w:rPr>
          <w:rFonts w:ascii="Helvetica" w:hAnsi="Helvetica"/>
          <w:i/>
          <w:color w:val="A09681"/>
          <w:sz w:val="22"/>
        </w:rPr>
        <w:t>or </w:t>
      </w:r>
      <w:r>
        <w:rPr>
          <w:rFonts w:ascii="Helvetica" w:hAnsi="Helvetica"/>
          <w:i/>
          <w:color w:val="A09681"/>
          <w:spacing w:val="-3"/>
          <w:sz w:val="22"/>
        </w:rPr>
        <w:t>policy </w:t>
      </w:r>
      <w:r>
        <w:rPr>
          <w:rFonts w:ascii="Helvetica" w:hAnsi="Helvetica"/>
          <w:i/>
          <w:color w:val="A09681"/>
          <w:spacing w:val="-5"/>
          <w:sz w:val="22"/>
        </w:rPr>
        <w:t>positions.”</w:t>
      </w:r>
    </w:p>
    <w:p>
      <w:pPr>
        <w:spacing w:line="244" w:lineRule="auto" w:before="171"/>
        <w:ind w:left="620" w:right="170" w:firstLine="0"/>
        <w:jc w:val="left"/>
        <w:rPr>
          <w:rFonts w:ascii="Helvetica" w:hAnsi="Helvetica"/>
          <w:i/>
          <w:sz w:val="22"/>
        </w:rPr>
      </w:pPr>
      <w:r>
        <w:rPr>
          <w:rFonts w:ascii="Helvetica" w:hAnsi="Helvetica"/>
          <w:i/>
          <w:color w:val="A09681"/>
          <w:spacing w:val="-4"/>
          <w:sz w:val="22"/>
        </w:rPr>
        <w:t>“We </w:t>
      </w:r>
      <w:r>
        <w:rPr>
          <w:rFonts w:ascii="Helvetica" w:hAnsi="Helvetica"/>
          <w:i/>
          <w:color w:val="A09681"/>
          <w:spacing w:val="-3"/>
          <w:sz w:val="22"/>
        </w:rPr>
        <w:t>need </w:t>
      </w:r>
      <w:r>
        <w:rPr>
          <w:rFonts w:ascii="Helvetica" w:hAnsi="Helvetica"/>
          <w:i/>
          <w:color w:val="A09681"/>
          <w:sz w:val="22"/>
        </w:rPr>
        <w:t>to support our </w:t>
      </w:r>
      <w:r>
        <w:rPr>
          <w:rFonts w:ascii="Helvetica" w:hAnsi="Helvetica"/>
          <w:i/>
          <w:color w:val="A09681"/>
          <w:spacing w:val="-3"/>
          <w:sz w:val="22"/>
        </w:rPr>
        <w:t>Aboriginal staff better </w:t>
      </w:r>
      <w:r>
        <w:rPr>
          <w:rFonts w:ascii="Helvetica" w:hAnsi="Helvetica"/>
          <w:i/>
          <w:color w:val="A09681"/>
          <w:sz w:val="22"/>
        </w:rPr>
        <w:t>— </w:t>
      </w:r>
      <w:r>
        <w:rPr>
          <w:rFonts w:ascii="Helvetica" w:hAnsi="Helvetica"/>
          <w:i/>
          <w:color w:val="A09681"/>
          <w:spacing w:val="-3"/>
          <w:sz w:val="22"/>
        </w:rPr>
        <w:t>assist them </w:t>
      </w:r>
      <w:r>
        <w:rPr>
          <w:rFonts w:ascii="Helvetica" w:hAnsi="Helvetica"/>
          <w:i/>
          <w:color w:val="A09681"/>
          <w:sz w:val="22"/>
        </w:rPr>
        <w:t>to </w:t>
      </w:r>
      <w:r>
        <w:rPr>
          <w:rFonts w:ascii="Helvetica" w:hAnsi="Helvetica"/>
          <w:i/>
          <w:color w:val="A09681"/>
          <w:spacing w:val="-3"/>
          <w:sz w:val="22"/>
        </w:rPr>
        <w:t>remain </w:t>
      </w:r>
      <w:r>
        <w:rPr>
          <w:rFonts w:ascii="Helvetica" w:hAnsi="Helvetica"/>
          <w:i/>
          <w:color w:val="A09681"/>
          <w:sz w:val="22"/>
        </w:rPr>
        <w:t>in </w:t>
      </w:r>
      <w:r>
        <w:rPr>
          <w:rFonts w:ascii="Helvetica" w:hAnsi="Helvetica"/>
          <w:i/>
          <w:color w:val="A09681"/>
          <w:spacing w:val="-3"/>
          <w:sz w:val="22"/>
        </w:rPr>
        <w:t>their roles </w:t>
      </w:r>
      <w:r>
        <w:rPr>
          <w:rFonts w:ascii="Helvetica" w:hAnsi="Helvetica"/>
          <w:i/>
          <w:color w:val="A09681"/>
          <w:sz w:val="22"/>
        </w:rPr>
        <w:t>and </w:t>
      </w:r>
      <w:r>
        <w:rPr>
          <w:rFonts w:ascii="Helvetica" w:hAnsi="Helvetica"/>
          <w:i/>
          <w:color w:val="A09681"/>
          <w:spacing w:val="-4"/>
          <w:sz w:val="22"/>
        </w:rPr>
        <w:t>stay </w:t>
      </w:r>
      <w:r>
        <w:rPr>
          <w:rFonts w:ascii="Helvetica" w:hAnsi="Helvetica"/>
          <w:i/>
          <w:color w:val="A09681"/>
          <w:spacing w:val="-9"/>
          <w:sz w:val="22"/>
        </w:rPr>
        <w:t>healthy.”</w:t>
      </w:r>
    </w:p>
    <w:p>
      <w:pPr>
        <w:spacing w:line="232" w:lineRule="auto" w:before="171"/>
        <w:ind w:left="280" w:right="0" w:firstLine="0"/>
        <w:jc w:val="left"/>
        <w:rPr>
          <w:sz w:val="22"/>
        </w:rPr>
      </w:pPr>
      <w:r>
        <w:rPr>
          <w:color w:val="231F20"/>
          <w:sz w:val="22"/>
        </w:rPr>
        <w:t>Participants discussed the pressures experienced by Aboriginal public servants </w:t>
      </w:r>
      <w:r>
        <w:rPr>
          <w:rFonts w:ascii="Helvetica-LightOblique" w:hAnsi="Helvetica-LightOblique"/>
          <w:i/>
          <w:color w:val="231F20"/>
          <w:sz w:val="22"/>
        </w:rPr>
        <w:t>“given they’re ‘living it’ day to day and at home too”</w:t>
      </w:r>
      <w:r>
        <w:rPr>
          <w:color w:val="231F20"/>
          <w:sz w:val="22"/>
        </w:rPr>
        <w:t>, and the community’s perception that Aboriginal public servants can solve problems over which they have very little real policy</w:t>
      </w:r>
    </w:p>
    <w:p>
      <w:pPr>
        <w:pStyle w:val="BodyText"/>
        <w:spacing w:line="235" w:lineRule="auto"/>
        <w:ind w:left="280" w:right="175"/>
      </w:pPr>
      <w:r>
        <w:rPr>
          <w:color w:val="231F20"/>
        </w:rPr>
        <w:t>or decision-making </w:t>
      </w:r>
      <w:r>
        <w:rPr>
          <w:color w:val="231F20"/>
          <w:spacing w:val="-4"/>
        </w:rPr>
        <w:t>power. </w:t>
      </w:r>
      <w:r>
        <w:rPr>
          <w:color w:val="231F20"/>
        </w:rPr>
        <w:t>It was noted that Aboriginal staff are often called on to deal with difficult Aboriginal clients or </w:t>
      </w:r>
      <w:r>
        <w:rPr>
          <w:color w:val="231F20"/>
          <w:spacing w:val="-2"/>
        </w:rPr>
        <w:t>negotiations, </w:t>
      </w:r>
      <w:r>
        <w:rPr>
          <w:color w:val="231F20"/>
        </w:rPr>
        <w:t>rather than being seen as a resource to build the capability of other non-Aboriginal staff to</w:t>
      </w:r>
    </w:p>
    <w:p>
      <w:pPr>
        <w:pStyle w:val="BodyText"/>
        <w:spacing w:line="235" w:lineRule="auto"/>
        <w:ind w:left="280" w:right="20"/>
      </w:pPr>
      <w:r>
        <w:rPr>
          <w:color w:val="231F20"/>
        </w:rPr>
        <w:t>work with Aboriginal clients. Regular debriefing and networking opportunities were suggested as a way to support and retain Aboriginal staff who must straddle both worlds.</w:t>
      </w:r>
    </w:p>
    <w:p>
      <w:pPr>
        <w:pStyle w:val="BodyText"/>
        <w:spacing w:line="235" w:lineRule="auto" w:before="159"/>
        <w:ind w:left="280" w:right="159"/>
      </w:pPr>
      <w:r>
        <w:rPr>
          <w:color w:val="231F20"/>
        </w:rPr>
        <w:t>Participants from several agencies suggested the NSW public service should become an employer of choice for Aboriginal people at all levels of </w:t>
      </w:r>
      <w:r>
        <w:rPr>
          <w:color w:val="231F20"/>
          <w:spacing w:val="-3"/>
        </w:rPr>
        <w:t>seniority. </w:t>
      </w:r>
      <w:r>
        <w:rPr>
          <w:color w:val="231F20"/>
        </w:rPr>
        <w:t>The Aboriginal Housing Office was cited as an example: it markets itself directly to Aboriginal communities as a good place to work.</w:t>
      </w:r>
    </w:p>
    <w:p>
      <w:pPr>
        <w:pStyle w:val="BodyText"/>
        <w:spacing w:before="159"/>
        <w:ind w:left="280"/>
      </w:pPr>
      <w:r>
        <w:rPr>
          <w:color w:val="231F20"/>
        </w:rPr>
        <w:t>The way forward</w:t>
      </w:r>
    </w:p>
    <w:p>
      <w:pPr>
        <w:pStyle w:val="BodyText"/>
        <w:spacing w:line="235" w:lineRule="auto" w:before="168"/>
        <w:ind w:left="280" w:right="203"/>
      </w:pPr>
      <w:r>
        <w:rPr>
          <w:color w:val="231F20"/>
        </w:rPr>
        <w:t>Aboriginal staff in the public service should be supported, nurtured and seen as a critical component of a culturally competent NSW public service. However, the public service</w:t>
      </w:r>
    </w:p>
    <w:p>
      <w:pPr>
        <w:spacing w:line="232" w:lineRule="auto" w:before="119"/>
        <w:ind w:left="280" w:right="506" w:firstLine="0"/>
        <w:jc w:val="left"/>
        <w:rPr>
          <w:sz w:val="22"/>
        </w:rPr>
      </w:pPr>
      <w:r>
        <w:rPr/>
        <w:br w:type="column"/>
      </w:r>
      <w:r>
        <w:rPr>
          <w:color w:val="231F20"/>
          <w:sz w:val="22"/>
        </w:rPr>
        <w:t>needs to do better at promoting Aboriginal people into leadership roles. We note that all of these issues are addressed in the </w:t>
      </w:r>
      <w:r>
        <w:rPr>
          <w:rFonts w:ascii="Helvetica-LightOblique"/>
          <w:i/>
          <w:color w:val="231F20"/>
          <w:sz w:val="22"/>
        </w:rPr>
        <w:t>NSW Public Sector Aboriginal Employment Strategy 2014- 15</w:t>
      </w:r>
      <w:r>
        <w:rPr>
          <w:color w:val="231F20"/>
          <w:sz w:val="22"/>
        </w:rPr>
        <w:t>, including its aspirational target that 1.8</w:t>
      </w:r>
    </w:p>
    <w:p>
      <w:pPr>
        <w:pStyle w:val="BodyText"/>
        <w:spacing w:line="232" w:lineRule="auto"/>
        <w:ind w:left="280" w:right="555"/>
      </w:pPr>
      <w:r>
        <w:rPr>
          <w:color w:val="231F20"/>
        </w:rPr>
        <w:t>per cent of staff at all salary bands (including executive roles) be Aboriginal by 2021 – a figure which reflects the Aboriginal civilian population over 15 years in NSW (Aspirational Target, </w:t>
      </w:r>
      <w:r>
        <w:rPr>
          <w:rFonts w:ascii="Helvetica-LightOblique" w:hAnsi="Helvetica-LightOblique"/>
          <w:i/>
          <w:color w:val="231F20"/>
        </w:rPr>
        <w:t>NSW Public Sector Aboriginal Employment Strategy 2014-15</w:t>
      </w:r>
      <w:r>
        <w:rPr>
          <w:color w:val="231F20"/>
        </w:rPr>
        <w:t>, NSW Public Service Commission). Since the strategy was published, the NSW public sector has focused more strongly on leadership development, networking and support for its Aboriginal employees.</w:t>
      </w:r>
    </w:p>
    <w:p>
      <w:pPr>
        <w:pStyle w:val="BodyText"/>
        <w:rPr>
          <w:sz w:val="20"/>
        </w:rPr>
      </w:pPr>
    </w:p>
    <w:p>
      <w:pPr>
        <w:pStyle w:val="BodyText"/>
        <w:spacing w:before="11"/>
        <w:rPr>
          <w:sz w:val="16"/>
        </w:rPr>
      </w:pPr>
      <w:r>
        <w:rPr/>
        <w:pict>
          <v:shape style="position:absolute;margin-left:306.641998pt;margin-top:12.84307pt;width:228.65pt;height:79.75pt;mso-position-horizontal-relative:page;mso-position-vertical-relative:paragraph;z-index:56;mso-wrap-distance-left:0;mso-wrap-distance-right:0" type="#_x0000_t202" filled="false" stroked="true" strokeweight="1pt" strokecolor="#47a7a8">
            <v:textbox inset="0,0,0,0">
              <w:txbxContent>
                <w:p>
                  <w:pPr>
                    <w:pStyle w:val="BodyText"/>
                    <w:spacing w:before="5"/>
                    <w:rPr>
                      <w:sz w:val="23"/>
                    </w:rPr>
                  </w:pPr>
                </w:p>
                <w:p>
                  <w:pPr>
                    <w:pStyle w:val="BodyText"/>
                    <w:spacing w:line="235" w:lineRule="auto"/>
                    <w:ind w:left="283" w:right="704"/>
                  </w:pPr>
                  <w:r>
                    <w:rPr>
                      <w:color w:val="47A7A8"/>
                    </w:rPr>
                    <w:t>Aboriginal public servants should be supported, nurtured and seen </w:t>
                  </w:r>
                  <w:r>
                    <w:rPr>
                      <w:color w:val="47A7A8"/>
                      <w:spacing w:val="-8"/>
                    </w:rPr>
                    <w:t>as </w:t>
                  </w:r>
                  <w:r>
                    <w:rPr>
                      <w:color w:val="47A7A8"/>
                    </w:rPr>
                    <w:t>a critical component of a culturally competent NSW public service.</w:t>
                  </w:r>
                </w:p>
              </w:txbxContent>
            </v:textbox>
            <v:stroke dashstyle="solid"/>
            <w10:wrap type="topAndBottom"/>
          </v:shape>
        </w:pict>
      </w:r>
    </w:p>
    <w:p>
      <w:pPr>
        <w:pStyle w:val="BodyText"/>
        <w:rPr>
          <w:sz w:val="23"/>
        </w:rPr>
      </w:pPr>
    </w:p>
    <w:p>
      <w:pPr>
        <w:pStyle w:val="Heading2"/>
      </w:pPr>
      <w:r>
        <w:rPr>
          <w:color w:val="358384"/>
        </w:rPr>
        <w:t>Shift 3: Big change by starting small</w:t>
      </w:r>
    </w:p>
    <w:p>
      <w:pPr>
        <w:pStyle w:val="Heading3"/>
        <w:spacing w:before="168"/>
      </w:pPr>
      <w:r>
        <w:rPr>
          <w:color w:val="47A7A8"/>
        </w:rPr>
        <w:t>Key findings</w:t>
      </w:r>
    </w:p>
    <w:p>
      <w:pPr>
        <w:spacing w:line="232" w:lineRule="auto" w:before="174"/>
        <w:ind w:left="280" w:right="763" w:firstLine="0"/>
        <w:jc w:val="left"/>
        <w:rPr>
          <w:rFonts w:ascii="Helvetica-LightOblique" w:hAnsi="Helvetica-LightOblique"/>
          <w:i/>
          <w:sz w:val="22"/>
        </w:rPr>
      </w:pPr>
      <w:r>
        <w:rPr>
          <w:color w:val="231F20"/>
          <w:sz w:val="22"/>
        </w:rPr>
        <w:t>Participants reflected on the way structures such as legislation, policies and funding models are enacted. Their lack of flexibility was felt to inhibit closer engagement with Aboriginal communities. </w:t>
      </w:r>
      <w:r>
        <w:rPr>
          <w:rFonts w:ascii="Helvetica-LightOblique" w:hAnsi="Helvetica-LightOblique"/>
          <w:i/>
          <w:color w:val="231F20"/>
          <w:sz w:val="22"/>
        </w:rPr>
        <w:t>“Funding approvals are so complex. We were going to have district budgets to meet district needs.</w:t>
      </w:r>
    </w:p>
    <w:p>
      <w:pPr>
        <w:spacing w:line="232" w:lineRule="auto" w:before="0"/>
        <w:ind w:left="280" w:right="559" w:firstLine="0"/>
        <w:jc w:val="left"/>
        <w:rPr>
          <w:sz w:val="22"/>
        </w:rPr>
      </w:pPr>
      <w:r>
        <w:rPr>
          <w:rFonts w:ascii="Helvetica-LightOblique" w:hAnsi="Helvetica-LightOblique"/>
          <w:i/>
          <w:color w:val="231F20"/>
          <w:spacing w:val="-3"/>
          <w:sz w:val="22"/>
        </w:rPr>
        <w:t>However, </w:t>
      </w:r>
      <w:r>
        <w:rPr>
          <w:rFonts w:ascii="Helvetica-LightOblique" w:hAnsi="Helvetica-LightOblique"/>
          <w:i/>
          <w:color w:val="231F20"/>
          <w:sz w:val="22"/>
        </w:rPr>
        <w:t>we never got control of the budget. The centre is still operating around programs and programs don’t meet the needs of the communities as these decisions are made in Sydney and not at the local level.” </w:t>
      </w:r>
      <w:r>
        <w:rPr>
          <w:color w:val="231F20"/>
          <w:sz w:val="22"/>
        </w:rPr>
        <w:t>The ability to achieve positive outcomes through the application of co-design approaches was shown through examples of small, locally designed initiatives being implemented ‘under the radar’ and within existing structures. </w:t>
      </w:r>
      <w:r>
        <w:rPr>
          <w:color w:val="231F20"/>
          <w:spacing w:val="-4"/>
          <w:sz w:val="22"/>
        </w:rPr>
        <w:t>These </w:t>
      </w:r>
      <w:r>
        <w:rPr>
          <w:color w:val="231F20"/>
          <w:sz w:val="22"/>
        </w:rPr>
        <w:t>initiatives suggest the public service can respond to community needs on a small and local scale, and that this may be an </w:t>
      </w:r>
      <w:r>
        <w:rPr>
          <w:color w:val="231F20"/>
          <w:spacing w:val="-3"/>
          <w:sz w:val="22"/>
        </w:rPr>
        <w:t>easier,</w:t>
      </w:r>
    </w:p>
    <w:p>
      <w:pPr>
        <w:spacing w:after="0" w:line="232" w:lineRule="auto"/>
        <w:jc w:val="left"/>
        <w:rPr>
          <w:sz w:val="22"/>
        </w:rPr>
        <w:sectPr>
          <w:type w:val="continuous"/>
          <w:pgSz w:w="11910" w:h="16840"/>
          <w:pgMar w:top="1580" w:bottom="280" w:left="740" w:right="640"/>
          <w:cols w:num="2" w:equalWidth="0">
            <w:col w:w="4954" w:space="148"/>
            <w:col w:w="5428"/>
          </w:cols>
        </w:sect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0" w:footer="558" w:top="1600" w:bottom="740" w:left="740" w:right="640"/>
        </w:sectPr>
      </w:pPr>
    </w:p>
    <w:p>
      <w:pPr>
        <w:pStyle w:val="BodyText"/>
        <w:spacing w:line="235" w:lineRule="auto" w:before="105"/>
        <w:ind w:left="280" w:right="192"/>
      </w:pPr>
      <w:r>
        <w:rPr>
          <w:color w:val="231F20"/>
        </w:rPr>
        <w:t>more flexible and less risky way to provide more tailored services and outcomes for communities.</w:t>
      </w:r>
    </w:p>
    <w:p>
      <w:pPr>
        <w:pStyle w:val="BodyText"/>
        <w:spacing w:line="235" w:lineRule="auto" w:before="167"/>
        <w:ind w:left="280" w:right="192"/>
      </w:pPr>
      <w:r>
        <w:rPr>
          <w:color w:val="231F20"/>
        </w:rPr>
        <w:t>In particular, our research suggests that shifts in the way funding arrangements operate, in the support provided to Aboriginal community organisations, and in the way public service procurement processes are undertaken, may help communities and smaller Aboriginal organisations to make the most of local opportunities with flow-on economic and wellbeing benefits.</w:t>
      </w:r>
    </w:p>
    <w:p>
      <w:pPr>
        <w:spacing w:line="244" w:lineRule="auto" w:before="163"/>
        <w:ind w:left="620" w:right="192" w:firstLine="0"/>
        <w:jc w:val="left"/>
        <w:rPr>
          <w:rFonts w:ascii="Helvetica" w:hAnsi="Helvetica"/>
          <w:i/>
          <w:sz w:val="22"/>
        </w:rPr>
      </w:pPr>
      <w:r>
        <w:rPr>
          <w:rFonts w:ascii="Helvetica" w:hAnsi="Helvetica"/>
          <w:i/>
          <w:color w:val="A09681"/>
          <w:spacing w:val="-4"/>
          <w:sz w:val="22"/>
        </w:rPr>
        <w:t>“Program </w:t>
      </w:r>
      <w:r>
        <w:rPr>
          <w:rFonts w:ascii="Helvetica" w:hAnsi="Helvetica"/>
          <w:i/>
          <w:color w:val="A09681"/>
          <w:spacing w:val="-3"/>
          <w:sz w:val="22"/>
        </w:rPr>
        <w:t>barriers, funding barriers, no-one wants </w:t>
      </w:r>
      <w:r>
        <w:rPr>
          <w:rFonts w:ascii="Helvetica" w:hAnsi="Helvetica"/>
          <w:i/>
          <w:color w:val="A09681"/>
          <w:sz w:val="22"/>
        </w:rPr>
        <w:t>to </w:t>
      </w:r>
      <w:r>
        <w:rPr>
          <w:rFonts w:ascii="Helvetica" w:hAnsi="Helvetica"/>
          <w:i/>
          <w:color w:val="A09681"/>
          <w:spacing w:val="-4"/>
          <w:sz w:val="22"/>
        </w:rPr>
        <w:t>give </w:t>
      </w:r>
      <w:r>
        <w:rPr>
          <w:rFonts w:ascii="Helvetica" w:hAnsi="Helvetica"/>
          <w:i/>
          <w:color w:val="A09681"/>
          <w:sz w:val="22"/>
        </w:rPr>
        <w:t>up </w:t>
      </w:r>
      <w:r>
        <w:rPr>
          <w:rFonts w:ascii="Helvetica" w:hAnsi="Helvetica"/>
          <w:i/>
          <w:color w:val="A09681"/>
          <w:spacing w:val="-3"/>
          <w:sz w:val="22"/>
        </w:rPr>
        <w:t>their </w:t>
      </w:r>
      <w:r>
        <w:rPr>
          <w:rFonts w:ascii="Helvetica" w:hAnsi="Helvetica"/>
          <w:i/>
          <w:color w:val="A09681"/>
          <w:spacing w:val="-4"/>
          <w:sz w:val="22"/>
        </w:rPr>
        <w:t>money </w:t>
      </w:r>
      <w:r>
        <w:rPr>
          <w:rFonts w:ascii="Helvetica" w:hAnsi="Helvetica"/>
          <w:i/>
          <w:color w:val="A09681"/>
          <w:sz w:val="22"/>
        </w:rPr>
        <w:t>or </w:t>
      </w:r>
      <w:r>
        <w:rPr>
          <w:rFonts w:ascii="Helvetica" w:hAnsi="Helvetica"/>
          <w:i/>
          <w:color w:val="A09681"/>
          <w:spacing w:val="-4"/>
          <w:sz w:val="22"/>
        </w:rPr>
        <w:t>take </w:t>
      </w:r>
      <w:r>
        <w:rPr>
          <w:rFonts w:ascii="Helvetica" w:hAnsi="Helvetica"/>
          <w:i/>
          <w:color w:val="A09681"/>
          <w:spacing w:val="-3"/>
          <w:sz w:val="22"/>
        </w:rPr>
        <w:t>any </w:t>
      </w:r>
      <w:r>
        <w:rPr>
          <w:rFonts w:ascii="Helvetica" w:hAnsi="Helvetica"/>
          <w:i/>
          <w:color w:val="A09681"/>
          <w:sz w:val="22"/>
        </w:rPr>
        <w:t>risks… </w:t>
      </w:r>
      <w:r>
        <w:rPr>
          <w:rFonts w:ascii="Helvetica" w:hAnsi="Helvetica"/>
          <w:i/>
          <w:color w:val="A09681"/>
          <w:spacing w:val="-4"/>
          <w:sz w:val="22"/>
        </w:rPr>
        <w:t>Innovation </w:t>
      </w:r>
      <w:r>
        <w:rPr>
          <w:rFonts w:ascii="Helvetica" w:hAnsi="Helvetica"/>
          <w:i/>
          <w:color w:val="A09681"/>
          <w:spacing w:val="-3"/>
          <w:sz w:val="22"/>
        </w:rPr>
        <w:t>tends </w:t>
      </w:r>
      <w:r>
        <w:rPr>
          <w:rFonts w:ascii="Helvetica" w:hAnsi="Helvetica"/>
          <w:i/>
          <w:color w:val="A09681"/>
          <w:sz w:val="22"/>
        </w:rPr>
        <w:t>to </w:t>
      </w:r>
      <w:r>
        <w:rPr>
          <w:rFonts w:ascii="Helvetica" w:hAnsi="Helvetica"/>
          <w:i/>
          <w:color w:val="A09681"/>
          <w:spacing w:val="-3"/>
          <w:sz w:val="22"/>
        </w:rPr>
        <w:t>happen when District Directors </w:t>
      </w:r>
      <w:r>
        <w:rPr>
          <w:rFonts w:ascii="Helvetica" w:hAnsi="Helvetica"/>
          <w:i/>
          <w:color w:val="A09681"/>
          <w:sz w:val="22"/>
        </w:rPr>
        <w:t>turn a </w:t>
      </w:r>
      <w:r>
        <w:rPr>
          <w:rFonts w:ascii="Helvetica" w:hAnsi="Helvetica"/>
          <w:i/>
          <w:color w:val="A09681"/>
          <w:spacing w:val="-4"/>
          <w:sz w:val="22"/>
        </w:rPr>
        <w:t>blind </w:t>
      </w:r>
      <w:r>
        <w:rPr>
          <w:rFonts w:ascii="Helvetica" w:hAnsi="Helvetica"/>
          <w:i/>
          <w:color w:val="A09681"/>
          <w:spacing w:val="-5"/>
          <w:sz w:val="22"/>
        </w:rPr>
        <w:t>eye </w:t>
      </w:r>
      <w:r>
        <w:rPr>
          <w:rFonts w:ascii="Helvetica" w:hAnsi="Helvetica"/>
          <w:i/>
          <w:color w:val="A09681"/>
          <w:sz w:val="22"/>
        </w:rPr>
        <w:t>to </w:t>
      </w:r>
      <w:r>
        <w:rPr>
          <w:rFonts w:ascii="Helvetica" w:hAnsi="Helvetica"/>
          <w:i/>
          <w:color w:val="A09681"/>
          <w:spacing w:val="-7"/>
          <w:sz w:val="22"/>
        </w:rPr>
        <w:t>that.”</w:t>
      </w:r>
    </w:p>
    <w:p>
      <w:pPr>
        <w:pStyle w:val="BodyText"/>
        <w:spacing w:line="235" w:lineRule="auto" w:before="170"/>
        <w:ind w:left="280" w:right="329"/>
      </w:pPr>
      <w:r>
        <w:rPr>
          <w:color w:val="231F20"/>
        </w:rPr>
        <w:t>The systematic review also highlighted co- design as a good way to foster interaction between local and external stakeholders and, by allowing the community to provide meaningful contributions, to create a sense of ownership – what Ramirez (2008) calls “ownership of the problem and its solution”.</w:t>
      </w:r>
    </w:p>
    <w:p>
      <w:pPr>
        <w:spacing w:before="165"/>
        <w:ind w:left="280" w:right="0" w:firstLine="0"/>
        <w:jc w:val="left"/>
        <w:rPr>
          <w:rFonts w:ascii="Helvetica"/>
          <w:i/>
          <w:sz w:val="22"/>
        </w:rPr>
      </w:pPr>
      <w:r>
        <w:rPr>
          <w:rFonts w:ascii="Helvetica"/>
          <w:i/>
          <w:color w:val="47A7A8"/>
          <w:sz w:val="22"/>
        </w:rPr>
        <w:t>Local micro finance</w:t>
      </w:r>
    </w:p>
    <w:p>
      <w:pPr>
        <w:pStyle w:val="BodyText"/>
        <w:spacing w:line="235" w:lineRule="auto" w:before="173"/>
        <w:ind w:left="280" w:right="17"/>
      </w:pPr>
      <w:r>
        <w:rPr>
          <w:color w:val="231F20"/>
        </w:rPr>
        <w:t>There may be significant benefits from making relatively small investments of public resources. One focus group discussed how an investment of less than $150,000 can go a long way in funding, for example, a three-day gathering of community and government comprising one day spent on Country (in which no ‘business’</w:t>
      </w:r>
    </w:p>
    <w:p>
      <w:pPr>
        <w:pStyle w:val="BodyText"/>
        <w:spacing w:line="235" w:lineRule="auto"/>
        <w:ind w:left="280" w:right="106"/>
      </w:pPr>
      <w:r>
        <w:rPr>
          <w:color w:val="231F20"/>
        </w:rPr>
        <w:t>is done), a second day for talking about issues in an open, sharing way, and a third day for talking about specific business.</w:t>
      </w:r>
    </w:p>
    <w:p>
      <w:pPr>
        <w:pStyle w:val="BodyText"/>
        <w:spacing w:line="235" w:lineRule="auto" w:before="161"/>
        <w:ind w:left="280"/>
      </w:pPr>
      <w:r>
        <w:rPr>
          <w:color w:val="231F20"/>
        </w:rPr>
        <w:t>Introducing the use of localised pooled funding models was suggested as a way to give local service providers more control and flexibility</w:t>
      </w:r>
    </w:p>
    <w:p>
      <w:pPr>
        <w:pStyle w:val="BodyText"/>
        <w:spacing w:line="235" w:lineRule="auto"/>
        <w:ind w:left="280"/>
      </w:pPr>
      <w:r>
        <w:rPr>
          <w:color w:val="231F20"/>
        </w:rPr>
        <w:t>in the way they respond to service demands. Participants saw opportunities for public and community agencies to collaborate on pressing local issues that would require relatively small amounts of funding. One example was a collaboration between Justice, National Parks</w:t>
      </w:r>
    </w:p>
    <w:p>
      <w:pPr>
        <w:pStyle w:val="BodyText"/>
        <w:spacing w:line="235" w:lineRule="auto" w:before="105"/>
        <w:ind w:left="280" w:right="983"/>
        <w:jc w:val="both"/>
      </w:pPr>
      <w:r>
        <w:rPr/>
        <w:br w:type="column"/>
      </w:r>
      <w:r>
        <w:rPr>
          <w:color w:val="231F20"/>
        </w:rPr>
        <w:t>and local Aboriginal organisations to take young men out on Country as part of their preparation for release from </w:t>
      </w:r>
      <w:r>
        <w:rPr>
          <w:color w:val="231F20"/>
          <w:spacing w:val="-3"/>
        </w:rPr>
        <w:t>custody. </w:t>
      </w:r>
      <w:r>
        <w:rPr>
          <w:color w:val="231F20"/>
          <w:spacing w:val="-4"/>
        </w:rPr>
        <w:t>With </w:t>
      </w:r>
      <w:r>
        <w:rPr>
          <w:color w:val="231F20"/>
        </w:rPr>
        <w:t>a clear agreement on the outcomes to be</w:t>
      </w:r>
    </w:p>
    <w:p>
      <w:pPr>
        <w:pStyle w:val="BodyText"/>
        <w:spacing w:line="235" w:lineRule="auto"/>
        <w:ind w:left="280" w:right="388"/>
      </w:pPr>
      <w:r>
        <w:rPr>
          <w:color w:val="231F20"/>
        </w:rPr>
        <w:t>achieved, contributions could be sought from each agency which, although still kept </w:t>
      </w:r>
      <w:r>
        <w:rPr>
          <w:color w:val="231F20"/>
          <w:spacing w:val="-3"/>
        </w:rPr>
        <w:t>separate </w:t>
      </w:r>
      <w:r>
        <w:rPr>
          <w:color w:val="231F20"/>
        </w:rPr>
        <w:t>for transparency and accountability, would allow flexibility in the design of services.</w:t>
      </w:r>
    </w:p>
    <w:p>
      <w:pPr>
        <w:pStyle w:val="BodyText"/>
        <w:spacing w:before="158"/>
        <w:ind w:left="280"/>
      </w:pPr>
      <w:r>
        <w:rPr>
          <w:color w:val="231F20"/>
        </w:rPr>
        <w:t>The way forward</w:t>
      </w:r>
    </w:p>
    <w:p>
      <w:pPr>
        <w:pStyle w:val="BodyText"/>
        <w:spacing w:line="235" w:lineRule="auto" w:before="168"/>
        <w:ind w:left="280" w:right="510"/>
      </w:pPr>
      <w:r>
        <w:rPr>
          <w:color w:val="231F20"/>
        </w:rPr>
        <w:t>There may be ways to use relatively small investments to strengthen local service design and decision-making. It is worth exploring whether micro financing models that could</w:t>
      </w:r>
    </w:p>
    <w:p>
      <w:pPr>
        <w:pStyle w:val="BodyText"/>
        <w:spacing w:line="235" w:lineRule="auto"/>
        <w:ind w:left="280" w:right="571"/>
      </w:pPr>
      <w:r>
        <w:rPr>
          <w:color w:val="231F20"/>
        </w:rPr>
        <w:t>be explored also include engaging a coalition of peak bodies in partnership with the public service in micro-finance arrangements, or Aboriginal Affairs’ regional offices could be authorised to become a fund holder and service broker.</w:t>
      </w:r>
    </w:p>
    <w:p>
      <w:pPr>
        <w:pStyle w:val="BodyText"/>
        <w:spacing w:before="10"/>
        <w:rPr>
          <w:sz w:val="8"/>
        </w:rPr>
      </w:pPr>
      <w:r>
        <w:rPr/>
        <w:pict>
          <v:shape style="position:absolute;margin-left:309.476013pt;margin-top:7.88834pt;width:228.65pt;height:79.75pt;mso-position-horizontal-relative:page;mso-position-vertical-relative:paragraph;z-index:80;mso-wrap-distance-left:0;mso-wrap-distance-right:0" type="#_x0000_t202" filled="false" stroked="true" strokeweight="1pt" strokecolor="#47a7a8">
            <v:textbox inset="0,0,0,0">
              <w:txbxContent>
                <w:p>
                  <w:pPr>
                    <w:pStyle w:val="BodyText"/>
                    <w:spacing w:before="4"/>
                    <w:rPr>
                      <w:sz w:val="23"/>
                    </w:rPr>
                  </w:pPr>
                </w:p>
                <w:p>
                  <w:pPr>
                    <w:pStyle w:val="BodyText"/>
                    <w:spacing w:line="235" w:lineRule="auto"/>
                    <w:ind w:left="283" w:right="72"/>
                  </w:pPr>
                  <w:r>
                    <w:rPr>
                      <w:color w:val="47A7A8"/>
                    </w:rPr>
                    <w:t>Funding initiatives, such as local micro finance, may offer greater flexibility to strengthen local service design and improve outcomes.</w:t>
                  </w:r>
                </w:p>
              </w:txbxContent>
            </v:textbox>
            <v:stroke dashstyle="solid"/>
            <w10:wrap type="topAndBottom"/>
          </v:shape>
        </w:pict>
      </w:r>
    </w:p>
    <w:p>
      <w:pPr>
        <w:spacing w:before="219"/>
        <w:ind w:left="280" w:right="0" w:firstLine="0"/>
        <w:jc w:val="left"/>
        <w:rPr>
          <w:rFonts w:ascii="Helvetica"/>
          <w:i/>
          <w:sz w:val="22"/>
        </w:rPr>
      </w:pPr>
      <w:r>
        <w:rPr>
          <w:rFonts w:ascii="Helvetica"/>
          <w:i/>
          <w:color w:val="47A7A8"/>
          <w:sz w:val="22"/>
        </w:rPr>
        <w:t>Procurement</w:t>
      </w:r>
    </w:p>
    <w:p>
      <w:pPr>
        <w:pStyle w:val="BodyText"/>
        <w:spacing w:line="235" w:lineRule="auto" w:before="174"/>
        <w:ind w:left="280" w:right="469"/>
        <w:jc w:val="both"/>
      </w:pPr>
      <w:r>
        <w:rPr>
          <w:color w:val="231F20"/>
        </w:rPr>
        <w:t>Procurement emerged throughout the </w:t>
      </w:r>
      <w:r>
        <w:rPr>
          <w:color w:val="231F20"/>
          <w:spacing w:val="-4"/>
        </w:rPr>
        <w:t>research </w:t>
      </w:r>
      <w:r>
        <w:rPr>
          <w:color w:val="231F20"/>
        </w:rPr>
        <w:t>as both a barrier and an enabler of shared and devolved decision-making.</w:t>
      </w:r>
    </w:p>
    <w:p>
      <w:pPr>
        <w:spacing w:line="244" w:lineRule="auto" w:before="169"/>
        <w:ind w:left="620" w:right="548" w:firstLine="0"/>
        <w:jc w:val="left"/>
        <w:rPr>
          <w:rFonts w:ascii="Helvetica" w:hAnsi="Helvetica"/>
          <w:i/>
          <w:sz w:val="22"/>
        </w:rPr>
      </w:pPr>
      <w:r>
        <w:rPr>
          <w:rFonts w:ascii="Helvetica" w:hAnsi="Helvetica"/>
          <w:i/>
          <w:color w:val="A09681"/>
          <w:spacing w:val="-3"/>
          <w:sz w:val="22"/>
        </w:rPr>
        <w:t>“There </w:t>
      </w:r>
      <w:r>
        <w:rPr>
          <w:rFonts w:ascii="Helvetica" w:hAnsi="Helvetica"/>
          <w:i/>
          <w:color w:val="A09681"/>
          <w:sz w:val="22"/>
        </w:rPr>
        <w:t>is no </w:t>
      </w:r>
      <w:r>
        <w:rPr>
          <w:rFonts w:ascii="Helvetica" w:hAnsi="Helvetica"/>
          <w:i/>
          <w:color w:val="A09681"/>
          <w:spacing w:val="-3"/>
          <w:sz w:val="22"/>
        </w:rPr>
        <w:t>correlation between </w:t>
      </w:r>
      <w:r>
        <w:rPr>
          <w:rFonts w:ascii="Helvetica" w:hAnsi="Helvetica"/>
          <w:i/>
          <w:color w:val="A09681"/>
          <w:sz w:val="22"/>
        </w:rPr>
        <w:t>the </w:t>
      </w:r>
      <w:r>
        <w:rPr>
          <w:rFonts w:ascii="Helvetica" w:hAnsi="Helvetica"/>
          <w:i/>
          <w:color w:val="A09681"/>
          <w:spacing w:val="-3"/>
          <w:sz w:val="22"/>
        </w:rPr>
        <w:t>ability </w:t>
      </w:r>
      <w:r>
        <w:rPr>
          <w:rFonts w:ascii="Helvetica" w:hAnsi="Helvetica"/>
          <w:i/>
          <w:color w:val="A09681"/>
          <w:sz w:val="22"/>
        </w:rPr>
        <w:t>to</w:t>
      </w:r>
      <w:r>
        <w:rPr>
          <w:rFonts w:ascii="Helvetica" w:hAnsi="Helvetica"/>
          <w:i/>
          <w:color w:val="A09681"/>
          <w:spacing w:val="-9"/>
          <w:sz w:val="22"/>
        </w:rPr>
        <w:t> </w:t>
      </w:r>
      <w:r>
        <w:rPr>
          <w:rFonts w:ascii="Helvetica" w:hAnsi="Helvetica"/>
          <w:i/>
          <w:color w:val="A09681"/>
          <w:spacing w:val="-3"/>
          <w:sz w:val="22"/>
        </w:rPr>
        <w:t>provide</w:t>
      </w:r>
      <w:r>
        <w:rPr>
          <w:rFonts w:ascii="Helvetica" w:hAnsi="Helvetica"/>
          <w:i/>
          <w:color w:val="A09681"/>
          <w:spacing w:val="-9"/>
          <w:sz w:val="22"/>
        </w:rPr>
        <w:t> </w:t>
      </w:r>
      <w:r>
        <w:rPr>
          <w:rFonts w:ascii="Helvetica" w:hAnsi="Helvetica"/>
          <w:i/>
          <w:color w:val="A09681"/>
          <w:sz w:val="22"/>
        </w:rPr>
        <w:t>a</w:t>
      </w:r>
      <w:r>
        <w:rPr>
          <w:rFonts w:ascii="Helvetica" w:hAnsi="Helvetica"/>
          <w:i/>
          <w:color w:val="A09681"/>
          <w:spacing w:val="-8"/>
          <w:sz w:val="22"/>
        </w:rPr>
        <w:t> </w:t>
      </w:r>
      <w:r>
        <w:rPr>
          <w:rFonts w:ascii="Helvetica" w:hAnsi="Helvetica"/>
          <w:i/>
          <w:color w:val="A09681"/>
          <w:sz w:val="22"/>
        </w:rPr>
        <w:t>service</w:t>
      </w:r>
      <w:r>
        <w:rPr>
          <w:rFonts w:ascii="Helvetica" w:hAnsi="Helvetica"/>
          <w:i/>
          <w:color w:val="A09681"/>
          <w:spacing w:val="-9"/>
          <w:sz w:val="22"/>
        </w:rPr>
        <w:t> </w:t>
      </w:r>
      <w:r>
        <w:rPr>
          <w:rFonts w:ascii="Helvetica" w:hAnsi="Helvetica"/>
          <w:i/>
          <w:color w:val="A09681"/>
          <w:sz w:val="22"/>
        </w:rPr>
        <w:t>and</w:t>
      </w:r>
      <w:r>
        <w:rPr>
          <w:rFonts w:ascii="Helvetica" w:hAnsi="Helvetica"/>
          <w:i/>
          <w:color w:val="A09681"/>
          <w:spacing w:val="-8"/>
          <w:sz w:val="22"/>
        </w:rPr>
        <w:t> </w:t>
      </w:r>
      <w:r>
        <w:rPr>
          <w:rFonts w:ascii="Helvetica" w:hAnsi="Helvetica"/>
          <w:i/>
          <w:color w:val="A09681"/>
          <w:sz w:val="22"/>
        </w:rPr>
        <w:t>the</w:t>
      </w:r>
      <w:r>
        <w:rPr>
          <w:rFonts w:ascii="Helvetica" w:hAnsi="Helvetica"/>
          <w:i/>
          <w:color w:val="A09681"/>
          <w:spacing w:val="-9"/>
          <w:sz w:val="22"/>
        </w:rPr>
        <w:t> </w:t>
      </w:r>
      <w:r>
        <w:rPr>
          <w:rFonts w:ascii="Helvetica" w:hAnsi="Helvetica"/>
          <w:i/>
          <w:color w:val="A09681"/>
          <w:spacing w:val="-3"/>
          <w:sz w:val="22"/>
        </w:rPr>
        <w:t>ability</w:t>
      </w:r>
      <w:r>
        <w:rPr>
          <w:rFonts w:ascii="Helvetica" w:hAnsi="Helvetica"/>
          <w:i/>
          <w:color w:val="A09681"/>
          <w:spacing w:val="-9"/>
          <w:sz w:val="22"/>
        </w:rPr>
        <w:t> </w:t>
      </w:r>
      <w:r>
        <w:rPr>
          <w:rFonts w:ascii="Helvetica" w:hAnsi="Helvetica"/>
          <w:i/>
          <w:color w:val="A09681"/>
          <w:sz w:val="22"/>
        </w:rPr>
        <w:t>to</w:t>
      </w:r>
      <w:r>
        <w:rPr>
          <w:rFonts w:ascii="Helvetica" w:hAnsi="Helvetica"/>
          <w:i/>
          <w:color w:val="A09681"/>
          <w:spacing w:val="-8"/>
          <w:sz w:val="22"/>
        </w:rPr>
        <w:t> </w:t>
      </w:r>
      <w:r>
        <w:rPr>
          <w:rFonts w:ascii="Helvetica" w:hAnsi="Helvetica"/>
          <w:i/>
          <w:color w:val="A09681"/>
          <w:sz w:val="22"/>
        </w:rPr>
        <w:t>write</w:t>
      </w:r>
      <w:r>
        <w:rPr>
          <w:rFonts w:ascii="Helvetica" w:hAnsi="Helvetica"/>
          <w:i/>
          <w:color w:val="A09681"/>
          <w:spacing w:val="-9"/>
          <w:sz w:val="22"/>
        </w:rPr>
        <w:t> </w:t>
      </w:r>
      <w:r>
        <w:rPr>
          <w:rFonts w:ascii="Helvetica" w:hAnsi="Helvetica"/>
          <w:i/>
          <w:color w:val="A09681"/>
          <w:sz w:val="22"/>
        </w:rPr>
        <w:t>a </w:t>
      </w:r>
      <w:r>
        <w:rPr>
          <w:rFonts w:ascii="Helvetica" w:hAnsi="Helvetica"/>
          <w:i/>
          <w:color w:val="A09681"/>
          <w:spacing w:val="-7"/>
          <w:sz w:val="22"/>
        </w:rPr>
        <w:t>tender.”</w:t>
      </w:r>
    </w:p>
    <w:p>
      <w:pPr>
        <w:spacing w:line="244" w:lineRule="auto" w:before="171"/>
        <w:ind w:left="620" w:right="469" w:firstLine="0"/>
        <w:jc w:val="left"/>
        <w:rPr>
          <w:rFonts w:ascii="Helvetica" w:hAnsi="Helvetica"/>
          <w:i/>
          <w:sz w:val="22"/>
        </w:rPr>
      </w:pPr>
      <w:r>
        <w:rPr>
          <w:rFonts w:ascii="Helvetica" w:hAnsi="Helvetica"/>
          <w:i/>
          <w:color w:val="A09681"/>
          <w:spacing w:val="-3"/>
          <w:sz w:val="22"/>
        </w:rPr>
        <w:t>“Procurement doesn’t understand </w:t>
      </w:r>
      <w:r>
        <w:rPr>
          <w:rFonts w:ascii="Helvetica" w:hAnsi="Helvetica"/>
          <w:i/>
          <w:color w:val="A09681"/>
          <w:sz w:val="22"/>
        </w:rPr>
        <w:t>the </w:t>
      </w:r>
      <w:r>
        <w:rPr>
          <w:rFonts w:ascii="Helvetica" w:hAnsi="Helvetica"/>
          <w:i/>
          <w:color w:val="A09681"/>
          <w:spacing w:val="-3"/>
          <w:sz w:val="22"/>
        </w:rPr>
        <w:t>needs </w:t>
      </w:r>
      <w:r>
        <w:rPr>
          <w:rFonts w:ascii="Helvetica" w:hAnsi="Helvetica"/>
          <w:i/>
          <w:color w:val="A09681"/>
          <w:sz w:val="22"/>
        </w:rPr>
        <w:t>of the </w:t>
      </w:r>
      <w:r>
        <w:rPr>
          <w:rFonts w:ascii="Helvetica" w:hAnsi="Helvetica"/>
          <w:i/>
          <w:color w:val="A09681"/>
          <w:spacing w:val="-4"/>
          <w:sz w:val="22"/>
        </w:rPr>
        <w:t>business. </w:t>
      </w:r>
      <w:r>
        <w:rPr>
          <w:rFonts w:ascii="Helvetica" w:hAnsi="Helvetica"/>
          <w:i/>
          <w:color w:val="A09681"/>
          <w:sz w:val="22"/>
        </w:rPr>
        <w:t>The </w:t>
      </w:r>
      <w:r>
        <w:rPr>
          <w:rFonts w:ascii="Helvetica" w:hAnsi="Helvetica"/>
          <w:i/>
          <w:color w:val="A09681"/>
          <w:spacing w:val="-3"/>
          <w:sz w:val="22"/>
        </w:rPr>
        <w:t>question should be, ‘What </w:t>
      </w:r>
      <w:r>
        <w:rPr>
          <w:rFonts w:ascii="Helvetica" w:hAnsi="Helvetica"/>
          <w:i/>
          <w:color w:val="A09681"/>
          <w:sz w:val="22"/>
        </w:rPr>
        <w:t>is the </w:t>
      </w:r>
      <w:r>
        <w:rPr>
          <w:rFonts w:ascii="Helvetica" w:hAnsi="Helvetica"/>
          <w:i/>
          <w:color w:val="A09681"/>
          <w:spacing w:val="-3"/>
          <w:sz w:val="22"/>
        </w:rPr>
        <w:t>best [procurement] approach to getting </w:t>
      </w:r>
      <w:r>
        <w:rPr>
          <w:rFonts w:ascii="Helvetica" w:hAnsi="Helvetica"/>
          <w:i/>
          <w:color w:val="A09681"/>
          <w:sz w:val="22"/>
        </w:rPr>
        <w:t>the </w:t>
      </w:r>
      <w:r>
        <w:rPr>
          <w:rFonts w:ascii="Helvetica" w:hAnsi="Helvetica"/>
          <w:i/>
          <w:color w:val="A09681"/>
          <w:spacing w:val="-3"/>
          <w:sz w:val="22"/>
        </w:rPr>
        <w:t>best outcomes?’”</w:t>
      </w:r>
    </w:p>
    <w:p>
      <w:pPr>
        <w:spacing w:before="171"/>
        <w:ind w:left="620" w:right="0" w:firstLine="0"/>
        <w:jc w:val="left"/>
        <w:rPr>
          <w:rFonts w:ascii="Helvetica" w:hAnsi="Helvetica"/>
          <w:i/>
          <w:sz w:val="22"/>
        </w:rPr>
      </w:pPr>
      <w:r>
        <w:rPr>
          <w:rFonts w:ascii="Helvetica" w:hAnsi="Helvetica"/>
          <w:i/>
          <w:color w:val="A09681"/>
          <w:sz w:val="22"/>
        </w:rPr>
        <w:t>“In commissioning we are twice removed</w:t>
      </w:r>
    </w:p>
    <w:p>
      <w:pPr>
        <w:spacing w:line="244" w:lineRule="auto" w:before="5"/>
        <w:ind w:left="620" w:right="548" w:firstLine="0"/>
        <w:jc w:val="left"/>
        <w:rPr>
          <w:rFonts w:ascii="Helvetica" w:hAnsi="Helvetica"/>
          <w:i/>
          <w:sz w:val="22"/>
        </w:rPr>
      </w:pPr>
      <w:r>
        <w:rPr>
          <w:rFonts w:ascii="Helvetica" w:hAnsi="Helvetica"/>
          <w:i/>
          <w:color w:val="A09681"/>
          <w:sz w:val="22"/>
        </w:rPr>
        <w:t>— </w:t>
      </w:r>
      <w:r>
        <w:rPr>
          <w:rFonts w:ascii="Helvetica" w:hAnsi="Helvetica"/>
          <w:i/>
          <w:color w:val="A09681"/>
          <w:spacing w:val="-3"/>
          <w:sz w:val="22"/>
        </w:rPr>
        <w:t>we don't </w:t>
      </w:r>
      <w:r>
        <w:rPr>
          <w:rFonts w:ascii="Helvetica" w:hAnsi="Helvetica"/>
          <w:i/>
          <w:color w:val="A09681"/>
          <w:spacing w:val="-4"/>
          <w:sz w:val="22"/>
        </w:rPr>
        <w:t>deliver </w:t>
      </w:r>
      <w:r>
        <w:rPr>
          <w:rFonts w:ascii="Helvetica" w:hAnsi="Helvetica"/>
          <w:i/>
          <w:color w:val="A09681"/>
          <w:sz w:val="22"/>
        </w:rPr>
        <w:t>services </w:t>
      </w:r>
      <w:r>
        <w:rPr>
          <w:rFonts w:ascii="Helvetica" w:hAnsi="Helvetica"/>
          <w:i/>
          <w:color w:val="A09681"/>
          <w:spacing w:val="-6"/>
          <w:sz w:val="22"/>
        </w:rPr>
        <w:t>directly. </w:t>
      </w:r>
      <w:r>
        <w:rPr>
          <w:rFonts w:ascii="Helvetica" w:hAnsi="Helvetica"/>
          <w:i/>
          <w:color w:val="A09681"/>
          <w:spacing w:val="-3"/>
          <w:sz w:val="22"/>
        </w:rPr>
        <w:t>Commissioning should </w:t>
      </w:r>
      <w:r>
        <w:rPr>
          <w:rFonts w:ascii="Helvetica" w:hAnsi="Helvetica"/>
          <w:i/>
          <w:color w:val="A09681"/>
          <w:spacing w:val="-5"/>
          <w:sz w:val="22"/>
        </w:rPr>
        <w:t>involve </w:t>
      </w:r>
      <w:r>
        <w:rPr>
          <w:rFonts w:ascii="Helvetica" w:hAnsi="Helvetica"/>
          <w:i/>
          <w:color w:val="A09681"/>
          <w:spacing w:val="-3"/>
          <w:sz w:val="22"/>
        </w:rPr>
        <w:t>co-planning </w:t>
      </w:r>
      <w:r>
        <w:rPr>
          <w:rFonts w:ascii="Helvetica" w:hAnsi="Helvetica"/>
          <w:i/>
          <w:color w:val="A09681"/>
          <w:sz w:val="22"/>
        </w:rPr>
        <w:t>and </w:t>
      </w:r>
      <w:r>
        <w:rPr>
          <w:rFonts w:ascii="Helvetica" w:hAnsi="Helvetica"/>
          <w:i/>
          <w:color w:val="A09681"/>
          <w:spacing w:val="-5"/>
          <w:sz w:val="22"/>
        </w:rPr>
        <w:t>co-design.”</w:t>
      </w:r>
    </w:p>
    <w:p>
      <w:pPr>
        <w:pStyle w:val="BodyText"/>
        <w:spacing w:before="165"/>
        <w:ind w:left="280"/>
      </w:pPr>
      <w:r>
        <w:rPr>
          <w:color w:val="231F20"/>
        </w:rPr>
        <w:t>One participant spoke about their involvement</w:t>
      </w:r>
    </w:p>
    <w:p>
      <w:pPr>
        <w:spacing w:after="0"/>
        <w:sectPr>
          <w:type w:val="continuous"/>
          <w:pgSz w:w="11910" w:h="16840"/>
          <w:pgMar w:top="1580" w:bottom="280" w:left="740" w:right="640"/>
          <w:cols w:num="2" w:equalWidth="0">
            <w:col w:w="5004" w:space="155"/>
            <w:col w:w="5371"/>
          </w:cols>
        </w:sect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after="0"/>
        <w:rPr>
          <w:sz w:val="21"/>
        </w:rPr>
        <w:sectPr>
          <w:pgSz w:w="11910" w:h="16840"/>
          <w:pgMar w:header="0" w:footer="558" w:top="1600" w:bottom="740" w:left="740" w:right="640"/>
        </w:sectPr>
      </w:pPr>
    </w:p>
    <w:p>
      <w:pPr>
        <w:spacing w:line="232" w:lineRule="auto" w:before="106"/>
        <w:ind w:left="280" w:right="220" w:firstLine="0"/>
        <w:jc w:val="left"/>
        <w:rPr>
          <w:rFonts w:ascii="Helvetica-LightOblique" w:hAnsi="Helvetica-LightOblique"/>
          <w:i/>
          <w:sz w:val="22"/>
        </w:rPr>
      </w:pPr>
      <w:r>
        <w:rPr>
          <w:color w:val="231F20"/>
          <w:sz w:val="22"/>
        </w:rPr>
        <w:t>in subsequent rounds of a bulk procurement process in which the initial rounds had had the unintended effect of excluding Aboriginal organisations. The participant noted the improvements that were made in subsequent rounds where </w:t>
      </w:r>
      <w:r>
        <w:rPr>
          <w:rFonts w:ascii="Helvetica-LightOblique" w:hAnsi="Helvetica-LightOblique"/>
          <w:i/>
          <w:color w:val="231F20"/>
          <w:sz w:val="22"/>
        </w:rPr>
        <w:t>“we could do engagement </w:t>
      </w:r>
      <w:r>
        <w:rPr>
          <w:color w:val="231F20"/>
          <w:spacing w:val="-4"/>
          <w:sz w:val="22"/>
        </w:rPr>
        <w:t>[with </w:t>
      </w:r>
      <w:r>
        <w:rPr>
          <w:color w:val="231F20"/>
          <w:sz w:val="22"/>
        </w:rPr>
        <w:t>potential suppliers] </w:t>
      </w:r>
      <w:r>
        <w:rPr>
          <w:rFonts w:ascii="Helvetica-LightOblique" w:hAnsi="Helvetica-LightOblique"/>
          <w:i/>
          <w:color w:val="231F20"/>
          <w:sz w:val="22"/>
        </w:rPr>
        <w:t>right from the beginning of the process, not just consultation. We </w:t>
      </w:r>
      <w:r>
        <w:rPr>
          <w:rFonts w:ascii="Helvetica-LightOblique" w:hAnsi="Helvetica-LightOblique"/>
          <w:i/>
          <w:color w:val="231F20"/>
          <w:spacing w:val="-4"/>
          <w:sz w:val="22"/>
        </w:rPr>
        <w:t>could </w:t>
      </w:r>
      <w:r>
        <w:rPr>
          <w:rFonts w:ascii="Helvetica-LightOblique" w:hAnsi="Helvetica-LightOblique"/>
          <w:i/>
          <w:color w:val="231F20"/>
          <w:sz w:val="22"/>
        </w:rPr>
        <w:t>have a conversation… </w:t>
      </w:r>
      <w:r>
        <w:rPr>
          <w:color w:val="231F20"/>
          <w:sz w:val="22"/>
        </w:rPr>
        <w:t>[and we were] </w:t>
      </w:r>
      <w:r>
        <w:rPr>
          <w:rFonts w:ascii="Helvetica-LightOblique" w:hAnsi="Helvetica-LightOblique"/>
          <w:i/>
          <w:color w:val="231F20"/>
          <w:sz w:val="22"/>
        </w:rPr>
        <w:t>…able to focus on three locations … could do better engagement and could build the tender for local conditions.”</w:t>
      </w:r>
    </w:p>
    <w:p>
      <w:pPr>
        <w:pStyle w:val="BodyText"/>
        <w:spacing w:line="235" w:lineRule="auto" w:before="154"/>
        <w:ind w:left="280" w:right="13"/>
      </w:pPr>
      <w:r>
        <w:rPr>
          <w:color w:val="231F20"/>
        </w:rPr>
        <w:t>An independent review of this bulk </w:t>
      </w:r>
      <w:r>
        <w:rPr>
          <w:color w:val="231F20"/>
          <w:spacing w:val="-3"/>
        </w:rPr>
        <w:t>procurement </w:t>
      </w:r>
      <w:r>
        <w:rPr>
          <w:color w:val="231F20"/>
        </w:rPr>
        <w:t>process highlighted important lessons about how procurement can be developed. For example, “[f]urther work is required on the development of alternative procurement approaches for human services which</w:t>
      </w:r>
      <w:r>
        <w:rPr>
          <w:color w:val="231F20"/>
          <w:spacing w:val="-2"/>
        </w:rPr>
        <w:t> </w:t>
      </w:r>
      <w:r>
        <w:rPr>
          <w:color w:val="231F20"/>
        </w:rPr>
        <w:t>can</w:t>
      </w:r>
    </w:p>
    <w:p>
      <w:pPr>
        <w:pStyle w:val="BodyText"/>
        <w:spacing w:line="235" w:lineRule="auto"/>
        <w:ind w:left="280" w:right="420"/>
      </w:pPr>
      <w:r>
        <w:rPr>
          <w:color w:val="231F20"/>
        </w:rPr>
        <w:t>be more faithful to the concept of highly collaborative design, and co-design, while still allowing the benefits of competition to be realised as well as adherence to</w:t>
      </w:r>
      <w:r>
        <w:rPr>
          <w:color w:val="231F20"/>
          <w:spacing w:val="-2"/>
        </w:rPr>
        <w:t> </w:t>
      </w:r>
      <w:r>
        <w:rPr>
          <w:color w:val="231F20"/>
          <w:spacing w:val="-4"/>
        </w:rPr>
        <w:t>probity</w:t>
      </w:r>
    </w:p>
    <w:p>
      <w:pPr>
        <w:pStyle w:val="BodyText"/>
        <w:spacing w:line="235" w:lineRule="auto"/>
        <w:ind w:left="280" w:right="13"/>
      </w:pPr>
      <w:r>
        <w:rPr>
          <w:color w:val="231F20"/>
        </w:rPr>
        <w:t>requirements” (KPMG 2015, p. 20), and “[n]ew thinking on alternative procurement approaches is needed so that the benefits of co-design are not lost while still meeting probity concerns” (Ibid, p. 24). On co-design, Ramirez (2008) notes that it is believed a sense of ownership emerges when the community provides meaningful contributions from the beginning stages of the design process, starting with the definition of priorities.</w:t>
      </w:r>
    </w:p>
    <w:p>
      <w:pPr>
        <w:pStyle w:val="BodyText"/>
        <w:spacing w:line="235" w:lineRule="auto" w:before="151"/>
        <w:ind w:left="280" w:right="201"/>
      </w:pPr>
      <w:r>
        <w:rPr>
          <w:color w:val="231F20"/>
        </w:rPr>
        <w:t>Participants also spoke of the need for </w:t>
      </w:r>
      <w:r>
        <w:rPr>
          <w:color w:val="231F20"/>
          <w:spacing w:val="-4"/>
        </w:rPr>
        <w:t>greater </w:t>
      </w:r>
      <w:r>
        <w:rPr>
          <w:color w:val="231F20"/>
        </w:rPr>
        <w:t>certainty about funding and for more flexible timeframes to deliver outcomes for Aboriginal communities. Current funding timeframes were often considered inadequate and were a common point of frustration.</w:t>
      </w:r>
    </w:p>
    <w:p>
      <w:pPr>
        <w:spacing w:line="244" w:lineRule="auto" w:before="166"/>
        <w:ind w:left="620" w:right="114" w:firstLine="0"/>
        <w:jc w:val="left"/>
        <w:rPr>
          <w:rFonts w:ascii="Helvetica" w:hAnsi="Helvetica"/>
          <w:i/>
          <w:sz w:val="22"/>
        </w:rPr>
      </w:pPr>
      <w:r>
        <w:rPr>
          <w:rFonts w:ascii="Helvetica" w:hAnsi="Helvetica"/>
          <w:i/>
          <w:color w:val="A09681"/>
          <w:spacing w:val="-3"/>
          <w:sz w:val="22"/>
        </w:rPr>
        <w:t>“Real collaboration </w:t>
      </w:r>
      <w:r>
        <w:rPr>
          <w:rFonts w:ascii="Helvetica" w:hAnsi="Helvetica"/>
          <w:i/>
          <w:color w:val="A09681"/>
          <w:sz w:val="22"/>
        </w:rPr>
        <w:t>and </w:t>
      </w:r>
      <w:r>
        <w:rPr>
          <w:rFonts w:ascii="Helvetica" w:hAnsi="Helvetica"/>
          <w:i/>
          <w:color w:val="A09681"/>
          <w:spacing w:val="-3"/>
          <w:sz w:val="22"/>
        </w:rPr>
        <w:t>co-design </w:t>
      </w:r>
      <w:r>
        <w:rPr>
          <w:rFonts w:ascii="Helvetica" w:hAnsi="Helvetica"/>
          <w:i/>
          <w:color w:val="A09681"/>
          <w:sz w:val="22"/>
        </w:rPr>
        <w:t>of </w:t>
      </w:r>
      <w:r>
        <w:rPr>
          <w:rFonts w:ascii="Helvetica" w:hAnsi="Helvetica"/>
          <w:i/>
          <w:color w:val="A09681"/>
          <w:spacing w:val="-3"/>
          <w:sz w:val="22"/>
        </w:rPr>
        <w:t>services </w:t>
      </w:r>
      <w:r>
        <w:rPr>
          <w:rFonts w:ascii="Helvetica" w:hAnsi="Helvetica"/>
          <w:i/>
          <w:color w:val="A09681"/>
          <w:spacing w:val="-4"/>
          <w:sz w:val="22"/>
        </w:rPr>
        <w:t>takes </w:t>
      </w:r>
      <w:r>
        <w:rPr>
          <w:rFonts w:ascii="Helvetica" w:hAnsi="Helvetica"/>
          <w:i/>
          <w:color w:val="A09681"/>
          <w:spacing w:val="-3"/>
          <w:sz w:val="22"/>
        </w:rPr>
        <w:t>time. </w:t>
      </w:r>
      <w:r>
        <w:rPr>
          <w:rFonts w:ascii="Helvetica" w:hAnsi="Helvetica"/>
          <w:i/>
          <w:color w:val="A09681"/>
          <w:spacing w:val="-5"/>
          <w:sz w:val="22"/>
        </w:rPr>
        <w:t>We </w:t>
      </w:r>
      <w:r>
        <w:rPr>
          <w:rFonts w:ascii="Helvetica" w:hAnsi="Helvetica"/>
          <w:i/>
          <w:color w:val="A09681"/>
          <w:spacing w:val="-3"/>
          <w:sz w:val="22"/>
        </w:rPr>
        <w:t>need </w:t>
      </w:r>
      <w:r>
        <w:rPr>
          <w:rFonts w:ascii="Helvetica" w:hAnsi="Helvetica"/>
          <w:i/>
          <w:color w:val="A09681"/>
          <w:sz w:val="22"/>
        </w:rPr>
        <w:t>to </w:t>
      </w:r>
      <w:r>
        <w:rPr>
          <w:rFonts w:ascii="Helvetica" w:hAnsi="Helvetica"/>
          <w:i/>
          <w:color w:val="A09681"/>
          <w:spacing w:val="-4"/>
          <w:sz w:val="22"/>
        </w:rPr>
        <w:t>make </w:t>
      </w:r>
      <w:r>
        <w:rPr>
          <w:rFonts w:ascii="Helvetica" w:hAnsi="Helvetica"/>
          <w:i/>
          <w:color w:val="A09681"/>
          <w:spacing w:val="-3"/>
          <w:sz w:val="22"/>
        </w:rPr>
        <w:t>sure we </w:t>
      </w:r>
      <w:r>
        <w:rPr>
          <w:rFonts w:ascii="Helvetica" w:hAnsi="Helvetica"/>
          <w:i/>
          <w:color w:val="A09681"/>
          <w:spacing w:val="-5"/>
          <w:sz w:val="22"/>
        </w:rPr>
        <w:t>have </w:t>
      </w:r>
      <w:r>
        <w:rPr>
          <w:rFonts w:ascii="Helvetica" w:hAnsi="Helvetica"/>
          <w:i/>
          <w:color w:val="A09681"/>
          <w:spacing w:val="-3"/>
          <w:sz w:val="22"/>
        </w:rPr>
        <w:t>longer-term </w:t>
      </w:r>
      <w:r>
        <w:rPr>
          <w:rFonts w:ascii="Helvetica" w:hAnsi="Helvetica"/>
          <w:i/>
          <w:color w:val="A09681"/>
          <w:sz w:val="22"/>
        </w:rPr>
        <w:t>certainty </w:t>
      </w:r>
      <w:r>
        <w:rPr>
          <w:rFonts w:ascii="Helvetica" w:hAnsi="Helvetica"/>
          <w:i/>
          <w:color w:val="A09681"/>
          <w:spacing w:val="-3"/>
          <w:sz w:val="22"/>
        </w:rPr>
        <w:t>around </w:t>
      </w:r>
      <w:r>
        <w:rPr>
          <w:rFonts w:ascii="Helvetica" w:hAnsi="Helvetica"/>
          <w:i/>
          <w:color w:val="A09681"/>
          <w:spacing w:val="-6"/>
          <w:sz w:val="22"/>
        </w:rPr>
        <w:t>funding.”</w:t>
      </w:r>
    </w:p>
    <w:p>
      <w:pPr>
        <w:spacing w:line="244" w:lineRule="auto" w:before="171"/>
        <w:ind w:left="620" w:right="13" w:firstLine="0"/>
        <w:jc w:val="left"/>
        <w:rPr>
          <w:rFonts w:ascii="Helvetica" w:hAnsi="Helvetica"/>
          <w:i/>
          <w:sz w:val="22"/>
        </w:rPr>
      </w:pPr>
      <w:r>
        <w:rPr>
          <w:rFonts w:ascii="Helvetica" w:hAnsi="Helvetica"/>
          <w:i/>
          <w:color w:val="A09681"/>
          <w:spacing w:val="-3"/>
          <w:sz w:val="22"/>
        </w:rPr>
        <w:t>“Financial timeframes </w:t>
      </w:r>
      <w:r>
        <w:rPr>
          <w:rFonts w:ascii="Helvetica" w:hAnsi="Helvetica"/>
          <w:i/>
          <w:color w:val="A09681"/>
          <w:sz w:val="22"/>
        </w:rPr>
        <w:t>are </w:t>
      </w:r>
      <w:r>
        <w:rPr>
          <w:rFonts w:ascii="Helvetica" w:hAnsi="Helvetica"/>
          <w:i/>
          <w:color w:val="A09681"/>
          <w:spacing w:val="-4"/>
          <w:sz w:val="22"/>
        </w:rPr>
        <w:t>incompatible </w:t>
      </w:r>
      <w:r>
        <w:rPr>
          <w:rFonts w:ascii="Helvetica" w:hAnsi="Helvetica"/>
          <w:i/>
          <w:color w:val="A09681"/>
          <w:spacing w:val="-3"/>
          <w:sz w:val="22"/>
        </w:rPr>
        <w:t>with project </w:t>
      </w:r>
      <w:r>
        <w:rPr>
          <w:rFonts w:ascii="Helvetica" w:hAnsi="Helvetica"/>
          <w:i/>
          <w:color w:val="A09681"/>
          <w:spacing w:val="-4"/>
          <w:sz w:val="22"/>
        </w:rPr>
        <w:t>timeframes. </w:t>
      </w:r>
      <w:r>
        <w:rPr>
          <w:rFonts w:ascii="Helvetica" w:hAnsi="Helvetica"/>
          <w:i/>
          <w:color w:val="A09681"/>
          <w:sz w:val="22"/>
        </w:rPr>
        <w:t>It </w:t>
      </w:r>
      <w:r>
        <w:rPr>
          <w:rFonts w:ascii="Helvetica" w:hAnsi="Helvetica"/>
          <w:i/>
          <w:color w:val="A09681"/>
          <w:spacing w:val="-3"/>
          <w:sz w:val="22"/>
        </w:rPr>
        <w:t>frustrates both </w:t>
      </w:r>
      <w:r>
        <w:rPr>
          <w:rFonts w:ascii="Helvetica" w:hAnsi="Helvetica"/>
          <w:i/>
          <w:color w:val="A09681"/>
          <w:spacing w:val="-5"/>
          <w:sz w:val="22"/>
        </w:rPr>
        <w:t>parties.”</w:t>
      </w:r>
    </w:p>
    <w:p>
      <w:pPr>
        <w:pStyle w:val="BodyText"/>
        <w:spacing w:line="235" w:lineRule="auto" w:before="104"/>
        <w:ind w:left="280" w:right="438"/>
      </w:pPr>
      <w:r>
        <w:rPr/>
        <w:br w:type="column"/>
      </w:r>
      <w:r>
        <w:rPr>
          <w:color w:val="231F20"/>
        </w:rPr>
        <w:t>The systematic review also identified examples of alternative procurement approaches in</w:t>
      </w:r>
    </w:p>
    <w:p>
      <w:pPr>
        <w:pStyle w:val="BodyText"/>
        <w:spacing w:line="235" w:lineRule="auto"/>
        <w:ind w:left="280" w:right="356"/>
      </w:pPr>
      <w:r>
        <w:rPr>
          <w:color w:val="231F20"/>
        </w:rPr>
        <w:t>other jurisdictions that may deliver this greater flexibility. For example, under New Zealand’s results-based system of integrated contracting, all agencies involved in the provision of a service are encouraged to collaborate and to think differently about how they contract with service providers. Integrated contracting allows services to be developed and planned which offer greater capacity to meet clients’ needs, greater focus on achieving long-term outcomes, and greater certainty of funding through longer contract terms (Pomeroy 2007).</w:t>
      </w:r>
    </w:p>
    <w:p>
      <w:pPr>
        <w:pStyle w:val="BodyText"/>
        <w:spacing w:before="152"/>
        <w:ind w:left="280"/>
      </w:pPr>
      <w:r>
        <w:rPr>
          <w:color w:val="231F20"/>
        </w:rPr>
        <w:t>The way forward</w:t>
      </w:r>
    </w:p>
    <w:p>
      <w:pPr>
        <w:spacing w:line="232" w:lineRule="auto" w:before="170"/>
        <w:ind w:left="280" w:right="434" w:firstLine="0"/>
        <w:jc w:val="left"/>
        <w:rPr>
          <w:rFonts w:ascii="Helvetica-LightOblique" w:hAnsi="Helvetica-LightOblique"/>
          <w:i/>
          <w:sz w:val="22"/>
        </w:rPr>
      </w:pPr>
      <w:r>
        <w:rPr>
          <w:color w:val="231F20"/>
          <w:sz w:val="22"/>
        </w:rPr>
        <w:t>Suggestions arising from the interviews and focus groups included shifting structural frameworks to allow the public service to go out to the wider sector and design the tender at the planning stage, and only … </w:t>
      </w:r>
      <w:r>
        <w:rPr>
          <w:rFonts w:ascii="Helvetica-LightOblique" w:hAnsi="Helvetica-LightOblique"/>
          <w:i/>
          <w:color w:val="231F20"/>
          <w:sz w:val="22"/>
        </w:rPr>
        <w:t>“lock it down once this process had occurred. With greater engagement of stakeholders, and</w:t>
      </w:r>
      <w:r>
        <w:rPr>
          <w:rFonts w:ascii="Helvetica-LightOblique" w:hAnsi="Helvetica-LightOblique"/>
          <w:i/>
          <w:color w:val="231F20"/>
          <w:spacing w:val="-1"/>
          <w:sz w:val="22"/>
        </w:rPr>
        <w:t> </w:t>
      </w:r>
      <w:r>
        <w:rPr>
          <w:rFonts w:ascii="Helvetica-LightOblique" w:hAnsi="Helvetica-LightOblique"/>
          <w:i/>
          <w:color w:val="231F20"/>
          <w:spacing w:val="-7"/>
          <w:sz w:val="22"/>
        </w:rPr>
        <w:t>more</w:t>
      </w:r>
    </w:p>
    <w:p>
      <w:pPr>
        <w:spacing w:line="230" w:lineRule="auto" w:before="0"/>
        <w:ind w:left="280" w:right="390" w:firstLine="0"/>
        <w:jc w:val="left"/>
        <w:rPr>
          <w:rFonts w:ascii="Helvetica-LightOblique" w:hAnsi="Helvetica-LightOblique"/>
          <w:i/>
          <w:sz w:val="22"/>
        </w:rPr>
      </w:pPr>
      <w:r>
        <w:rPr>
          <w:rFonts w:ascii="Helvetica-LightOblique" w:hAnsi="Helvetica-LightOblique"/>
          <w:i/>
          <w:color w:val="231F20"/>
          <w:sz w:val="22"/>
        </w:rPr>
        <w:t>dispersed decision-making, stakeholders could have been led on the journey more, which may have supported increased buy-in from them”.</w:t>
      </w:r>
    </w:p>
    <w:p>
      <w:pPr>
        <w:pStyle w:val="BodyText"/>
        <w:spacing w:line="235" w:lineRule="auto" w:before="164"/>
        <w:ind w:left="280" w:right="622"/>
      </w:pPr>
      <w:r>
        <w:rPr>
          <w:color w:val="231F20"/>
          <w:spacing w:val="-4"/>
        </w:rPr>
        <w:t>We </w:t>
      </w:r>
      <w:r>
        <w:rPr>
          <w:color w:val="231F20"/>
          <w:spacing w:val="-3"/>
        </w:rPr>
        <w:t>note government </w:t>
      </w:r>
      <w:r>
        <w:rPr>
          <w:color w:val="231F20"/>
          <w:spacing w:val="-4"/>
        </w:rPr>
        <w:t>procurement processes </w:t>
      </w:r>
      <w:r>
        <w:rPr>
          <w:color w:val="231F20"/>
        </w:rPr>
        <w:t>in NSW </w:t>
      </w:r>
      <w:r>
        <w:rPr>
          <w:color w:val="231F20"/>
          <w:spacing w:val="-3"/>
        </w:rPr>
        <w:t>underwent significant reform during 2013–15 (see </w:t>
      </w:r>
      <w:r>
        <w:rPr>
          <w:color w:val="205E9E"/>
          <w:spacing w:val="-5"/>
          <w:u w:val="single" w:color="205E9E"/>
        </w:rPr>
        <w:t>www.procurepoint.nsw.gov.au</w:t>
      </w:r>
      <w:r>
        <w:rPr>
          <w:color w:val="231F20"/>
          <w:spacing w:val="-5"/>
        </w:rPr>
        <w:t>). </w:t>
      </w:r>
      <w:r>
        <w:rPr>
          <w:color w:val="231F20"/>
        </w:rPr>
        <w:t>This should address some of these issues over the long term if specific attention is </w:t>
      </w:r>
      <w:r>
        <w:rPr>
          <w:color w:val="231F20"/>
          <w:spacing w:val="-5"/>
        </w:rPr>
        <w:t>paid </w:t>
      </w:r>
      <w:r>
        <w:rPr>
          <w:color w:val="231F20"/>
        </w:rPr>
        <w:t>to Aboriginal-controlled suppliers and if the objectives and outcomes of the reform are understood throughout the public service.</w:t>
      </w:r>
    </w:p>
    <w:p>
      <w:pPr>
        <w:pStyle w:val="BodyText"/>
        <w:spacing w:line="235" w:lineRule="auto"/>
        <w:ind w:left="280" w:right="436"/>
      </w:pPr>
      <w:r>
        <w:rPr>
          <w:color w:val="231F20"/>
        </w:rPr>
        <w:t>The strategic reform direction on ‘innovating the approach to government procurement’ is especially relevant: it includes allowing the market opportunities to offer new solutions, and provides case studies of innovative supplier arrangements and ‘maximising opportunities for small and medium enterprises to supply government’ – which is also relevant to Aboriginal-controlled non-government organisations.</w:t>
      </w:r>
    </w:p>
    <w:p>
      <w:pPr>
        <w:spacing w:after="0" w:line="235" w:lineRule="auto"/>
        <w:sectPr>
          <w:type w:val="continuous"/>
          <w:pgSz w:w="11910" w:h="16840"/>
          <w:pgMar w:top="1580" w:bottom="280" w:left="740" w:right="640"/>
          <w:cols w:num="2" w:equalWidth="0">
            <w:col w:w="5033" w:space="137"/>
            <w:col w:w="5360"/>
          </w:cols>
        </w:sect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0" w:footer="558" w:top="1600" w:bottom="740" w:left="740" w:right="640"/>
        </w:sectPr>
      </w:pPr>
    </w:p>
    <w:p>
      <w:pPr>
        <w:pStyle w:val="BodyText"/>
        <w:spacing w:before="2"/>
        <w:rPr>
          <w:sz w:val="8"/>
        </w:rPr>
      </w:pPr>
    </w:p>
    <w:p>
      <w:pPr>
        <w:pStyle w:val="BodyText"/>
        <w:ind w:left="280"/>
        <w:rPr>
          <w:sz w:val="20"/>
        </w:rPr>
      </w:pPr>
      <w:r>
        <w:rPr>
          <w:position w:val="0"/>
          <w:sz w:val="20"/>
        </w:rPr>
        <w:pict>
          <v:shape style="width:228.65pt;height:79.75pt;mso-position-horizontal-relative:char;mso-position-vertical-relative:line" type="#_x0000_t202" filled="false" stroked="true" strokeweight="1pt" strokecolor="#47a7a8">
            <w10:anchorlock/>
            <v:textbox inset="0,0,0,0">
              <w:txbxContent>
                <w:p>
                  <w:pPr>
                    <w:pStyle w:val="BodyText"/>
                    <w:spacing w:before="4"/>
                    <w:rPr>
                      <w:sz w:val="23"/>
                    </w:rPr>
                  </w:pPr>
                </w:p>
                <w:p>
                  <w:pPr>
                    <w:pStyle w:val="BodyText"/>
                    <w:spacing w:line="235" w:lineRule="auto"/>
                    <w:ind w:left="283" w:right="655"/>
                  </w:pPr>
                  <w:r>
                    <w:rPr>
                      <w:color w:val="47A7A8"/>
                    </w:rPr>
                    <w:t>Innovative and flexible procurement approaches should be outcomes focused and allow adequate time for collaboration and co-design.</w:t>
                  </w:r>
                </w:p>
              </w:txbxContent>
            </v:textbox>
            <v:stroke dashstyle="solid"/>
          </v:shape>
        </w:pict>
      </w:r>
      <w:r>
        <w:rPr>
          <w:position w:val="0"/>
          <w:sz w:val="20"/>
        </w:rPr>
      </w:r>
    </w:p>
    <w:p>
      <w:pPr>
        <w:pStyle w:val="BodyText"/>
        <w:spacing w:before="3"/>
      </w:pPr>
    </w:p>
    <w:p>
      <w:pPr>
        <w:spacing w:line="244" w:lineRule="auto" w:before="0"/>
        <w:ind w:left="280" w:right="200" w:firstLine="0"/>
        <w:jc w:val="left"/>
        <w:rPr>
          <w:rFonts w:ascii="Helvetica"/>
          <w:i/>
          <w:sz w:val="22"/>
        </w:rPr>
      </w:pPr>
      <w:r>
        <w:rPr>
          <w:rFonts w:ascii="Helvetica"/>
          <w:i/>
          <w:color w:val="47A7A8"/>
          <w:sz w:val="22"/>
        </w:rPr>
        <w:t>Building the capability of Aboriginal community organisations</w:t>
      </w:r>
    </w:p>
    <w:p>
      <w:pPr>
        <w:pStyle w:val="BodyText"/>
        <w:spacing w:line="235" w:lineRule="auto" w:before="169"/>
        <w:ind w:left="280" w:right="507"/>
      </w:pPr>
      <w:r>
        <w:rPr>
          <w:color w:val="231F20"/>
        </w:rPr>
        <w:t>While our research focused on the public service, many participants talked about  the need for capacity building in Aboriginal communities to support devolved decision- making.</w:t>
      </w:r>
    </w:p>
    <w:p>
      <w:pPr>
        <w:pStyle w:val="BodyText"/>
        <w:spacing w:line="235" w:lineRule="auto" w:before="165"/>
        <w:ind w:left="280" w:right="41"/>
      </w:pPr>
      <w:r>
        <w:rPr>
          <w:color w:val="231F20"/>
        </w:rPr>
        <w:t>There was a view that the public service perpetuates the often-held belief that Aboriginal organisations are not capable of good governance, and that devolved decision- making is the latest fad.</w:t>
      </w:r>
    </w:p>
    <w:p>
      <w:pPr>
        <w:spacing w:line="244" w:lineRule="auto" w:before="167"/>
        <w:ind w:left="620" w:right="47" w:firstLine="0"/>
        <w:jc w:val="left"/>
        <w:rPr>
          <w:rFonts w:ascii="Helvetica" w:hAnsi="Helvetica"/>
          <w:i/>
          <w:sz w:val="22"/>
        </w:rPr>
      </w:pPr>
      <w:r>
        <w:rPr>
          <w:rFonts w:ascii="Helvetica" w:hAnsi="Helvetica"/>
          <w:i/>
          <w:color w:val="A09681"/>
          <w:spacing w:val="-3"/>
          <w:sz w:val="22"/>
        </w:rPr>
        <w:t>“There’s mythology around Aboriginal services. There’s </w:t>
      </w:r>
      <w:r>
        <w:rPr>
          <w:rFonts w:ascii="Helvetica" w:hAnsi="Helvetica"/>
          <w:i/>
          <w:color w:val="A09681"/>
          <w:sz w:val="22"/>
        </w:rPr>
        <w:t>a </w:t>
      </w:r>
      <w:r>
        <w:rPr>
          <w:rFonts w:ascii="Helvetica" w:hAnsi="Helvetica"/>
          <w:i/>
          <w:color w:val="A09681"/>
          <w:spacing w:val="-3"/>
          <w:sz w:val="22"/>
        </w:rPr>
        <w:t>sense that </w:t>
      </w:r>
      <w:r>
        <w:rPr>
          <w:rFonts w:ascii="Helvetica" w:hAnsi="Helvetica"/>
          <w:i/>
          <w:color w:val="A09681"/>
          <w:spacing w:val="-4"/>
          <w:sz w:val="22"/>
        </w:rPr>
        <w:t>they </w:t>
      </w:r>
      <w:r>
        <w:rPr>
          <w:rFonts w:ascii="Helvetica" w:hAnsi="Helvetica"/>
          <w:i/>
          <w:color w:val="A09681"/>
          <w:spacing w:val="-3"/>
          <w:sz w:val="22"/>
        </w:rPr>
        <w:t>can’t meet their governance requirements. Some </w:t>
      </w:r>
      <w:r>
        <w:rPr>
          <w:rFonts w:ascii="Helvetica" w:hAnsi="Helvetica"/>
          <w:i/>
          <w:color w:val="A09681"/>
          <w:sz w:val="22"/>
        </w:rPr>
        <w:t>of </w:t>
      </w:r>
      <w:r>
        <w:rPr>
          <w:rFonts w:ascii="Helvetica" w:hAnsi="Helvetica"/>
          <w:i/>
          <w:color w:val="A09681"/>
          <w:spacing w:val="-3"/>
          <w:sz w:val="22"/>
        </w:rPr>
        <w:t>that might need </w:t>
      </w:r>
      <w:r>
        <w:rPr>
          <w:rFonts w:ascii="Helvetica" w:hAnsi="Helvetica"/>
          <w:i/>
          <w:color w:val="A09681"/>
          <w:spacing w:val="-6"/>
          <w:sz w:val="22"/>
        </w:rPr>
        <w:t>unpacking.”</w:t>
      </w:r>
    </w:p>
    <w:p>
      <w:pPr>
        <w:spacing w:line="244" w:lineRule="auto" w:before="171"/>
        <w:ind w:left="620" w:right="114" w:firstLine="0"/>
        <w:jc w:val="left"/>
        <w:rPr>
          <w:rFonts w:ascii="Helvetica" w:hAnsi="Helvetica"/>
          <w:i/>
          <w:sz w:val="22"/>
        </w:rPr>
      </w:pPr>
      <w:r>
        <w:rPr>
          <w:rFonts w:ascii="Helvetica" w:hAnsi="Helvetica"/>
          <w:i/>
          <w:color w:val="A09681"/>
          <w:spacing w:val="-3"/>
          <w:sz w:val="22"/>
        </w:rPr>
        <w:t>“Community leaders </w:t>
      </w:r>
      <w:r>
        <w:rPr>
          <w:rFonts w:ascii="Helvetica" w:hAnsi="Helvetica"/>
          <w:i/>
          <w:color w:val="A09681"/>
          <w:spacing w:val="-5"/>
          <w:sz w:val="22"/>
        </w:rPr>
        <w:t>have </w:t>
      </w:r>
      <w:r>
        <w:rPr>
          <w:rFonts w:ascii="Helvetica" w:hAnsi="Helvetica"/>
          <w:i/>
          <w:color w:val="A09681"/>
          <w:sz w:val="22"/>
        </w:rPr>
        <w:t>to be </w:t>
      </w:r>
      <w:r>
        <w:rPr>
          <w:rFonts w:ascii="Helvetica" w:hAnsi="Helvetica"/>
          <w:i/>
          <w:color w:val="A09681"/>
          <w:spacing w:val="-4"/>
          <w:sz w:val="22"/>
        </w:rPr>
        <w:t>lawyers, </w:t>
      </w:r>
      <w:r>
        <w:rPr>
          <w:rFonts w:ascii="Helvetica" w:hAnsi="Helvetica"/>
          <w:i/>
          <w:color w:val="A09681"/>
          <w:spacing w:val="-3"/>
          <w:sz w:val="22"/>
        </w:rPr>
        <w:t>teachers </w:t>
      </w:r>
      <w:r>
        <w:rPr>
          <w:rFonts w:ascii="Helvetica" w:hAnsi="Helvetica"/>
          <w:i/>
          <w:color w:val="A09681"/>
          <w:sz w:val="22"/>
        </w:rPr>
        <w:t>and </w:t>
      </w:r>
      <w:r>
        <w:rPr>
          <w:rFonts w:ascii="Helvetica" w:hAnsi="Helvetica"/>
          <w:i/>
          <w:color w:val="A09681"/>
          <w:spacing w:val="-3"/>
          <w:sz w:val="22"/>
        </w:rPr>
        <w:t>negotiators. </w:t>
      </w:r>
      <w:r>
        <w:rPr>
          <w:rFonts w:ascii="Helvetica" w:hAnsi="Helvetica"/>
          <w:i/>
          <w:color w:val="A09681"/>
          <w:spacing w:val="-4"/>
          <w:sz w:val="22"/>
        </w:rPr>
        <w:t>They </w:t>
      </w:r>
      <w:r>
        <w:rPr>
          <w:rFonts w:ascii="Helvetica" w:hAnsi="Helvetica"/>
          <w:i/>
          <w:color w:val="A09681"/>
          <w:spacing w:val="-5"/>
          <w:sz w:val="22"/>
        </w:rPr>
        <w:t>have </w:t>
      </w:r>
      <w:r>
        <w:rPr>
          <w:rFonts w:ascii="Helvetica" w:hAnsi="Helvetica"/>
          <w:i/>
          <w:color w:val="A09681"/>
          <w:sz w:val="22"/>
        </w:rPr>
        <w:t>to </w:t>
      </w:r>
      <w:r>
        <w:rPr>
          <w:rFonts w:ascii="Helvetica" w:hAnsi="Helvetica"/>
          <w:i/>
          <w:color w:val="A09681"/>
          <w:spacing w:val="-4"/>
          <w:sz w:val="22"/>
        </w:rPr>
        <w:t>pick </w:t>
      </w:r>
      <w:r>
        <w:rPr>
          <w:rFonts w:ascii="Helvetica" w:hAnsi="Helvetica"/>
          <w:i/>
          <w:color w:val="A09681"/>
          <w:sz w:val="22"/>
        </w:rPr>
        <w:t>up so </w:t>
      </w:r>
      <w:r>
        <w:rPr>
          <w:rFonts w:ascii="Helvetica" w:hAnsi="Helvetica"/>
          <w:i/>
          <w:color w:val="A09681"/>
          <w:spacing w:val="-3"/>
          <w:sz w:val="22"/>
        </w:rPr>
        <w:t>much more than non-Aboriginal people would </w:t>
      </w:r>
      <w:r>
        <w:rPr>
          <w:rFonts w:ascii="Helvetica" w:hAnsi="Helvetica"/>
          <w:i/>
          <w:color w:val="A09681"/>
          <w:spacing w:val="-5"/>
          <w:sz w:val="22"/>
        </w:rPr>
        <w:t>ever </w:t>
      </w:r>
      <w:r>
        <w:rPr>
          <w:rFonts w:ascii="Helvetica" w:hAnsi="Helvetica"/>
          <w:i/>
          <w:color w:val="A09681"/>
          <w:sz w:val="22"/>
        </w:rPr>
        <w:t>be </w:t>
      </w:r>
      <w:r>
        <w:rPr>
          <w:rFonts w:ascii="Helvetica" w:hAnsi="Helvetica"/>
          <w:i/>
          <w:color w:val="A09681"/>
          <w:spacing w:val="-4"/>
          <w:sz w:val="22"/>
        </w:rPr>
        <w:t>expected </w:t>
      </w:r>
      <w:r>
        <w:rPr>
          <w:rFonts w:ascii="Helvetica" w:hAnsi="Helvetica"/>
          <w:i/>
          <w:color w:val="A09681"/>
          <w:sz w:val="22"/>
        </w:rPr>
        <w:t>to </w:t>
      </w:r>
      <w:r>
        <w:rPr>
          <w:rFonts w:ascii="Helvetica" w:hAnsi="Helvetica"/>
          <w:i/>
          <w:color w:val="A09681"/>
          <w:spacing w:val="-10"/>
          <w:sz w:val="22"/>
        </w:rPr>
        <w:t>do.”</w:t>
      </w:r>
    </w:p>
    <w:p>
      <w:pPr>
        <w:pStyle w:val="BodyText"/>
        <w:spacing w:line="235" w:lineRule="auto" w:before="169"/>
        <w:ind w:left="280" w:right="41"/>
      </w:pPr>
      <w:r>
        <w:rPr>
          <w:color w:val="231F20"/>
        </w:rPr>
        <w:t>Our research found that the government places high expectations on Aboriginal communities and organisations to collaborate with it, or</w:t>
      </w:r>
    </w:p>
    <w:p>
      <w:pPr>
        <w:pStyle w:val="BodyText"/>
        <w:spacing w:line="235" w:lineRule="auto"/>
        <w:ind w:left="280" w:right="128"/>
      </w:pPr>
      <w:r>
        <w:rPr>
          <w:color w:val="231F20"/>
        </w:rPr>
        <w:t>to deliver services on its behalf, without undertaking any ongoing program or providing a long-term commitment to build and foster capability in these organisations.</w:t>
      </w:r>
    </w:p>
    <w:p>
      <w:pPr>
        <w:pStyle w:val="BodyText"/>
        <w:spacing w:line="235" w:lineRule="auto" w:before="164"/>
        <w:ind w:left="280" w:right="18"/>
      </w:pPr>
      <w:r>
        <w:rPr>
          <w:color w:val="231F20"/>
        </w:rPr>
        <w:t>Self-sustaining Aboriginal organisations are considered fundamental to successful devolved decision-making, but organisations are typically limited by size, resources and capability, which are significant constraints on their sustainability and capacity.</w:t>
      </w:r>
    </w:p>
    <w:p>
      <w:pPr>
        <w:spacing w:line="244" w:lineRule="auto" w:before="166"/>
        <w:ind w:left="620" w:right="677" w:firstLine="0"/>
        <w:jc w:val="left"/>
        <w:rPr>
          <w:rFonts w:ascii="Helvetica" w:hAnsi="Helvetica"/>
          <w:i/>
          <w:sz w:val="22"/>
        </w:rPr>
      </w:pPr>
      <w:r>
        <w:rPr>
          <w:rFonts w:ascii="Helvetica" w:hAnsi="Helvetica"/>
          <w:i/>
          <w:color w:val="A09681"/>
          <w:sz w:val="22"/>
        </w:rPr>
        <w:t>“It </w:t>
      </w:r>
      <w:r>
        <w:rPr>
          <w:rFonts w:ascii="Helvetica" w:hAnsi="Helvetica"/>
          <w:i/>
          <w:color w:val="A09681"/>
          <w:spacing w:val="-4"/>
          <w:sz w:val="22"/>
        </w:rPr>
        <w:t>takes </w:t>
      </w:r>
      <w:r>
        <w:rPr>
          <w:rFonts w:ascii="Helvetica" w:hAnsi="Helvetica"/>
          <w:i/>
          <w:color w:val="A09681"/>
          <w:spacing w:val="-3"/>
          <w:sz w:val="22"/>
        </w:rPr>
        <w:t>time </w:t>
      </w:r>
      <w:r>
        <w:rPr>
          <w:rFonts w:ascii="Helvetica" w:hAnsi="Helvetica"/>
          <w:i/>
          <w:color w:val="A09681"/>
          <w:sz w:val="22"/>
        </w:rPr>
        <w:t>to </w:t>
      </w:r>
      <w:r>
        <w:rPr>
          <w:rFonts w:ascii="Helvetica" w:hAnsi="Helvetica"/>
          <w:i/>
          <w:color w:val="A09681"/>
          <w:spacing w:val="-4"/>
          <w:sz w:val="22"/>
        </w:rPr>
        <w:t>build </w:t>
      </w:r>
      <w:r>
        <w:rPr>
          <w:rFonts w:ascii="Helvetica" w:hAnsi="Helvetica"/>
          <w:i/>
          <w:color w:val="A09681"/>
          <w:spacing w:val="-3"/>
          <w:sz w:val="22"/>
        </w:rPr>
        <w:t>capability </w:t>
      </w:r>
      <w:r>
        <w:rPr>
          <w:rFonts w:ascii="Helvetica" w:hAnsi="Helvetica"/>
          <w:i/>
          <w:color w:val="A09681"/>
          <w:sz w:val="22"/>
        </w:rPr>
        <w:t>to run a </w:t>
      </w:r>
      <w:r>
        <w:rPr>
          <w:rFonts w:ascii="Helvetica" w:hAnsi="Helvetica"/>
          <w:i/>
          <w:color w:val="A09681"/>
          <w:spacing w:val="-4"/>
          <w:sz w:val="22"/>
        </w:rPr>
        <w:t>business, </w:t>
      </w:r>
      <w:r>
        <w:rPr>
          <w:rFonts w:ascii="Helvetica" w:hAnsi="Helvetica"/>
          <w:i/>
          <w:color w:val="A09681"/>
          <w:spacing w:val="-3"/>
          <w:sz w:val="22"/>
        </w:rPr>
        <w:t>[which </w:t>
      </w:r>
      <w:r>
        <w:rPr>
          <w:rFonts w:ascii="Helvetica" w:hAnsi="Helvetica"/>
          <w:i/>
          <w:color w:val="A09681"/>
          <w:sz w:val="22"/>
        </w:rPr>
        <w:t>is] not </w:t>
      </w:r>
      <w:r>
        <w:rPr>
          <w:rFonts w:ascii="Helvetica" w:hAnsi="Helvetica"/>
          <w:i/>
          <w:color w:val="A09681"/>
          <w:spacing w:val="-4"/>
          <w:sz w:val="22"/>
        </w:rPr>
        <w:t>achieved </w:t>
      </w:r>
      <w:r>
        <w:rPr>
          <w:rFonts w:ascii="Helvetica" w:hAnsi="Helvetica"/>
          <w:i/>
          <w:color w:val="A09681"/>
          <w:sz w:val="22"/>
        </w:rPr>
        <w:t>in </w:t>
      </w:r>
      <w:r>
        <w:rPr>
          <w:rFonts w:ascii="Helvetica" w:hAnsi="Helvetica"/>
          <w:i/>
          <w:color w:val="A09681"/>
          <w:spacing w:val="-3"/>
          <w:sz w:val="22"/>
        </w:rPr>
        <w:t>12 months. </w:t>
      </w:r>
      <w:r>
        <w:rPr>
          <w:rFonts w:ascii="Helvetica" w:hAnsi="Helvetica"/>
          <w:i/>
          <w:color w:val="A09681"/>
          <w:spacing w:val="-4"/>
          <w:sz w:val="22"/>
        </w:rPr>
        <w:t>Just </w:t>
      </w:r>
      <w:r>
        <w:rPr>
          <w:rFonts w:ascii="Helvetica" w:hAnsi="Helvetica"/>
          <w:i/>
          <w:color w:val="A09681"/>
          <w:sz w:val="22"/>
        </w:rPr>
        <w:t>ask an </w:t>
      </w:r>
      <w:r>
        <w:rPr>
          <w:rFonts w:ascii="Helvetica" w:hAnsi="Helvetica"/>
          <w:i/>
          <w:color w:val="A09681"/>
          <w:spacing w:val="-6"/>
          <w:sz w:val="22"/>
        </w:rPr>
        <w:t>entrepreneur.”</w:t>
      </w:r>
    </w:p>
    <w:p>
      <w:pPr>
        <w:pStyle w:val="BodyText"/>
        <w:spacing w:line="235" w:lineRule="auto" w:before="105"/>
        <w:ind w:left="280" w:right="512"/>
      </w:pPr>
      <w:r>
        <w:rPr/>
        <w:br w:type="column"/>
      </w:r>
      <w:r>
        <w:rPr>
          <w:color w:val="231F20"/>
        </w:rPr>
        <w:t>Participants noted good examples, especially in land management, of when resources spent on building capability for governance in an Aboriginal community flowed through to other Aboriginal organisations beyond the defined relationship. Examples were also mentioned of the benefit of telling the stories of Aboriginal organisations and communities, for example through the activities of the Office of</w:t>
      </w:r>
      <w:r>
        <w:rPr>
          <w:color w:val="231F20"/>
          <w:spacing w:val="-4"/>
        </w:rPr>
        <w:t> </w:t>
      </w:r>
      <w:r>
        <w:rPr>
          <w:color w:val="231F20"/>
        </w:rPr>
        <w:t>NSW</w:t>
      </w:r>
    </w:p>
    <w:p>
      <w:pPr>
        <w:pStyle w:val="BodyText"/>
        <w:spacing w:line="235" w:lineRule="auto"/>
        <w:ind w:left="280" w:right="426"/>
      </w:pPr>
      <w:r>
        <w:rPr>
          <w:color w:val="231F20"/>
        </w:rPr>
        <w:t>Small Business, that demonstrate high levels of capability and success.</w:t>
      </w:r>
    </w:p>
    <w:p>
      <w:pPr>
        <w:pStyle w:val="BodyText"/>
        <w:spacing w:before="155"/>
        <w:ind w:left="280"/>
      </w:pPr>
      <w:r>
        <w:rPr>
          <w:color w:val="231F20"/>
        </w:rPr>
        <w:t>The way forward</w:t>
      </w:r>
    </w:p>
    <w:p>
      <w:pPr>
        <w:pStyle w:val="BodyText"/>
        <w:spacing w:line="235" w:lineRule="auto" w:before="168"/>
        <w:ind w:left="280" w:right="339"/>
      </w:pPr>
      <w:r>
        <w:rPr>
          <w:color w:val="231F20"/>
        </w:rPr>
        <w:t>A shift is required for the public service to tell the stories of strong and successful Aboriginal controlled organisations, to learn from and replicate the elements of their success, and to use innovative ways to foster strong Aboriginal organisations into the future. The operation of junior boards to build the capability of young Aboriginal people in cultural heritage and land conservation was noted as one such innovation.</w:t>
      </w:r>
    </w:p>
    <w:p>
      <w:pPr>
        <w:spacing w:line="244" w:lineRule="auto" w:before="163"/>
        <w:ind w:left="620" w:right="356" w:firstLine="0"/>
        <w:jc w:val="left"/>
        <w:rPr>
          <w:rFonts w:ascii="Helvetica" w:hAnsi="Helvetica"/>
          <w:i/>
          <w:sz w:val="22"/>
        </w:rPr>
      </w:pPr>
      <w:r>
        <w:rPr>
          <w:rFonts w:ascii="Helvetica" w:hAnsi="Helvetica"/>
          <w:i/>
          <w:color w:val="A09681"/>
          <w:spacing w:val="-3"/>
          <w:sz w:val="22"/>
        </w:rPr>
        <w:t>“What we don’t hear </w:t>
      </w:r>
      <w:r>
        <w:rPr>
          <w:rFonts w:ascii="Helvetica" w:hAnsi="Helvetica"/>
          <w:i/>
          <w:color w:val="A09681"/>
          <w:sz w:val="22"/>
        </w:rPr>
        <w:t>is </w:t>
      </w:r>
      <w:r>
        <w:rPr>
          <w:rFonts w:ascii="Helvetica" w:hAnsi="Helvetica"/>
          <w:i/>
          <w:color w:val="A09681"/>
          <w:spacing w:val="-3"/>
          <w:sz w:val="22"/>
        </w:rPr>
        <w:t>that similar </w:t>
      </w:r>
      <w:r>
        <w:rPr>
          <w:rFonts w:ascii="Helvetica" w:hAnsi="Helvetica"/>
          <w:i/>
          <w:color w:val="A09681"/>
          <w:sz w:val="22"/>
        </w:rPr>
        <w:t>story </w:t>
      </w:r>
      <w:r>
        <w:rPr>
          <w:rFonts w:ascii="Helvetica" w:hAnsi="Helvetica"/>
          <w:i/>
          <w:color w:val="A09681"/>
          <w:spacing w:val="-3"/>
          <w:sz w:val="22"/>
        </w:rPr>
        <w:t>from communities that </w:t>
      </w:r>
      <w:r>
        <w:rPr>
          <w:rFonts w:ascii="Helvetica" w:hAnsi="Helvetica"/>
          <w:i/>
          <w:color w:val="A09681"/>
          <w:spacing w:val="-5"/>
          <w:sz w:val="22"/>
        </w:rPr>
        <w:t>have </w:t>
      </w:r>
      <w:r>
        <w:rPr>
          <w:rFonts w:ascii="Helvetica" w:hAnsi="Helvetica"/>
          <w:i/>
          <w:color w:val="A09681"/>
          <w:spacing w:val="-4"/>
          <w:sz w:val="22"/>
        </w:rPr>
        <w:t>taken </w:t>
      </w:r>
      <w:r>
        <w:rPr>
          <w:rFonts w:ascii="Helvetica" w:hAnsi="Helvetica"/>
          <w:i/>
          <w:color w:val="A09681"/>
          <w:spacing w:val="-3"/>
          <w:sz w:val="22"/>
        </w:rPr>
        <w:t>control </w:t>
      </w:r>
      <w:r>
        <w:rPr>
          <w:rFonts w:ascii="Helvetica" w:hAnsi="Helvetica"/>
          <w:i/>
          <w:color w:val="A09681"/>
          <w:spacing w:val="-5"/>
          <w:sz w:val="22"/>
        </w:rPr>
        <w:t>over </w:t>
      </w:r>
      <w:r>
        <w:rPr>
          <w:rFonts w:ascii="Helvetica" w:hAnsi="Helvetica"/>
          <w:i/>
          <w:color w:val="A09681"/>
          <w:spacing w:val="-3"/>
          <w:sz w:val="22"/>
        </w:rPr>
        <w:t>their </w:t>
      </w:r>
      <w:r>
        <w:rPr>
          <w:rFonts w:ascii="Helvetica" w:hAnsi="Helvetica"/>
          <w:i/>
          <w:color w:val="A09681"/>
          <w:spacing w:val="-4"/>
          <w:sz w:val="22"/>
        </w:rPr>
        <w:t>affairs </w:t>
      </w:r>
      <w:r>
        <w:rPr>
          <w:rFonts w:ascii="Helvetica" w:hAnsi="Helvetica"/>
          <w:i/>
          <w:color w:val="A09681"/>
          <w:sz w:val="22"/>
        </w:rPr>
        <w:t>and are </w:t>
      </w:r>
      <w:r>
        <w:rPr>
          <w:rFonts w:ascii="Helvetica" w:hAnsi="Helvetica"/>
          <w:i/>
          <w:color w:val="A09681"/>
          <w:spacing w:val="-6"/>
          <w:sz w:val="22"/>
        </w:rPr>
        <w:t>winning.”</w:t>
      </w:r>
    </w:p>
    <w:p>
      <w:pPr>
        <w:spacing w:line="232" w:lineRule="auto" w:before="171"/>
        <w:ind w:left="280" w:right="499" w:firstLine="0"/>
        <w:jc w:val="left"/>
        <w:rPr>
          <w:rFonts w:ascii="Helvetica-LightOblique" w:hAnsi="Helvetica-LightOblique"/>
          <w:i/>
          <w:sz w:val="22"/>
        </w:rPr>
      </w:pPr>
      <w:r>
        <w:rPr>
          <w:color w:val="231F20"/>
          <w:sz w:val="22"/>
        </w:rPr>
        <w:t>In addition, one participant posed a question which is well worth exploring — that the public service should ask about the </w:t>
      </w:r>
      <w:r>
        <w:rPr>
          <w:rFonts w:ascii="Helvetica-LightOblique" w:hAnsi="Helvetica-LightOblique"/>
          <w:i/>
          <w:color w:val="231F20"/>
          <w:sz w:val="22"/>
        </w:rPr>
        <w:t>“97 per cent of communities that are not on the government's radar for support. How are they strong and resilient?”</w:t>
      </w:r>
    </w:p>
    <w:p>
      <w:pPr>
        <w:pStyle w:val="BodyText"/>
        <w:spacing w:before="2"/>
        <w:rPr>
          <w:rFonts w:ascii="Helvetica-LightOblique"/>
          <w:i/>
          <w:sz w:val="14"/>
        </w:rPr>
      </w:pPr>
      <w:r>
        <w:rPr/>
        <w:pict>
          <v:shape style="position:absolute;margin-left:310.015015pt;margin-top:11.359519pt;width:225.8pt;height:119.35pt;mso-position-horizontal-relative:page;mso-position-vertical-relative:paragraph;z-index:128;mso-wrap-distance-left:0;mso-wrap-distance-right:0" type="#_x0000_t202" filled="false" stroked="true" strokeweight="1pt" strokecolor="#47a7a8">
            <v:textbox inset="0,0,0,0">
              <w:txbxContent>
                <w:p>
                  <w:pPr>
                    <w:pStyle w:val="BodyText"/>
                    <w:spacing w:before="12"/>
                    <w:rPr>
                      <w:rFonts w:ascii="Helvetica-LightOblique"/>
                      <w:i/>
                    </w:rPr>
                  </w:pPr>
                </w:p>
                <w:p>
                  <w:pPr>
                    <w:pStyle w:val="BodyText"/>
                    <w:spacing w:line="235" w:lineRule="auto"/>
                    <w:ind w:left="283" w:right="439"/>
                  </w:pPr>
                  <w:r>
                    <w:rPr>
                      <w:color w:val="47A7A8"/>
                    </w:rPr>
                    <w:t>Sharing the stories of strong and successful Aboriginal-controlled organisations will set a positive tone for devolved decision-making. It will also provide a point of reference to assist others to learn and replicate the elements of their success.</w:t>
                  </w:r>
                </w:p>
              </w:txbxContent>
            </v:textbox>
            <v:stroke dashstyle="solid"/>
            <w10:wrap type="topAndBottom"/>
          </v:shape>
        </w:pict>
      </w:r>
    </w:p>
    <w:p>
      <w:pPr>
        <w:spacing w:after="0"/>
        <w:rPr>
          <w:rFonts w:ascii="Helvetica-LightOblique"/>
          <w:sz w:val="14"/>
        </w:rPr>
        <w:sectPr>
          <w:type w:val="continuous"/>
          <w:pgSz w:w="11910" w:h="16840"/>
          <w:pgMar w:top="1580" w:bottom="280" w:left="740" w:right="640"/>
          <w:cols w:num="2" w:equalWidth="0">
            <w:col w:w="5037" w:space="133"/>
            <w:col w:w="5360"/>
          </w:cols>
        </w:sect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20"/>
        </w:rPr>
      </w:pPr>
    </w:p>
    <w:p>
      <w:pPr>
        <w:pStyle w:val="BodyText"/>
        <w:rPr>
          <w:rFonts w:ascii="Helvetica-LightOblique"/>
          <w:i/>
          <w:sz w:val="16"/>
        </w:rPr>
      </w:pPr>
    </w:p>
    <w:p>
      <w:pPr>
        <w:pStyle w:val="Heading1"/>
        <w:spacing w:before="24"/>
      </w:pPr>
      <w:r>
        <w:rPr>
          <w:color w:val="C2B59B"/>
        </w:rPr>
        <w:t>CONCLUSION</w:t>
      </w:r>
    </w:p>
    <w:p>
      <w:pPr>
        <w:pStyle w:val="BodyText"/>
        <w:spacing w:before="9"/>
        <w:rPr>
          <w:rFonts w:ascii="Helvetica"/>
          <w:sz w:val="25"/>
        </w:rPr>
      </w:pPr>
    </w:p>
    <w:p>
      <w:pPr>
        <w:spacing w:after="0"/>
        <w:rPr>
          <w:rFonts w:ascii="Helvetica"/>
          <w:sz w:val="25"/>
        </w:rPr>
        <w:sectPr>
          <w:headerReference w:type="default" r:id="rId53"/>
          <w:footerReference w:type="default" r:id="rId54"/>
          <w:pgSz w:w="11910" w:h="16840"/>
          <w:pgMar w:header="0" w:footer="558" w:top="0" w:bottom="740" w:left="740" w:right="640"/>
          <w:pgNumType w:start="32"/>
        </w:sectPr>
      </w:pPr>
    </w:p>
    <w:p>
      <w:pPr>
        <w:spacing w:line="230" w:lineRule="auto" w:before="109"/>
        <w:ind w:left="280" w:right="74" w:firstLine="0"/>
        <w:jc w:val="left"/>
        <w:rPr>
          <w:rFonts w:ascii="Helvetica-LightOblique"/>
          <w:i/>
          <w:sz w:val="22"/>
        </w:rPr>
      </w:pPr>
      <w:r>
        <w:rPr/>
        <w:pict>
          <v:group style="position:absolute;margin-left:.0pt;margin-top:0pt;width:595.3pt;height:368.55pt;mso-position-horizontal-relative:page;mso-position-vertical-relative:page;z-index:-71104" coordorigin="0,0" coordsize="11906,7371">
            <v:shape style="position:absolute;left:0;top:1615;width:11906;height:5755" type="#_x0000_t75" stroked="false">
              <v:imagedata r:id="rId31" o:title=""/>
            </v:shape>
            <v:rect style="position:absolute;left:0;top:6803;width:11906;height:567" filled="true" fillcolor="#439fa0" stroked="false">
              <v:fill opacity="41288f" type="solid"/>
            </v:rect>
            <v:rect style="position:absolute;left:0;top:1332;width:4105;height:284" filled="true" fillcolor="#14397f" stroked="false">
              <v:fill type="solid"/>
            </v:rect>
            <v:rect style="position:absolute;left:11111;top:1332;width:341;height:284" filled="true" fillcolor="#e3dad1" stroked="false">
              <v:fill type="solid"/>
            </v:rect>
            <v:rect style="position:absolute;left:4104;top:1332;width:1656;height:284" filled="true" fillcolor="#47a7a8" stroked="false">
              <v:fill type="solid"/>
            </v:rect>
            <v:rect style="position:absolute;left:5748;top:1332;width:218;height:284" filled="true" fillcolor="#e7bb20" stroked="false">
              <v:fill type="solid"/>
            </v:rect>
            <v:rect style="position:absolute;left:11451;top:1332;width:454;height:284" filled="true" fillcolor="#14397f" stroked="false">
              <v:fill type="solid"/>
            </v:rect>
            <v:shape style="position:absolute;left:0;top:0;width:11906;height:1333" type="#_x0000_t75" stroked="false">
              <v:imagedata r:id="rId22" o:title=""/>
            </v:shape>
            <v:rect style="position:absolute;left:0;top:0;width:11906;height:1333" filled="true" fillcolor="#439fa0" stroked="false">
              <v:fill opacity="37355f" type="solid"/>
            </v:rect>
            <v:shape style="position:absolute;left:5966;top:1332;width:5146;height:284" type="#_x0000_t202" filled="true" fillcolor="#14397f" stroked="false">
              <v:textbox inset="0,0,0,0">
                <w:txbxContent>
                  <w:p>
                    <w:pPr>
                      <w:spacing w:before="44"/>
                      <w:ind w:left="3184" w:right="0" w:firstLine="0"/>
                      <w:jc w:val="left"/>
                      <w:rPr>
                        <w:sz w:val="16"/>
                      </w:rPr>
                    </w:pPr>
                    <w:r>
                      <w:rPr>
                        <w:color w:val="FFFFFF"/>
                        <w:sz w:val="16"/>
                      </w:rPr>
                      <w:t>RHETORIC TO REALITY</w:t>
                    </w:r>
                  </w:p>
                </w:txbxContent>
              </v:textbox>
              <v:fill type="solid"/>
              <w10:wrap type="none"/>
            </v:shape>
            <w10:wrap type="none"/>
          </v:group>
        </w:pict>
      </w:r>
      <w:r>
        <w:rPr>
          <w:rFonts w:ascii="Helvetica-LightOblique"/>
          <w:i/>
          <w:color w:val="231F20"/>
          <w:sz w:val="22"/>
        </w:rPr>
        <w:t>How can the NSW public service shift its structural and attitudinal frameworks to support devolving decision-making to Aboriginal communities?</w:t>
      </w:r>
    </w:p>
    <w:p>
      <w:pPr>
        <w:pStyle w:val="BodyText"/>
        <w:spacing w:line="235" w:lineRule="auto" w:before="164"/>
        <w:ind w:left="280" w:right="12"/>
      </w:pPr>
      <w:r>
        <w:rPr>
          <w:color w:val="231F20"/>
        </w:rPr>
        <w:t>In seeking to answer this question, the research team found a number of themes which recur persistently in the primary research conducted for this project, in the literature, and in NSW public sector initiatives. Our research showed that many of these themes persist, despite having been identified previously. We therefore deliberately sought practical solutions from participants on this group of themes. Based</w:t>
      </w:r>
    </w:p>
    <w:p>
      <w:pPr>
        <w:pStyle w:val="BodyText"/>
        <w:spacing w:line="235" w:lineRule="auto"/>
        <w:ind w:left="280" w:right="74"/>
      </w:pPr>
      <w:r>
        <w:rPr>
          <w:color w:val="231F20"/>
        </w:rPr>
        <w:t>on our interviews and conversations, we found 42 NSW public servants who are passionate, experienced and care deeply about improving outcomes for Aboriginal people.</w:t>
      </w:r>
    </w:p>
    <w:p>
      <w:pPr>
        <w:pStyle w:val="BodyText"/>
        <w:spacing w:line="235" w:lineRule="auto" w:before="157"/>
        <w:ind w:left="280" w:right="57"/>
      </w:pPr>
      <w:r>
        <w:rPr>
          <w:color w:val="231F20"/>
        </w:rPr>
        <w:t>From the research, we identified specific opportunities for the NSW public service to </w:t>
      </w:r>
      <w:r>
        <w:rPr>
          <w:color w:val="231F20"/>
          <w:spacing w:val="-4"/>
        </w:rPr>
        <w:t>shift </w:t>
      </w:r>
      <w:r>
        <w:rPr>
          <w:color w:val="231F20"/>
        </w:rPr>
        <w:t>the way it works with Aboriginal communities so as to progress towards devolved</w:t>
      </w:r>
      <w:r>
        <w:rPr>
          <w:color w:val="231F20"/>
          <w:spacing w:val="-8"/>
        </w:rPr>
        <w:t> </w:t>
      </w:r>
      <w:r>
        <w:rPr>
          <w:color w:val="231F20"/>
        </w:rPr>
        <w:t>decision-</w:t>
      </w:r>
    </w:p>
    <w:p>
      <w:pPr>
        <w:pStyle w:val="BodyText"/>
        <w:spacing w:line="235" w:lineRule="auto" w:before="105"/>
        <w:ind w:left="280" w:right="547"/>
      </w:pPr>
      <w:r>
        <w:rPr/>
        <w:br w:type="column"/>
      </w:r>
      <w:r>
        <w:rPr>
          <w:color w:val="231F20"/>
        </w:rPr>
        <w:t>making. Cultural competence that is inclusive, immersive and ongoing emerged as a key mechanism for overcoming the attitudinal and structural barriers to that shift. Flowing from this are specific opportunities for leadership development and visibility, and the support</w:t>
      </w:r>
    </w:p>
    <w:p>
      <w:pPr>
        <w:pStyle w:val="BodyText"/>
        <w:spacing w:line="235" w:lineRule="auto"/>
        <w:ind w:left="280" w:right="412"/>
      </w:pPr>
      <w:r>
        <w:rPr>
          <w:color w:val="231F20"/>
        </w:rPr>
        <w:t>and development of Aboriginal public servants. Other actions include better localised shared funding arrangements, procurement processes and capability-building activities for Aboriginal communities, organisations and businesses.</w:t>
      </w:r>
    </w:p>
    <w:p>
      <w:pPr>
        <w:pStyle w:val="BodyText"/>
        <w:spacing w:line="235" w:lineRule="auto"/>
        <w:ind w:left="280" w:right="548"/>
      </w:pPr>
      <w:r>
        <w:rPr>
          <w:color w:val="231F20"/>
        </w:rPr>
        <w:t>To reinforce these initiatives, the NSW public service should tell the stories of thriving Aboriginal communities and organisations.</w:t>
      </w:r>
    </w:p>
    <w:p>
      <w:pPr>
        <w:pStyle w:val="BodyText"/>
        <w:spacing w:line="235" w:lineRule="auto" w:before="156"/>
        <w:ind w:left="280" w:right="679"/>
      </w:pPr>
      <w:r>
        <w:rPr>
          <w:color w:val="231F20"/>
          <w:spacing w:val="-13"/>
        </w:rPr>
        <w:t>To </w:t>
      </w:r>
      <w:r>
        <w:rPr>
          <w:color w:val="231F20"/>
        </w:rPr>
        <w:t>conclude, we are confident that a </w:t>
      </w:r>
      <w:r>
        <w:rPr>
          <w:color w:val="231F20"/>
          <w:spacing w:val="-3"/>
        </w:rPr>
        <w:t>genuine </w:t>
      </w:r>
      <w:r>
        <w:rPr>
          <w:color w:val="231F20"/>
        </w:rPr>
        <w:t>move towards the principles and practices of co-design between the public service and Aboriginal organisations and communities would be of significant value and would</w:t>
      </w:r>
    </w:p>
    <w:p>
      <w:pPr>
        <w:pStyle w:val="BodyText"/>
        <w:spacing w:line="235" w:lineRule="auto"/>
        <w:ind w:left="280" w:right="395"/>
      </w:pPr>
      <w:r>
        <w:rPr>
          <w:color w:val="231F20"/>
        </w:rPr>
        <w:t>transform the public service’s relationship with Aboriginal communities.</w:t>
      </w:r>
    </w:p>
    <w:p>
      <w:pPr>
        <w:spacing w:after="0" w:line="235" w:lineRule="auto"/>
        <w:sectPr>
          <w:type w:val="continuous"/>
          <w:pgSz w:w="11910" w:h="16840"/>
          <w:pgMar w:top="1580" w:bottom="280" w:left="740" w:right="640"/>
          <w:cols w:num="2" w:equalWidth="0">
            <w:col w:w="5008" w:space="151"/>
            <w:col w:w="5371"/>
          </w:cols>
        </w:sectPr>
      </w:pPr>
    </w:p>
    <w:p>
      <w:pPr>
        <w:pStyle w:val="BodyText"/>
        <w:rPr>
          <w:sz w:val="20"/>
        </w:rPr>
      </w:pPr>
    </w:p>
    <w:p>
      <w:pPr>
        <w:pStyle w:val="BodyText"/>
        <w:rPr>
          <w:sz w:val="20"/>
        </w:rPr>
      </w:pPr>
    </w:p>
    <w:p>
      <w:pPr>
        <w:pStyle w:val="BodyText"/>
        <w:rPr>
          <w:sz w:val="20"/>
        </w:rPr>
      </w:pPr>
    </w:p>
    <w:p>
      <w:pPr>
        <w:pStyle w:val="BodyText"/>
        <w:spacing w:before="8"/>
        <w:rPr>
          <w:sz w:val="19"/>
        </w:rPr>
      </w:pPr>
    </w:p>
    <w:p>
      <w:pPr>
        <w:pStyle w:val="Heading1"/>
        <w:spacing w:before="24"/>
      </w:pPr>
      <w:r>
        <w:rPr>
          <w:color w:val="C2B59B"/>
        </w:rPr>
        <w:t>REFERENCES</w:t>
      </w:r>
    </w:p>
    <w:p>
      <w:pPr>
        <w:pStyle w:val="BodyText"/>
        <w:spacing w:before="3"/>
        <w:rPr>
          <w:rFonts w:ascii="Helvetica"/>
          <w:sz w:val="34"/>
        </w:rPr>
      </w:pPr>
    </w:p>
    <w:p>
      <w:pPr>
        <w:spacing w:line="235" w:lineRule="auto" w:before="0"/>
        <w:ind w:left="280" w:right="934" w:firstLine="0"/>
        <w:jc w:val="left"/>
        <w:rPr>
          <w:sz w:val="20"/>
        </w:rPr>
      </w:pPr>
      <w:r>
        <w:rPr>
          <w:color w:val="231F20"/>
          <w:sz w:val="20"/>
        </w:rPr>
        <w:t>Abramovitz, M &amp; Blitz, LV 2015, 'Moving Toward Racial Equity: The Undoing Racism Workshop and Organizational Change', </w:t>
      </w:r>
      <w:r>
        <w:rPr>
          <w:rFonts w:ascii="Helvetica-LightOblique"/>
          <w:i/>
          <w:color w:val="231F20"/>
          <w:sz w:val="20"/>
        </w:rPr>
        <w:t>Race and Social Problems</w:t>
      </w:r>
      <w:r>
        <w:rPr>
          <w:color w:val="231F20"/>
          <w:sz w:val="20"/>
        </w:rPr>
        <w:t>, vol. 7, no. 2, pp. 97-110.</w:t>
      </w:r>
    </w:p>
    <w:p>
      <w:pPr>
        <w:spacing w:before="160"/>
        <w:ind w:left="280" w:right="0" w:firstLine="0"/>
        <w:jc w:val="left"/>
        <w:rPr>
          <w:sz w:val="20"/>
        </w:rPr>
      </w:pPr>
      <w:r>
        <w:rPr>
          <w:color w:val="231F20"/>
          <w:sz w:val="20"/>
        </w:rPr>
        <w:t>Ajzen, I 2001, ‘Nature and Operation of Attitudes’, </w:t>
      </w:r>
      <w:r>
        <w:rPr>
          <w:rFonts w:ascii="Helvetica-LightOblique" w:hAnsi="Helvetica-LightOblique"/>
          <w:i/>
          <w:color w:val="231F20"/>
          <w:sz w:val="20"/>
        </w:rPr>
        <w:t>Annual Review of Psychology</w:t>
      </w:r>
      <w:r>
        <w:rPr>
          <w:color w:val="231F20"/>
          <w:sz w:val="20"/>
        </w:rPr>
        <w:t>, 52(1), pp.27-58.</w:t>
      </w:r>
    </w:p>
    <w:p>
      <w:pPr>
        <w:spacing w:line="232" w:lineRule="auto" w:before="165"/>
        <w:ind w:left="280" w:right="450" w:firstLine="0"/>
        <w:jc w:val="left"/>
        <w:rPr>
          <w:sz w:val="20"/>
        </w:rPr>
      </w:pPr>
      <w:r>
        <w:rPr>
          <w:color w:val="231F20"/>
          <w:sz w:val="20"/>
        </w:rPr>
        <w:t>Albarracin, D, Wang, W, Li, H &amp; Noguchi, K 2008, ‘Structures of Attitudes: Judgements, Memory and Implications for Change’ in W.D. Crano &amp; R. Priskin, (eds), </w:t>
      </w:r>
      <w:r>
        <w:rPr>
          <w:rFonts w:ascii="Helvetica-LightOblique" w:hAnsi="Helvetica-LightOblique"/>
          <w:i/>
          <w:color w:val="231F20"/>
          <w:sz w:val="20"/>
        </w:rPr>
        <w:t>Attitudes and Attitude Change</w:t>
      </w:r>
      <w:r>
        <w:rPr>
          <w:color w:val="231F20"/>
          <w:sz w:val="20"/>
        </w:rPr>
        <w:t>, Psychology Press, London.</w:t>
      </w:r>
    </w:p>
    <w:p>
      <w:pPr>
        <w:spacing w:line="232" w:lineRule="auto" w:before="171"/>
        <w:ind w:left="280" w:right="570" w:firstLine="0"/>
        <w:jc w:val="left"/>
        <w:rPr>
          <w:sz w:val="20"/>
        </w:rPr>
      </w:pPr>
      <w:r>
        <w:rPr>
          <w:color w:val="231F20"/>
          <w:sz w:val="20"/>
        </w:rPr>
        <w:t>Armitage, D, Berkes, F, Dale, A, Kocho-Schellenberg, E &amp; Patton, E 2011, ‘Co-management and the Co- production of Knowledge: Learning to Adapt in Canada's Arctic’, </w:t>
      </w:r>
      <w:r>
        <w:rPr>
          <w:rFonts w:ascii="Helvetica-LightOblique" w:hAnsi="Helvetica-LightOblique"/>
          <w:i/>
          <w:color w:val="231F20"/>
          <w:sz w:val="20"/>
        </w:rPr>
        <w:t>Global Environmental Change</w:t>
      </w:r>
      <w:r>
        <w:rPr>
          <w:color w:val="231F20"/>
          <w:sz w:val="20"/>
        </w:rPr>
        <w:t>, vol. 2 no. 3, pp. 995-1004.</w:t>
      </w:r>
    </w:p>
    <w:p>
      <w:pPr>
        <w:spacing w:line="230" w:lineRule="auto" w:before="172"/>
        <w:ind w:left="280" w:right="1305" w:firstLine="0"/>
        <w:jc w:val="left"/>
        <w:rPr>
          <w:sz w:val="20"/>
        </w:rPr>
      </w:pPr>
      <w:r>
        <w:rPr>
          <w:color w:val="231F20"/>
          <w:sz w:val="20"/>
        </w:rPr>
        <w:t>Australian Human Rights Commission (AHRC) 2012, </w:t>
      </w:r>
      <w:r>
        <w:rPr>
          <w:rFonts w:ascii="Helvetica-LightOblique"/>
          <w:i/>
          <w:color w:val="231F20"/>
          <w:sz w:val="20"/>
        </w:rPr>
        <w:t>National Anti-Racism Partnership and Strategy: Discussion Paper</w:t>
      </w:r>
      <w:r>
        <w:rPr>
          <w:color w:val="231F20"/>
          <w:sz w:val="20"/>
        </w:rPr>
        <w:t>, Australian Human Rights Commission, Sydney NSW.</w:t>
      </w:r>
    </w:p>
    <w:p>
      <w:pPr>
        <w:spacing w:line="235" w:lineRule="auto" w:before="165"/>
        <w:ind w:left="280" w:right="934" w:firstLine="0"/>
        <w:jc w:val="left"/>
        <w:rPr>
          <w:sz w:val="20"/>
        </w:rPr>
      </w:pPr>
      <w:r>
        <w:rPr>
          <w:color w:val="231F20"/>
          <w:sz w:val="20"/>
        </w:rPr>
        <w:t>Beaudoin, J, Bouthillier, L &amp; Chiasson, G 2015, 'Growing deep roots: Increasing Aboriginal authority in contemporary forest governance arrangements', </w:t>
      </w:r>
      <w:r>
        <w:rPr>
          <w:rFonts w:ascii="Helvetica-LightOblique"/>
          <w:i/>
          <w:color w:val="231F20"/>
          <w:sz w:val="20"/>
        </w:rPr>
        <w:t>Land Use Policy</w:t>
      </w:r>
      <w:r>
        <w:rPr>
          <w:color w:val="231F20"/>
          <w:sz w:val="20"/>
        </w:rPr>
        <w:t>, vol. 49, pp. 287-295.</w:t>
      </w:r>
    </w:p>
    <w:p>
      <w:pPr>
        <w:spacing w:before="160"/>
        <w:ind w:left="280" w:right="0" w:firstLine="0"/>
        <w:jc w:val="left"/>
        <w:rPr>
          <w:sz w:val="20"/>
        </w:rPr>
      </w:pPr>
      <w:r>
        <w:rPr>
          <w:color w:val="231F20"/>
          <w:sz w:val="20"/>
        </w:rPr>
        <w:t>Braun, V &amp; Clarke, V 2013, </w:t>
      </w:r>
      <w:r>
        <w:rPr>
          <w:rFonts w:ascii="Helvetica-LightOblique"/>
          <w:i/>
          <w:color w:val="231F20"/>
          <w:sz w:val="20"/>
        </w:rPr>
        <w:t>Successful Qualitative Research: A Practical Guide for Beginners</w:t>
      </w:r>
      <w:r>
        <w:rPr>
          <w:color w:val="231F20"/>
          <w:sz w:val="20"/>
        </w:rPr>
        <w:t>, Sage, London.</w:t>
      </w:r>
    </w:p>
    <w:p>
      <w:pPr>
        <w:spacing w:line="230" w:lineRule="auto" w:before="167"/>
        <w:ind w:left="280" w:right="370" w:firstLine="0"/>
        <w:jc w:val="left"/>
        <w:rPr>
          <w:sz w:val="20"/>
        </w:rPr>
      </w:pPr>
      <w:r>
        <w:rPr>
          <w:color w:val="231F20"/>
          <w:sz w:val="20"/>
        </w:rPr>
        <w:t>Braun, V &amp; Clarke, V 2006, ‘Using thematic analysis in psychology’, </w:t>
      </w:r>
      <w:r>
        <w:rPr>
          <w:rFonts w:ascii="Helvetica-LightOblique" w:hAnsi="Helvetica-LightOblique"/>
          <w:i/>
          <w:color w:val="231F20"/>
          <w:sz w:val="20"/>
        </w:rPr>
        <w:t>Qualitative Research in Psychology</w:t>
      </w:r>
      <w:r>
        <w:rPr>
          <w:color w:val="231F20"/>
          <w:sz w:val="20"/>
        </w:rPr>
        <w:t>, vol. 3, no.2, pp. 77-101.</w:t>
      </w:r>
    </w:p>
    <w:p>
      <w:pPr>
        <w:spacing w:line="232" w:lineRule="auto" w:before="172"/>
        <w:ind w:left="280" w:right="370" w:firstLine="0"/>
        <w:jc w:val="left"/>
        <w:rPr>
          <w:sz w:val="20"/>
        </w:rPr>
      </w:pPr>
      <w:r>
        <w:rPr>
          <w:color w:val="231F20"/>
          <w:sz w:val="20"/>
        </w:rPr>
        <w:t>Cacioppo, J, Claiborn, C, Petty, R &amp; Heesacker, M 1991, ‘General Framework for the Study of Attitude Change in Psychotherapy’, in CR Snyder &amp; DR Forsyth (eds), </w:t>
      </w:r>
      <w:r>
        <w:rPr>
          <w:rFonts w:ascii="Helvetica-LightOblique" w:hAnsi="Helvetica-LightOblique"/>
          <w:i/>
          <w:color w:val="231F20"/>
          <w:sz w:val="20"/>
        </w:rPr>
        <w:t>Handbook of Social and Clinical Psychology: a Health Perspective</w:t>
      </w:r>
      <w:r>
        <w:rPr>
          <w:color w:val="231F20"/>
          <w:sz w:val="20"/>
        </w:rPr>
        <w:t>, pp. 523-539, Pergamon Press, New York.</w:t>
      </w:r>
    </w:p>
    <w:p>
      <w:pPr>
        <w:spacing w:line="235" w:lineRule="auto" w:before="164"/>
        <w:ind w:left="280" w:right="0" w:firstLine="0"/>
        <w:jc w:val="left"/>
        <w:rPr>
          <w:sz w:val="20"/>
        </w:rPr>
      </w:pPr>
      <w:r>
        <w:rPr>
          <w:color w:val="231F20"/>
          <w:sz w:val="20"/>
        </w:rPr>
        <w:t>Cascon-Pereira, R, Valverde, M &amp; Ryan, G 2006, 'Mapping Out Devolution: An Exploration of the Realities of Devolution', </w:t>
      </w:r>
      <w:r>
        <w:rPr>
          <w:rFonts w:ascii="Helvetica-LightOblique"/>
          <w:i/>
          <w:color w:val="231F20"/>
          <w:sz w:val="20"/>
        </w:rPr>
        <w:t>Journal of European Industrial Training</w:t>
      </w:r>
      <w:r>
        <w:rPr>
          <w:color w:val="231F20"/>
          <w:sz w:val="20"/>
        </w:rPr>
        <w:t>, vol. 30, no. 2, pp. 129-151.</w:t>
      </w:r>
    </w:p>
    <w:p>
      <w:pPr>
        <w:spacing w:line="230" w:lineRule="auto" w:before="168"/>
        <w:ind w:left="280" w:right="770" w:firstLine="0"/>
        <w:jc w:val="left"/>
        <w:rPr>
          <w:sz w:val="20"/>
        </w:rPr>
      </w:pPr>
      <w:r>
        <w:rPr>
          <w:color w:val="231F20"/>
          <w:sz w:val="20"/>
        </w:rPr>
        <w:t>Closing the Gap Clearinghouse (AIHW, AIFS) 2013, </w:t>
      </w:r>
      <w:r>
        <w:rPr>
          <w:rFonts w:ascii="Helvetica-LightOblique"/>
          <w:i/>
          <w:color w:val="231F20"/>
          <w:sz w:val="20"/>
        </w:rPr>
        <w:t>What Works to Overcome Indigenous Disadvantage: Key Learnings and Gaps in the Evidence 2011-12</w:t>
      </w:r>
      <w:r>
        <w:rPr>
          <w:color w:val="231F20"/>
          <w:sz w:val="20"/>
        </w:rPr>
        <w:t>, Australian Institute of Health and Welfare &amp; Melbourne: Australian Institute of Family Studies.</w:t>
      </w:r>
    </w:p>
    <w:p>
      <w:pPr>
        <w:spacing w:line="230" w:lineRule="auto" w:before="173"/>
        <w:ind w:left="280" w:right="1027" w:firstLine="0"/>
        <w:jc w:val="left"/>
        <w:rPr>
          <w:sz w:val="20"/>
        </w:rPr>
      </w:pPr>
      <w:r>
        <w:rPr>
          <w:color w:val="231F20"/>
          <w:sz w:val="20"/>
        </w:rPr>
        <w:t>Cultural and Indigenous Research Centre Australia (CIRCA) 2015, </w:t>
      </w:r>
      <w:r>
        <w:rPr>
          <w:rFonts w:ascii="Helvetica-LightOblique"/>
          <w:i/>
          <w:color w:val="231F20"/>
          <w:sz w:val="20"/>
        </w:rPr>
        <w:t>NSW Government: Murdi Paaki LDM Accord Negotiation Evaluation</w:t>
      </w:r>
      <w:r>
        <w:rPr>
          <w:color w:val="231F20"/>
          <w:sz w:val="20"/>
        </w:rPr>
        <w:t>, Leichhardt NSW.</w:t>
      </w:r>
    </w:p>
    <w:p>
      <w:pPr>
        <w:spacing w:before="161"/>
        <w:ind w:left="280" w:right="0" w:firstLine="0"/>
        <w:jc w:val="left"/>
        <w:rPr>
          <w:sz w:val="20"/>
        </w:rPr>
      </w:pPr>
      <w:r>
        <w:rPr>
          <w:color w:val="231F20"/>
          <w:sz w:val="20"/>
        </w:rPr>
        <w:t>Delgado, L 2015, </w:t>
      </w:r>
      <w:r>
        <w:rPr>
          <w:rFonts w:ascii="Helvetica-LightOblique"/>
          <w:i/>
          <w:color w:val="231F20"/>
          <w:sz w:val="20"/>
        </w:rPr>
        <w:t>Institutional Racism</w:t>
      </w:r>
      <w:r>
        <w:rPr>
          <w:color w:val="231F20"/>
          <w:sz w:val="20"/>
        </w:rPr>
        <w:t>, Salem Press Encyclopedia.</w:t>
      </w:r>
    </w:p>
    <w:p>
      <w:pPr>
        <w:spacing w:line="235" w:lineRule="auto" w:before="164"/>
        <w:ind w:left="280" w:right="0" w:firstLine="0"/>
        <w:jc w:val="left"/>
        <w:rPr>
          <w:sz w:val="20"/>
        </w:rPr>
      </w:pPr>
      <w:r>
        <w:rPr>
          <w:color w:val="231F20"/>
          <w:sz w:val="20"/>
        </w:rPr>
        <w:t>Downing, R &amp; Kowal, E 2011, 'A Postcolonial Analysis of Indigenous Cultural Awareness Training for Health Workers', </w:t>
      </w:r>
      <w:r>
        <w:rPr>
          <w:rFonts w:ascii="Helvetica-LightOblique"/>
          <w:i/>
          <w:color w:val="231F20"/>
          <w:sz w:val="20"/>
        </w:rPr>
        <w:t>Health Sociology Review</w:t>
      </w:r>
      <w:r>
        <w:rPr>
          <w:color w:val="231F20"/>
          <w:sz w:val="20"/>
        </w:rPr>
        <w:t>, vol. 20, no. 1, pp. 5-15.</w:t>
      </w:r>
    </w:p>
    <w:p>
      <w:pPr>
        <w:spacing w:line="235" w:lineRule="auto" w:before="164"/>
        <w:ind w:left="280" w:right="934" w:firstLine="0"/>
        <w:jc w:val="left"/>
        <w:rPr>
          <w:sz w:val="20"/>
        </w:rPr>
      </w:pPr>
      <w:r>
        <w:rPr>
          <w:color w:val="231F20"/>
          <w:sz w:val="20"/>
        </w:rPr>
        <w:t>Escott, H, Beavis, S &amp; Reeves, A 2015, 'Incentives and Constraints to Indigenous Engagement in Water Management', </w:t>
      </w:r>
      <w:r>
        <w:rPr>
          <w:rFonts w:ascii="Helvetica-LightOblique"/>
          <w:i/>
          <w:color w:val="231F20"/>
          <w:sz w:val="20"/>
        </w:rPr>
        <w:t>Land Use Policy</w:t>
      </w:r>
      <w:r>
        <w:rPr>
          <w:color w:val="231F20"/>
          <w:sz w:val="20"/>
        </w:rPr>
        <w:t>, vol. 49, pp. 382-393.</w:t>
      </w:r>
    </w:p>
    <w:p>
      <w:pPr>
        <w:spacing w:line="243" w:lineRule="exact" w:before="159"/>
        <w:ind w:left="280" w:right="0" w:firstLine="0"/>
        <w:jc w:val="left"/>
        <w:rPr>
          <w:sz w:val="20"/>
        </w:rPr>
      </w:pPr>
      <w:r>
        <w:rPr>
          <w:color w:val="231F20"/>
          <w:sz w:val="20"/>
        </w:rPr>
        <w:t>Finlay, KA &amp; Stephan, WG 2000, 'Improving Intergroup Relations: The Effects of Empathy on Racial Attitudes',</w:t>
      </w:r>
    </w:p>
    <w:p>
      <w:pPr>
        <w:spacing w:line="247" w:lineRule="exact" w:before="0"/>
        <w:ind w:left="280" w:right="0" w:firstLine="0"/>
        <w:jc w:val="left"/>
        <w:rPr>
          <w:sz w:val="20"/>
        </w:rPr>
      </w:pPr>
      <w:r>
        <w:rPr>
          <w:rFonts w:ascii="Helvetica-LightOblique"/>
          <w:i/>
          <w:color w:val="231F20"/>
          <w:sz w:val="20"/>
        </w:rPr>
        <w:t>Journal of Applied Social Psychology</w:t>
      </w:r>
      <w:r>
        <w:rPr>
          <w:color w:val="231F20"/>
          <w:sz w:val="20"/>
        </w:rPr>
        <w:t>, vol. 30, no. 8, pp. 1720-1737.</w:t>
      </w:r>
    </w:p>
    <w:p>
      <w:pPr>
        <w:spacing w:line="243" w:lineRule="exact" w:before="160"/>
        <w:ind w:left="280" w:right="0" w:firstLine="0"/>
        <w:jc w:val="left"/>
        <w:rPr>
          <w:sz w:val="20"/>
        </w:rPr>
      </w:pPr>
      <w:r>
        <w:rPr>
          <w:color w:val="231F20"/>
          <w:sz w:val="20"/>
        </w:rPr>
        <w:t>Fredericks, B 2006, 'Which way? Educating for nursing Aboriginal and Torres Strait Islander peoples',</w:t>
      </w:r>
    </w:p>
    <w:p>
      <w:pPr>
        <w:spacing w:line="248" w:lineRule="exact" w:before="0"/>
        <w:ind w:left="280" w:right="0" w:firstLine="0"/>
        <w:jc w:val="left"/>
        <w:rPr>
          <w:sz w:val="20"/>
        </w:rPr>
      </w:pPr>
      <w:r>
        <w:rPr>
          <w:rFonts w:ascii="Helvetica-LightOblique"/>
          <w:i/>
          <w:color w:val="231F20"/>
          <w:sz w:val="20"/>
        </w:rPr>
        <w:t>Contemporary Nurse: A Journal for the Australian Nursing Profession</w:t>
      </w:r>
      <w:r>
        <w:rPr>
          <w:color w:val="231F20"/>
          <w:sz w:val="20"/>
        </w:rPr>
        <w:t>, vol. 23, no. 1, pp. 87-99.</w:t>
      </w:r>
    </w:p>
    <w:p>
      <w:pPr>
        <w:spacing w:line="235" w:lineRule="auto" w:before="163"/>
        <w:ind w:left="280" w:right="1192" w:firstLine="0"/>
        <w:jc w:val="left"/>
        <w:rPr>
          <w:sz w:val="20"/>
        </w:rPr>
      </w:pPr>
      <w:r>
        <w:rPr>
          <w:color w:val="231F20"/>
          <w:sz w:val="20"/>
        </w:rPr>
        <w:t>Hunt, J 2007, 'The Whole-of-government Experiment in Indigenous Affairs: A Question of Governance Capacity', </w:t>
      </w:r>
      <w:r>
        <w:rPr>
          <w:rFonts w:ascii="Helvetica-LightOblique"/>
          <w:i/>
          <w:color w:val="231F20"/>
          <w:sz w:val="20"/>
        </w:rPr>
        <w:t>Public Policy</w:t>
      </w:r>
      <w:r>
        <w:rPr>
          <w:color w:val="231F20"/>
          <w:sz w:val="20"/>
        </w:rPr>
        <w:t>, vol. 2, no. 2, pp. 155-174.</w:t>
      </w:r>
    </w:p>
    <w:p>
      <w:pPr>
        <w:spacing w:after="0" w:line="235" w:lineRule="auto"/>
        <w:jc w:val="left"/>
        <w:rPr>
          <w:sz w:val="20"/>
        </w:rPr>
        <w:sectPr>
          <w:headerReference w:type="default" r:id="rId55"/>
          <w:pgSz w:w="11910" w:h="16840"/>
          <w:pgMar w:header="0" w:footer="558" w:top="1600" w:bottom="740" w:left="740" w:right="640"/>
        </w:sect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line="230" w:lineRule="auto" w:before="108"/>
        <w:ind w:left="280" w:right="1171" w:firstLine="0"/>
        <w:jc w:val="left"/>
        <w:rPr>
          <w:sz w:val="20"/>
        </w:rPr>
      </w:pPr>
      <w:r>
        <w:rPr>
          <w:color w:val="231F20"/>
          <w:sz w:val="20"/>
        </w:rPr>
        <w:t>Hunt, J 2013, </w:t>
      </w:r>
      <w:r>
        <w:rPr>
          <w:rFonts w:ascii="Helvetica-LightOblique" w:hAnsi="Helvetica-LightOblique"/>
          <w:i/>
          <w:color w:val="231F20"/>
          <w:sz w:val="20"/>
        </w:rPr>
        <w:t>Engaging with Indigenous Australia—Exploring the conditions for effective relationships with Aboriginal and Torres Strait Islander communities</w:t>
      </w:r>
      <w:r>
        <w:rPr>
          <w:color w:val="231F20"/>
          <w:sz w:val="20"/>
        </w:rPr>
        <w:t>, Issues paper no. 5 AIHW, Closing the Gap Clearinghouse.</w:t>
      </w:r>
    </w:p>
    <w:p>
      <w:pPr>
        <w:spacing w:line="232" w:lineRule="auto" w:before="171"/>
        <w:ind w:left="280" w:right="1095" w:firstLine="0"/>
        <w:jc w:val="both"/>
        <w:rPr>
          <w:sz w:val="20"/>
        </w:rPr>
      </w:pPr>
      <w:r>
        <w:rPr>
          <w:color w:val="231F20"/>
          <w:spacing w:val="-3"/>
          <w:sz w:val="20"/>
        </w:rPr>
        <w:t>Hunter, </w:t>
      </w:r>
      <w:r>
        <w:rPr>
          <w:color w:val="231F20"/>
          <w:sz w:val="20"/>
        </w:rPr>
        <w:t>B 2007, ‘Conspicuous Compassion and Wicked Problems: The Howard Government's National Emergency in Indigenous Affairs’, </w:t>
      </w:r>
      <w:r>
        <w:rPr>
          <w:rFonts w:ascii="Helvetica-LightOblique" w:hAnsi="Helvetica-LightOblique"/>
          <w:i/>
          <w:color w:val="231F20"/>
          <w:sz w:val="20"/>
        </w:rPr>
        <w:t>Agenda: A Journal of Policy Analysis and Reform</w:t>
      </w:r>
      <w:r>
        <w:rPr>
          <w:color w:val="231F20"/>
          <w:sz w:val="20"/>
        </w:rPr>
        <w:t>, vol. 14, no. 3, pp. 35–51.</w:t>
      </w:r>
    </w:p>
    <w:p>
      <w:pPr>
        <w:spacing w:line="230" w:lineRule="auto" w:before="172"/>
        <w:ind w:left="280" w:right="934" w:firstLine="0"/>
        <w:jc w:val="left"/>
        <w:rPr>
          <w:sz w:val="20"/>
        </w:rPr>
      </w:pPr>
      <w:r>
        <w:rPr>
          <w:color w:val="231F20"/>
          <w:sz w:val="20"/>
        </w:rPr>
        <w:t>Hutcheson, SA 2011, </w:t>
      </w:r>
      <w:r>
        <w:rPr>
          <w:rFonts w:ascii="Helvetica-LightOblique" w:hAnsi="Helvetica-LightOblique"/>
          <w:i/>
          <w:color w:val="231F20"/>
          <w:sz w:val="20"/>
        </w:rPr>
        <w:t>Whakarongo: Listening To The K</w:t>
      </w:r>
      <w:r>
        <w:rPr>
          <w:color w:val="231F20"/>
          <w:sz w:val="20"/>
        </w:rPr>
        <w:t>ã</w:t>
      </w:r>
      <w:r>
        <w:rPr>
          <w:rFonts w:ascii="Helvetica-LightOblique" w:hAnsi="Helvetica-LightOblique"/>
          <w:i/>
          <w:color w:val="231F20"/>
          <w:sz w:val="20"/>
        </w:rPr>
        <w:t>piti Coast Community Social Services Sector In Challenging Times, Master of New Zealand Studies thesis</w:t>
      </w:r>
      <w:r>
        <w:rPr>
          <w:color w:val="231F20"/>
          <w:sz w:val="20"/>
        </w:rPr>
        <w:t>, Victoria University, Wellington.</w:t>
      </w:r>
    </w:p>
    <w:p>
      <w:pPr>
        <w:spacing w:line="232" w:lineRule="auto" w:before="167"/>
        <w:ind w:left="280" w:right="934" w:firstLine="0"/>
        <w:jc w:val="left"/>
        <w:rPr>
          <w:sz w:val="20"/>
        </w:rPr>
      </w:pPr>
      <w:r>
        <w:rPr>
          <w:color w:val="231F20"/>
          <w:sz w:val="20"/>
        </w:rPr>
        <w:t>International Association for Public Participation (IAPP) 2014, </w:t>
      </w:r>
      <w:r>
        <w:rPr>
          <w:rFonts w:ascii="Helvetica-LightOblique" w:hAnsi="Helvetica-LightOblique"/>
          <w:i/>
          <w:color w:val="231F20"/>
          <w:sz w:val="20"/>
        </w:rPr>
        <w:t>IPA2’s Public Participation Spectrum</w:t>
      </w:r>
      <w:r>
        <w:rPr>
          <w:color w:val="231F20"/>
          <w:sz w:val="20"/>
        </w:rPr>
        <w:t>, accessed 16 April 2016, &lt;</w:t>
      </w:r>
      <w:hyperlink r:id="rId56">
        <w:r>
          <w:rPr>
            <w:color w:val="205E9E"/>
            <w:sz w:val="20"/>
            <w:u w:val="single" w:color="205E9E"/>
          </w:rPr>
          <w:t>https://www.iap2.org.au/</w:t>
        </w:r>
      </w:hyperlink>
      <w:r>
        <w:rPr>
          <w:color w:val="205E9E"/>
          <w:sz w:val="20"/>
          <w:u w:val="single" w:color="205E9E"/>
        </w:rPr>
        <w:t>T</w:t>
      </w:r>
      <w:hyperlink r:id="rId56">
        <w:r>
          <w:rPr>
            <w:color w:val="205E9E"/>
            <w:sz w:val="20"/>
            <w:u w:val="single" w:color="205E9E"/>
          </w:rPr>
          <w:t>enant/C0000004/00000001/files/IAP2_Public_</w:t>
        </w:r>
      </w:hyperlink>
      <w:r>
        <w:rPr>
          <w:color w:val="205E9E"/>
          <w:sz w:val="20"/>
        </w:rPr>
        <w:t> </w:t>
      </w:r>
      <w:r>
        <w:rPr>
          <w:color w:val="205E9E"/>
          <w:sz w:val="20"/>
          <w:u w:val="single" w:color="205E9E"/>
        </w:rPr>
        <w:t>Participation_Spectrum.pdf</w:t>
      </w:r>
      <w:r>
        <w:rPr>
          <w:color w:val="231F20"/>
          <w:sz w:val="20"/>
        </w:rPr>
        <w:t>&gt;.</w:t>
      </w:r>
    </w:p>
    <w:p>
      <w:pPr>
        <w:spacing w:line="235" w:lineRule="auto" w:before="169"/>
        <w:ind w:left="280" w:right="450" w:firstLine="0"/>
        <w:jc w:val="left"/>
        <w:rPr>
          <w:sz w:val="20"/>
        </w:rPr>
      </w:pPr>
      <w:r>
        <w:rPr>
          <w:color w:val="231F20"/>
          <w:sz w:val="20"/>
        </w:rPr>
        <w:t>Jull, J, Giles, A, </w:t>
      </w:r>
      <w:r>
        <w:rPr>
          <w:color w:val="231F20"/>
          <w:spacing w:val="-5"/>
          <w:sz w:val="20"/>
        </w:rPr>
        <w:t>Boyer, </w:t>
      </w:r>
      <w:r>
        <w:rPr>
          <w:color w:val="231F20"/>
          <w:sz w:val="20"/>
        </w:rPr>
        <w:t>Y &amp; </w:t>
      </w:r>
      <w:r>
        <w:rPr>
          <w:color w:val="231F20"/>
          <w:spacing w:val="-5"/>
          <w:sz w:val="20"/>
        </w:rPr>
        <w:t>Stacey, </w:t>
      </w:r>
      <w:r>
        <w:rPr>
          <w:color w:val="231F20"/>
          <w:sz w:val="20"/>
        </w:rPr>
        <w:t>D 2015, ‘Cultural Adaptation of a </w:t>
      </w:r>
      <w:r>
        <w:rPr>
          <w:color w:val="231F20"/>
          <w:spacing w:val="-3"/>
          <w:sz w:val="20"/>
        </w:rPr>
        <w:t>Shared </w:t>
      </w:r>
      <w:r>
        <w:rPr>
          <w:color w:val="231F20"/>
          <w:sz w:val="20"/>
        </w:rPr>
        <w:t>Decision Making </w:t>
      </w:r>
      <w:r>
        <w:rPr>
          <w:color w:val="231F20"/>
          <w:spacing w:val="-8"/>
          <w:sz w:val="20"/>
        </w:rPr>
        <w:t>Tool </w:t>
      </w:r>
      <w:r>
        <w:rPr>
          <w:color w:val="231F20"/>
          <w:sz w:val="20"/>
        </w:rPr>
        <w:t>with Aboriginal</w:t>
      </w:r>
      <w:r>
        <w:rPr>
          <w:color w:val="231F20"/>
          <w:spacing w:val="-12"/>
          <w:sz w:val="20"/>
        </w:rPr>
        <w:t> </w:t>
      </w:r>
      <w:r>
        <w:rPr>
          <w:color w:val="231F20"/>
          <w:spacing w:val="-3"/>
          <w:sz w:val="20"/>
        </w:rPr>
        <w:t>Women:</w:t>
      </w:r>
      <w:r>
        <w:rPr>
          <w:color w:val="231F20"/>
          <w:spacing w:val="-12"/>
          <w:sz w:val="20"/>
        </w:rPr>
        <w:t> </w:t>
      </w:r>
      <w:r>
        <w:rPr>
          <w:color w:val="231F20"/>
          <w:sz w:val="20"/>
        </w:rPr>
        <w:t>A</w:t>
      </w:r>
      <w:r>
        <w:rPr>
          <w:color w:val="231F20"/>
          <w:spacing w:val="-11"/>
          <w:sz w:val="20"/>
        </w:rPr>
        <w:t> </w:t>
      </w:r>
      <w:r>
        <w:rPr>
          <w:color w:val="231F20"/>
          <w:sz w:val="20"/>
        </w:rPr>
        <w:t>Qualitative</w:t>
      </w:r>
      <w:r>
        <w:rPr>
          <w:color w:val="231F20"/>
          <w:spacing w:val="-12"/>
          <w:sz w:val="20"/>
        </w:rPr>
        <w:t> </w:t>
      </w:r>
      <w:r>
        <w:rPr>
          <w:color w:val="231F20"/>
          <w:sz w:val="20"/>
        </w:rPr>
        <w:t>Study’,</w:t>
      </w:r>
      <w:r>
        <w:rPr>
          <w:color w:val="231F20"/>
          <w:spacing w:val="-12"/>
          <w:sz w:val="20"/>
        </w:rPr>
        <w:t> </w:t>
      </w:r>
      <w:r>
        <w:rPr>
          <w:rFonts w:ascii="Helvetica-LightOblique" w:hAnsi="Helvetica-LightOblique"/>
          <w:i/>
          <w:color w:val="231F20"/>
          <w:sz w:val="20"/>
        </w:rPr>
        <w:t>BMC</w:t>
      </w:r>
      <w:r>
        <w:rPr>
          <w:rFonts w:ascii="Helvetica-LightOblique" w:hAnsi="Helvetica-LightOblique"/>
          <w:i/>
          <w:color w:val="231F20"/>
          <w:spacing w:val="-11"/>
          <w:sz w:val="20"/>
        </w:rPr>
        <w:t> </w:t>
      </w:r>
      <w:r>
        <w:rPr>
          <w:rFonts w:ascii="Helvetica-LightOblique" w:hAnsi="Helvetica-LightOblique"/>
          <w:i/>
          <w:color w:val="231F20"/>
          <w:sz w:val="20"/>
        </w:rPr>
        <w:t>Medical</w:t>
      </w:r>
      <w:r>
        <w:rPr>
          <w:rFonts w:ascii="Helvetica-LightOblique" w:hAnsi="Helvetica-LightOblique"/>
          <w:i/>
          <w:color w:val="231F20"/>
          <w:spacing w:val="-12"/>
          <w:sz w:val="20"/>
        </w:rPr>
        <w:t> </w:t>
      </w:r>
      <w:r>
        <w:rPr>
          <w:rFonts w:ascii="Helvetica-LightOblique" w:hAnsi="Helvetica-LightOblique"/>
          <w:i/>
          <w:color w:val="231F20"/>
          <w:sz w:val="20"/>
        </w:rPr>
        <w:t>Informatics</w:t>
      </w:r>
      <w:r>
        <w:rPr>
          <w:rFonts w:ascii="Helvetica-LightOblique" w:hAnsi="Helvetica-LightOblique"/>
          <w:i/>
          <w:color w:val="231F20"/>
          <w:spacing w:val="-11"/>
          <w:sz w:val="20"/>
        </w:rPr>
        <w:t> </w:t>
      </w:r>
      <w:r>
        <w:rPr>
          <w:rFonts w:ascii="Helvetica-LightOblique" w:hAnsi="Helvetica-LightOblique"/>
          <w:i/>
          <w:color w:val="231F20"/>
          <w:sz w:val="20"/>
        </w:rPr>
        <w:t>and</w:t>
      </w:r>
      <w:r>
        <w:rPr>
          <w:rFonts w:ascii="Helvetica-LightOblique" w:hAnsi="Helvetica-LightOblique"/>
          <w:i/>
          <w:color w:val="231F20"/>
          <w:spacing w:val="-12"/>
          <w:sz w:val="20"/>
        </w:rPr>
        <w:t> </w:t>
      </w:r>
      <w:r>
        <w:rPr>
          <w:rFonts w:ascii="Helvetica-LightOblique" w:hAnsi="Helvetica-LightOblique"/>
          <w:i/>
          <w:color w:val="231F20"/>
          <w:sz w:val="20"/>
        </w:rPr>
        <w:t>Decision</w:t>
      </w:r>
      <w:r>
        <w:rPr>
          <w:rFonts w:ascii="Helvetica-LightOblique" w:hAnsi="Helvetica-LightOblique"/>
          <w:i/>
          <w:color w:val="231F20"/>
          <w:spacing w:val="-12"/>
          <w:sz w:val="20"/>
        </w:rPr>
        <w:t> </w:t>
      </w:r>
      <w:r>
        <w:rPr>
          <w:rFonts w:ascii="Helvetica-LightOblique" w:hAnsi="Helvetica-LightOblique"/>
          <w:i/>
          <w:color w:val="231F20"/>
          <w:sz w:val="20"/>
        </w:rPr>
        <w:t>Making</w:t>
      </w:r>
      <w:r>
        <w:rPr>
          <w:color w:val="231F20"/>
          <w:sz w:val="20"/>
        </w:rPr>
        <w:t>,</w:t>
      </w:r>
      <w:r>
        <w:rPr>
          <w:color w:val="231F20"/>
          <w:spacing w:val="-11"/>
          <w:sz w:val="20"/>
        </w:rPr>
        <w:t> </w:t>
      </w:r>
      <w:r>
        <w:rPr>
          <w:color w:val="231F20"/>
          <w:sz w:val="20"/>
        </w:rPr>
        <w:t>vol.</w:t>
      </w:r>
      <w:r>
        <w:rPr>
          <w:color w:val="231F20"/>
          <w:spacing w:val="-12"/>
          <w:sz w:val="20"/>
        </w:rPr>
        <w:t> </w:t>
      </w:r>
      <w:r>
        <w:rPr>
          <w:color w:val="231F20"/>
          <w:sz w:val="20"/>
        </w:rPr>
        <w:t>15,</w:t>
      </w:r>
      <w:r>
        <w:rPr>
          <w:color w:val="231F20"/>
          <w:spacing w:val="-12"/>
          <w:sz w:val="20"/>
        </w:rPr>
        <w:t> </w:t>
      </w:r>
      <w:r>
        <w:rPr>
          <w:color w:val="231F20"/>
          <w:sz w:val="20"/>
        </w:rPr>
        <w:t>no.</w:t>
      </w:r>
      <w:r>
        <w:rPr>
          <w:color w:val="231F20"/>
          <w:spacing w:val="-11"/>
          <w:sz w:val="20"/>
        </w:rPr>
        <w:t> </w:t>
      </w:r>
      <w:r>
        <w:rPr>
          <w:color w:val="231F20"/>
          <w:sz w:val="20"/>
        </w:rPr>
        <w:t>1,</w:t>
      </w:r>
      <w:r>
        <w:rPr>
          <w:color w:val="231F20"/>
          <w:spacing w:val="-12"/>
          <w:sz w:val="20"/>
        </w:rPr>
        <w:t> </w:t>
      </w:r>
      <w:r>
        <w:rPr>
          <w:color w:val="231F20"/>
          <w:sz w:val="20"/>
        </w:rPr>
        <w:t>p.</w:t>
      </w:r>
      <w:r>
        <w:rPr>
          <w:color w:val="231F20"/>
          <w:spacing w:val="-11"/>
          <w:sz w:val="20"/>
        </w:rPr>
        <w:t> 1.</w:t>
      </w:r>
    </w:p>
    <w:p>
      <w:pPr>
        <w:spacing w:line="235" w:lineRule="auto" w:before="163"/>
        <w:ind w:left="280" w:right="948" w:firstLine="0"/>
        <w:jc w:val="left"/>
        <w:rPr>
          <w:sz w:val="20"/>
        </w:rPr>
      </w:pPr>
      <w:r>
        <w:rPr>
          <w:color w:val="231F20"/>
          <w:sz w:val="20"/>
        </w:rPr>
        <w:t>Kelaher, M, Sabanovic, H, La Brooy, C, Lock, M, Lusher, D &amp; Brown, L 2014, 'Does More Equitable Governance Lead to More Equitable Health Care? A Case Study Based on the Implementation of Health Reform in Aboriginal Health Australia', </w:t>
      </w:r>
      <w:r>
        <w:rPr>
          <w:rFonts w:ascii="Helvetica-LightOblique"/>
          <w:i/>
          <w:color w:val="231F20"/>
          <w:sz w:val="20"/>
        </w:rPr>
        <w:t>Social Science &amp; Medicine</w:t>
      </w:r>
      <w:r>
        <w:rPr>
          <w:color w:val="231F20"/>
          <w:sz w:val="20"/>
        </w:rPr>
        <w:t>, vol. 123, pp. 278-286.</w:t>
      </w:r>
    </w:p>
    <w:p>
      <w:pPr>
        <w:spacing w:line="230" w:lineRule="auto" w:before="167"/>
        <w:ind w:left="280" w:right="934" w:firstLine="0"/>
        <w:jc w:val="left"/>
        <w:rPr>
          <w:sz w:val="20"/>
        </w:rPr>
      </w:pPr>
      <w:r>
        <w:rPr>
          <w:color w:val="231F20"/>
          <w:sz w:val="20"/>
        </w:rPr>
        <w:t>Kelly, MD 2011, ‘Toward a New Era of Policy: Health Care Service Delivery to First Nations’, </w:t>
      </w:r>
      <w:r>
        <w:rPr>
          <w:rFonts w:ascii="Helvetica-LightOblique" w:hAnsi="Helvetica-LightOblique"/>
          <w:i/>
          <w:color w:val="231F20"/>
          <w:sz w:val="20"/>
        </w:rPr>
        <w:t>The International Indigenous Policy Journal</w:t>
      </w:r>
      <w:r>
        <w:rPr>
          <w:color w:val="231F20"/>
          <w:sz w:val="20"/>
        </w:rPr>
        <w:t>, vol.2, no. 1.</w:t>
      </w:r>
    </w:p>
    <w:p>
      <w:pPr>
        <w:spacing w:before="162"/>
        <w:ind w:left="280" w:right="0" w:firstLine="0"/>
        <w:jc w:val="left"/>
        <w:rPr>
          <w:sz w:val="20"/>
        </w:rPr>
      </w:pPr>
      <w:r>
        <w:rPr>
          <w:color w:val="231F20"/>
          <w:sz w:val="20"/>
        </w:rPr>
        <w:t>Kotter, J 1996, </w:t>
      </w:r>
      <w:r>
        <w:rPr>
          <w:rFonts w:ascii="Helvetica-LightOblique"/>
          <w:i/>
          <w:color w:val="231F20"/>
          <w:sz w:val="20"/>
        </w:rPr>
        <w:t>Leading Change</w:t>
      </w:r>
      <w:r>
        <w:rPr>
          <w:color w:val="231F20"/>
          <w:sz w:val="20"/>
        </w:rPr>
        <w:t>, Harvard Business School Press, Boston.</w:t>
      </w:r>
    </w:p>
    <w:p>
      <w:pPr>
        <w:spacing w:line="232" w:lineRule="auto" w:before="165"/>
        <w:ind w:left="280" w:right="916" w:firstLine="0"/>
        <w:jc w:val="left"/>
        <w:rPr>
          <w:sz w:val="20"/>
        </w:rPr>
      </w:pPr>
      <w:r>
        <w:rPr>
          <w:color w:val="231F20"/>
          <w:sz w:val="20"/>
        </w:rPr>
        <w:t>KPMG 2015, </w:t>
      </w:r>
      <w:r>
        <w:rPr>
          <w:rFonts w:ascii="Helvetica-LightOblique"/>
          <w:i/>
          <w:color w:val="231F20"/>
          <w:sz w:val="20"/>
        </w:rPr>
        <w:t>Going Home Staying Home Post-Implementation Review Final Report, for NSW </w:t>
      </w:r>
      <w:r>
        <w:rPr>
          <w:color w:val="231F20"/>
          <w:sz w:val="20"/>
        </w:rPr>
        <w:t>Department of Family and Community Services, accessed 1 October 2016, &lt;</w:t>
      </w:r>
      <w:hyperlink r:id="rId57">
        <w:r>
          <w:rPr>
            <w:color w:val="205E9E"/>
            <w:sz w:val="20"/>
            <w:u w:val="single" w:color="205E9E"/>
          </w:rPr>
          <w:t>http://www.housing.nsw.gov.au/ data/</w:t>
        </w:r>
      </w:hyperlink>
      <w:r>
        <w:rPr>
          <w:color w:val="205E9E"/>
          <w:sz w:val="20"/>
        </w:rPr>
        <w:t> </w:t>
      </w:r>
      <w:r>
        <w:rPr>
          <w:color w:val="205E9E"/>
          <w:sz w:val="20"/>
          <w:u w:val="single" w:color="205E9E"/>
        </w:rPr>
        <w:t>assets/pdf_file/0008/340559/GHSHPostImplementationReviewKPMG.pdf</w:t>
      </w:r>
      <w:r>
        <w:rPr>
          <w:color w:val="231F20"/>
          <w:sz w:val="20"/>
        </w:rPr>
        <w:t>&gt;.</w:t>
      </w:r>
    </w:p>
    <w:p>
      <w:pPr>
        <w:spacing w:line="235" w:lineRule="auto" w:before="168"/>
        <w:ind w:left="280" w:right="934" w:firstLine="0"/>
        <w:jc w:val="left"/>
        <w:rPr>
          <w:sz w:val="20"/>
        </w:rPr>
      </w:pPr>
      <w:r>
        <w:rPr>
          <w:color w:val="231F20"/>
          <w:sz w:val="20"/>
        </w:rPr>
        <w:t>Lewin, K 1947, ‘Frontiers of Group Dynamics: Concept, method and reality in social science, social equilibria, and social change’, </w:t>
      </w:r>
      <w:r>
        <w:rPr>
          <w:rFonts w:ascii="Helvetica-LightOblique" w:hAnsi="Helvetica-LightOblique"/>
          <w:i/>
          <w:color w:val="231F20"/>
          <w:sz w:val="20"/>
        </w:rPr>
        <w:t>Human Relations</w:t>
      </w:r>
      <w:r>
        <w:rPr>
          <w:color w:val="231F20"/>
          <w:sz w:val="20"/>
        </w:rPr>
        <w:t>, vol. 1, pp. 5–41.</w:t>
      </w:r>
    </w:p>
    <w:p>
      <w:pPr>
        <w:spacing w:line="235" w:lineRule="auto" w:before="164"/>
        <w:ind w:left="280" w:right="1215" w:firstLine="0"/>
        <w:jc w:val="left"/>
        <w:rPr>
          <w:sz w:val="20"/>
        </w:rPr>
      </w:pPr>
      <w:r>
        <w:rPr>
          <w:color w:val="231F20"/>
          <w:sz w:val="20"/>
        </w:rPr>
        <w:t>McGregor, S, LT &amp; Murnane, J, A 2010, ‘Paradigm, methodology, and method: Intellectual integrity in consumer scholarship.’ </w:t>
      </w:r>
      <w:r>
        <w:rPr>
          <w:rFonts w:ascii="Helvetica-LightOblique" w:hAnsi="Helvetica-LightOblique"/>
          <w:i/>
          <w:color w:val="231F20"/>
          <w:sz w:val="20"/>
        </w:rPr>
        <w:t>International Journal of Consumer Studies</w:t>
      </w:r>
      <w:r>
        <w:rPr>
          <w:color w:val="231F20"/>
          <w:sz w:val="20"/>
        </w:rPr>
        <w:t>, vol. 34, no. 4, pp. 419-247</w:t>
      </w:r>
    </w:p>
    <w:p>
      <w:pPr>
        <w:spacing w:line="230" w:lineRule="auto" w:before="168"/>
        <w:ind w:left="280" w:right="1694" w:firstLine="0"/>
        <w:jc w:val="left"/>
        <w:rPr>
          <w:sz w:val="20"/>
        </w:rPr>
      </w:pPr>
      <w:r>
        <w:rPr>
          <w:color w:val="231F20"/>
          <w:sz w:val="20"/>
        </w:rPr>
        <w:t>National Aboriginal Health Strategy Working Group 1989, </w:t>
      </w:r>
      <w:r>
        <w:rPr>
          <w:rFonts w:ascii="Helvetica-LightOblique"/>
          <w:i/>
          <w:color w:val="231F20"/>
          <w:sz w:val="20"/>
        </w:rPr>
        <w:t>A National Aboriginal Health Strategy</w:t>
      </w:r>
      <w:r>
        <w:rPr>
          <w:color w:val="231F20"/>
          <w:sz w:val="20"/>
        </w:rPr>
        <w:t>, Canberra.</w:t>
      </w:r>
    </w:p>
    <w:p>
      <w:pPr>
        <w:spacing w:line="230" w:lineRule="auto" w:before="173"/>
        <w:ind w:left="280" w:right="770" w:firstLine="0"/>
        <w:jc w:val="left"/>
        <w:rPr>
          <w:sz w:val="20"/>
        </w:rPr>
      </w:pPr>
      <w:r>
        <w:rPr>
          <w:color w:val="231F20"/>
          <w:sz w:val="20"/>
        </w:rPr>
        <w:t>New South Wales (NSW) Department of Justice 2016, </w:t>
      </w:r>
      <w:r>
        <w:rPr>
          <w:rFonts w:ascii="Helvetica-LightOblique"/>
          <w:i/>
          <w:color w:val="231F20"/>
          <w:sz w:val="20"/>
        </w:rPr>
        <w:t>Aboriginal Cultural Awareness: Departmental Review of the delivery of Aboriginal Cultural Awareness Training to law students, practitioners and judicial officers</w:t>
      </w:r>
      <w:r>
        <w:rPr>
          <w:color w:val="231F20"/>
          <w:sz w:val="20"/>
        </w:rPr>
        <w:t>, May 2016.</w:t>
      </w:r>
    </w:p>
    <w:p>
      <w:pPr>
        <w:spacing w:line="230" w:lineRule="auto" w:before="169"/>
        <w:ind w:left="280" w:right="1059" w:firstLine="0"/>
        <w:jc w:val="left"/>
        <w:rPr>
          <w:sz w:val="20"/>
        </w:rPr>
      </w:pPr>
      <w:r>
        <w:rPr>
          <w:color w:val="231F20"/>
          <w:sz w:val="20"/>
        </w:rPr>
        <w:t>NSW Government 2013, </w:t>
      </w:r>
      <w:r>
        <w:rPr>
          <w:rFonts w:ascii="Helvetica-LightOblique"/>
          <w:i/>
          <w:color w:val="231F20"/>
          <w:sz w:val="20"/>
        </w:rPr>
        <w:t>OCHRE: NSW Government Plan for Aboriginal Affairs: Education, Employment &amp; Accountability</w:t>
      </w:r>
      <w:r>
        <w:rPr>
          <w:color w:val="231F20"/>
          <w:sz w:val="20"/>
        </w:rPr>
        <w:t>, accessed 5 March 2016, &lt;</w:t>
      </w:r>
      <w:hyperlink r:id="rId58">
        <w:r>
          <w:rPr>
            <w:color w:val="205E9E"/>
            <w:sz w:val="20"/>
            <w:u w:val="single" w:color="205E9E"/>
          </w:rPr>
          <w:t>http://www.aboriginalaffairs.nsw.gov.au/nsw-government-</w:t>
        </w:r>
      </w:hyperlink>
      <w:r>
        <w:rPr>
          <w:color w:val="205E9E"/>
          <w:sz w:val="20"/>
        </w:rPr>
        <w:t> </w:t>
      </w:r>
      <w:r>
        <w:rPr>
          <w:color w:val="205E9E"/>
          <w:sz w:val="20"/>
          <w:u w:val="single" w:color="205E9E"/>
        </w:rPr>
        <w:t>aboriginal-affairs-strategy</w:t>
      </w:r>
      <w:r>
        <w:rPr>
          <w:color w:val="231F20"/>
          <w:sz w:val="20"/>
        </w:rPr>
        <w:t>&gt;.</w:t>
      </w:r>
    </w:p>
    <w:p>
      <w:pPr>
        <w:spacing w:line="230" w:lineRule="auto" w:before="173"/>
        <w:ind w:left="280" w:right="934" w:firstLine="0"/>
        <w:jc w:val="left"/>
        <w:rPr>
          <w:sz w:val="20"/>
        </w:rPr>
      </w:pPr>
      <w:r>
        <w:rPr>
          <w:color w:val="231F20"/>
          <w:sz w:val="20"/>
        </w:rPr>
        <w:t>NSW Ombudsman 2011, </w:t>
      </w:r>
      <w:r>
        <w:rPr>
          <w:rFonts w:ascii="Helvetica-LightOblique"/>
          <w:i/>
          <w:color w:val="231F20"/>
          <w:sz w:val="20"/>
        </w:rPr>
        <w:t>Addressing Aboriginal Disadvantage: The Need to do Things Differently: A Special Report to Parliament Under s31 of the Ombudsman Act 1974</w:t>
      </w:r>
      <w:r>
        <w:rPr>
          <w:color w:val="231F20"/>
          <w:sz w:val="20"/>
        </w:rPr>
        <w:t>.</w:t>
      </w:r>
    </w:p>
    <w:p>
      <w:pPr>
        <w:spacing w:line="232" w:lineRule="auto" w:before="168"/>
        <w:ind w:left="280" w:right="1481" w:firstLine="0"/>
        <w:jc w:val="both"/>
        <w:rPr>
          <w:sz w:val="20"/>
        </w:rPr>
      </w:pPr>
      <w:r>
        <w:rPr>
          <w:color w:val="231F20"/>
          <w:sz w:val="20"/>
        </w:rPr>
        <w:t>NSW Procurement Board, </w:t>
      </w:r>
      <w:r>
        <w:rPr>
          <w:rFonts w:ascii="Helvetica-LightOblique"/>
          <w:i/>
          <w:color w:val="231F20"/>
          <w:sz w:val="20"/>
        </w:rPr>
        <w:t>Procurement Strategic Directions Statement 2014-15 update</w:t>
      </w:r>
      <w:r>
        <w:rPr>
          <w:color w:val="231F20"/>
          <w:sz w:val="20"/>
        </w:rPr>
        <w:t>, accessed 1</w:t>
      </w:r>
      <w:r>
        <w:rPr>
          <w:color w:val="231F20"/>
          <w:spacing w:val="-17"/>
          <w:sz w:val="20"/>
        </w:rPr>
        <w:t> </w:t>
      </w:r>
      <w:r>
        <w:rPr>
          <w:color w:val="231F20"/>
          <w:sz w:val="20"/>
        </w:rPr>
        <w:t>October</w:t>
      </w:r>
      <w:r>
        <w:rPr>
          <w:color w:val="231F20"/>
          <w:spacing w:val="-16"/>
          <w:sz w:val="20"/>
        </w:rPr>
        <w:t> </w:t>
      </w:r>
      <w:r>
        <w:rPr>
          <w:color w:val="231F20"/>
          <w:sz w:val="20"/>
        </w:rPr>
        <w:t>2016,</w:t>
      </w:r>
      <w:r>
        <w:rPr>
          <w:color w:val="231F20"/>
          <w:spacing w:val="-17"/>
          <w:sz w:val="20"/>
        </w:rPr>
        <w:t> </w:t>
      </w:r>
      <w:r>
        <w:rPr>
          <w:color w:val="231F20"/>
          <w:sz w:val="20"/>
        </w:rPr>
        <w:t>&lt;</w:t>
      </w:r>
      <w:hyperlink r:id="rId59">
        <w:r>
          <w:rPr>
            <w:color w:val="205E9E"/>
            <w:sz w:val="20"/>
            <w:u w:val="single" w:color="205E9E"/>
          </w:rPr>
          <w:t>https://www</w:t>
        </w:r>
      </w:hyperlink>
      <w:r>
        <w:rPr>
          <w:color w:val="205E9E"/>
          <w:sz w:val="20"/>
          <w:u w:val="single" w:color="205E9E"/>
        </w:rPr>
        <w:t>.procur</w:t>
      </w:r>
      <w:hyperlink r:id="rId59">
        <w:r>
          <w:rPr>
            <w:color w:val="205E9E"/>
            <w:sz w:val="20"/>
            <w:u w:val="single" w:color="205E9E"/>
          </w:rPr>
          <w:t>epoint.nsw.gov.au/system/files/documents/nsw_government_</w:t>
        </w:r>
      </w:hyperlink>
      <w:r>
        <w:rPr>
          <w:color w:val="205E9E"/>
          <w:sz w:val="20"/>
        </w:rPr>
        <w:t> </w:t>
      </w:r>
      <w:r>
        <w:rPr>
          <w:color w:val="205E9E"/>
          <w:sz w:val="20"/>
          <w:u w:val="single" w:color="205E9E"/>
        </w:rPr>
        <w:t>procurement_strategic_directions_statement_2014.pdf</w:t>
      </w:r>
      <w:r>
        <w:rPr>
          <w:color w:val="231F20"/>
          <w:sz w:val="20"/>
        </w:rPr>
        <w:t>&gt;.</w:t>
      </w:r>
    </w:p>
    <w:p>
      <w:pPr>
        <w:spacing w:line="230" w:lineRule="auto" w:before="172"/>
        <w:ind w:left="280" w:right="770" w:firstLine="0"/>
        <w:jc w:val="left"/>
        <w:rPr>
          <w:sz w:val="20"/>
        </w:rPr>
      </w:pPr>
      <w:r>
        <w:rPr>
          <w:color w:val="231F20"/>
          <w:sz w:val="20"/>
        </w:rPr>
        <w:t>NSW Public Service Commission 2014, </w:t>
      </w:r>
      <w:r>
        <w:rPr>
          <w:rFonts w:ascii="Helvetica-LightOblique"/>
          <w:i/>
          <w:color w:val="231F20"/>
          <w:sz w:val="20"/>
        </w:rPr>
        <w:t>Doing Things Differently: Raising Productivity, Improving Service and Enhancing Collaboration Across the NSW Public Sector</w:t>
      </w:r>
      <w:r>
        <w:rPr>
          <w:color w:val="231F20"/>
          <w:sz w:val="20"/>
        </w:rPr>
        <w:t>, NSW Public Service Commission, Sydney.</w:t>
      </w:r>
    </w:p>
    <w:p>
      <w:pPr>
        <w:spacing w:after="0" w:line="230" w:lineRule="auto"/>
        <w:jc w:val="left"/>
        <w:rPr>
          <w:sz w:val="20"/>
        </w:rPr>
        <w:sectPr>
          <w:pgSz w:w="11910" w:h="16840"/>
          <w:pgMar w:header="0" w:footer="558" w:top="1600" w:bottom="740" w:left="740" w:right="640"/>
        </w:sect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line="232" w:lineRule="auto" w:before="106"/>
        <w:ind w:left="280" w:right="1036" w:firstLine="0"/>
        <w:jc w:val="left"/>
        <w:rPr>
          <w:sz w:val="20"/>
        </w:rPr>
      </w:pPr>
      <w:r>
        <w:rPr>
          <w:color w:val="231F20"/>
          <w:sz w:val="20"/>
        </w:rPr>
        <w:t>NSW Public Service Commission 2013, </w:t>
      </w:r>
      <w:r>
        <w:rPr>
          <w:rFonts w:ascii="Helvetica-LightOblique"/>
          <w:i/>
          <w:color w:val="231F20"/>
          <w:sz w:val="20"/>
        </w:rPr>
        <w:t>NSW Public Sector Aboriginal Employment Strategy 2014-17</w:t>
      </w:r>
      <w:r>
        <w:rPr>
          <w:color w:val="231F20"/>
          <w:sz w:val="20"/>
        </w:rPr>
        <w:t>, accessed 8 October 2016, &lt;</w:t>
      </w:r>
      <w:hyperlink r:id="rId60">
        <w:r>
          <w:rPr>
            <w:color w:val="205E9E"/>
            <w:sz w:val="20"/>
            <w:u w:val="single" w:color="205E9E"/>
          </w:rPr>
          <w:t>http://www.psc.nsw.gov.au/workplace-culture---diversity/equity---diversity/</w:t>
        </w:r>
      </w:hyperlink>
      <w:r>
        <w:rPr>
          <w:color w:val="205E9E"/>
          <w:sz w:val="20"/>
        </w:rPr>
        <w:t> </w:t>
      </w:r>
      <w:r>
        <w:rPr>
          <w:color w:val="205E9E"/>
          <w:sz w:val="20"/>
          <w:u w:val="single" w:color="205E9E"/>
        </w:rPr>
        <w:t>aboriginal-workforce/aboriginal-employment-strategy</w:t>
      </w:r>
      <w:r>
        <w:rPr>
          <w:color w:val="231F20"/>
          <w:sz w:val="20"/>
        </w:rPr>
        <w:t>&gt;.</w:t>
      </w:r>
    </w:p>
    <w:p>
      <w:pPr>
        <w:spacing w:line="230" w:lineRule="auto" w:before="172"/>
        <w:ind w:left="280" w:right="755" w:firstLine="0"/>
        <w:jc w:val="left"/>
        <w:rPr>
          <w:sz w:val="20"/>
        </w:rPr>
      </w:pPr>
      <w:r>
        <w:rPr>
          <w:color w:val="231F20"/>
          <w:sz w:val="20"/>
        </w:rPr>
        <w:t>New Zealand Productivity Commission 2015, </w:t>
      </w:r>
      <w:r>
        <w:rPr>
          <w:rFonts w:ascii="Helvetica-LightOblique"/>
          <w:i/>
          <w:color w:val="231F20"/>
          <w:sz w:val="20"/>
        </w:rPr>
        <w:t>More Effective Social Services</w:t>
      </w:r>
      <w:r>
        <w:rPr>
          <w:color w:val="231F20"/>
          <w:sz w:val="20"/>
        </w:rPr>
        <w:t>, Wellington, ISBN: 978-0-478- 44021-8 (print).</w:t>
      </w:r>
    </w:p>
    <w:p>
      <w:pPr>
        <w:spacing w:line="230" w:lineRule="auto" w:before="173"/>
        <w:ind w:left="280" w:right="934" w:firstLine="0"/>
        <w:jc w:val="left"/>
        <w:rPr>
          <w:sz w:val="20"/>
        </w:rPr>
      </w:pPr>
      <w:r>
        <w:rPr>
          <w:color w:val="231F20"/>
          <w:sz w:val="20"/>
        </w:rPr>
        <w:t>Nous Group 2013, </w:t>
      </w:r>
      <w:r>
        <w:rPr>
          <w:rFonts w:ascii="Helvetica-LightOblique"/>
          <w:i/>
          <w:color w:val="231F20"/>
          <w:sz w:val="20"/>
        </w:rPr>
        <w:t>Collaboration Between Sectors to Improve Customer Outcomes for Citizens of NSW: Research Report Prepared for the NSW Public Service Commission</w:t>
      </w:r>
      <w:r>
        <w:rPr>
          <w:color w:val="231F20"/>
          <w:sz w:val="20"/>
        </w:rPr>
        <w:t>, Nous Group, Sydney.</w:t>
      </w:r>
    </w:p>
    <w:p>
      <w:pPr>
        <w:spacing w:before="162"/>
        <w:ind w:left="280" w:right="0" w:firstLine="0"/>
        <w:jc w:val="left"/>
        <w:rPr>
          <w:sz w:val="20"/>
        </w:rPr>
      </w:pPr>
      <w:r>
        <w:rPr>
          <w:color w:val="231F20"/>
          <w:sz w:val="20"/>
        </w:rPr>
        <w:t>O'Leary, Z 2014, </w:t>
      </w:r>
      <w:r>
        <w:rPr>
          <w:rFonts w:ascii="Helvetica-LightOblique"/>
          <w:i/>
          <w:color w:val="231F20"/>
          <w:sz w:val="20"/>
        </w:rPr>
        <w:t>The Essential Guide to Doing Research </w:t>
      </w:r>
      <w:r>
        <w:rPr>
          <w:color w:val="231F20"/>
          <w:sz w:val="20"/>
        </w:rPr>
        <w:t>2nd edn, Sage, London.</w:t>
      </w:r>
    </w:p>
    <w:p>
      <w:pPr>
        <w:spacing w:line="230" w:lineRule="auto" w:before="167"/>
        <w:ind w:left="280" w:right="450" w:firstLine="0"/>
        <w:jc w:val="left"/>
        <w:rPr>
          <w:sz w:val="20"/>
        </w:rPr>
      </w:pPr>
      <w:r>
        <w:rPr>
          <w:color w:val="231F20"/>
          <w:sz w:val="20"/>
        </w:rPr>
        <w:t>Paradies, Y, Harris, R &amp; Anderson, I 2008, </w:t>
      </w:r>
      <w:r>
        <w:rPr>
          <w:rFonts w:ascii="Helvetica-LightOblique"/>
          <w:i/>
          <w:color w:val="231F20"/>
          <w:sz w:val="20"/>
        </w:rPr>
        <w:t>The Impact of Racism on Indigenous Health in Australia and Aotearoa: Towards a Research Agenda</w:t>
      </w:r>
      <w:r>
        <w:rPr>
          <w:color w:val="231F20"/>
          <w:sz w:val="20"/>
        </w:rPr>
        <w:t>, Discussion Paper No. 4, Cooperative Research Centre for Aboriginal Health, Darwin.</w:t>
      </w:r>
    </w:p>
    <w:p>
      <w:pPr>
        <w:spacing w:line="230" w:lineRule="auto" w:before="174"/>
        <w:ind w:left="280" w:right="438" w:firstLine="0"/>
        <w:jc w:val="left"/>
        <w:rPr>
          <w:sz w:val="20"/>
        </w:rPr>
      </w:pPr>
      <w:r>
        <w:rPr>
          <w:color w:val="231F20"/>
          <w:sz w:val="20"/>
        </w:rPr>
        <w:t>Parenting Research Centre (PRC) 2015, </w:t>
      </w:r>
      <w:r>
        <w:rPr>
          <w:rFonts w:ascii="Helvetica-LightOblique" w:hAnsi="Helvetica-LightOblique"/>
          <w:i/>
          <w:color w:val="231F20"/>
          <w:sz w:val="20"/>
        </w:rPr>
        <w:t>Implementation of Recommendations Arising From Previous Inquiries of Relevance to the Royal Commission into Institutional Responses to Child Sexual Abuse – Final Report</w:t>
      </w:r>
      <w:r>
        <w:rPr>
          <w:color w:val="231F20"/>
          <w:sz w:val="20"/>
        </w:rPr>
        <w:t>, Royal Commission into Institutional Responses to Child Sexual Abuse, Sydney.</w:t>
      </w:r>
    </w:p>
    <w:p>
      <w:pPr>
        <w:spacing w:line="243" w:lineRule="exact" w:before="165"/>
        <w:ind w:left="280" w:right="0" w:firstLine="0"/>
        <w:jc w:val="left"/>
        <w:rPr>
          <w:sz w:val="20"/>
        </w:rPr>
      </w:pPr>
      <w:r>
        <w:rPr>
          <w:color w:val="231F20"/>
          <w:sz w:val="20"/>
        </w:rPr>
        <w:t>Park, J &amp; Park, M 2016, ‘Qualitative versus Quantitative Research Methods: Discovery or Justification?’,</w:t>
      </w:r>
    </w:p>
    <w:p>
      <w:pPr>
        <w:spacing w:line="248" w:lineRule="exact" w:before="0"/>
        <w:ind w:left="280" w:right="0" w:firstLine="0"/>
        <w:jc w:val="left"/>
        <w:rPr>
          <w:sz w:val="20"/>
        </w:rPr>
      </w:pPr>
      <w:r>
        <w:rPr>
          <w:rFonts w:ascii="Helvetica-LightOblique"/>
          <w:i/>
          <w:color w:val="231F20"/>
          <w:sz w:val="20"/>
        </w:rPr>
        <w:t>Journal of Marketing Thought</w:t>
      </w:r>
      <w:r>
        <w:rPr>
          <w:color w:val="231F20"/>
          <w:sz w:val="20"/>
        </w:rPr>
        <w:t>, vol. 3, no. 1, pp. 1-7.</w:t>
      </w:r>
    </w:p>
    <w:p>
      <w:pPr>
        <w:spacing w:line="230" w:lineRule="auto" w:before="167"/>
        <w:ind w:left="280" w:right="0" w:firstLine="0"/>
        <w:jc w:val="left"/>
        <w:rPr>
          <w:sz w:val="20"/>
        </w:rPr>
      </w:pPr>
      <w:r>
        <w:rPr>
          <w:color w:val="231F20"/>
          <w:sz w:val="20"/>
        </w:rPr>
        <w:t>Parker, S 2007, ‘The co-production paradox’ in S Parker &amp; N Gallagher (eds), </w:t>
      </w:r>
      <w:r>
        <w:rPr>
          <w:rFonts w:ascii="Helvetica-LightOblique" w:hAnsi="Helvetica-LightOblique"/>
          <w:i/>
          <w:color w:val="231F20"/>
          <w:sz w:val="20"/>
        </w:rPr>
        <w:t>The Collaborative State, </w:t>
      </w:r>
      <w:r>
        <w:rPr>
          <w:color w:val="231F20"/>
          <w:sz w:val="20"/>
        </w:rPr>
        <w:t>London: Demos.</w:t>
      </w:r>
    </w:p>
    <w:p>
      <w:pPr>
        <w:spacing w:line="235" w:lineRule="auto" w:before="170"/>
        <w:ind w:left="280" w:right="659" w:firstLine="0"/>
        <w:jc w:val="left"/>
        <w:rPr>
          <w:sz w:val="20"/>
        </w:rPr>
      </w:pPr>
      <w:r>
        <w:rPr>
          <w:color w:val="231F20"/>
          <w:sz w:val="20"/>
        </w:rPr>
        <w:t>Pendersen, A, Beven, J, Walker, I &amp; Griffiths, B 2004, ‘Attitudes Toward Indigenous-Australians: The Role of Empathy and Guilt’. </w:t>
      </w:r>
      <w:r>
        <w:rPr>
          <w:rFonts w:ascii="Helvetica-LightOblique" w:hAnsi="Helvetica-LightOblique"/>
          <w:i/>
          <w:color w:val="231F20"/>
          <w:sz w:val="20"/>
        </w:rPr>
        <w:t>Journal of Community and Applied Social Psychology</w:t>
      </w:r>
      <w:r>
        <w:rPr>
          <w:color w:val="231F20"/>
          <w:sz w:val="20"/>
        </w:rPr>
        <w:t>, vol. 14, no. 4, pp. 233-249.</w:t>
      </w:r>
    </w:p>
    <w:p>
      <w:pPr>
        <w:spacing w:line="235" w:lineRule="auto" w:before="164"/>
        <w:ind w:left="280" w:right="450" w:firstLine="0"/>
        <w:jc w:val="left"/>
        <w:rPr>
          <w:sz w:val="20"/>
        </w:rPr>
      </w:pPr>
      <w:r>
        <w:rPr>
          <w:color w:val="231F20"/>
          <w:sz w:val="20"/>
        </w:rPr>
        <w:t>Pendersen, A, Griffiths, B, Contos, N, Bishop, B &amp; Walker, I 2000, 'Attitudes toward Aboriginal Australians in City and Country settings', </w:t>
      </w:r>
      <w:r>
        <w:rPr>
          <w:rFonts w:ascii="Helvetica-LightOblique"/>
          <w:i/>
          <w:color w:val="231F20"/>
          <w:sz w:val="20"/>
        </w:rPr>
        <w:t>Australian Psychologist</w:t>
      </w:r>
      <w:r>
        <w:rPr>
          <w:color w:val="231F20"/>
          <w:sz w:val="20"/>
        </w:rPr>
        <w:t>, vol. 35, no. 2, pp. 109-117.</w:t>
      </w:r>
    </w:p>
    <w:p>
      <w:pPr>
        <w:spacing w:line="232" w:lineRule="auto" w:before="166"/>
        <w:ind w:left="280" w:right="504" w:firstLine="0"/>
        <w:jc w:val="left"/>
        <w:rPr>
          <w:sz w:val="20"/>
        </w:rPr>
      </w:pPr>
      <w:r>
        <w:rPr>
          <w:color w:val="231F20"/>
          <w:sz w:val="20"/>
        </w:rPr>
        <w:t>Perry, SP, Murphy, MC &amp; Dovidio, JF 2015, ‘Modern prejudice: Subtle, but unconscious? The role of bias awareness in whites’ perceptions of personal and others’ biases’, </w:t>
      </w:r>
      <w:r>
        <w:rPr>
          <w:rFonts w:ascii="Helvetica-LightOblique" w:hAnsi="Helvetica-LightOblique"/>
          <w:i/>
          <w:color w:val="231F20"/>
          <w:sz w:val="20"/>
        </w:rPr>
        <w:t>Journal of Experimental Social Psychology</w:t>
      </w:r>
      <w:r>
        <w:rPr>
          <w:color w:val="231F20"/>
          <w:sz w:val="20"/>
        </w:rPr>
        <w:t>, vol. 61, pp. 64-78.</w:t>
      </w:r>
    </w:p>
    <w:p>
      <w:pPr>
        <w:spacing w:line="230" w:lineRule="auto" w:before="172"/>
        <w:ind w:left="280" w:right="0" w:firstLine="0"/>
        <w:jc w:val="left"/>
        <w:rPr>
          <w:sz w:val="20"/>
        </w:rPr>
      </w:pPr>
      <w:r>
        <w:rPr>
          <w:color w:val="231F20"/>
          <w:sz w:val="20"/>
        </w:rPr>
        <w:t>Pierce, SJ 2014, ‘Structural Racism, Institutional Agency, and Disrespect’, </w:t>
      </w:r>
      <w:r>
        <w:rPr>
          <w:rFonts w:ascii="Helvetica-LightOblique" w:hAnsi="Helvetica-LightOblique"/>
          <w:i/>
          <w:color w:val="231F20"/>
          <w:sz w:val="20"/>
        </w:rPr>
        <w:t>Philosophy, Theology and Religious Studies Faculty Publications</w:t>
      </w:r>
      <w:r>
        <w:rPr>
          <w:color w:val="231F20"/>
          <w:sz w:val="20"/>
        </w:rPr>
        <w:t>, Paper 89, Sacred Heart University.</w:t>
      </w:r>
    </w:p>
    <w:p>
      <w:pPr>
        <w:spacing w:line="235" w:lineRule="auto" w:before="165"/>
        <w:ind w:left="280" w:right="934" w:firstLine="0"/>
        <w:jc w:val="left"/>
        <w:rPr>
          <w:sz w:val="20"/>
        </w:rPr>
      </w:pPr>
      <w:r>
        <w:rPr>
          <w:color w:val="231F20"/>
          <w:sz w:val="20"/>
        </w:rPr>
        <w:t>Pomeroy, A, 2007, ‘Changing the culture of contracting: Funding for outcomes’, Family and Community Services, Ministry of Social Development, </w:t>
      </w:r>
      <w:r>
        <w:rPr>
          <w:rFonts w:ascii="Helvetica-LightOblique" w:hAnsi="Helvetica-LightOblique"/>
          <w:i/>
          <w:color w:val="231F20"/>
          <w:sz w:val="20"/>
        </w:rPr>
        <w:t>Social Policy Journal of New Zealand</w:t>
      </w:r>
      <w:r>
        <w:rPr>
          <w:color w:val="231F20"/>
          <w:sz w:val="20"/>
        </w:rPr>
        <w:t>, Issue 31, July 2007.</w:t>
      </w:r>
    </w:p>
    <w:p>
      <w:pPr>
        <w:spacing w:line="232" w:lineRule="auto" w:before="166"/>
        <w:ind w:left="280" w:right="414" w:firstLine="0"/>
        <w:jc w:val="left"/>
        <w:rPr>
          <w:sz w:val="20"/>
        </w:rPr>
      </w:pPr>
      <w:r>
        <w:rPr>
          <w:color w:val="231F20"/>
          <w:sz w:val="20"/>
        </w:rPr>
        <w:t>Poteat, VP &amp; Spanierman, LB 2012, ‘Modern Racism Attitudes Among White Students: The Role of Dominance and Authoritarianism and the Mediating Effects of Racial Color-Blindness’, </w:t>
      </w:r>
      <w:r>
        <w:rPr>
          <w:rFonts w:ascii="Helvetica-LightOblique" w:hAnsi="Helvetica-LightOblique"/>
          <w:i/>
          <w:color w:val="231F20"/>
          <w:sz w:val="20"/>
        </w:rPr>
        <w:t>Journal of Social Psychology</w:t>
      </w:r>
      <w:r>
        <w:rPr>
          <w:color w:val="231F20"/>
          <w:sz w:val="20"/>
        </w:rPr>
        <w:t>, vol. 152, no. 6, pp. 758-774.</w:t>
      </w:r>
    </w:p>
    <w:p>
      <w:pPr>
        <w:spacing w:before="164"/>
        <w:ind w:left="280" w:right="0" w:firstLine="0"/>
        <w:jc w:val="left"/>
        <w:rPr>
          <w:sz w:val="20"/>
        </w:rPr>
      </w:pPr>
      <w:r>
        <w:rPr>
          <w:color w:val="231F20"/>
          <w:sz w:val="20"/>
        </w:rPr>
        <w:t>Productivity Commission 2015, </w:t>
      </w:r>
      <w:r>
        <w:rPr>
          <w:rFonts w:ascii="Helvetica-LightOblique"/>
          <w:i/>
          <w:color w:val="231F20"/>
          <w:sz w:val="20"/>
        </w:rPr>
        <w:t>National Indigenous Reform Agreement: Performance Assessment 2013-14</w:t>
      </w:r>
      <w:r>
        <w:rPr>
          <w:color w:val="231F20"/>
          <w:sz w:val="20"/>
        </w:rPr>
        <w:t>.</w:t>
      </w:r>
    </w:p>
    <w:p>
      <w:pPr>
        <w:spacing w:line="235" w:lineRule="auto" w:before="164"/>
        <w:ind w:left="280" w:right="0" w:firstLine="0"/>
        <w:jc w:val="left"/>
        <w:rPr>
          <w:sz w:val="20"/>
        </w:rPr>
      </w:pPr>
      <w:r>
        <w:rPr>
          <w:color w:val="231F20"/>
          <w:sz w:val="20"/>
        </w:rPr>
        <w:t>Quayle, AF, &amp; Sonn, CC 2013, ‘Explicating Race Privilege: Examining Symbolic Barriers to Aboriginal and Non- Indigenous Partnership’, </w:t>
      </w:r>
      <w:r>
        <w:rPr>
          <w:rFonts w:ascii="Helvetica-LightOblique" w:hAnsi="Helvetica-LightOblique"/>
          <w:i/>
          <w:color w:val="231F20"/>
          <w:sz w:val="20"/>
        </w:rPr>
        <w:t>Social Identities</w:t>
      </w:r>
      <w:r>
        <w:rPr>
          <w:color w:val="231F20"/>
          <w:sz w:val="20"/>
        </w:rPr>
        <w:t>, vol. 19, no. 5, pp. 552-570.</w:t>
      </w:r>
    </w:p>
    <w:p>
      <w:pPr>
        <w:spacing w:line="230" w:lineRule="auto" w:before="167"/>
        <w:ind w:left="280" w:right="381" w:firstLine="0"/>
        <w:jc w:val="left"/>
        <w:rPr>
          <w:sz w:val="20"/>
        </w:rPr>
      </w:pPr>
      <w:r>
        <w:rPr>
          <w:color w:val="231F20"/>
          <w:sz w:val="20"/>
        </w:rPr>
        <w:t>Ranzijn, R, McConnochie, K &amp; Nolan, W 2009, </w:t>
      </w:r>
      <w:r>
        <w:rPr>
          <w:rFonts w:ascii="Helvetica-LightOblique"/>
          <w:i/>
          <w:color w:val="231F20"/>
          <w:sz w:val="20"/>
        </w:rPr>
        <w:t>Psychology and Indigenous Australians: Foundations of cultural competence</w:t>
      </w:r>
      <w:r>
        <w:rPr>
          <w:color w:val="231F20"/>
          <w:sz w:val="20"/>
        </w:rPr>
        <w:t>, Palgrave Macmillan Australia.</w:t>
      </w:r>
    </w:p>
    <w:p>
      <w:pPr>
        <w:spacing w:line="230" w:lineRule="auto" w:before="170"/>
        <w:ind w:left="280" w:right="370" w:firstLine="0"/>
        <w:jc w:val="left"/>
        <w:rPr>
          <w:sz w:val="20"/>
        </w:rPr>
      </w:pPr>
      <w:r>
        <w:rPr>
          <w:color w:val="231F20"/>
          <w:sz w:val="20"/>
        </w:rPr>
        <w:t>Ramirez, R 2016, 'A meditation on meaningful participation’, </w:t>
      </w:r>
      <w:r>
        <w:rPr>
          <w:rFonts w:ascii="Helvetica-LightOblique" w:hAnsi="Helvetica-LightOblique"/>
          <w:i/>
          <w:color w:val="231F20"/>
          <w:sz w:val="20"/>
        </w:rPr>
        <w:t>The Journal of Community Informatics, North America</w:t>
      </w:r>
      <w:r>
        <w:rPr>
          <w:color w:val="231F20"/>
          <w:sz w:val="20"/>
        </w:rPr>
        <w:t>, 4, Apr. 2009. Available at: &lt;</w:t>
      </w:r>
      <w:hyperlink r:id="rId61">
        <w:r>
          <w:rPr>
            <w:color w:val="205E9E"/>
            <w:sz w:val="20"/>
            <w:u w:val="single" w:color="205E9E"/>
          </w:rPr>
          <w:t>http://ci-journal.net/index.php/ciej/article/view/390/424</w:t>
        </w:r>
      </w:hyperlink>
      <w:r>
        <w:rPr>
          <w:color w:val="231F20"/>
          <w:sz w:val="20"/>
        </w:rPr>
        <w:t>&gt;. Date accessed: 15 Oct. 2016.</w:t>
      </w:r>
    </w:p>
    <w:p>
      <w:pPr>
        <w:spacing w:after="0" w:line="230" w:lineRule="auto"/>
        <w:jc w:val="left"/>
        <w:rPr>
          <w:sz w:val="20"/>
        </w:rPr>
        <w:sectPr>
          <w:pgSz w:w="11910" w:h="16840"/>
          <w:pgMar w:header="0" w:footer="558" w:top="1600" w:bottom="740" w:left="740" w:right="640"/>
        </w:sect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line="235" w:lineRule="auto" w:before="104"/>
        <w:ind w:left="280" w:right="422" w:firstLine="0"/>
        <w:jc w:val="left"/>
        <w:rPr>
          <w:sz w:val="20"/>
        </w:rPr>
      </w:pPr>
      <w:r>
        <w:rPr>
          <w:color w:val="231F20"/>
          <w:sz w:val="20"/>
        </w:rPr>
        <w:t>Rapert, MI &amp; Wren, BM 1998, 'Reconsidering Organizational Structure: A Dual Perspective of Frameworks </w:t>
      </w:r>
      <w:r>
        <w:rPr>
          <w:color w:val="231F20"/>
          <w:spacing w:val="-6"/>
          <w:sz w:val="20"/>
        </w:rPr>
        <w:t>and </w:t>
      </w:r>
      <w:r>
        <w:rPr>
          <w:color w:val="231F20"/>
          <w:sz w:val="20"/>
        </w:rPr>
        <w:t>Processes', </w:t>
      </w:r>
      <w:r>
        <w:rPr>
          <w:rFonts w:ascii="Helvetica-LightOblique"/>
          <w:i/>
          <w:color w:val="231F20"/>
          <w:sz w:val="20"/>
        </w:rPr>
        <w:t>Journal of Managerial Issues</w:t>
      </w:r>
      <w:r>
        <w:rPr>
          <w:color w:val="231F20"/>
          <w:sz w:val="20"/>
        </w:rPr>
        <w:t>, vol. 10, no. 3, p.</w:t>
      </w:r>
      <w:r>
        <w:rPr>
          <w:color w:val="231F20"/>
          <w:spacing w:val="-1"/>
          <w:sz w:val="20"/>
        </w:rPr>
        <w:t> </w:t>
      </w:r>
      <w:r>
        <w:rPr>
          <w:color w:val="231F20"/>
          <w:sz w:val="20"/>
        </w:rPr>
        <w:t>287-302.</w:t>
      </w:r>
    </w:p>
    <w:p>
      <w:pPr>
        <w:spacing w:line="232" w:lineRule="auto" w:before="165"/>
        <w:ind w:left="280" w:right="529" w:firstLine="0"/>
        <w:jc w:val="left"/>
        <w:rPr>
          <w:sz w:val="20"/>
        </w:rPr>
      </w:pPr>
      <w:r>
        <w:rPr>
          <w:color w:val="231F20"/>
          <w:sz w:val="20"/>
        </w:rPr>
        <w:t>Robson, M &amp; Kant, S 2007, ‘The Development of Government Agency and Stakeholder Cooperation: A Comparative Study of </w:t>
      </w:r>
      <w:r>
        <w:rPr>
          <w:color w:val="231F20"/>
          <w:spacing w:val="-6"/>
          <w:sz w:val="20"/>
        </w:rPr>
        <w:t>Two </w:t>
      </w:r>
      <w:r>
        <w:rPr>
          <w:color w:val="231F20"/>
          <w:sz w:val="20"/>
        </w:rPr>
        <w:t>Local Citizens Committees' (LCCs) </w:t>
      </w:r>
      <w:r>
        <w:rPr>
          <w:rFonts w:ascii="Helvetica-LightOblique" w:hAnsi="Helvetica-LightOblique"/>
          <w:i/>
          <w:color w:val="231F20"/>
          <w:sz w:val="20"/>
        </w:rPr>
        <w:t>Participation in Forest Management in Ontario, Canada’, Forest Policy and Economics</w:t>
      </w:r>
      <w:r>
        <w:rPr>
          <w:color w:val="231F20"/>
          <w:sz w:val="20"/>
        </w:rPr>
        <w:t>, vol. 9, no. 8, pp.</w:t>
      </w:r>
      <w:r>
        <w:rPr>
          <w:color w:val="231F20"/>
          <w:spacing w:val="-1"/>
          <w:sz w:val="20"/>
        </w:rPr>
        <w:t> </w:t>
      </w:r>
      <w:r>
        <w:rPr>
          <w:color w:val="231F20"/>
          <w:sz w:val="20"/>
        </w:rPr>
        <w:t>1113-1133.</w:t>
      </w:r>
    </w:p>
    <w:p>
      <w:pPr>
        <w:spacing w:line="235" w:lineRule="auto" w:before="164"/>
        <w:ind w:left="280" w:right="450" w:firstLine="0"/>
        <w:jc w:val="left"/>
        <w:rPr>
          <w:sz w:val="20"/>
        </w:rPr>
      </w:pPr>
      <w:r>
        <w:rPr>
          <w:color w:val="231F20"/>
          <w:sz w:val="20"/>
        </w:rPr>
        <w:t>Signal, LN, Walton, MD, Ni Mhurchu, C, Maddison, R, Bowers, SG, Carter, KN, Gorton, D, Heta, C, Lanumata, TS, McKerchar, CW, O'Dea, D &amp; Pearce, J 2013, 'Tackling ‘Wicked’ Health Promotion Problems: a New Zealand Case Study', </w:t>
      </w:r>
      <w:r>
        <w:rPr>
          <w:rFonts w:ascii="Helvetica-LightOblique" w:hAnsi="Helvetica-LightOblique"/>
          <w:i/>
          <w:color w:val="231F20"/>
          <w:sz w:val="20"/>
        </w:rPr>
        <w:t>Health Promotion International</w:t>
      </w:r>
      <w:r>
        <w:rPr>
          <w:color w:val="231F20"/>
          <w:sz w:val="20"/>
        </w:rPr>
        <w:t>, vol. 28, no. 1, pp. 84-94.</w:t>
      </w:r>
    </w:p>
    <w:p>
      <w:pPr>
        <w:spacing w:line="230" w:lineRule="auto" w:before="167"/>
        <w:ind w:left="280" w:right="370" w:firstLine="0"/>
        <w:jc w:val="left"/>
        <w:rPr>
          <w:sz w:val="20"/>
        </w:rPr>
      </w:pPr>
      <w:r>
        <w:rPr>
          <w:color w:val="231F20"/>
          <w:sz w:val="20"/>
        </w:rPr>
        <w:t>Sharpe, F 1996, ‘Towards a Research Paradigm on Devolution’, </w:t>
      </w:r>
      <w:r>
        <w:rPr>
          <w:rFonts w:ascii="Helvetica-LightOblique" w:hAnsi="Helvetica-LightOblique"/>
          <w:i/>
          <w:color w:val="231F20"/>
          <w:sz w:val="20"/>
        </w:rPr>
        <w:t>Journal of Educational Administration</w:t>
      </w:r>
      <w:r>
        <w:rPr>
          <w:color w:val="231F20"/>
          <w:sz w:val="20"/>
        </w:rPr>
        <w:t>, vol. 34, no. 1, pp. 4-23.</w:t>
      </w:r>
    </w:p>
    <w:p>
      <w:pPr>
        <w:spacing w:line="230" w:lineRule="auto" w:before="174"/>
        <w:ind w:left="280" w:right="450" w:firstLine="0"/>
        <w:jc w:val="left"/>
        <w:rPr>
          <w:sz w:val="20"/>
        </w:rPr>
      </w:pPr>
      <w:r>
        <w:rPr>
          <w:color w:val="231F20"/>
          <w:sz w:val="20"/>
        </w:rPr>
        <w:t>Sharpe, F 1994, 'Devolution-Towards a Research Framework', </w:t>
      </w:r>
      <w:r>
        <w:rPr>
          <w:rFonts w:ascii="Helvetica-LightOblique"/>
          <w:i/>
          <w:color w:val="231F20"/>
          <w:sz w:val="20"/>
        </w:rPr>
        <w:t>Educational Management and Administration</w:t>
      </w:r>
      <w:r>
        <w:rPr>
          <w:color w:val="231F20"/>
          <w:sz w:val="20"/>
        </w:rPr>
        <w:t>, vol. 22, no. 2, pp. 85-95.</w:t>
      </w:r>
    </w:p>
    <w:p>
      <w:pPr>
        <w:spacing w:line="235" w:lineRule="auto" w:before="169"/>
        <w:ind w:left="280" w:right="0" w:firstLine="0"/>
        <w:jc w:val="left"/>
        <w:rPr>
          <w:sz w:val="20"/>
        </w:rPr>
      </w:pPr>
      <w:r>
        <w:rPr>
          <w:color w:val="231F20"/>
          <w:sz w:val="20"/>
        </w:rPr>
        <w:t>Stewart, J &amp; Jarvie, W 2015, ‘Haven’t We Been This Way Before? Evaluation and the Impediments to Policy Learning’, </w:t>
      </w:r>
      <w:r>
        <w:rPr>
          <w:rFonts w:ascii="Helvetica-LightOblique" w:hAnsi="Helvetica-LightOblique"/>
          <w:i/>
          <w:color w:val="231F20"/>
          <w:sz w:val="20"/>
        </w:rPr>
        <w:t>Australian Journal of Public Administration</w:t>
      </w:r>
      <w:r>
        <w:rPr>
          <w:color w:val="231F20"/>
          <w:sz w:val="20"/>
        </w:rPr>
        <w:t>, vol. 74, no. 2, pp. 114–127.</w:t>
      </w:r>
    </w:p>
    <w:p>
      <w:pPr>
        <w:spacing w:line="235" w:lineRule="auto" w:before="164"/>
        <w:ind w:left="280" w:right="495" w:firstLine="0"/>
        <w:jc w:val="both"/>
        <w:rPr>
          <w:sz w:val="20"/>
        </w:rPr>
      </w:pPr>
      <w:r>
        <w:rPr>
          <w:color w:val="231F20"/>
          <w:spacing w:val="-6"/>
          <w:sz w:val="20"/>
        </w:rPr>
        <w:t>Taylor, </w:t>
      </w:r>
      <w:r>
        <w:rPr>
          <w:color w:val="231F20"/>
          <w:spacing w:val="-9"/>
          <w:sz w:val="20"/>
        </w:rPr>
        <w:t>KP, </w:t>
      </w:r>
      <w:r>
        <w:rPr>
          <w:color w:val="231F20"/>
          <w:sz w:val="20"/>
        </w:rPr>
        <w:t>Bessarab, D, </w:t>
      </w:r>
      <w:r>
        <w:rPr>
          <w:color w:val="231F20"/>
          <w:spacing w:val="-3"/>
          <w:sz w:val="20"/>
        </w:rPr>
        <w:t>Hunter, </w:t>
      </w:r>
      <w:r>
        <w:rPr>
          <w:color w:val="231F20"/>
          <w:sz w:val="20"/>
        </w:rPr>
        <w:t>L &amp; Thompson, SC 2013, 'Aboriginal-Mainstream Partnerships: Exploring the Challenges and Enhancers of a Collaborative Service Arrangement for Aboriginal Clients with Substance </w:t>
      </w:r>
      <w:r>
        <w:rPr>
          <w:color w:val="231F20"/>
          <w:spacing w:val="-6"/>
          <w:sz w:val="20"/>
        </w:rPr>
        <w:t>Use </w:t>
      </w:r>
      <w:r>
        <w:rPr>
          <w:color w:val="231F20"/>
          <w:sz w:val="20"/>
        </w:rPr>
        <w:t>Issues', </w:t>
      </w:r>
      <w:r>
        <w:rPr>
          <w:rFonts w:ascii="Helvetica-LightOblique"/>
          <w:i/>
          <w:color w:val="231F20"/>
          <w:sz w:val="20"/>
        </w:rPr>
        <w:t>BMC Health Services Research</w:t>
      </w:r>
      <w:r>
        <w:rPr>
          <w:color w:val="231F20"/>
          <w:sz w:val="20"/>
        </w:rPr>
        <w:t>, vol. 13, no. 1, pp. 1-8.</w:t>
      </w:r>
    </w:p>
    <w:p>
      <w:pPr>
        <w:spacing w:line="230" w:lineRule="auto" w:before="167"/>
        <w:ind w:left="280" w:right="450" w:firstLine="0"/>
        <w:jc w:val="left"/>
        <w:rPr>
          <w:sz w:val="20"/>
        </w:rPr>
      </w:pPr>
      <w:r>
        <w:rPr>
          <w:color w:val="231F20"/>
          <w:sz w:val="20"/>
        </w:rPr>
        <w:t>Teddlie, C &amp; Yu, F 2007. ‘Mixed methods sampling a typology with examples’, </w:t>
      </w:r>
      <w:r>
        <w:rPr>
          <w:rFonts w:ascii="Helvetica-LightOblique" w:hAnsi="Helvetica-LightOblique"/>
          <w:i/>
          <w:color w:val="231F20"/>
          <w:sz w:val="20"/>
        </w:rPr>
        <w:t>Journal of mixed methods research</w:t>
      </w:r>
      <w:r>
        <w:rPr>
          <w:color w:val="231F20"/>
          <w:sz w:val="20"/>
        </w:rPr>
        <w:t>, vol. 1, no. 1, pp.77-100.</w:t>
      </w:r>
    </w:p>
    <w:p>
      <w:pPr>
        <w:spacing w:line="230" w:lineRule="auto" w:before="169"/>
        <w:ind w:left="280" w:right="0" w:firstLine="0"/>
        <w:jc w:val="left"/>
        <w:rPr>
          <w:sz w:val="20"/>
        </w:rPr>
      </w:pPr>
      <w:r>
        <w:rPr>
          <w:color w:val="231F20"/>
          <w:sz w:val="20"/>
        </w:rPr>
        <w:t>Te Puni Kokiri 2013, </w:t>
      </w:r>
      <w:r>
        <w:rPr>
          <w:rFonts w:ascii="Helvetica-LightOblique" w:hAnsi="Helvetica-LightOblique"/>
          <w:i/>
          <w:color w:val="231F20"/>
          <w:sz w:val="20"/>
        </w:rPr>
        <w:t>Measuring Performance And Effectiveness For M</w:t>
      </w:r>
      <w:r>
        <w:rPr>
          <w:color w:val="231F20"/>
          <w:sz w:val="20"/>
        </w:rPr>
        <w:t>ã</w:t>
      </w:r>
      <w:r>
        <w:rPr>
          <w:rFonts w:ascii="Helvetica-LightOblique" w:hAnsi="Helvetica-LightOblique"/>
          <w:i/>
          <w:color w:val="231F20"/>
          <w:sz w:val="20"/>
        </w:rPr>
        <w:t>ori: Key Themes From The Literature</w:t>
      </w:r>
      <w:r>
        <w:rPr>
          <w:color w:val="231F20"/>
          <w:sz w:val="20"/>
        </w:rPr>
        <w:t>, Wellington, N.p.</w:t>
      </w:r>
    </w:p>
    <w:p>
      <w:pPr>
        <w:spacing w:line="230" w:lineRule="auto" w:before="174"/>
        <w:ind w:left="280" w:right="450" w:firstLine="0"/>
        <w:jc w:val="left"/>
        <w:rPr>
          <w:sz w:val="20"/>
        </w:rPr>
      </w:pPr>
      <w:r>
        <w:rPr>
          <w:color w:val="231F20"/>
          <w:sz w:val="20"/>
        </w:rPr>
        <w:t>Te Rau Matatini 2014, </w:t>
      </w:r>
      <w:r>
        <w:rPr>
          <w:rFonts w:ascii="Helvetica-LightOblique" w:hAnsi="Helvetica-LightOblique"/>
          <w:i/>
          <w:color w:val="231F20"/>
          <w:sz w:val="20"/>
        </w:rPr>
        <w:t>Whãnau Ora and COPMIA: The interface A Literature Review Te Rau Matatini Mãori Health Workforce Development</w:t>
      </w:r>
      <w:r>
        <w:rPr>
          <w:color w:val="231F20"/>
          <w:sz w:val="20"/>
        </w:rPr>
        <w:t>, Wellington.</w:t>
      </w:r>
    </w:p>
    <w:p>
      <w:pPr>
        <w:spacing w:line="232" w:lineRule="auto" w:before="167"/>
        <w:ind w:left="280" w:right="450" w:firstLine="0"/>
        <w:jc w:val="left"/>
        <w:rPr>
          <w:sz w:val="20"/>
        </w:rPr>
      </w:pPr>
      <w:r>
        <w:rPr>
          <w:color w:val="231F20"/>
          <w:sz w:val="20"/>
        </w:rPr>
        <w:t>Thomas, SL, Williams, K, Ritchie, J &amp; Zwi, K 2015, 'Improving paediatric outreach services for urban Aboriginal children through partnerships: Views of community-based service providers', </w:t>
      </w:r>
      <w:r>
        <w:rPr>
          <w:rFonts w:ascii="Helvetica-LightOblique"/>
          <w:i/>
          <w:color w:val="231F20"/>
          <w:sz w:val="20"/>
        </w:rPr>
        <w:t>Child: Care, Health &amp; Development</w:t>
      </w:r>
      <w:r>
        <w:rPr>
          <w:color w:val="231F20"/>
          <w:sz w:val="20"/>
        </w:rPr>
        <w:t>, vol. 41, no. 6, pp. 836-842.</w:t>
      </w:r>
    </w:p>
    <w:p>
      <w:pPr>
        <w:spacing w:line="230" w:lineRule="auto" w:before="168"/>
        <w:ind w:left="280" w:right="934" w:firstLine="0"/>
        <w:jc w:val="left"/>
        <w:rPr>
          <w:sz w:val="20"/>
        </w:rPr>
      </w:pPr>
      <w:r>
        <w:rPr>
          <w:color w:val="231F20"/>
          <w:sz w:val="20"/>
        </w:rPr>
        <w:t>Tongco, MDC 2007. ‘Purposive sampling as a tool for informant selection’, </w:t>
      </w:r>
      <w:r>
        <w:rPr>
          <w:rFonts w:ascii="Helvetica-LightOblique" w:hAnsi="Helvetica-LightOblique"/>
          <w:i/>
          <w:color w:val="231F20"/>
          <w:sz w:val="20"/>
        </w:rPr>
        <w:t>Ethnobotany Research and Application: A journal of plants, people and applied research</w:t>
      </w:r>
      <w:r>
        <w:rPr>
          <w:color w:val="231F20"/>
          <w:sz w:val="20"/>
        </w:rPr>
        <w:t>, vol. 5, pp. 147-158.</w:t>
      </w:r>
    </w:p>
    <w:p>
      <w:pPr>
        <w:spacing w:line="230" w:lineRule="auto" w:before="169"/>
        <w:ind w:left="280" w:right="450" w:firstLine="0"/>
        <w:jc w:val="left"/>
        <w:rPr>
          <w:sz w:val="20"/>
        </w:rPr>
      </w:pPr>
      <w:r>
        <w:rPr>
          <w:color w:val="231F20"/>
          <w:sz w:val="20"/>
        </w:rPr>
        <w:t>Ulrich, D, Kerr, S &amp; Ashkenas, R 2002, </w:t>
      </w:r>
      <w:r>
        <w:rPr>
          <w:rFonts w:ascii="Helvetica-LightOblique" w:hAnsi="Helvetica-LightOblique"/>
          <w:i/>
          <w:color w:val="231F20"/>
          <w:sz w:val="20"/>
        </w:rPr>
        <w:t>The GE Work-Out: How to Implement GE's Revolutionary Method for Busting Bureaucracy &amp; Attacking Organizational Problems – Fast!</w:t>
      </w:r>
      <w:r>
        <w:rPr>
          <w:color w:val="231F20"/>
          <w:sz w:val="20"/>
        </w:rPr>
        <w:t>, McGraw-Hill Education, New York.</w:t>
      </w:r>
    </w:p>
    <w:p>
      <w:pPr>
        <w:spacing w:line="400" w:lineRule="atLeast" w:before="12"/>
        <w:ind w:left="280" w:right="815" w:firstLine="0"/>
        <w:jc w:val="left"/>
        <w:rPr>
          <w:sz w:val="20"/>
        </w:rPr>
      </w:pPr>
      <w:r>
        <w:rPr>
          <w:color w:val="231F20"/>
          <w:sz w:val="20"/>
        </w:rPr>
        <w:t>VicHealth 2011, </w:t>
      </w:r>
      <w:r>
        <w:rPr>
          <w:rFonts w:ascii="Helvetica-LightOblique" w:hAnsi="Helvetica-LightOblique"/>
          <w:i/>
          <w:color w:val="231F20"/>
          <w:sz w:val="20"/>
        </w:rPr>
        <w:t>The Partnerships Analysis Tool</w:t>
      </w:r>
      <w:r>
        <w:rPr>
          <w:color w:val="231F20"/>
          <w:sz w:val="20"/>
        </w:rPr>
        <w:t>, Victorian Health Promotion Foundation, Melbourne. Zurba, M, Ross, H, Izurieta, A, Rist, P, Bock, E &amp; Berkes, F 2012, ‘Building Co-Management as a Process:</w:t>
      </w:r>
    </w:p>
    <w:p>
      <w:pPr>
        <w:spacing w:line="230" w:lineRule="auto" w:before="7"/>
        <w:ind w:left="280" w:right="450" w:firstLine="0"/>
        <w:jc w:val="left"/>
        <w:rPr>
          <w:sz w:val="20"/>
        </w:rPr>
      </w:pPr>
      <w:r>
        <w:rPr>
          <w:color w:val="231F20"/>
          <w:sz w:val="20"/>
        </w:rPr>
        <w:t>Problem Solving Through Partnerships in Aboriginal Country, Australia’, </w:t>
      </w:r>
      <w:r>
        <w:rPr>
          <w:rFonts w:ascii="Helvetica-LightOblique" w:hAnsi="Helvetica-LightOblique"/>
          <w:i/>
          <w:color w:val="231F20"/>
          <w:sz w:val="20"/>
        </w:rPr>
        <w:t>Environmental Management</w:t>
      </w:r>
      <w:r>
        <w:rPr>
          <w:color w:val="231F20"/>
          <w:sz w:val="20"/>
        </w:rPr>
        <w:t>, vol. 49, no. 6, pp. 1130-1142.</w:t>
      </w:r>
    </w:p>
    <w:p>
      <w:pPr>
        <w:spacing w:after="0" w:line="230" w:lineRule="auto"/>
        <w:jc w:val="left"/>
        <w:rPr>
          <w:sz w:val="20"/>
        </w:rPr>
        <w:sectPr>
          <w:pgSz w:w="11910" w:h="16840"/>
          <w:pgMar w:header="0" w:footer="558" w:top="1600" w:bottom="740" w:left="740" w:right="640"/>
        </w:sectPr>
      </w:pPr>
    </w:p>
    <w:p>
      <w:pPr>
        <w:pStyle w:val="BodyText"/>
        <w:rPr>
          <w:sz w:val="20"/>
        </w:rPr>
      </w:pPr>
    </w:p>
    <w:p>
      <w:pPr>
        <w:pStyle w:val="BodyText"/>
        <w:rPr>
          <w:sz w:val="20"/>
        </w:rPr>
      </w:pPr>
    </w:p>
    <w:p>
      <w:pPr>
        <w:pStyle w:val="BodyText"/>
        <w:rPr>
          <w:sz w:val="20"/>
        </w:rPr>
      </w:pPr>
    </w:p>
    <w:p>
      <w:pPr>
        <w:pStyle w:val="BodyText"/>
        <w:spacing w:before="8"/>
        <w:rPr>
          <w:sz w:val="19"/>
        </w:rPr>
      </w:pPr>
    </w:p>
    <w:p>
      <w:pPr>
        <w:pStyle w:val="Heading1"/>
        <w:spacing w:before="24"/>
      </w:pPr>
      <w:r>
        <w:rPr>
          <w:color w:val="C2B59B"/>
        </w:rPr>
        <w:t>APPENDICES</w:t>
      </w:r>
    </w:p>
    <w:p>
      <w:pPr>
        <w:pStyle w:val="BodyText"/>
        <w:spacing w:before="4"/>
        <w:rPr>
          <w:rFonts w:ascii="Helvetica"/>
          <w:sz w:val="54"/>
        </w:rPr>
      </w:pPr>
    </w:p>
    <w:p>
      <w:pPr>
        <w:pStyle w:val="Heading2"/>
      </w:pPr>
      <w:r>
        <w:rPr>
          <w:color w:val="358384"/>
        </w:rPr>
        <w:t>Appendix I: Participant Explanatory Statement</w:t>
      </w:r>
    </w:p>
    <w:p>
      <w:pPr>
        <w:spacing w:before="159"/>
        <w:ind w:left="280" w:right="0" w:firstLine="0"/>
        <w:jc w:val="left"/>
        <w:rPr>
          <w:sz w:val="20"/>
        </w:rPr>
      </w:pPr>
      <w:r>
        <w:rPr>
          <w:rFonts w:ascii="Helvetica"/>
          <w:b/>
          <w:color w:val="231F20"/>
          <w:sz w:val="20"/>
        </w:rPr>
        <w:t>Project title </w:t>
      </w:r>
      <w:r>
        <w:rPr>
          <w:color w:val="231F20"/>
          <w:sz w:val="20"/>
        </w:rPr>
        <w:t>Rhetoric to reality: Devolving decision making to Aboriginal communities.</w:t>
      </w:r>
    </w:p>
    <w:p>
      <w:pPr>
        <w:pStyle w:val="BodyText"/>
        <w:spacing w:before="11"/>
      </w:pPr>
    </w:p>
    <w:p>
      <w:pPr>
        <w:spacing w:before="0"/>
        <w:ind w:left="280" w:right="0" w:firstLine="0"/>
        <w:jc w:val="left"/>
        <w:rPr>
          <w:rFonts w:ascii="Helvetica"/>
          <w:b/>
          <w:sz w:val="20"/>
        </w:rPr>
      </w:pPr>
      <w:r>
        <w:rPr>
          <w:rFonts w:ascii="Helvetica"/>
          <w:b/>
          <w:color w:val="231F20"/>
          <w:sz w:val="20"/>
        </w:rPr>
        <w:t>Interview invitation</w:t>
      </w:r>
    </w:p>
    <w:p>
      <w:pPr>
        <w:spacing w:line="235" w:lineRule="auto" w:before="172"/>
        <w:ind w:left="507" w:right="0" w:firstLine="0"/>
        <w:jc w:val="left"/>
        <w:rPr>
          <w:sz w:val="20"/>
        </w:rPr>
      </w:pPr>
      <w:r>
        <w:rPr>
          <w:color w:val="231F20"/>
          <w:sz w:val="20"/>
        </w:rPr>
        <w:t>You are invited to participate in a research study on improving structures and ways of thinking in the public service that will support devolved decision making in Aboriginal communities.</w:t>
      </w:r>
    </w:p>
    <w:p>
      <w:pPr>
        <w:spacing w:line="232" w:lineRule="auto" w:before="170"/>
        <w:ind w:left="507" w:right="370" w:firstLine="0"/>
        <w:jc w:val="left"/>
        <w:rPr>
          <w:sz w:val="20"/>
        </w:rPr>
      </w:pPr>
      <w:r>
        <w:rPr>
          <w:color w:val="231F20"/>
          <w:sz w:val="20"/>
        </w:rPr>
        <w:t>The research project is part of a work-based project that is being undertaken by students currently enrolled in the </w:t>
      </w:r>
      <w:r>
        <w:rPr>
          <w:rFonts w:ascii="Helvetica-LightOblique"/>
          <w:i/>
          <w:color w:val="231F20"/>
          <w:sz w:val="20"/>
        </w:rPr>
        <w:t>Executive Masters of Public Administration </w:t>
      </w:r>
      <w:r>
        <w:rPr>
          <w:color w:val="231F20"/>
          <w:sz w:val="20"/>
        </w:rPr>
        <w:t>(EMPA) at the Australia and New Zealand School of Government (ANZSOG). It is a cross-jurisdictional work-based project. Research project members are:</w:t>
      </w:r>
    </w:p>
    <w:p>
      <w:pPr>
        <w:spacing w:line="290" w:lineRule="auto" w:before="164"/>
        <w:ind w:left="507" w:right="3629" w:firstLine="0"/>
        <w:jc w:val="left"/>
        <w:rPr>
          <w:sz w:val="20"/>
        </w:rPr>
      </w:pPr>
      <w:r>
        <w:rPr>
          <w:color w:val="231F20"/>
          <w:sz w:val="20"/>
        </w:rPr>
        <w:t>Laura Andrew, Department of Health and Human Services, Victoria Jane Cipants, Legal Aid NSW, New South Wales</w:t>
      </w:r>
    </w:p>
    <w:p>
      <w:pPr>
        <w:spacing w:line="244" w:lineRule="exact" w:before="0"/>
        <w:ind w:left="507" w:right="0" w:firstLine="0"/>
        <w:jc w:val="left"/>
        <w:rPr>
          <w:sz w:val="20"/>
        </w:rPr>
      </w:pPr>
      <w:r>
        <w:rPr>
          <w:color w:val="231F20"/>
          <w:sz w:val="20"/>
        </w:rPr>
        <w:t>Sandra Heriot, Family and Community Services, New South Wales</w:t>
      </w:r>
    </w:p>
    <w:p>
      <w:pPr>
        <w:spacing w:line="290" w:lineRule="auto" w:before="51"/>
        <w:ind w:left="507" w:right="2279" w:firstLine="0"/>
        <w:jc w:val="left"/>
        <w:rPr>
          <w:sz w:val="20"/>
        </w:rPr>
      </w:pPr>
      <w:r>
        <w:rPr>
          <w:color w:val="231F20"/>
          <w:sz w:val="20"/>
        </w:rPr>
        <w:t>Prue Monument, Australian Charities and Not-for-profits Commission, Commonwealth Grant Pollard, Ministry of Health, New Zealand</w:t>
      </w:r>
    </w:p>
    <w:p>
      <w:pPr>
        <w:spacing w:line="290" w:lineRule="auto" w:before="0"/>
        <w:ind w:left="507" w:right="4346" w:firstLine="0"/>
        <w:jc w:val="left"/>
        <w:rPr>
          <w:sz w:val="20"/>
        </w:rPr>
      </w:pPr>
      <w:r>
        <w:rPr>
          <w:color w:val="231F20"/>
          <w:sz w:val="20"/>
        </w:rPr>
        <w:t>Peter Stibbard, Department of Treasury and Finance, Victoria The Project Advisor is Dr Zina O'Leary, University of Sydney.</w:t>
      </w:r>
    </w:p>
    <w:p>
      <w:pPr>
        <w:spacing w:line="235" w:lineRule="auto" w:before="114"/>
        <w:ind w:left="507" w:right="710" w:firstLine="0"/>
        <w:jc w:val="left"/>
        <w:rPr>
          <w:sz w:val="20"/>
        </w:rPr>
      </w:pPr>
      <w:r>
        <w:rPr>
          <w:color w:val="231F20"/>
          <w:sz w:val="20"/>
        </w:rPr>
        <w:t>This statement is for participants who agree to be interviewed as part of the above research work-based project. It is to be read in conjunction with the attached consent form/s.</w:t>
      </w:r>
    </w:p>
    <w:p>
      <w:pPr>
        <w:pStyle w:val="BodyText"/>
        <w:spacing w:before="11"/>
      </w:pPr>
    </w:p>
    <w:p>
      <w:pPr>
        <w:pStyle w:val="ListParagraph"/>
        <w:numPr>
          <w:ilvl w:val="0"/>
          <w:numId w:val="4"/>
        </w:numPr>
        <w:tabs>
          <w:tab w:pos="495" w:val="left" w:leader="none"/>
        </w:tabs>
        <w:spacing w:line="240" w:lineRule="auto" w:before="0" w:after="0"/>
        <w:ind w:left="494" w:right="0" w:hanging="214"/>
        <w:jc w:val="left"/>
        <w:rPr>
          <w:rFonts w:ascii="Helvetica"/>
          <w:b/>
          <w:sz w:val="20"/>
        </w:rPr>
      </w:pPr>
      <w:r>
        <w:rPr>
          <w:rFonts w:ascii="Helvetica"/>
          <w:b/>
          <w:color w:val="231F20"/>
          <w:sz w:val="20"/>
        </w:rPr>
        <w:t>What is the purpose of this</w:t>
      </w:r>
      <w:r>
        <w:rPr>
          <w:rFonts w:ascii="Helvetica"/>
          <w:b/>
          <w:color w:val="231F20"/>
          <w:spacing w:val="-1"/>
          <w:sz w:val="20"/>
        </w:rPr>
        <w:t> </w:t>
      </w:r>
      <w:r>
        <w:rPr>
          <w:rFonts w:ascii="Helvetica"/>
          <w:b/>
          <w:color w:val="231F20"/>
          <w:sz w:val="20"/>
        </w:rPr>
        <w:t>study?</w:t>
      </w:r>
    </w:p>
    <w:p>
      <w:pPr>
        <w:spacing w:line="235" w:lineRule="auto" w:before="172"/>
        <w:ind w:left="507" w:right="370" w:firstLine="0"/>
        <w:jc w:val="left"/>
        <w:rPr>
          <w:sz w:val="20"/>
        </w:rPr>
      </w:pPr>
      <w:r>
        <w:rPr>
          <w:color w:val="231F20"/>
          <w:sz w:val="20"/>
        </w:rPr>
        <w:t>The purpose of this study is to explore how structures and ways of thinking in the NSW public service could be changed to support devolved decision making in Aboriginal communities.</w:t>
      </w:r>
    </w:p>
    <w:p>
      <w:pPr>
        <w:pStyle w:val="BodyText"/>
        <w:spacing w:before="11"/>
      </w:pPr>
    </w:p>
    <w:p>
      <w:pPr>
        <w:pStyle w:val="ListParagraph"/>
        <w:numPr>
          <w:ilvl w:val="0"/>
          <w:numId w:val="4"/>
        </w:numPr>
        <w:tabs>
          <w:tab w:pos="495" w:val="left" w:leader="none"/>
        </w:tabs>
        <w:spacing w:line="240" w:lineRule="auto" w:before="0" w:after="0"/>
        <w:ind w:left="494" w:right="0" w:hanging="214"/>
        <w:jc w:val="left"/>
        <w:rPr>
          <w:rFonts w:ascii="Helvetica"/>
          <w:b/>
          <w:sz w:val="20"/>
        </w:rPr>
      </w:pPr>
      <w:r>
        <w:rPr>
          <w:rFonts w:ascii="Helvetica"/>
          <w:b/>
          <w:color w:val="231F20"/>
          <w:sz w:val="20"/>
        </w:rPr>
        <w:t>Why have I been invited to participate in this</w:t>
      </w:r>
      <w:r>
        <w:rPr>
          <w:rFonts w:ascii="Helvetica"/>
          <w:b/>
          <w:color w:val="231F20"/>
          <w:spacing w:val="-2"/>
          <w:sz w:val="20"/>
        </w:rPr>
        <w:t> </w:t>
      </w:r>
      <w:r>
        <w:rPr>
          <w:rFonts w:ascii="Helvetica"/>
          <w:b/>
          <w:color w:val="231F20"/>
          <w:sz w:val="20"/>
        </w:rPr>
        <w:t>study?</w:t>
      </w:r>
    </w:p>
    <w:p>
      <w:pPr>
        <w:spacing w:line="235" w:lineRule="auto" w:before="172"/>
        <w:ind w:left="507" w:right="333" w:firstLine="0"/>
        <w:jc w:val="left"/>
        <w:rPr>
          <w:sz w:val="20"/>
        </w:rPr>
      </w:pPr>
      <w:r>
        <w:rPr>
          <w:color w:val="231F20"/>
          <w:sz w:val="20"/>
        </w:rPr>
        <w:t>You are invited to participate in this study because you have been identified as being a representative of an organisation that either oversees or has been involved in local decision making with Aboriginal communities. If you are being invited to be interviewed, you have been approached directly by Aboriginal Affairs. If you are being invited to participate in a focus group, you have been nominated by your department.</w:t>
      </w:r>
    </w:p>
    <w:p>
      <w:pPr>
        <w:pStyle w:val="BodyText"/>
        <w:spacing w:before="9"/>
      </w:pPr>
    </w:p>
    <w:p>
      <w:pPr>
        <w:pStyle w:val="ListParagraph"/>
        <w:numPr>
          <w:ilvl w:val="0"/>
          <w:numId w:val="4"/>
        </w:numPr>
        <w:tabs>
          <w:tab w:pos="495" w:val="left" w:leader="none"/>
        </w:tabs>
        <w:spacing w:line="240" w:lineRule="auto" w:before="0" w:after="0"/>
        <w:ind w:left="494" w:right="0" w:hanging="214"/>
        <w:jc w:val="left"/>
        <w:rPr>
          <w:rFonts w:ascii="Helvetica"/>
          <w:b/>
          <w:sz w:val="20"/>
        </w:rPr>
      </w:pPr>
      <w:r>
        <w:rPr>
          <w:rFonts w:ascii="Helvetica"/>
          <w:b/>
          <w:color w:val="231F20"/>
          <w:sz w:val="20"/>
        </w:rPr>
        <w:t>What does this study</w:t>
      </w:r>
      <w:r>
        <w:rPr>
          <w:rFonts w:ascii="Helvetica"/>
          <w:b/>
          <w:color w:val="231F20"/>
          <w:spacing w:val="-1"/>
          <w:sz w:val="20"/>
        </w:rPr>
        <w:t> </w:t>
      </w:r>
      <w:r>
        <w:rPr>
          <w:rFonts w:ascii="Helvetica"/>
          <w:b/>
          <w:color w:val="231F20"/>
          <w:sz w:val="20"/>
        </w:rPr>
        <w:t>involve?</w:t>
      </w:r>
    </w:p>
    <w:p>
      <w:pPr>
        <w:spacing w:line="235" w:lineRule="auto" w:before="172"/>
        <w:ind w:left="507" w:right="438" w:firstLine="0"/>
        <w:jc w:val="left"/>
        <w:rPr>
          <w:sz w:val="20"/>
        </w:rPr>
      </w:pPr>
      <w:r>
        <w:rPr>
          <w:color w:val="231F20"/>
          <w:sz w:val="20"/>
        </w:rPr>
        <w:t>Initially, structured interviews will be undertaken with a small number of representatives. These interviews will be undertaken by the research team over the telephone or in person. The team will document these discussions and will include summary information as part of the report. A copy of the executive summary of the report can be provided to you, as a participant, subject to the approval of Aboriginal Affairs. Any direct quotes will be checked with you before finalisation of the report.</w:t>
      </w:r>
    </w:p>
    <w:p>
      <w:pPr>
        <w:spacing w:line="235" w:lineRule="auto" w:before="166"/>
        <w:ind w:left="507" w:right="450" w:firstLine="0"/>
        <w:jc w:val="left"/>
        <w:rPr>
          <w:sz w:val="20"/>
        </w:rPr>
      </w:pPr>
      <w:r>
        <w:rPr>
          <w:color w:val="231F20"/>
          <w:sz w:val="20"/>
        </w:rPr>
        <w:t>The interviews will inform the issues to be explored in focus groups with public servants from agencies involved in local decision making processes with Aboriginal communities. The focus groups will be run by the research team. The team will document the discussions in the focus groups and will include summary information as part of the report.</w:t>
      </w:r>
    </w:p>
    <w:p>
      <w:pPr>
        <w:spacing w:after="0" w:line="235" w:lineRule="auto"/>
        <w:jc w:val="left"/>
        <w:rPr>
          <w:sz w:val="20"/>
        </w:rPr>
        <w:sectPr>
          <w:pgSz w:w="11910" w:h="16840"/>
          <w:pgMar w:header="0" w:footer="558" w:top="1600" w:bottom="740" w:left="740" w:right="640"/>
        </w:sect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line="235" w:lineRule="auto" w:before="104"/>
        <w:ind w:left="507" w:right="408" w:firstLine="0"/>
        <w:jc w:val="both"/>
        <w:rPr>
          <w:sz w:val="20"/>
        </w:rPr>
      </w:pPr>
      <w:r>
        <w:rPr>
          <w:color w:val="231F20"/>
          <w:sz w:val="20"/>
        </w:rPr>
        <w:t>It is important you understand that your involvement in this study is voluntary. While we would be pleased to have you participate, we respect your right to decline. If you decide to discontinue participation at any time, you may do so without providing an explanation. All information will be treated in a confidential manner and your name will not be used in any publication arising out of this research.</w:t>
      </w:r>
    </w:p>
    <w:p>
      <w:pPr>
        <w:spacing w:line="235" w:lineRule="auto" w:before="166"/>
        <w:ind w:left="507" w:right="399" w:firstLine="0"/>
        <w:jc w:val="left"/>
        <w:rPr>
          <w:sz w:val="20"/>
        </w:rPr>
      </w:pPr>
      <w:r>
        <w:rPr>
          <w:color w:val="231F20"/>
          <w:sz w:val="20"/>
        </w:rPr>
        <w:t>Participation in the project is voluntary and participants in a focus group should be aware that other members of the focus group know who is participating and that their contribution to the focus group (even if they withdraw) will be known to the other focus group members.</w:t>
      </w:r>
    </w:p>
    <w:p>
      <w:pPr>
        <w:spacing w:line="235" w:lineRule="auto" w:before="167"/>
        <w:ind w:left="507" w:right="0" w:firstLine="0"/>
        <w:jc w:val="left"/>
        <w:rPr>
          <w:sz w:val="20"/>
        </w:rPr>
      </w:pPr>
      <w:r>
        <w:rPr>
          <w:color w:val="231F20"/>
          <w:sz w:val="20"/>
        </w:rPr>
        <w:t>All of the research will be kept secure in the researchers’ offices until the conclusion of the project. The information will then be securely archived in accordance with applicable laws and standards.</w:t>
      </w:r>
    </w:p>
    <w:p>
      <w:pPr>
        <w:spacing w:line="235" w:lineRule="auto" w:before="169"/>
        <w:ind w:left="507" w:right="510" w:firstLine="0"/>
        <w:jc w:val="left"/>
        <w:rPr>
          <w:sz w:val="20"/>
        </w:rPr>
      </w:pPr>
      <w:r>
        <w:rPr>
          <w:color w:val="231F20"/>
          <w:sz w:val="20"/>
        </w:rPr>
        <w:t>Participants can request to receive the executive summary of the final report and/or the final report subject to the approval of the sponsoring agency.</w:t>
      </w:r>
    </w:p>
    <w:p>
      <w:pPr>
        <w:pStyle w:val="BodyText"/>
        <w:spacing w:before="11"/>
      </w:pPr>
    </w:p>
    <w:p>
      <w:pPr>
        <w:pStyle w:val="ListParagraph"/>
        <w:numPr>
          <w:ilvl w:val="0"/>
          <w:numId w:val="4"/>
        </w:numPr>
        <w:tabs>
          <w:tab w:pos="495" w:val="left" w:leader="none"/>
        </w:tabs>
        <w:spacing w:line="240" w:lineRule="auto" w:before="0" w:after="0"/>
        <w:ind w:left="494" w:right="0" w:hanging="214"/>
        <w:jc w:val="left"/>
        <w:rPr>
          <w:rFonts w:ascii="Helvetica"/>
          <w:b/>
          <w:sz w:val="20"/>
        </w:rPr>
      </w:pPr>
      <w:r>
        <w:rPr>
          <w:rFonts w:ascii="Helvetica"/>
          <w:b/>
          <w:color w:val="231F20"/>
          <w:sz w:val="20"/>
        </w:rPr>
        <w:t>Are there any possible benefits from participating in this</w:t>
      </w:r>
      <w:r>
        <w:rPr>
          <w:rFonts w:ascii="Helvetica"/>
          <w:b/>
          <w:color w:val="231F20"/>
          <w:spacing w:val="-2"/>
          <w:sz w:val="20"/>
        </w:rPr>
        <w:t> </w:t>
      </w:r>
      <w:r>
        <w:rPr>
          <w:rFonts w:ascii="Helvetica"/>
          <w:b/>
          <w:color w:val="231F20"/>
          <w:sz w:val="20"/>
        </w:rPr>
        <w:t>study?</w:t>
      </w:r>
    </w:p>
    <w:p>
      <w:pPr>
        <w:spacing w:line="235" w:lineRule="auto" w:before="172"/>
        <w:ind w:left="507" w:right="523" w:firstLine="0"/>
        <w:jc w:val="left"/>
        <w:rPr>
          <w:sz w:val="20"/>
        </w:rPr>
      </w:pPr>
      <w:r>
        <w:rPr>
          <w:color w:val="231F20"/>
          <w:sz w:val="20"/>
        </w:rPr>
        <w:t>A report will be completed on this research and an executive summary of the key findings and/or the final report can be made available to you, as a participant, on request, subject to approval of Aboriginal </w:t>
      </w:r>
      <w:r>
        <w:rPr>
          <w:color w:val="231F20"/>
          <w:spacing w:val="-3"/>
          <w:sz w:val="20"/>
        </w:rPr>
        <w:t>Affairs. </w:t>
      </w:r>
      <w:r>
        <w:rPr>
          <w:color w:val="231F20"/>
          <w:sz w:val="20"/>
        </w:rPr>
        <w:t>The findings of this research may lead to the development of protocols or guidelines or recommendations for policies or procedures. If the findings of this small study are linked with a wider </w:t>
      </w:r>
      <w:r>
        <w:rPr>
          <w:color w:val="231F20"/>
          <w:spacing w:val="-4"/>
          <w:sz w:val="20"/>
        </w:rPr>
        <w:t>study, </w:t>
      </w:r>
      <w:r>
        <w:rPr>
          <w:color w:val="231F20"/>
          <w:sz w:val="20"/>
        </w:rPr>
        <w:t>the result may be valuable information for others which could increase the value of local decision making and how public servants work to support Aboriginal communities.</w:t>
      </w:r>
    </w:p>
    <w:p>
      <w:pPr>
        <w:pStyle w:val="BodyText"/>
        <w:spacing w:before="7"/>
      </w:pPr>
    </w:p>
    <w:p>
      <w:pPr>
        <w:pStyle w:val="ListParagraph"/>
        <w:numPr>
          <w:ilvl w:val="0"/>
          <w:numId w:val="4"/>
        </w:numPr>
        <w:tabs>
          <w:tab w:pos="495" w:val="left" w:leader="none"/>
        </w:tabs>
        <w:spacing w:line="240" w:lineRule="auto" w:before="0" w:after="0"/>
        <w:ind w:left="494" w:right="0" w:hanging="214"/>
        <w:jc w:val="left"/>
        <w:rPr>
          <w:rFonts w:ascii="Helvetica"/>
          <w:b/>
          <w:sz w:val="20"/>
        </w:rPr>
      </w:pPr>
      <w:r>
        <w:rPr>
          <w:rFonts w:ascii="Helvetica"/>
          <w:b/>
          <w:color w:val="231F20"/>
          <w:sz w:val="20"/>
        </w:rPr>
        <w:t>What if I have any questions about this</w:t>
      </w:r>
      <w:r>
        <w:rPr>
          <w:rFonts w:ascii="Helvetica"/>
          <w:b/>
          <w:color w:val="231F20"/>
          <w:spacing w:val="-2"/>
          <w:sz w:val="20"/>
        </w:rPr>
        <w:t> </w:t>
      </w:r>
      <w:r>
        <w:rPr>
          <w:rFonts w:ascii="Helvetica"/>
          <w:b/>
          <w:color w:val="231F20"/>
          <w:sz w:val="20"/>
        </w:rPr>
        <w:t>research?</w:t>
      </w:r>
    </w:p>
    <w:p>
      <w:pPr>
        <w:spacing w:before="168"/>
        <w:ind w:left="507" w:right="0" w:firstLine="0"/>
        <w:jc w:val="left"/>
        <w:rPr>
          <w:sz w:val="20"/>
        </w:rPr>
      </w:pPr>
      <w:r>
        <w:rPr>
          <w:color w:val="231F20"/>
          <w:sz w:val="20"/>
        </w:rPr>
        <w:t>If you would like to discuss any aspect of this study, please feel free to contact:</w:t>
      </w:r>
    </w:p>
    <w:p>
      <w:pPr>
        <w:spacing w:before="164"/>
        <w:ind w:left="507" w:right="0" w:firstLine="0"/>
        <w:jc w:val="left"/>
        <w:rPr>
          <w:sz w:val="20"/>
        </w:rPr>
      </w:pPr>
      <w:r>
        <w:rPr>
          <w:color w:val="231F20"/>
          <w:sz w:val="20"/>
        </w:rPr>
        <w:t>Sandra Heriot</w:t>
      </w:r>
    </w:p>
    <w:p>
      <w:pPr>
        <w:spacing w:line="400" w:lineRule="auto" w:before="164"/>
        <w:ind w:left="507" w:right="8149" w:firstLine="0"/>
        <w:jc w:val="left"/>
        <w:rPr>
          <w:sz w:val="20"/>
        </w:rPr>
      </w:pPr>
      <w:r>
        <w:rPr>
          <w:color w:val="231F20"/>
          <w:sz w:val="20"/>
        </w:rPr>
        <w:t>on &lt;phone number&gt; or</w:t>
      </w:r>
    </w:p>
    <w:p>
      <w:pPr>
        <w:spacing w:line="245" w:lineRule="exact" w:before="0"/>
        <w:ind w:left="507" w:right="0" w:firstLine="0"/>
        <w:jc w:val="left"/>
        <w:rPr>
          <w:sz w:val="20"/>
        </w:rPr>
      </w:pPr>
      <w:r>
        <w:rPr>
          <w:color w:val="231F20"/>
          <w:sz w:val="20"/>
        </w:rPr>
        <w:t>Laura Andrew</w:t>
      </w:r>
    </w:p>
    <w:p>
      <w:pPr>
        <w:spacing w:before="165"/>
        <w:ind w:left="507" w:right="0" w:firstLine="0"/>
        <w:jc w:val="left"/>
        <w:rPr>
          <w:sz w:val="20"/>
        </w:rPr>
      </w:pPr>
      <w:r>
        <w:rPr>
          <w:color w:val="231F20"/>
          <w:sz w:val="20"/>
        </w:rPr>
        <w:t>on &lt;phone number&gt;</w:t>
      </w:r>
    </w:p>
    <w:p>
      <w:pPr>
        <w:spacing w:line="235" w:lineRule="auto" w:before="168"/>
        <w:ind w:left="507" w:right="365" w:firstLine="0"/>
        <w:jc w:val="left"/>
        <w:rPr>
          <w:sz w:val="20"/>
        </w:rPr>
      </w:pPr>
      <w:r>
        <w:rPr>
          <w:color w:val="231F20"/>
          <w:sz w:val="20"/>
        </w:rPr>
        <w:t>We would be happy to discuss any aspect of the research with you. Once we have analysed the information we can email you a summary of our findings on request. You are welcome to contact us at that time to discuss any issue relating to the research study.</w:t>
      </w:r>
    </w:p>
    <w:p>
      <w:pPr>
        <w:spacing w:line="235" w:lineRule="auto" w:before="167"/>
        <w:ind w:left="507" w:right="934" w:firstLine="0"/>
        <w:jc w:val="left"/>
        <w:rPr>
          <w:sz w:val="20"/>
        </w:rPr>
      </w:pPr>
      <w:r>
        <w:rPr>
          <w:color w:val="231F20"/>
          <w:sz w:val="20"/>
        </w:rPr>
        <w:t>The ethical aspects of this research have been approved by the ANZSOG Human Research Ethics Committee (HREC).</w:t>
      </w:r>
    </w:p>
    <w:p>
      <w:pPr>
        <w:spacing w:line="235" w:lineRule="auto" w:before="168"/>
        <w:ind w:left="507" w:right="450" w:firstLine="0"/>
        <w:jc w:val="left"/>
        <w:rPr>
          <w:sz w:val="20"/>
        </w:rPr>
      </w:pPr>
      <w:r>
        <w:rPr>
          <w:color w:val="231F20"/>
          <w:sz w:val="20"/>
        </w:rPr>
        <w:t>If you have any concerns or complaints about the conduct of this study, you should contact the ANZSOG HREC at the following:</w:t>
      </w:r>
    </w:p>
    <w:p>
      <w:pPr>
        <w:spacing w:line="400" w:lineRule="auto" w:before="165"/>
        <w:ind w:left="507" w:right="4346" w:firstLine="0"/>
        <w:jc w:val="left"/>
        <w:rPr>
          <w:sz w:val="20"/>
        </w:rPr>
      </w:pPr>
      <w:r>
        <w:rPr>
          <w:color w:val="231F20"/>
          <w:sz w:val="20"/>
        </w:rPr>
        <w:t>The Secretary - Samantha Hicks, Manager Programs, ANZSOG HREC</w:t>
      </w:r>
    </w:p>
    <w:p>
      <w:pPr>
        <w:spacing w:line="400" w:lineRule="auto" w:before="0"/>
        <w:ind w:left="507" w:right="8935" w:firstLine="0"/>
        <w:jc w:val="left"/>
        <w:rPr>
          <w:sz w:val="20"/>
        </w:rPr>
      </w:pPr>
      <w:r>
        <w:rPr>
          <w:color w:val="231F20"/>
          <w:sz w:val="20"/>
        </w:rPr>
        <w:t>ANZSOG PO Box 230</w:t>
      </w:r>
    </w:p>
    <w:p>
      <w:pPr>
        <w:spacing w:line="245" w:lineRule="exact" w:before="0"/>
        <w:ind w:left="507" w:right="0" w:firstLine="0"/>
        <w:jc w:val="left"/>
        <w:rPr>
          <w:sz w:val="20"/>
        </w:rPr>
      </w:pPr>
      <w:r>
        <w:rPr>
          <w:color w:val="231F20"/>
          <w:sz w:val="20"/>
        </w:rPr>
        <w:t>Carlton VIC 3053</w:t>
      </w:r>
    </w:p>
    <w:p>
      <w:pPr>
        <w:spacing w:after="0" w:line="245" w:lineRule="exact"/>
        <w:jc w:val="left"/>
        <w:rPr>
          <w:sz w:val="20"/>
        </w:rPr>
        <w:sectPr>
          <w:pgSz w:w="11910" w:h="16840"/>
          <w:pgMar w:header="0" w:footer="558" w:top="1600" w:bottom="740" w:left="740" w:right="640"/>
        </w:sectPr>
      </w:pPr>
    </w:p>
    <w:p>
      <w:pPr>
        <w:pStyle w:val="BodyText"/>
        <w:rPr>
          <w:sz w:val="20"/>
        </w:rPr>
      </w:pPr>
    </w:p>
    <w:p>
      <w:pPr>
        <w:pStyle w:val="BodyText"/>
        <w:rPr>
          <w:sz w:val="20"/>
        </w:rPr>
      </w:pPr>
    </w:p>
    <w:p>
      <w:pPr>
        <w:pStyle w:val="BodyText"/>
        <w:rPr>
          <w:sz w:val="20"/>
        </w:rPr>
      </w:pPr>
    </w:p>
    <w:p>
      <w:pPr>
        <w:pStyle w:val="BodyText"/>
        <w:spacing w:before="10"/>
        <w:rPr>
          <w:sz w:val="21"/>
        </w:rPr>
      </w:pPr>
    </w:p>
    <w:p>
      <w:pPr>
        <w:tabs>
          <w:tab w:pos="1363" w:val="left" w:leader="none"/>
        </w:tabs>
        <w:spacing w:line="400" w:lineRule="auto" w:before="100"/>
        <w:ind w:left="507" w:right="6210" w:firstLine="0"/>
        <w:jc w:val="left"/>
        <w:rPr>
          <w:sz w:val="20"/>
        </w:rPr>
      </w:pPr>
      <w:r>
        <w:rPr>
          <w:color w:val="231F20"/>
          <w:sz w:val="20"/>
        </w:rPr>
        <w:t>Email</w:t>
        <w:tab/>
      </w:r>
      <w:hyperlink r:id="rId62">
        <w:r>
          <w:rPr>
            <w:color w:val="205E9E"/>
            <w:sz w:val="20"/>
            <w:u w:val="single" w:color="205E9E"/>
          </w:rPr>
          <w:t>HRECsecretary@anzsog.edu.au</w:t>
        </w:r>
      </w:hyperlink>
      <w:r>
        <w:rPr>
          <w:color w:val="205E9E"/>
          <w:sz w:val="20"/>
        </w:rPr>
        <w:t> </w:t>
      </w:r>
      <w:r>
        <w:rPr>
          <w:color w:val="231F20"/>
          <w:spacing w:val="-8"/>
          <w:sz w:val="20"/>
        </w:rPr>
        <w:t>Tel</w:t>
        <w:tab/>
      </w:r>
      <w:r>
        <w:rPr>
          <w:color w:val="231F20"/>
          <w:sz w:val="20"/>
        </w:rPr>
        <w:t>&lt;phone number&gt;</w:t>
      </w:r>
    </w:p>
    <w:p>
      <w:pPr>
        <w:tabs>
          <w:tab w:pos="1385" w:val="left" w:leader="none"/>
        </w:tabs>
        <w:spacing w:line="245" w:lineRule="exact" w:before="0"/>
        <w:ind w:left="507" w:right="0" w:firstLine="0"/>
        <w:jc w:val="left"/>
        <w:rPr>
          <w:sz w:val="20"/>
        </w:rPr>
      </w:pPr>
      <w:r>
        <w:rPr>
          <w:color w:val="231F20"/>
          <w:sz w:val="20"/>
        </w:rPr>
        <w:t>Fax</w:t>
        <w:tab/>
        <w:t>&lt;fax number&gt;</w:t>
      </w:r>
    </w:p>
    <w:p>
      <w:pPr>
        <w:spacing w:line="235" w:lineRule="auto" w:before="168"/>
        <w:ind w:left="507" w:right="450" w:firstLine="0"/>
        <w:jc w:val="left"/>
        <w:rPr>
          <w:sz w:val="20"/>
        </w:rPr>
      </w:pPr>
      <w:r>
        <w:rPr>
          <w:color w:val="231F20"/>
          <w:sz w:val="20"/>
        </w:rPr>
        <w:t>The Secretary is the person nominated to receive complaints from research participants. You will need to quote ANZSOG </w:t>
      </w:r>
      <w:r>
        <w:rPr>
          <w:rFonts w:ascii="Helvetica-LightOblique"/>
          <w:i/>
          <w:color w:val="231F20"/>
          <w:sz w:val="20"/>
        </w:rPr>
        <w:t>Work-based Project</w:t>
      </w:r>
      <w:r>
        <w:rPr>
          <w:color w:val="231F20"/>
          <w:sz w:val="20"/>
        </w:rPr>
        <w:t>, WBP14 Team 7, research.</w:t>
      </w:r>
    </w:p>
    <w:p>
      <w:pPr>
        <w:spacing w:line="235" w:lineRule="auto" w:before="164"/>
        <w:ind w:left="507" w:right="0" w:firstLine="0"/>
        <w:jc w:val="left"/>
        <w:rPr>
          <w:sz w:val="20"/>
        </w:rPr>
      </w:pPr>
      <w:r>
        <w:rPr>
          <w:color w:val="231F20"/>
          <w:sz w:val="20"/>
        </w:rPr>
        <w:t>Thank you for taking the time to consider this study. If you wish to take part in it, please sign the attached consent form. This Explanatory Statement is for you to keep.</w:t>
      </w:r>
    </w:p>
    <w:p>
      <w:pPr>
        <w:spacing w:after="0" w:line="235" w:lineRule="auto"/>
        <w:jc w:val="left"/>
        <w:rPr>
          <w:sz w:val="20"/>
        </w:rPr>
        <w:sectPr>
          <w:pgSz w:w="11910" w:h="16840"/>
          <w:pgMar w:header="0" w:footer="558" w:top="1600" w:bottom="740" w:left="740" w:right="640"/>
        </w:sect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Heading2"/>
        <w:spacing w:before="56"/>
      </w:pPr>
      <w:r>
        <w:rPr>
          <w:color w:val="358384"/>
        </w:rPr>
        <w:t>Appendix II: Consent Form – Interviewees</w:t>
      </w:r>
    </w:p>
    <w:p>
      <w:pPr>
        <w:spacing w:before="159"/>
        <w:ind w:left="280" w:right="0" w:firstLine="0"/>
        <w:jc w:val="left"/>
        <w:rPr>
          <w:sz w:val="20"/>
        </w:rPr>
      </w:pPr>
      <w:r>
        <w:rPr>
          <w:rFonts w:ascii="Helvetica"/>
          <w:b/>
          <w:color w:val="231F20"/>
          <w:sz w:val="20"/>
        </w:rPr>
        <w:t>Project title: </w:t>
      </w:r>
      <w:r>
        <w:rPr>
          <w:color w:val="231F20"/>
          <w:sz w:val="20"/>
        </w:rPr>
        <w:t>Rhetoric to reality: Devolving decision making to Aboriginal communities.</w:t>
      </w:r>
    </w:p>
    <w:p>
      <w:pPr>
        <w:spacing w:line="235" w:lineRule="auto" w:before="168"/>
        <w:ind w:left="507" w:right="732" w:firstLine="0"/>
        <w:jc w:val="left"/>
        <w:rPr>
          <w:sz w:val="20"/>
        </w:rPr>
      </w:pPr>
      <w:r>
        <w:rPr>
          <w:color w:val="231F20"/>
          <w:sz w:val="20"/>
        </w:rPr>
        <w:t>This consent form is for participants who agree to participate in interviews as part of the above research project. It is to be read with the attached Explanatory Statement.</w:t>
      </w:r>
    </w:p>
    <w:p>
      <w:pPr>
        <w:pStyle w:val="BodyText"/>
        <w:spacing w:before="11"/>
      </w:pPr>
    </w:p>
    <w:p>
      <w:pPr>
        <w:spacing w:before="0"/>
        <w:ind w:left="280" w:right="0" w:firstLine="0"/>
        <w:jc w:val="left"/>
        <w:rPr>
          <w:rFonts w:ascii="Helvetica" w:hAnsi="Helvetica"/>
          <w:b/>
          <w:sz w:val="20"/>
        </w:rPr>
      </w:pPr>
      <w:r>
        <w:rPr>
          <w:rFonts w:ascii="Helvetica" w:hAnsi="Helvetica"/>
          <w:b/>
          <w:color w:val="231F20"/>
          <w:sz w:val="20"/>
        </w:rPr>
        <w:t>Researcher’s statement</w:t>
      </w:r>
    </w:p>
    <w:p>
      <w:pPr>
        <w:spacing w:line="232" w:lineRule="auto" w:before="173"/>
        <w:ind w:left="507" w:right="450" w:firstLine="0"/>
        <w:jc w:val="left"/>
        <w:rPr>
          <w:sz w:val="20"/>
        </w:rPr>
      </w:pPr>
      <w:r>
        <w:rPr>
          <w:color w:val="231F20"/>
          <w:sz w:val="20"/>
        </w:rPr>
        <w:t>The work-based project is part of the core curriculum of the </w:t>
      </w:r>
      <w:r>
        <w:rPr>
          <w:rFonts w:ascii="Helvetica-LightOblique"/>
          <w:i/>
          <w:color w:val="231F20"/>
          <w:sz w:val="20"/>
        </w:rPr>
        <w:t>Executive Masters of Public Administration </w:t>
      </w:r>
      <w:r>
        <w:rPr>
          <w:color w:val="231F20"/>
          <w:sz w:val="20"/>
        </w:rPr>
        <w:t>(EMPA) of the Australian and New Zealand School of Government (ANZSOG). This project will explore how the NSW public service can support devolved decision making in Aboriginal communities. It is sponsored by Aboriginal Affairs NSW and could be used by the agency to inform the development of policy options in this area in the future. The project is detailed further in the Explanatory Statement.</w:t>
      </w:r>
    </w:p>
    <w:p>
      <w:pPr>
        <w:spacing w:line="235" w:lineRule="auto" w:before="172"/>
        <w:ind w:left="507" w:right="333" w:firstLine="0"/>
        <w:jc w:val="left"/>
        <w:rPr>
          <w:sz w:val="20"/>
        </w:rPr>
      </w:pPr>
      <w:r>
        <w:rPr>
          <w:color w:val="231F20"/>
          <w:sz w:val="20"/>
        </w:rPr>
        <w:t>We are asking you to participate in an interview to help us better understand structures and ways of thinking in the NSW public service that might help to support devolved decision making in Aboriginal communities.</w:t>
      </w:r>
    </w:p>
    <w:p>
      <w:pPr>
        <w:spacing w:line="235" w:lineRule="auto" w:before="168"/>
        <w:ind w:left="507" w:right="1143" w:firstLine="0"/>
        <w:jc w:val="left"/>
        <w:rPr>
          <w:sz w:val="20"/>
        </w:rPr>
      </w:pPr>
      <w:r>
        <w:rPr>
          <w:color w:val="231F20"/>
          <w:sz w:val="20"/>
        </w:rPr>
        <w:t>The interviews will be conducted between the period of June 2016 to September 2016 and will take approximately one to two hour/s to complete.</w:t>
      </w:r>
    </w:p>
    <w:p>
      <w:pPr>
        <w:spacing w:before="164"/>
        <w:ind w:left="507" w:right="0" w:firstLine="0"/>
        <w:jc w:val="left"/>
        <w:rPr>
          <w:sz w:val="20"/>
        </w:rPr>
      </w:pPr>
      <w:r>
        <w:rPr>
          <w:color w:val="231F20"/>
          <w:sz w:val="20"/>
        </w:rPr>
        <w:t>The interview is for the purpose of this project only.</w:t>
      </w:r>
    </w:p>
    <w:p>
      <w:pPr>
        <w:spacing w:before="165"/>
        <w:ind w:left="507" w:right="0" w:firstLine="0"/>
        <w:jc w:val="left"/>
        <w:rPr>
          <w:sz w:val="20"/>
        </w:rPr>
      </w:pPr>
      <w:r>
        <w:rPr>
          <w:color w:val="231F20"/>
          <w:sz w:val="20"/>
        </w:rPr>
        <w:t>The information you provide in your interview (and in the final report) will be strictly confidential.</w:t>
      </w:r>
    </w:p>
    <w:p>
      <w:pPr>
        <w:pStyle w:val="BodyText"/>
        <w:spacing w:before="11"/>
      </w:pPr>
    </w:p>
    <w:p>
      <w:pPr>
        <w:spacing w:before="0"/>
        <w:ind w:left="280" w:right="0" w:firstLine="0"/>
        <w:jc w:val="left"/>
        <w:rPr>
          <w:rFonts w:ascii="Helvetica"/>
          <w:b/>
          <w:sz w:val="20"/>
        </w:rPr>
      </w:pPr>
      <w:r>
        <w:rPr>
          <w:rFonts w:ascii="Helvetica"/>
          <w:b/>
          <w:color w:val="231F20"/>
          <w:sz w:val="20"/>
        </w:rPr>
        <w:t>Interviewee statement</w:t>
      </w:r>
    </w:p>
    <w:p>
      <w:pPr>
        <w:spacing w:line="235" w:lineRule="auto" w:before="171"/>
        <w:ind w:left="507" w:right="555" w:firstLine="0"/>
        <w:jc w:val="left"/>
        <w:rPr>
          <w:sz w:val="20"/>
        </w:rPr>
      </w:pPr>
      <w:r>
        <w:rPr>
          <w:color w:val="231F20"/>
          <w:sz w:val="20"/>
        </w:rPr>
        <w:t>I hereby consent to participate in an interview on ways to support devolving decision making in Aboriginal communities. I have read the Explanatory Statement on the nature of the project and the interview arrangements.</w:t>
      </w:r>
    </w:p>
    <w:p>
      <w:pPr>
        <w:spacing w:before="164"/>
        <w:ind w:left="507" w:right="0" w:firstLine="0"/>
        <w:jc w:val="left"/>
        <w:rPr>
          <w:sz w:val="20"/>
        </w:rPr>
      </w:pPr>
      <w:r>
        <w:rPr>
          <w:color w:val="231F20"/>
          <w:sz w:val="20"/>
        </w:rPr>
        <w:t>In providing my consent, I note that:</w:t>
      </w:r>
    </w:p>
    <w:p>
      <w:pPr>
        <w:pStyle w:val="ListParagraph"/>
        <w:numPr>
          <w:ilvl w:val="1"/>
          <w:numId w:val="4"/>
        </w:numPr>
        <w:tabs>
          <w:tab w:pos="932" w:val="left" w:leader="none"/>
        </w:tabs>
        <w:spacing w:line="243" w:lineRule="exact" w:before="164" w:after="0"/>
        <w:ind w:left="960" w:right="0" w:hanging="340"/>
        <w:jc w:val="left"/>
        <w:rPr>
          <w:sz w:val="20"/>
        </w:rPr>
      </w:pPr>
      <w:r>
        <w:rPr>
          <w:color w:val="231F20"/>
          <w:sz w:val="20"/>
        </w:rPr>
        <w:t>I have read the project Explanatory</w:t>
      </w:r>
      <w:r>
        <w:rPr>
          <w:color w:val="231F20"/>
          <w:spacing w:val="-1"/>
          <w:sz w:val="20"/>
        </w:rPr>
        <w:t> </w:t>
      </w:r>
      <w:r>
        <w:rPr>
          <w:color w:val="231F20"/>
          <w:sz w:val="20"/>
        </w:rPr>
        <w:t>Statement.</w:t>
      </w:r>
    </w:p>
    <w:p>
      <w:pPr>
        <w:pStyle w:val="ListParagraph"/>
        <w:numPr>
          <w:ilvl w:val="1"/>
          <w:numId w:val="4"/>
        </w:numPr>
        <w:tabs>
          <w:tab w:pos="932" w:val="left" w:leader="none"/>
        </w:tabs>
        <w:spacing w:line="240" w:lineRule="exact" w:before="0" w:after="0"/>
        <w:ind w:left="960" w:right="0" w:hanging="340"/>
        <w:jc w:val="left"/>
        <w:rPr>
          <w:sz w:val="20"/>
        </w:rPr>
      </w:pPr>
      <w:r>
        <w:rPr>
          <w:color w:val="231F20"/>
          <w:sz w:val="20"/>
        </w:rPr>
        <w:t>I understand that the interview is for the purposes of this research project</w:t>
      </w:r>
      <w:r>
        <w:rPr>
          <w:color w:val="231F20"/>
          <w:spacing w:val="-3"/>
          <w:sz w:val="20"/>
        </w:rPr>
        <w:t> </w:t>
      </w:r>
      <w:r>
        <w:rPr>
          <w:color w:val="231F20"/>
          <w:spacing w:val="-4"/>
          <w:sz w:val="20"/>
        </w:rPr>
        <w:t>only.</w:t>
      </w:r>
    </w:p>
    <w:p>
      <w:pPr>
        <w:pStyle w:val="ListParagraph"/>
        <w:numPr>
          <w:ilvl w:val="1"/>
          <w:numId w:val="4"/>
        </w:numPr>
        <w:tabs>
          <w:tab w:pos="932" w:val="left" w:leader="none"/>
        </w:tabs>
        <w:spacing w:line="240" w:lineRule="exact" w:before="0" w:after="0"/>
        <w:ind w:left="960" w:right="0" w:hanging="340"/>
        <w:jc w:val="left"/>
        <w:rPr>
          <w:sz w:val="20"/>
        </w:rPr>
      </w:pPr>
      <w:r>
        <w:rPr>
          <w:color w:val="231F20"/>
          <w:sz w:val="20"/>
        </w:rPr>
        <w:t>Participation is voluntary and that I can withdraw at any time and for any reason.</w:t>
      </w:r>
    </w:p>
    <w:p>
      <w:pPr>
        <w:pStyle w:val="ListParagraph"/>
        <w:numPr>
          <w:ilvl w:val="1"/>
          <w:numId w:val="4"/>
        </w:numPr>
        <w:tabs>
          <w:tab w:pos="932" w:val="left" w:leader="none"/>
        </w:tabs>
        <w:spacing w:line="235" w:lineRule="auto" w:before="1" w:after="0"/>
        <w:ind w:left="960" w:right="624" w:hanging="340"/>
        <w:jc w:val="left"/>
        <w:rPr>
          <w:sz w:val="20"/>
        </w:rPr>
      </w:pPr>
      <w:r>
        <w:rPr>
          <w:color w:val="231F20"/>
          <w:sz w:val="20"/>
        </w:rPr>
        <w:t>The interview will be conducted at a workplace or another mutually agreed location, or even over </w:t>
      </w:r>
      <w:r>
        <w:rPr>
          <w:color w:val="231F20"/>
          <w:spacing w:val="-6"/>
          <w:sz w:val="20"/>
        </w:rPr>
        <w:t>the </w:t>
      </w:r>
      <w:r>
        <w:rPr>
          <w:color w:val="231F20"/>
          <w:sz w:val="20"/>
        </w:rPr>
        <w:t>telephone.</w:t>
      </w:r>
    </w:p>
    <w:p>
      <w:pPr>
        <w:pStyle w:val="ListParagraph"/>
        <w:numPr>
          <w:ilvl w:val="1"/>
          <w:numId w:val="4"/>
        </w:numPr>
        <w:tabs>
          <w:tab w:pos="932" w:val="left" w:leader="none"/>
        </w:tabs>
        <w:spacing w:line="235" w:lineRule="auto" w:before="0" w:after="0"/>
        <w:ind w:left="960" w:right="603" w:hanging="340"/>
        <w:jc w:val="left"/>
        <w:rPr>
          <w:sz w:val="20"/>
        </w:rPr>
      </w:pPr>
      <w:r>
        <w:rPr>
          <w:color w:val="231F20"/>
          <w:sz w:val="20"/>
        </w:rPr>
        <w:t>The interview may be audio-taped to assist the project team with note taking. The audio-tapes will </w:t>
      </w:r>
      <w:r>
        <w:rPr>
          <w:color w:val="231F20"/>
          <w:spacing w:val="-8"/>
          <w:sz w:val="20"/>
        </w:rPr>
        <w:t>be </w:t>
      </w:r>
      <w:r>
        <w:rPr>
          <w:color w:val="231F20"/>
          <w:sz w:val="20"/>
        </w:rPr>
        <w:t>destroyed once research is completed. Should a recording be made, a copy may be provided on request, at the discretion of the research team, together with the interview</w:t>
      </w:r>
      <w:r>
        <w:rPr>
          <w:color w:val="231F20"/>
          <w:spacing w:val="-5"/>
          <w:sz w:val="20"/>
        </w:rPr>
        <w:t> </w:t>
      </w:r>
      <w:r>
        <w:rPr>
          <w:color w:val="231F20"/>
          <w:sz w:val="20"/>
        </w:rPr>
        <w:t>notes.</w:t>
      </w:r>
    </w:p>
    <w:p>
      <w:pPr>
        <w:pStyle w:val="ListParagraph"/>
        <w:numPr>
          <w:ilvl w:val="1"/>
          <w:numId w:val="4"/>
        </w:numPr>
        <w:tabs>
          <w:tab w:pos="932" w:val="left" w:leader="none"/>
        </w:tabs>
        <w:spacing w:line="235" w:lineRule="auto" w:before="0" w:after="0"/>
        <w:ind w:left="960" w:right="461" w:hanging="340"/>
        <w:jc w:val="left"/>
        <w:rPr>
          <w:sz w:val="20"/>
        </w:rPr>
      </w:pPr>
      <w:r>
        <w:rPr>
          <w:color w:val="231F20"/>
          <w:sz w:val="20"/>
        </w:rPr>
        <w:t>Subject to the approval of the sponsoring organisation, I may be provided with a copy of the</w:t>
      </w:r>
      <w:r>
        <w:rPr>
          <w:color w:val="231F20"/>
          <w:spacing w:val="-23"/>
          <w:sz w:val="20"/>
        </w:rPr>
        <w:t> </w:t>
      </w:r>
      <w:r>
        <w:rPr>
          <w:color w:val="231F20"/>
          <w:sz w:val="20"/>
        </w:rPr>
        <w:t>executive summary and/or final report.</w:t>
      </w:r>
    </w:p>
    <w:p>
      <w:pPr>
        <w:pStyle w:val="ListParagraph"/>
        <w:numPr>
          <w:ilvl w:val="1"/>
          <w:numId w:val="4"/>
        </w:numPr>
        <w:tabs>
          <w:tab w:pos="932" w:val="left" w:leader="none"/>
        </w:tabs>
        <w:spacing w:line="235" w:lineRule="auto" w:before="0" w:after="0"/>
        <w:ind w:left="960" w:right="337" w:hanging="340"/>
        <w:jc w:val="left"/>
        <w:rPr>
          <w:sz w:val="20"/>
        </w:rPr>
      </w:pPr>
      <w:r>
        <w:rPr>
          <w:color w:val="231F20"/>
          <w:sz w:val="20"/>
        </w:rPr>
        <w:t>The research team member/s will periodically ask me to confirm during the interview that my statements have been accurately understood and</w:t>
      </w:r>
      <w:r>
        <w:rPr>
          <w:color w:val="231F20"/>
          <w:spacing w:val="-1"/>
          <w:sz w:val="20"/>
        </w:rPr>
        <w:t> </w:t>
      </w:r>
      <w:r>
        <w:rPr>
          <w:color w:val="231F20"/>
          <w:sz w:val="20"/>
        </w:rPr>
        <w:t>interpreted.</w:t>
      </w:r>
    </w:p>
    <w:p>
      <w:pPr>
        <w:pStyle w:val="ListParagraph"/>
        <w:numPr>
          <w:ilvl w:val="1"/>
          <w:numId w:val="4"/>
        </w:numPr>
        <w:tabs>
          <w:tab w:pos="932" w:val="left" w:leader="none"/>
        </w:tabs>
        <w:spacing w:line="235" w:lineRule="auto" w:before="0" w:after="0"/>
        <w:ind w:left="960" w:right="1024" w:hanging="340"/>
        <w:jc w:val="left"/>
        <w:rPr>
          <w:sz w:val="20"/>
        </w:rPr>
      </w:pPr>
      <w:r>
        <w:rPr>
          <w:color w:val="231F20"/>
          <w:sz w:val="20"/>
        </w:rPr>
        <w:t>The research team member/s will take notes and I can request to be provided with a copy of </w:t>
      </w:r>
      <w:r>
        <w:rPr>
          <w:color w:val="231F20"/>
          <w:spacing w:val="-5"/>
          <w:sz w:val="20"/>
        </w:rPr>
        <w:t>the </w:t>
      </w:r>
      <w:r>
        <w:rPr>
          <w:color w:val="231F20"/>
          <w:sz w:val="20"/>
        </w:rPr>
        <w:t>interview notes and have an opportunity to review and confirm these.</w:t>
      </w:r>
    </w:p>
    <w:p>
      <w:pPr>
        <w:pStyle w:val="ListParagraph"/>
        <w:numPr>
          <w:ilvl w:val="1"/>
          <w:numId w:val="4"/>
        </w:numPr>
        <w:tabs>
          <w:tab w:pos="932" w:val="left" w:leader="none"/>
        </w:tabs>
        <w:spacing w:line="237" w:lineRule="exact" w:before="0" w:after="0"/>
        <w:ind w:left="931" w:right="0" w:hanging="311"/>
        <w:jc w:val="left"/>
        <w:rPr>
          <w:sz w:val="20"/>
        </w:rPr>
      </w:pPr>
      <w:r>
        <w:rPr>
          <w:color w:val="231F20"/>
          <w:sz w:val="20"/>
        </w:rPr>
        <w:t>I agree, and have the authority to agree, to my organisation being identified in the report:</w:t>
      </w:r>
      <w:r>
        <w:rPr>
          <w:color w:val="231F20"/>
          <w:spacing w:val="-5"/>
          <w:sz w:val="20"/>
        </w:rPr>
        <w:t> </w:t>
      </w:r>
      <w:r>
        <w:rPr>
          <w:color w:val="231F20"/>
          <w:sz w:val="20"/>
        </w:rPr>
        <w:t>YES/NO</w:t>
      </w:r>
    </w:p>
    <w:p>
      <w:pPr>
        <w:pStyle w:val="ListParagraph"/>
        <w:numPr>
          <w:ilvl w:val="1"/>
          <w:numId w:val="4"/>
        </w:numPr>
        <w:tabs>
          <w:tab w:pos="932" w:val="left" w:leader="none"/>
        </w:tabs>
        <w:spacing w:line="235" w:lineRule="auto" w:before="0" w:after="0"/>
        <w:ind w:left="960" w:right="1095" w:hanging="340"/>
        <w:jc w:val="left"/>
        <w:rPr>
          <w:sz w:val="20"/>
        </w:rPr>
      </w:pPr>
      <w:r>
        <w:rPr>
          <w:color w:val="231F20"/>
          <w:sz w:val="20"/>
        </w:rPr>
        <w:t>These arrangements have been approved by the ANZSOG Human Research Ethics</w:t>
      </w:r>
      <w:r>
        <w:rPr>
          <w:color w:val="231F20"/>
          <w:spacing w:val="-22"/>
          <w:sz w:val="20"/>
        </w:rPr>
        <w:t> </w:t>
      </w:r>
      <w:r>
        <w:rPr>
          <w:color w:val="231F20"/>
          <w:sz w:val="20"/>
        </w:rPr>
        <w:t>Committee (HREC).</w:t>
      </w:r>
    </w:p>
    <w:p>
      <w:pPr>
        <w:tabs>
          <w:tab w:pos="5929" w:val="left" w:leader="none"/>
        </w:tabs>
        <w:spacing w:before="101"/>
        <w:ind w:left="562" w:right="0" w:firstLine="0"/>
        <w:jc w:val="left"/>
        <w:rPr>
          <w:rFonts w:ascii="Helvetica-LightOblique"/>
          <w:i/>
          <w:sz w:val="20"/>
        </w:rPr>
      </w:pPr>
      <w:r>
        <w:rPr>
          <w:color w:val="231F20"/>
          <w:sz w:val="20"/>
        </w:rPr>
        <w:t>I,</w:t>
      </w:r>
      <w:r>
        <w:rPr>
          <w:color w:val="231F20"/>
          <w:sz w:val="20"/>
          <w:u w:val="single" w:color="221E1F"/>
        </w:rPr>
        <w:t> </w:t>
        <w:tab/>
      </w:r>
      <w:r>
        <w:rPr>
          <w:rFonts w:ascii="Helvetica-LightOblique"/>
          <w:i/>
          <w:color w:val="231F20"/>
          <w:sz w:val="20"/>
        </w:rPr>
        <w:t>please print your full name</w:t>
      </w:r>
    </w:p>
    <w:p>
      <w:pPr>
        <w:tabs>
          <w:tab w:pos="5829" w:val="left" w:leader="none"/>
        </w:tabs>
        <w:spacing w:line="338" w:lineRule="auto" w:before="103"/>
        <w:ind w:left="507" w:right="570" w:firstLine="0"/>
        <w:jc w:val="left"/>
        <w:rPr>
          <w:rFonts w:ascii="Helvetica-LightOblique"/>
          <w:i/>
          <w:sz w:val="20"/>
        </w:rPr>
      </w:pPr>
      <w:r>
        <w:rPr>
          <w:rFonts w:ascii="Helvetica-LightOblique"/>
          <w:i/>
          <w:color w:val="231F20"/>
          <w:sz w:val="20"/>
        </w:rPr>
        <w:t>of</w:t>
      </w:r>
      <w:r>
        <w:rPr>
          <w:rFonts w:ascii="Helvetica-LightOblique"/>
          <w:i/>
          <w:color w:val="231F20"/>
          <w:sz w:val="20"/>
          <w:u w:val="single" w:color="221E1F"/>
        </w:rPr>
        <w:t> </w:t>
        <w:tab/>
      </w:r>
      <w:r>
        <w:rPr>
          <w:rFonts w:ascii="Helvetica-LightOblique"/>
          <w:i/>
          <w:color w:val="231F20"/>
          <w:sz w:val="20"/>
        </w:rPr>
        <w:t>please identify your position title/ </w:t>
      </w:r>
      <w:r>
        <w:rPr>
          <w:rFonts w:ascii="Helvetica-LightOblique"/>
          <w:i/>
          <w:color w:val="231F20"/>
          <w:spacing w:val="-2"/>
          <w:sz w:val="20"/>
        </w:rPr>
        <w:t>organisation </w:t>
      </w:r>
      <w:r>
        <w:rPr>
          <w:rFonts w:ascii="Helvetica-LightOblique"/>
          <w:i/>
          <w:color w:val="231F20"/>
          <w:sz w:val="20"/>
        </w:rPr>
        <w:t>consent to participating in an interview to assist with the Work-based</w:t>
      </w:r>
      <w:r>
        <w:rPr>
          <w:rFonts w:ascii="Helvetica-LightOblique"/>
          <w:i/>
          <w:color w:val="231F20"/>
          <w:spacing w:val="-1"/>
          <w:sz w:val="20"/>
        </w:rPr>
        <w:t> </w:t>
      </w:r>
      <w:r>
        <w:rPr>
          <w:rFonts w:ascii="Helvetica-LightOblique"/>
          <w:i/>
          <w:color w:val="231F20"/>
          <w:sz w:val="20"/>
        </w:rPr>
        <w:t>Project</w:t>
      </w:r>
    </w:p>
    <w:p>
      <w:pPr>
        <w:tabs>
          <w:tab w:pos="5951" w:val="left" w:leader="none"/>
          <w:tab w:pos="6796" w:val="left" w:leader="none"/>
          <w:tab w:pos="7185" w:val="left" w:leader="none"/>
        </w:tabs>
        <w:spacing w:before="1"/>
        <w:ind w:left="507" w:right="0" w:firstLine="0"/>
        <w:jc w:val="left"/>
        <w:rPr>
          <w:sz w:val="20"/>
        </w:rPr>
      </w:pPr>
      <w:r>
        <w:rPr>
          <w:color w:val="231F20"/>
          <w:sz w:val="20"/>
        </w:rPr>
        <w:t>Signed</w:t>
      </w:r>
      <w:r>
        <w:rPr>
          <w:color w:val="231F20"/>
          <w:sz w:val="20"/>
          <w:u w:val="single" w:color="221E1F"/>
        </w:rPr>
        <w:t> </w:t>
        <w:tab/>
      </w:r>
      <w:r>
        <w:rPr>
          <w:color w:val="231F20"/>
          <w:sz w:val="20"/>
        </w:rPr>
        <w:t>date</w:t>
        <w:tab/>
        <w:t>/</w:t>
        <w:tab/>
        <w:t>/2016</w:t>
      </w:r>
    </w:p>
    <w:p>
      <w:pPr>
        <w:spacing w:after="0"/>
        <w:jc w:val="left"/>
        <w:rPr>
          <w:sz w:val="20"/>
        </w:rPr>
        <w:sectPr>
          <w:pgSz w:w="11910" w:h="16840"/>
          <w:pgMar w:header="0" w:footer="558" w:top="1600" w:bottom="740" w:left="740" w:right="640"/>
        </w:sect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Heading2"/>
        <w:spacing w:before="56"/>
      </w:pPr>
      <w:r>
        <w:rPr>
          <w:color w:val="358384"/>
        </w:rPr>
        <w:t>Appendix III: Consent Form – Focus Groups</w:t>
      </w:r>
    </w:p>
    <w:p>
      <w:pPr>
        <w:spacing w:before="159"/>
        <w:ind w:left="280" w:right="0" w:firstLine="0"/>
        <w:jc w:val="left"/>
        <w:rPr>
          <w:sz w:val="20"/>
        </w:rPr>
      </w:pPr>
      <w:r>
        <w:rPr>
          <w:rFonts w:ascii="Helvetica"/>
          <w:b/>
          <w:color w:val="231F20"/>
          <w:sz w:val="20"/>
        </w:rPr>
        <w:t>Project title: </w:t>
      </w:r>
      <w:r>
        <w:rPr>
          <w:color w:val="231F20"/>
          <w:sz w:val="20"/>
        </w:rPr>
        <w:t>Rhetoric to reality: Devolving decision making to Aboriginal communities.</w:t>
      </w:r>
    </w:p>
    <w:p>
      <w:pPr>
        <w:spacing w:line="235" w:lineRule="auto" w:before="168"/>
        <w:ind w:left="507" w:right="1132" w:firstLine="0"/>
        <w:jc w:val="left"/>
        <w:rPr>
          <w:sz w:val="20"/>
        </w:rPr>
      </w:pPr>
      <w:r>
        <w:rPr>
          <w:color w:val="231F20"/>
          <w:sz w:val="20"/>
        </w:rPr>
        <w:t>This consent form is for participants who agree to participate in a Focus Group as part of the above research project. It is to be read with the attached Explanatory Statement.</w:t>
      </w:r>
    </w:p>
    <w:p>
      <w:pPr>
        <w:pStyle w:val="BodyText"/>
        <w:spacing w:before="11"/>
      </w:pPr>
    </w:p>
    <w:p>
      <w:pPr>
        <w:spacing w:before="0"/>
        <w:ind w:left="280" w:right="0" w:firstLine="0"/>
        <w:jc w:val="left"/>
        <w:rPr>
          <w:rFonts w:ascii="Helvetica" w:hAnsi="Helvetica"/>
          <w:b/>
          <w:sz w:val="20"/>
        </w:rPr>
      </w:pPr>
      <w:r>
        <w:rPr>
          <w:rFonts w:ascii="Helvetica" w:hAnsi="Helvetica"/>
          <w:b/>
          <w:color w:val="231F20"/>
          <w:sz w:val="20"/>
        </w:rPr>
        <w:t>Researcher’s statement</w:t>
      </w:r>
    </w:p>
    <w:p>
      <w:pPr>
        <w:spacing w:line="232" w:lineRule="auto" w:before="173"/>
        <w:ind w:left="507" w:right="450" w:firstLine="0"/>
        <w:jc w:val="left"/>
        <w:rPr>
          <w:sz w:val="20"/>
        </w:rPr>
      </w:pPr>
      <w:r>
        <w:rPr>
          <w:color w:val="231F20"/>
          <w:sz w:val="20"/>
        </w:rPr>
        <w:t>The work-based project is part of the core curriculum of the </w:t>
      </w:r>
      <w:r>
        <w:rPr>
          <w:rFonts w:ascii="Helvetica-LightOblique"/>
          <w:i/>
          <w:color w:val="231F20"/>
          <w:sz w:val="20"/>
        </w:rPr>
        <w:t>Executive Masters of Public Administration </w:t>
      </w:r>
      <w:r>
        <w:rPr>
          <w:color w:val="231F20"/>
          <w:sz w:val="20"/>
        </w:rPr>
        <w:t>(EMPA) of the Australian and New Zealand School of Government (ANZSOG). This project will explore how the NSW public service can support devolved decision making in Aboriginal communities. It is sponsored by Aboriginal Affairs NSW and could be used by the agency to inform the development of policy options in this area in the future. The project is detailed further in the Explanatory Statement.</w:t>
      </w:r>
    </w:p>
    <w:p>
      <w:pPr>
        <w:spacing w:line="235" w:lineRule="auto" w:before="172"/>
        <w:ind w:left="507" w:right="370" w:firstLine="0"/>
        <w:jc w:val="left"/>
        <w:rPr>
          <w:sz w:val="20"/>
        </w:rPr>
      </w:pPr>
      <w:r>
        <w:rPr>
          <w:color w:val="231F20"/>
          <w:sz w:val="20"/>
        </w:rPr>
        <w:t>We are asking you to participate in a Focus Group (group interview) to help us better understand structures and ways of thinking in the NSW public service that might help to support devolved decision making in Aboriginal communities.</w:t>
      </w:r>
    </w:p>
    <w:p>
      <w:pPr>
        <w:spacing w:line="235" w:lineRule="auto" w:before="167"/>
        <w:ind w:left="507" w:right="854" w:firstLine="0"/>
        <w:jc w:val="left"/>
        <w:rPr>
          <w:sz w:val="20"/>
        </w:rPr>
      </w:pPr>
      <w:r>
        <w:rPr>
          <w:color w:val="231F20"/>
          <w:sz w:val="20"/>
        </w:rPr>
        <w:t>The focus groups will be conducted between the period of June 2016 to September 2016 and will take approximately two hours to complete.</w:t>
      </w:r>
    </w:p>
    <w:p>
      <w:pPr>
        <w:spacing w:before="165"/>
        <w:ind w:left="507" w:right="0" w:firstLine="0"/>
        <w:jc w:val="left"/>
        <w:rPr>
          <w:sz w:val="20"/>
        </w:rPr>
      </w:pPr>
      <w:r>
        <w:rPr>
          <w:color w:val="231F20"/>
          <w:sz w:val="20"/>
        </w:rPr>
        <w:t>The focus groups are for the purpose of this project only.</w:t>
      </w:r>
    </w:p>
    <w:p>
      <w:pPr>
        <w:spacing w:line="235" w:lineRule="auto" w:before="168"/>
        <w:ind w:left="507" w:right="422" w:firstLine="0"/>
        <w:jc w:val="left"/>
        <w:rPr>
          <w:sz w:val="20"/>
        </w:rPr>
      </w:pPr>
      <w:r>
        <w:rPr>
          <w:color w:val="231F20"/>
          <w:sz w:val="20"/>
        </w:rPr>
        <w:t>The information you provide in your focus group (and in the final report) will be strictly confidential, however see footnote [1] below.</w:t>
      </w:r>
    </w:p>
    <w:p>
      <w:pPr>
        <w:pStyle w:val="BodyText"/>
        <w:spacing w:before="11"/>
      </w:pPr>
    </w:p>
    <w:p>
      <w:pPr>
        <w:spacing w:before="0"/>
        <w:ind w:left="280" w:right="0" w:firstLine="0"/>
        <w:jc w:val="left"/>
        <w:rPr>
          <w:rFonts w:ascii="Helvetica"/>
          <w:b/>
          <w:sz w:val="20"/>
        </w:rPr>
      </w:pPr>
      <w:r>
        <w:rPr>
          <w:rFonts w:ascii="Helvetica"/>
          <w:b/>
          <w:color w:val="231F20"/>
          <w:sz w:val="20"/>
        </w:rPr>
        <w:t>Focus group interviewee statement</w:t>
      </w:r>
    </w:p>
    <w:p>
      <w:pPr>
        <w:spacing w:line="235" w:lineRule="auto" w:before="172"/>
        <w:ind w:left="507" w:right="455" w:firstLine="0"/>
        <w:jc w:val="left"/>
        <w:rPr>
          <w:sz w:val="20"/>
        </w:rPr>
      </w:pPr>
      <w:r>
        <w:rPr>
          <w:color w:val="231F20"/>
          <w:sz w:val="20"/>
        </w:rPr>
        <w:t>I hereby consent to participate in a Focus Group interview on ways to support devolved decision making in Aboriginal communities. I have read the Explanatory Statement on the nature of the project and the focus group arrangements.</w:t>
      </w:r>
    </w:p>
    <w:p>
      <w:pPr>
        <w:spacing w:before="163"/>
        <w:ind w:left="507" w:right="0" w:firstLine="0"/>
        <w:jc w:val="left"/>
        <w:rPr>
          <w:sz w:val="20"/>
        </w:rPr>
      </w:pPr>
      <w:r>
        <w:rPr>
          <w:color w:val="231F20"/>
          <w:sz w:val="20"/>
        </w:rPr>
        <w:t>In providing my consent, I note that:</w:t>
      </w:r>
    </w:p>
    <w:p>
      <w:pPr>
        <w:pStyle w:val="ListParagraph"/>
        <w:numPr>
          <w:ilvl w:val="0"/>
          <w:numId w:val="5"/>
        </w:numPr>
        <w:tabs>
          <w:tab w:pos="932" w:val="left" w:leader="none"/>
        </w:tabs>
        <w:spacing w:line="240" w:lineRule="auto" w:before="164" w:after="0"/>
        <w:ind w:left="960" w:right="0" w:hanging="340"/>
        <w:jc w:val="left"/>
        <w:rPr>
          <w:sz w:val="20"/>
        </w:rPr>
      </w:pPr>
      <w:r>
        <w:rPr>
          <w:color w:val="231F20"/>
          <w:sz w:val="20"/>
        </w:rPr>
        <w:t>I have read the project Explanatory</w:t>
      </w:r>
      <w:r>
        <w:rPr>
          <w:color w:val="231F20"/>
          <w:spacing w:val="-1"/>
          <w:sz w:val="20"/>
        </w:rPr>
        <w:t> </w:t>
      </w:r>
      <w:r>
        <w:rPr>
          <w:color w:val="231F20"/>
          <w:sz w:val="20"/>
        </w:rPr>
        <w:t>Statement.</w:t>
      </w:r>
    </w:p>
    <w:p>
      <w:pPr>
        <w:pStyle w:val="ListParagraph"/>
        <w:numPr>
          <w:ilvl w:val="0"/>
          <w:numId w:val="5"/>
        </w:numPr>
        <w:tabs>
          <w:tab w:pos="932" w:val="left" w:leader="none"/>
        </w:tabs>
        <w:spacing w:line="240" w:lineRule="auto" w:before="164" w:after="0"/>
        <w:ind w:left="960" w:right="0" w:hanging="340"/>
        <w:jc w:val="left"/>
        <w:rPr>
          <w:sz w:val="20"/>
        </w:rPr>
      </w:pPr>
      <w:r>
        <w:rPr>
          <w:color w:val="231F20"/>
          <w:sz w:val="20"/>
        </w:rPr>
        <w:t>I understand that the Focus Group is for the purposes of this research project</w:t>
      </w:r>
      <w:r>
        <w:rPr>
          <w:color w:val="231F20"/>
          <w:spacing w:val="-4"/>
          <w:sz w:val="20"/>
        </w:rPr>
        <w:t> only.</w:t>
      </w:r>
    </w:p>
    <w:p>
      <w:pPr>
        <w:pStyle w:val="ListParagraph"/>
        <w:numPr>
          <w:ilvl w:val="0"/>
          <w:numId w:val="5"/>
        </w:numPr>
        <w:tabs>
          <w:tab w:pos="932" w:val="left" w:leader="none"/>
        </w:tabs>
        <w:spacing w:line="235" w:lineRule="auto" w:before="169" w:after="0"/>
        <w:ind w:left="960" w:right="377" w:hanging="340"/>
        <w:jc w:val="left"/>
        <w:rPr>
          <w:sz w:val="20"/>
        </w:rPr>
      </w:pPr>
      <w:r>
        <w:rPr>
          <w:color w:val="231F20"/>
          <w:sz w:val="20"/>
        </w:rPr>
        <w:t>Participation is voluntary and that I can withdraw at any time and for any reason. </w:t>
      </w:r>
      <w:r>
        <w:rPr>
          <w:color w:val="231F20"/>
          <w:spacing w:val="-3"/>
          <w:sz w:val="20"/>
        </w:rPr>
        <w:t>However, </w:t>
      </w:r>
      <w:r>
        <w:rPr>
          <w:color w:val="231F20"/>
          <w:sz w:val="20"/>
        </w:rPr>
        <w:t>I understand that my contribution to the Focus Group discussions will, by the nature of the Focus Group, be known to the members of the</w:t>
      </w:r>
      <w:r>
        <w:rPr>
          <w:color w:val="231F20"/>
          <w:spacing w:val="-1"/>
          <w:sz w:val="20"/>
        </w:rPr>
        <w:t> </w:t>
      </w:r>
      <w:r>
        <w:rPr>
          <w:color w:val="231F20"/>
          <w:sz w:val="20"/>
        </w:rPr>
        <w:t>group.</w:t>
      </w:r>
    </w:p>
    <w:p>
      <w:pPr>
        <w:pStyle w:val="ListParagraph"/>
        <w:numPr>
          <w:ilvl w:val="0"/>
          <w:numId w:val="5"/>
        </w:numPr>
        <w:tabs>
          <w:tab w:pos="932" w:val="left" w:leader="none"/>
        </w:tabs>
        <w:spacing w:line="235" w:lineRule="auto" w:before="167" w:after="0"/>
        <w:ind w:left="960" w:right="583" w:hanging="340"/>
        <w:jc w:val="left"/>
        <w:rPr>
          <w:sz w:val="20"/>
        </w:rPr>
      </w:pPr>
      <w:r>
        <w:rPr>
          <w:color w:val="231F20"/>
          <w:sz w:val="20"/>
        </w:rPr>
        <w:t>The Focus Group will be conducted at a workplace or another mutually agreed location, or even </w:t>
      </w:r>
      <w:r>
        <w:rPr>
          <w:color w:val="231F20"/>
          <w:spacing w:val="-4"/>
          <w:sz w:val="20"/>
        </w:rPr>
        <w:t>over </w:t>
      </w:r>
      <w:r>
        <w:rPr>
          <w:color w:val="231F20"/>
          <w:sz w:val="20"/>
        </w:rPr>
        <w:t>the telephone.</w:t>
      </w:r>
    </w:p>
    <w:p>
      <w:pPr>
        <w:pStyle w:val="ListParagraph"/>
        <w:numPr>
          <w:ilvl w:val="0"/>
          <w:numId w:val="5"/>
        </w:numPr>
        <w:tabs>
          <w:tab w:pos="932" w:val="left" w:leader="none"/>
        </w:tabs>
        <w:spacing w:line="235" w:lineRule="auto" w:before="168" w:after="0"/>
        <w:ind w:left="960" w:right="832" w:hanging="340"/>
        <w:jc w:val="left"/>
        <w:rPr>
          <w:sz w:val="20"/>
        </w:rPr>
      </w:pPr>
      <w:r>
        <w:rPr>
          <w:color w:val="231F20"/>
          <w:sz w:val="20"/>
        </w:rPr>
        <w:t>I will participate in a Focus Group of between four to eight number of people, conducted by two </w:t>
      </w:r>
      <w:r>
        <w:rPr>
          <w:color w:val="231F20"/>
          <w:spacing w:val="-8"/>
          <w:sz w:val="20"/>
        </w:rPr>
        <w:t>to </w:t>
      </w:r>
      <w:r>
        <w:rPr>
          <w:color w:val="231F20"/>
          <w:sz w:val="20"/>
        </w:rPr>
        <w:t>three members of the research team and this will take approximately two</w:t>
      </w:r>
      <w:r>
        <w:rPr>
          <w:color w:val="231F20"/>
          <w:spacing w:val="-5"/>
          <w:sz w:val="20"/>
        </w:rPr>
        <w:t> </w:t>
      </w:r>
      <w:r>
        <w:rPr>
          <w:color w:val="231F20"/>
          <w:sz w:val="20"/>
        </w:rPr>
        <w:t>hour/s.</w:t>
      </w:r>
    </w:p>
    <w:p>
      <w:pPr>
        <w:pStyle w:val="ListParagraph"/>
        <w:numPr>
          <w:ilvl w:val="0"/>
          <w:numId w:val="5"/>
        </w:numPr>
        <w:tabs>
          <w:tab w:pos="932" w:val="left" w:leader="none"/>
        </w:tabs>
        <w:spacing w:line="235" w:lineRule="auto" w:before="168" w:after="0"/>
        <w:ind w:left="960" w:right="996" w:hanging="340"/>
        <w:jc w:val="left"/>
        <w:rPr>
          <w:sz w:val="20"/>
        </w:rPr>
      </w:pPr>
      <w:r>
        <w:rPr>
          <w:color w:val="231F20"/>
          <w:sz w:val="20"/>
        </w:rPr>
        <w:t>The research team member/s will periodically ask me to confirm during the Focus Group that </w:t>
      </w:r>
      <w:r>
        <w:rPr>
          <w:color w:val="231F20"/>
          <w:spacing w:val="-8"/>
          <w:sz w:val="20"/>
        </w:rPr>
        <w:t>my </w:t>
      </w:r>
      <w:r>
        <w:rPr>
          <w:color w:val="231F20"/>
          <w:sz w:val="20"/>
        </w:rPr>
        <w:t>statements have been accurately understood and</w:t>
      </w:r>
      <w:r>
        <w:rPr>
          <w:color w:val="231F20"/>
          <w:spacing w:val="-1"/>
          <w:sz w:val="20"/>
        </w:rPr>
        <w:t> </w:t>
      </w:r>
      <w:r>
        <w:rPr>
          <w:color w:val="231F20"/>
          <w:sz w:val="20"/>
        </w:rPr>
        <w:t>interpreted.</w:t>
      </w:r>
    </w:p>
    <w:p>
      <w:pPr>
        <w:pStyle w:val="ListParagraph"/>
        <w:numPr>
          <w:ilvl w:val="0"/>
          <w:numId w:val="5"/>
        </w:numPr>
        <w:tabs>
          <w:tab w:pos="932" w:val="left" w:leader="none"/>
        </w:tabs>
        <w:spacing w:line="235" w:lineRule="auto" w:before="169" w:after="0"/>
        <w:ind w:left="960" w:right="517" w:hanging="340"/>
        <w:jc w:val="left"/>
        <w:rPr>
          <w:sz w:val="20"/>
        </w:rPr>
      </w:pPr>
      <w:r>
        <w:rPr>
          <w:color w:val="231F20"/>
          <w:sz w:val="20"/>
        </w:rPr>
        <w:t>The Focus Group may be audio-taped to assist the project team with note taking. The audio-tapes </w:t>
      </w:r>
      <w:r>
        <w:rPr>
          <w:color w:val="231F20"/>
          <w:spacing w:val="-4"/>
          <w:sz w:val="20"/>
        </w:rPr>
        <w:t>will </w:t>
      </w:r>
      <w:r>
        <w:rPr>
          <w:color w:val="231F20"/>
          <w:sz w:val="20"/>
        </w:rPr>
        <w:t>be destroyed once research is completed. Should a recording be made, a copy may be provided on request, at the discretion of the research team, together with the Focus Group</w:t>
      </w:r>
      <w:r>
        <w:rPr>
          <w:color w:val="231F20"/>
          <w:spacing w:val="-7"/>
          <w:sz w:val="20"/>
        </w:rPr>
        <w:t> </w:t>
      </w:r>
      <w:r>
        <w:rPr>
          <w:color w:val="231F20"/>
          <w:sz w:val="20"/>
        </w:rPr>
        <w:t>notes.</w:t>
      </w:r>
    </w:p>
    <w:p>
      <w:pPr>
        <w:pStyle w:val="ListParagraph"/>
        <w:numPr>
          <w:ilvl w:val="0"/>
          <w:numId w:val="5"/>
        </w:numPr>
        <w:tabs>
          <w:tab w:pos="932" w:val="left" w:leader="none"/>
        </w:tabs>
        <w:spacing w:line="235" w:lineRule="auto" w:before="167" w:after="0"/>
        <w:ind w:left="960" w:right="480" w:hanging="340"/>
        <w:jc w:val="left"/>
        <w:rPr>
          <w:sz w:val="20"/>
        </w:rPr>
      </w:pPr>
      <w:r>
        <w:rPr>
          <w:color w:val="231F20"/>
          <w:sz w:val="20"/>
        </w:rPr>
        <w:t>The research team member/s will take notes and I can request to be provided with a copy of the </w:t>
      </w:r>
      <w:r>
        <w:rPr>
          <w:color w:val="231F20"/>
          <w:spacing w:val="-3"/>
          <w:sz w:val="20"/>
        </w:rPr>
        <w:t>notes </w:t>
      </w:r>
      <w:r>
        <w:rPr>
          <w:color w:val="231F20"/>
          <w:sz w:val="20"/>
        </w:rPr>
        <w:t>and have an opportunity to review and confirm these.</w:t>
      </w:r>
    </w:p>
    <w:p>
      <w:pPr>
        <w:spacing w:after="0" w:line="235" w:lineRule="auto"/>
        <w:jc w:val="left"/>
        <w:rPr>
          <w:sz w:val="20"/>
        </w:rPr>
        <w:sectPr>
          <w:pgSz w:w="11910" w:h="16840"/>
          <w:pgMar w:header="0" w:footer="558" w:top="1600" w:bottom="740" w:left="740" w:right="640"/>
        </w:sect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ListParagraph"/>
        <w:numPr>
          <w:ilvl w:val="0"/>
          <w:numId w:val="5"/>
        </w:numPr>
        <w:tabs>
          <w:tab w:pos="932" w:val="left" w:leader="none"/>
        </w:tabs>
        <w:spacing w:line="235" w:lineRule="auto" w:before="104" w:after="0"/>
        <w:ind w:left="960" w:right="465" w:hanging="340"/>
        <w:jc w:val="left"/>
        <w:rPr>
          <w:sz w:val="20"/>
        </w:rPr>
      </w:pPr>
      <w:r>
        <w:rPr>
          <w:color w:val="231F20"/>
          <w:sz w:val="20"/>
        </w:rPr>
        <w:t>Subject to the approval of the sponsoring organisation, I can request to be provided with a copy of </w:t>
      </w:r>
      <w:r>
        <w:rPr>
          <w:color w:val="231F20"/>
          <w:spacing w:val="-5"/>
          <w:sz w:val="20"/>
        </w:rPr>
        <w:t>the </w:t>
      </w:r>
      <w:r>
        <w:rPr>
          <w:color w:val="231F20"/>
          <w:sz w:val="20"/>
        </w:rPr>
        <w:t>executive summary and/or final report.</w:t>
      </w:r>
    </w:p>
    <w:p>
      <w:pPr>
        <w:pStyle w:val="ListParagraph"/>
        <w:numPr>
          <w:ilvl w:val="0"/>
          <w:numId w:val="5"/>
        </w:numPr>
        <w:tabs>
          <w:tab w:pos="932" w:val="left" w:leader="none"/>
        </w:tabs>
        <w:spacing w:line="235" w:lineRule="auto" w:before="168" w:after="0"/>
        <w:ind w:left="960" w:right="1095" w:hanging="340"/>
        <w:jc w:val="left"/>
        <w:rPr>
          <w:sz w:val="20"/>
        </w:rPr>
      </w:pPr>
      <w:r>
        <w:rPr>
          <w:color w:val="231F20"/>
          <w:sz w:val="20"/>
        </w:rPr>
        <w:t>These arrangements have been approved by the ANZSOG Human Research Ethics</w:t>
      </w:r>
      <w:r>
        <w:rPr>
          <w:color w:val="231F20"/>
          <w:spacing w:val="-22"/>
          <w:sz w:val="20"/>
        </w:rPr>
        <w:t> </w:t>
      </w:r>
      <w:r>
        <w:rPr>
          <w:color w:val="231F20"/>
          <w:sz w:val="20"/>
        </w:rPr>
        <w:t>Committee (HREC).</w:t>
      </w:r>
    </w:p>
    <w:p>
      <w:pPr>
        <w:pStyle w:val="BodyText"/>
        <w:rPr>
          <w:sz w:val="24"/>
        </w:rPr>
      </w:pPr>
    </w:p>
    <w:p>
      <w:pPr>
        <w:pStyle w:val="BodyText"/>
        <w:spacing w:before="9"/>
      </w:pPr>
    </w:p>
    <w:p>
      <w:pPr>
        <w:tabs>
          <w:tab w:pos="5873" w:val="left" w:leader="none"/>
        </w:tabs>
        <w:spacing w:before="0"/>
        <w:ind w:left="507" w:right="0" w:firstLine="0"/>
        <w:jc w:val="left"/>
        <w:rPr>
          <w:rFonts w:ascii="Helvetica-LightOblique"/>
          <w:i/>
          <w:sz w:val="20"/>
        </w:rPr>
      </w:pPr>
      <w:r>
        <w:rPr>
          <w:color w:val="231F20"/>
          <w:sz w:val="20"/>
        </w:rPr>
        <w:t>I,</w:t>
      </w:r>
      <w:r>
        <w:rPr>
          <w:color w:val="231F20"/>
          <w:sz w:val="20"/>
          <w:u w:val="single" w:color="221E1F"/>
        </w:rPr>
        <w:t> </w:t>
        <w:tab/>
      </w:r>
      <w:r>
        <w:rPr>
          <w:rFonts w:ascii="Helvetica-LightOblique"/>
          <w:i/>
          <w:color w:val="231F20"/>
          <w:sz w:val="20"/>
        </w:rPr>
        <w:t>please print your full name</w:t>
      </w:r>
    </w:p>
    <w:p>
      <w:pPr>
        <w:tabs>
          <w:tab w:pos="5829" w:val="left" w:leader="none"/>
        </w:tabs>
        <w:spacing w:line="393" w:lineRule="auto" w:before="160"/>
        <w:ind w:left="507" w:right="570" w:firstLine="0"/>
        <w:jc w:val="left"/>
        <w:rPr>
          <w:rFonts w:ascii="Helvetica-LightOblique"/>
          <w:i/>
          <w:sz w:val="20"/>
        </w:rPr>
      </w:pPr>
      <w:r>
        <w:rPr>
          <w:rFonts w:ascii="Helvetica-LightOblique"/>
          <w:i/>
          <w:color w:val="231F20"/>
          <w:sz w:val="20"/>
        </w:rPr>
        <w:t>of</w:t>
      </w:r>
      <w:r>
        <w:rPr>
          <w:rFonts w:ascii="Helvetica-LightOblique"/>
          <w:i/>
          <w:color w:val="231F20"/>
          <w:sz w:val="20"/>
          <w:u w:val="single" w:color="221E1F"/>
        </w:rPr>
        <w:t> </w:t>
        <w:tab/>
      </w:r>
      <w:r>
        <w:rPr>
          <w:rFonts w:ascii="Helvetica-LightOblique"/>
          <w:i/>
          <w:color w:val="231F20"/>
          <w:sz w:val="20"/>
        </w:rPr>
        <w:t>please identify your position title/ </w:t>
      </w:r>
      <w:r>
        <w:rPr>
          <w:rFonts w:ascii="Helvetica-LightOblique"/>
          <w:i/>
          <w:color w:val="231F20"/>
          <w:spacing w:val="-2"/>
          <w:sz w:val="20"/>
        </w:rPr>
        <w:t>organisation </w:t>
      </w:r>
      <w:r>
        <w:rPr>
          <w:rFonts w:ascii="Helvetica-LightOblique"/>
          <w:i/>
          <w:color w:val="231F20"/>
          <w:sz w:val="20"/>
        </w:rPr>
        <w:t>consent to participating in an interview to assist with the Work-based</w:t>
      </w:r>
      <w:r>
        <w:rPr>
          <w:rFonts w:ascii="Helvetica-LightOblique"/>
          <w:i/>
          <w:color w:val="231F20"/>
          <w:spacing w:val="-1"/>
          <w:sz w:val="20"/>
        </w:rPr>
        <w:t> </w:t>
      </w:r>
      <w:r>
        <w:rPr>
          <w:rFonts w:ascii="Helvetica-LightOblique"/>
          <w:i/>
          <w:color w:val="231F20"/>
          <w:sz w:val="20"/>
        </w:rPr>
        <w:t>Project.</w:t>
      </w:r>
    </w:p>
    <w:p>
      <w:pPr>
        <w:tabs>
          <w:tab w:pos="5951" w:val="left" w:leader="none"/>
          <w:tab w:pos="6796" w:val="left" w:leader="none"/>
          <w:tab w:pos="7185" w:val="left" w:leader="none"/>
        </w:tabs>
        <w:spacing w:line="244" w:lineRule="exact" w:before="0"/>
        <w:ind w:left="507" w:right="0" w:firstLine="0"/>
        <w:jc w:val="left"/>
        <w:rPr>
          <w:sz w:val="20"/>
        </w:rPr>
      </w:pPr>
      <w:r>
        <w:rPr>
          <w:color w:val="231F20"/>
          <w:sz w:val="20"/>
        </w:rPr>
        <w:t>Signed</w:t>
      </w:r>
      <w:r>
        <w:rPr>
          <w:color w:val="231F20"/>
          <w:sz w:val="20"/>
          <w:u w:val="single" w:color="221E1F"/>
        </w:rPr>
        <w:t> </w:t>
        <w:tab/>
      </w:r>
      <w:r>
        <w:rPr>
          <w:color w:val="231F20"/>
          <w:sz w:val="20"/>
        </w:rPr>
        <w:t>date</w:t>
        <w:tab/>
        <w:t>/</w:t>
        <w:tab/>
        <w:t>/2016</w:t>
      </w:r>
    </w:p>
    <w:p>
      <w:pPr>
        <w:pStyle w:val="BodyText"/>
        <w:rPr>
          <w:sz w:val="24"/>
        </w:rPr>
      </w:pPr>
    </w:p>
    <w:p>
      <w:pPr>
        <w:pStyle w:val="BodyText"/>
        <w:rPr>
          <w:sz w:val="23"/>
        </w:rPr>
      </w:pPr>
    </w:p>
    <w:p>
      <w:pPr>
        <w:spacing w:line="235" w:lineRule="auto" w:before="1"/>
        <w:ind w:left="677" w:right="708" w:hanging="171"/>
        <w:jc w:val="left"/>
        <w:rPr>
          <w:sz w:val="20"/>
        </w:rPr>
      </w:pPr>
      <w:r>
        <w:rPr>
          <w:color w:val="231F20"/>
          <w:position w:val="7"/>
          <w:sz w:val="11"/>
        </w:rPr>
        <w:t>1 </w:t>
      </w:r>
      <w:r>
        <w:rPr>
          <w:color w:val="231F20"/>
          <w:sz w:val="20"/>
        </w:rPr>
        <w:t>My contribution to the Focus Group discussions will, by the nature of the Focus Group, be known to the members of the group.</w:t>
      </w:r>
    </w:p>
    <w:p>
      <w:pPr>
        <w:spacing w:after="0" w:line="235" w:lineRule="auto"/>
        <w:jc w:val="left"/>
        <w:rPr>
          <w:sz w:val="20"/>
        </w:rPr>
        <w:sectPr>
          <w:pgSz w:w="11910" w:h="16840"/>
          <w:pgMar w:header="0" w:footer="558" w:top="1600" w:bottom="740" w:left="740" w:right="640"/>
        </w:sect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Heading2"/>
        <w:spacing w:before="56"/>
      </w:pPr>
      <w:r>
        <w:rPr>
          <w:color w:val="358384"/>
        </w:rPr>
        <w:t>Appendix IV: Semi-Structured Interview Template</w:t>
      </w:r>
    </w:p>
    <w:p>
      <w:pPr>
        <w:spacing w:before="162"/>
        <w:ind w:left="563" w:right="0" w:firstLine="0"/>
        <w:jc w:val="left"/>
        <w:rPr>
          <w:rFonts w:ascii="Helvetica"/>
          <w:b/>
          <w:sz w:val="20"/>
        </w:rPr>
      </w:pPr>
      <w:r>
        <w:rPr>
          <w:rFonts w:ascii="Helvetica"/>
          <w:b/>
          <w:color w:val="231F20"/>
          <w:sz w:val="20"/>
        </w:rPr>
        <w:t>Name of</w:t>
      </w:r>
      <w:r>
        <w:rPr>
          <w:rFonts w:ascii="Helvetica"/>
          <w:b/>
          <w:color w:val="231F20"/>
          <w:spacing w:val="-3"/>
          <w:sz w:val="20"/>
        </w:rPr>
        <w:t> </w:t>
      </w:r>
      <w:r>
        <w:rPr>
          <w:rFonts w:ascii="Helvetica"/>
          <w:b/>
          <w:color w:val="231F20"/>
          <w:sz w:val="20"/>
        </w:rPr>
        <w:t>Interviewer:</w:t>
      </w:r>
    </w:p>
    <w:p>
      <w:pPr>
        <w:spacing w:before="172"/>
        <w:ind w:left="563" w:right="0" w:firstLine="0"/>
        <w:jc w:val="left"/>
        <w:rPr>
          <w:rFonts w:ascii="Helvetica"/>
          <w:b/>
          <w:sz w:val="20"/>
        </w:rPr>
      </w:pPr>
      <w:r>
        <w:rPr>
          <w:rFonts w:ascii="Helvetica"/>
          <w:b/>
          <w:color w:val="231F20"/>
          <w:sz w:val="20"/>
        </w:rPr>
        <w:t>Name of</w:t>
      </w:r>
      <w:r>
        <w:rPr>
          <w:rFonts w:ascii="Helvetica"/>
          <w:b/>
          <w:color w:val="231F20"/>
          <w:spacing w:val="-3"/>
          <w:sz w:val="20"/>
        </w:rPr>
        <w:t> </w:t>
      </w:r>
      <w:r>
        <w:rPr>
          <w:rFonts w:ascii="Helvetica"/>
          <w:b/>
          <w:color w:val="231F20"/>
          <w:sz w:val="20"/>
        </w:rPr>
        <w:t>Interviewee:</w:t>
      </w:r>
    </w:p>
    <w:p>
      <w:pPr>
        <w:spacing w:before="172"/>
        <w:ind w:left="563" w:right="0" w:firstLine="0"/>
        <w:jc w:val="left"/>
        <w:rPr>
          <w:rFonts w:ascii="Helvetica"/>
          <w:b/>
          <w:sz w:val="20"/>
        </w:rPr>
      </w:pPr>
      <w:r>
        <w:rPr>
          <w:rFonts w:ascii="Helvetica"/>
          <w:b/>
          <w:color w:val="231F20"/>
          <w:sz w:val="20"/>
        </w:rPr>
        <w:t>Place of Interview:</w:t>
      </w:r>
    </w:p>
    <w:p>
      <w:pPr>
        <w:spacing w:before="171"/>
        <w:ind w:left="563" w:right="0" w:firstLine="0"/>
        <w:jc w:val="left"/>
        <w:rPr>
          <w:rFonts w:ascii="Helvetica"/>
          <w:b/>
          <w:sz w:val="20"/>
        </w:rPr>
      </w:pPr>
      <w:r>
        <w:rPr>
          <w:rFonts w:ascii="Helvetica"/>
          <w:b/>
          <w:color w:val="231F20"/>
          <w:sz w:val="20"/>
        </w:rPr>
        <w:t>Date &amp; Time of Interview:</w:t>
      </w:r>
    </w:p>
    <w:p>
      <w:pPr>
        <w:pStyle w:val="BodyText"/>
        <w:spacing w:before="11"/>
        <w:rPr>
          <w:rFonts w:ascii="Helvetica"/>
          <w:b/>
          <w:sz w:val="23"/>
        </w:rPr>
      </w:pPr>
    </w:p>
    <w:p>
      <w:pPr>
        <w:spacing w:before="0"/>
        <w:ind w:left="280" w:right="0" w:firstLine="0"/>
        <w:jc w:val="left"/>
        <w:rPr>
          <w:rFonts w:ascii="Helvetica"/>
          <w:b/>
          <w:sz w:val="20"/>
        </w:rPr>
      </w:pPr>
      <w:r>
        <w:rPr>
          <w:rFonts w:ascii="Helvetica"/>
          <w:b/>
          <w:color w:val="231F20"/>
          <w:sz w:val="20"/>
        </w:rPr>
        <w:t>Research Focus</w:t>
      </w:r>
    </w:p>
    <w:p>
      <w:pPr>
        <w:pStyle w:val="ListParagraph"/>
        <w:numPr>
          <w:ilvl w:val="0"/>
          <w:numId w:val="6"/>
        </w:numPr>
        <w:tabs>
          <w:tab w:pos="960" w:val="left" w:leader="none"/>
          <w:tab w:pos="961" w:val="left" w:leader="none"/>
        </w:tabs>
        <w:spacing w:line="235" w:lineRule="auto" w:before="172" w:after="0"/>
        <w:ind w:left="960" w:right="407" w:hanging="340"/>
        <w:jc w:val="left"/>
        <w:rPr>
          <w:sz w:val="20"/>
        </w:rPr>
      </w:pPr>
      <w:r>
        <w:rPr>
          <w:color w:val="231F20"/>
          <w:sz w:val="20"/>
        </w:rPr>
        <w:t>The work-based project is part of the core curriculum of the Executive Masters of Public Administration </w:t>
      </w:r>
      <w:r>
        <w:rPr>
          <w:color w:val="231F20"/>
          <w:spacing w:val="-3"/>
          <w:sz w:val="20"/>
        </w:rPr>
        <w:t>(EMPA) </w:t>
      </w:r>
      <w:r>
        <w:rPr>
          <w:color w:val="231F20"/>
          <w:sz w:val="20"/>
        </w:rPr>
        <w:t>of the Australian and New Zealand School of Government</w:t>
      </w:r>
      <w:r>
        <w:rPr>
          <w:color w:val="231F20"/>
          <w:spacing w:val="4"/>
          <w:sz w:val="20"/>
        </w:rPr>
        <w:t> </w:t>
      </w:r>
      <w:r>
        <w:rPr>
          <w:color w:val="231F20"/>
          <w:sz w:val="20"/>
        </w:rPr>
        <w:t>(ANZSOG).</w:t>
      </w:r>
    </w:p>
    <w:p>
      <w:pPr>
        <w:pStyle w:val="ListParagraph"/>
        <w:numPr>
          <w:ilvl w:val="0"/>
          <w:numId w:val="6"/>
        </w:numPr>
        <w:tabs>
          <w:tab w:pos="960" w:val="left" w:leader="none"/>
          <w:tab w:pos="961" w:val="left" w:leader="none"/>
        </w:tabs>
        <w:spacing w:line="235" w:lineRule="auto" w:before="112" w:after="0"/>
        <w:ind w:left="960" w:right="1152" w:hanging="340"/>
        <w:jc w:val="left"/>
        <w:rPr>
          <w:sz w:val="20"/>
        </w:rPr>
      </w:pPr>
      <w:r>
        <w:rPr>
          <w:color w:val="231F20"/>
          <w:sz w:val="20"/>
        </w:rPr>
        <w:t>This project will explore how the NSW public service can support devolved decision making </w:t>
      </w:r>
      <w:r>
        <w:rPr>
          <w:color w:val="231F20"/>
          <w:spacing w:val="-8"/>
          <w:sz w:val="20"/>
        </w:rPr>
        <w:t>in </w:t>
      </w:r>
      <w:r>
        <w:rPr>
          <w:color w:val="231F20"/>
          <w:sz w:val="20"/>
        </w:rPr>
        <w:t>Aboriginal communities.</w:t>
      </w:r>
    </w:p>
    <w:p>
      <w:pPr>
        <w:pStyle w:val="ListParagraph"/>
        <w:numPr>
          <w:ilvl w:val="0"/>
          <w:numId w:val="6"/>
        </w:numPr>
        <w:tabs>
          <w:tab w:pos="960" w:val="left" w:leader="none"/>
          <w:tab w:pos="961" w:val="left" w:leader="none"/>
        </w:tabs>
        <w:spacing w:line="235" w:lineRule="auto" w:before="111" w:after="0"/>
        <w:ind w:left="960" w:right="407" w:hanging="340"/>
        <w:jc w:val="left"/>
        <w:rPr>
          <w:sz w:val="20"/>
        </w:rPr>
      </w:pPr>
      <w:r>
        <w:rPr>
          <w:color w:val="231F20"/>
          <w:sz w:val="20"/>
        </w:rPr>
        <w:t>It is sponsored by Aboriginal Affairs NSW and could be used by the agency to inform the development of policy options in this area in the</w:t>
      </w:r>
      <w:r>
        <w:rPr>
          <w:color w:val="231F20"/>
          <w:spacing w:val="-1"/>
          <w:sz w:val="20"/>
        </w:rPr>
        <w:t> </w:t>
      </w:r>
      <w:r>
        <w:rPr>
          <w:color w:val="231F20"/>
          <w:sz w:val="20"/>
        </w:rPr>
        <w:t>future.</w:t>
      </w:r>
    </w:p>
    <w:p>
      <w:pPr>
        <w:pStyle w:val="ListParagraph"/>
        <w:numPr>
          <w:ilvl w:val="0"/>
          <w:numId w:val="6"/>
        </w:numPr>
        <w:tabs>
          <w:tab w:pos="960" w:val="left" w:leader="none"/>
          <w:tab w:pos="961" w:val="left" w:leader="none"/>
        </w:tabs>
        <w:spacing w:line="240" w:lineRule="auto" w:before="108" w:after="0"/>
        <w:ind w:left="960" w:right="0" w:hanging="340"/>
        <w:jc w:val="left"/>
        <w:rPr>
          <w:sz w:val="20"/>
        </w:rPr>
      </w:pPr>
      <w:r>
        <w:rPr>
          <w:color w:val="231F20"/>
          <w:sz w:val="20"/>
        </w:rPr>
        <w:t>The project is detailed further in the Explanatory Statement.</w:t>
      </w:r>
    </w:p>
    <w:p>
      <w:pPr>
        <w:pStyle w:val="ListParagraph"/>
        <w:numPr>
          <w:ilvl w:val="0"/>
          <w:numId w:val="6"/>
        </w:numPr>
        <w:tabs>
          <w:tab w:pos="960" w:val="left" w:leader="none"/>
          <w:tab w:pos="961" w:val="left" w:leader="none"/>
        </w:tabs>
        <w:spacing w:line="235" w:lineRule="auto" w:before="112" w:after="0"/>
        <w:ind w:left="960" w:right="567" w:hanging="340"/>
        <w:jc w:val="left"/>
        <w:rPr>
          <w:sz w:val="20"/>
        </w:rPr>
      </w:pPr>
      <w:r>
        <w:rPr>
          <w:color w:val="231F20"/>
          <w:sz w:val="20"/>
        </w:rPr>
        <w:t>We are asking you to participate in an interview to help us better understand structures and ways of thinking in the NSW public service that might help to support devolved decision making in Aboriginal communities.</w:t>
      </w:r>
    </w:p>
    <w:p>
      <w:pPr>
        <w:pStyle w:val="BodyText"/>
        <w:spacing w:before="2"/>
        <w:rPr>
          <w:sz w:val="18"/>
        </w:rPr>
      </w:pPr>
    </w:p>
    <w:p>
      <w:pPr>
        <w:spacing w:before="0"/>
        <w:ind w:left="280" w:right="0" w:firstLine="0"/>
        <w:jc w:val="left"/>
        <w:rPr>
          <w:rFonts w:ascii="Helvetica"/>
          <w:b/>
          <w:sz w:val="20"/>
        </w:rPr>
      </w:pPr>
      <w:r>
        <w:rPr>
          <w:rFonts w:ascii="Helvetica"/>
          <w:b/>
          <w:color w:val="231F20"/>
          <w:sz w:val="20"/>
        </w:rPr>
        <w:t>Timing</w:t>
      </w:r>
    </w:p>
    <w:p>
      <w:pPr>
        <w:pStyle w:val="ListParagraph"/>
        <w:numPr>
          <w:ilvl w:val="0"/>
          <w:numId w:val="6"/>
        </w:numPr>
        <w:tabs>
          <w:tab w:pos="960" w:val="left" w:leader="none"/>
          <w:tab w:pos="961" w:val="left" w:leader="none"/>
        </w:tabs>
        <w:spacing w:line="235" w:lineRule="auto" w:before="172" w:after="0"/>
        <w:ind w:left="960" w:right="418" w:hanging="340"/>
        <w:jc w:val="left"/>
        <w:rPr>
          <w:sz w:val="20"/>
        </w:rPr>
      </w:pPr>
      <w:r>
        <w:rPr>
          <w:color w:val="231F20"/>
          <w:sz w:val="20"/>
        </w:rPr>
        <w:t>The interview is expected to take approximately one hour to complete. Please let me know if you </w:t>
      </w:r>
      <w:r>
        <w:rPr>
          <w:color w:val="231F20"/>
          <w:spacing w:val="-5"/>
          <w:sz w:val="20"/>
        </w:rPr>
        <w:t>need </w:t>
      </w:r>
      <w:r>
        <w:rPr>
          <w:color w:val="231F20"/>
          <w:sz w:val="20"/>
        </w:rPr>
        <w:t>a break at any</w:t>
      </w:r>
      <w:r>
        <w:rPr>
          <w:color w:val="231F20"/>
          <w:spacing w:val="-1"/>
          <w:sz w:val="20"/>
        </w:rPr>
        <w:t> </w:t>
      </w:r>
      <w:r>
        <w:rPr>
          <w:color w:val="231F20"/>
          <w:sz w:val="20"/>
        </w:rPr>
        <w:t>time.</w:t>
      </w:r>
    </w:p>
    <w:p>
      <w:pPr>
        <w:pStyle w:val="BodyText"/>
        <w:spacing w:before="4"/>
        <w:rPr>
          <w:sz w:val="18"/>
        </w:rPr>
      </w:pPr>
    </w:p>
    <w:p>
      <w:pPr>
        <w:spacing w:before="0"/>
        <w:ind w:left="280" w:right="0" w:firstLine="0"/>
        <w:jc w:val="left"/>
        <w:rPr>
          <w:rFonts w:ascii="Helvetica"/>
          <w:b/>
          <w:sz w:val="20"/>
        </w:rPr>
      </w:pPr>
      <w:r>
        <w:rPr>
          <w:rFonts w:ascii="Helvetica"/>
          <w:b/>
          <w:color w:val="231F20"/>
          <w:sz w:val="20"/>
        </w:rPr>
        <w:t>Confidentiality</w:t>
      </w:r>
    </w:p>
    <w:p>
      <w:pPr>
        <w:pStyle w:val="ListParagraph"/>
        <w:numPr>
          <w:ilvl w:val="0"/>
          <w:numId w:val="6"/>
        </w:numPr>
        <w:tabs>
          <w:tab w:pos="960" w:val="left" w:leader="none"/>
          <w:tab w:pos="961" w:val="left" w:leader="none"/>
        </w:tabs>
        <w:spacing w:line="240" w:lineRule="auto" w:before="168" w:after="0"/>
        <w:ind w:left="960" w:right="0" w:hanging="340"/>
        <w:jc w:val="left"/>
        <w:rPr>
          <w:sz w:val="20"/>
        </w:rPr>
      </w:pPr>
      <w:r>
        <w:rPr>
          <w:color w:val="231F20"/>
          <w:sz w:val="20"/>
        </w:rPr>
        <w:t>The interview is for the purpose of this project</w:t>
      </w:r>
      <w:r>
        <w:rPr>
          <w:color w:val="231F20"/>
          <w:spacing w:val="-1"/>
          <w:sz w:val="20"/>
        </w:rPr>
        <w:t> </w:t>
      </w:r>
      <w:r>
        <w:rPr>
          <w:color w:val="231F20"/>
          <w:spacing w:val="-4"/>
          <w:sz w:val="20"/>
        </w:rPr>
        <w:t>only.</w:t>
      </w:r>
    </w:p>
    <w:p>
      <w:pPr>
        <w:pStyle w:val="ListParagraph"/>
        <w:numPr>
          <w:ilvl w:val="0"/>
          <w:numId w:val="6"/>
        </w:numPr>
        <w:tabs>
          <w:tab w:pos="960" w:val="left" w:leader="none"/>
          <w:tab w:pos="961" w:val="left" w:leader="none"/>
        </w:tabs>
        <w:spacing w:line="240" w:lineRule="auto" w:before="107" w:after="0"/>
        <w:ind w:left="960" w:right="0" w:hanging="340"/>
        <w:jc w:val="left"/>
        <w:rPr>
          <w:sz w:val="20"/>
        </w:rPr>
      </w:pPr>
      <w:r>
        <w:rPr>
          <w:color w:val="231F20"/>
          <w:sz w:val="20"/>
        </w:rPr>
        <w:t>The information you provide in your interview will be strictly</w:t>
      </w:r>
      <w:r>
        <w:rPr>
          <w:color w:val="231F20"/>
          <w:spacing w:val="-1"/>
          <w:sz w:val="20"/>
        </w:rPr>
        <w:t> </w:t>
      </w:r>
      <w:r>
        <w:rPr>
          <w:color w:val="231F20"/>
          <w:sz w:val="20"/>
        </w:rPr>
        <w:t>confidential.</w:t>
      </w:r>
    </w:p>
    <w:p>
      <w:pPr>
        <w:pStyle w:val="ListParagraph"/>
        <w:numPr>
          <w:ilvl w:val="0"/>
          <w:numId w:val="6"/>
        </w:numPr>
        <w:tabs>
          <w:tab w:pos="960" w:val="left" w:leader="none"/>
          <w:tab w:pos="961" w:val="left" w:leader="none"/>
        </w:tabs>
        <w:spacing w:line="235" w:lineRule="auto" w:before="112" w:after="0"/>
        <w:ind w:left="960" w:right="585" w:hanging="340"/>
        <w:jc w:val="left"/>
        <w:rPr>
          <w:sz w:val="20"/>
        </w:rPr>
      </w:pPr>
      <w:r>
        <w:rPr>
          <w:color w:val="231F20"/>
          <w:sz w:val="20"/>
        </w:rPr>
        <w:t>Individual names and other personal identifiers will not be used (unless you give explicit approval </w:t>
      </w:r>
      <w:r>
        <w:rPr>
          <w:color w:val="231F20"/>
          <w:spacing w:val="-6"/>
          <w:sz w:val="20"/>
        </w:rPr>
        <w:t>for </w:t>
      </w:r>
      <w:r>
        <w:rPr>
          <w:color w:val="231F20"/>
          <w:sz w:val="20"/>
        </w:rPr>
        <w:t>this).</w:t>
      </w:r>
    </w:p>
    <w:p>
      <w:pPr>
        <w:pStyle w:val="BodyText"/>
        <w:spacing w:before="3"/>
        <w:rPr>
          <w:sz w:val="18"/>
        </w:rPr>
      </w:pPr>
    </w:p>
    <w:p>
      <w:pPr>
        <w:spacing w:before="1"/>
        <w:ind w:left="280" w:right="0" w:firstLine="0"/>
        <w:jc w:val="left"/>
        <w:rPr>
          <w:rFonts w:ascii="Helvetica"/>
          <w:b/>
          <w:sz w:val="20"/>
        </w:rPr>
      </w:pPr>
      <w:r>
        <w:rPr>
          <w:rFonts w:ascii="Helvetica"/>
          <w:b/>
          <w:color w:val="231F20"/>
          <w:sz w:val="20"/>
        </w:rPr>
        <w:t>Recording</w:t>
      </w:r>
    </w:p>
    <w:p>
      <w:pPr>
        <w:pStyle w:val="ListParagraph"/>
        <w:numPr>
          <w:ilvl w:val="0"/>
          <w:numId w:val="6"/>
        </w:numPr>
        <w:tabs>
          <w:tab w:pos="960" w:val="left" w:leader="none"/>
          <w:tab w:pos="961" w:val="left" w:leader="none"/>
        </w:tabs>
        <w:spacing w:line="240" w:lineRule="auto" w:before="167" w:after="0"/>
        <w:ind w:left="960" w:right="0" w:hanging="340"/>
        <w:jc w:val="left"/>
        <w:rPr>
          <w:sz w:val="20"/>
        </w:rPr>
      </w:pPr>
      <w:r>
        <w:rPr>
          <w:color w:val="231F20"/>
          <w:sz w:val="20"/>
        </w:rPr>
        <w:t>With your permission, I would like to audio-tape and take notes during the</w:t>
      </w:r>
      <w:r>
        <w:rPr>
          <w:color w:val="231F20"/>
          <w:spacing w:val="-3"/>
          <w:sz w:val="20"/>
        </w:rPr>
        <w:t> </w:t>
      </w:r>
      <w:r>
        <w:rPr>
          <w:color w:val="231F20"/>
          <w:sz w:val="20"/>
        </w:rPr>
        <w:t>interview.</w:t>
      </w:r>
    </w:p>
    <w:p>
      <w:pPr>
        <w:pStyle w:val="ListParagraph"/>
        <w:numPr>
          <w:ilvl w:val="0"/>
          <w:numId w:val="6"/>
        </w:numPr>
        <w:tabs>
          <w:tab w:pos="960" w:val="left" w:leader="none"/>
          <w:tab w:pos="961" w:val="left" w:leader="none"/>
        </w:tabs>
        <w:spacing w:line="235" w:lineRule="auto" w:before="112" w:after="0"/>
        <w:ind w:left="960" w:right="740" w:hanging="340"/>
        <w:jc w:val="left"/>
        <w:rPr>
          <w:sz w:val="20"/>
        </w:rPr>
      </w:pPr>
      <w:r>
        <w:rPr>
          <w:color w:val="231F20"/>
          <w:sz w:val="20"/>
        </w:rPr>
        <w:t>The recording is to accurately record the information you provide, and will be used for </w:t>
      </w:r>
      <w:r>
        <w:rPr>
          <w:color w:val="231F20"/>
          <w:spacing w:val="-2"/>
          <w:sz w:val="20"/>
        </w:rPr>
        <w:t>transcription </w:t>
      </w:r>
      <w:r>
        <w:rPr>
          <w:color w:val="231F20"/>
          <w:sz w:val="20"/>
        </w:rPr>
        <w:t>purposes </w:t>
      </w:r>
      <w:r>
        <w:rPr>
          <w:color w:val="231F20"/>
          <w:spacing w:val="-4"/>
          <w:sz w:val="20"/>
        </w:rPr>
        <w:t>only. </w:t>
      </w:r>
      <w:r>
        <w:rPr>
          <w:color w:val="231F20"/>
          <w:sz w:val="20"/>
        </w:rPr>
        <w:t>Information from the transcripts will be used in the final report but not personal identifiers.</w:t>
      </w:r>
    </w:p>
    <w:p>
      <w:pPr>
        <w:pStyle w:val="ListParagraph"/>
        <w:numPr>
          <w:ilvl w:val="0"/>
          <w:numId w:val="6"/>
        </w:numPr>
        <w:tabs>
          <w:tab w:pos="960" w:val="left" w:leader="none"/>
          <w:tab w:pos="961" w:val="left" w:leader="none"/>
        </w:tabs>
        <w:spacing w:line="240" w:lineRule="auto" w:before="107" w:after="0"/>
        <w:ind w:left="960" w:right="0" w:hanging="340"/>
        <w:jc w:val="left"/>
        <w:rPr>
          <w:sz w:val="20"/>
        </w:rPr>
      </w:pPr>
      <w:r>
        <w:rPr>
          <w:color w:val="231F20"/>
          <w:sz w:val="20"/>
        </w:rPr>
        <w:t>The audio-tape will be destroyed once research is</w:t>
      </w:r>
      <w:r>
        <w:rPr>
          <w:color w:val="231F20"/>
          <w:spacing w:val="-2"/>
          <w:sz w:val="20"/>
        </w:rPr>
        <w:t> </w:t>
      </w:r>
      <w:r>
        <w:rPr>
          <w:color w:val="231F20"/>
          <w:sz w:val="20"/>
        </w:rPr>
        <w:t>completed.</w:t>
      </w:r>
    </w:p>
    <w:p>
      <w:pPr>
        <w:pStyle w:val="ListParagraph"/>
        <w:numPr>
          <w:ilvl w:val="0"/>
          <w:numId w:val="6"/>
        </w:numPr>
        <w:tabs>
          <w:tab w:pos="960" w:val="left" w:leader="none"/>
          <w:tab w:pos="961" w:val="left" w:leader="none"/>
        </w:tabs>
        <w:spacing w:line="235" w:lineRule="auto" w:before="111" w:after="0"/>
        <w:ind w:left="960" w:right="425" w:hanging="340"/>
        <w:jc w:val="left"/>
        <w:rPr>
          <w:sz w:val="20"/>
        </w:rPr>
      </w:pPr>
      <w:r>
        <w:rPr>
          <w:color w:val="231F20"/>
          <w:sz w:val="20"/>
        </w:rPr>
        <w:t>If you agree to being audio-taped but feel uncomfortable at any time during the interview, I can turn </w:t>
      </w:r>
      <w:r>
        <w:rPr>
          <w:color w:val="231F20"/>
          <w:spacing w:val="-8"/>
          <w:sz w:val="20"/>
        </w:rPr>
        <w:t>off </w:t>
      </w:r>
      <w:r>
        <w:rPr>
          <w:color w:val="231F20"/>
          <w:sz w:val="20"/>
        </w:rPr>
        <w:t>the recorder at your request. Or if you don't wish to continue, you can stop the interview at any</w:t>
      </w:r>
      <w:r>
        <w:rPr>
          <w:color w:val="231F20"/>
          <w:spacing w:val="-11"/>
          <w:sz w:val="20"/>
        </w:rPr>
        <w:t> </w:t>
      </w:r>
      <w:r>
        <w:rPr>
          <w:color w:val="231F20"/>
          <w:sz w:val="20"/>
        </w:rPr>
        <w:t>time.</w:t>
      </w:r>
    </w:p>
    <w:p>
      <w:pPr>
        <w:tabs>
          <w:tab w:pos="2786" w:val="left" w:leader="none"/>
        </w:tabs>
        <w:spacing w:before="108"/>
        <w:ind w:left="280" w:right="0" w:firstLine="0"/>
        <w:jc w:val="left"/>
        <w:rPr>
          <w:sz w:val="20"/>
        </w:rPr>
      </w:pPr>
      <w:r>
        <w:rPr>
          <w:rFonts w:ascii="Helvetica"/>
          <w:b/>
          <w:color w:val="231F20"/>
          <w:sz w:val="20"/>
        </w:rPr>
        <w:t>Consent</w:t>
      </w:r>
      <w:r>
        <w:rPr>
          <w:rFonts w:ascii="Helvetica"/>
          <w:b/>
          <w:color w:val="231F20"/>
          <w:spacing w:val="-2"/>
          <w:sz w:val="20"/>
        </w:rPr>
        <w:t> </w:t>
      </w:r>
      <w:r>
        <w:rPr>
          <w:rFonts w:ascii="Helvetica"/>
          <w:b/>
          <w:color w:val="231F20"/>
          <w:sz w:val="20"/>
        </w:rPr>
        <w:t>provided: </w:t>
      </w:r>
      <w:r>
        <w:rPr>
          <w:rFonts w:ascii="Helvetica"/>
          <w:b/>
          <w:color w:val="231F20"/>
          <w:spacing w:val="44"/>
          <w:sz w:val="20"/>
        </w:rPr>
        <w:t> </w:t>
      </w:r>
      <w:r>
        <w:rPr>
          <w:color w:val="231F20"/>
          <w:sz w:val="20"/>
        </w:rPr>
        <w:t>YES</w:t>
        <w:tab/>
        <w:t>NO</w:t>
      </w:r>
    </w:p>
    <w:p>
      <w:pPr>
        <w:pStyle w:val="BodyText"/>
        <w:spacing w:before="11"/>
      </w:pPr>
    </w:p>
    <w:p>
      <w:pPr>
        <w:pStyle w:val="ListParagraph"/>
        <w:numPr>
          <w:ilvl w:val="0"/>
          <w:numId w:val="7"/>
        </w:numPr>
        <w:tabs>
          <w:tab w:pos="495" w:val="left" w:leader="none"/>
        </w:tabs>
        <w:spacing w:line="240" w:lineRule="auto" w:before="0" w:after="0"/>
        <w:ind w:left="494" w:right="0" w:hanging="214"/>
        <w:jc w:val="left"/>
        <w:rPr>
          <w:rFonts w:ascii="Helvetica"/>
          <w:b/>
          <w:sz w:val="20"/>
        </w:rPr>
      </w:pPr>
      <w:r>
        <w:rPr>
          <w:rFonts w:ascii="Helvetica"/>
          <w:b/>
          <w:color w:val="231F20"/>
          <w:sz w:val="20"/>
        </w:rPr>
        <w:t>Settling-in Questions</w:t>
      </w:r>
    </w:p>
    <w:p>
      <w:pPr>
        <w:pStyle w:val="ListParagraph"/>
        <w:numPr>
          <w:ilvl w:val="1"/>
          <w:numId w:val="7"/>
        </w:numPr>
        <w:tabs>
          <w:tab w:pos="960" w:val="left" w:leader="none"/>
          <w:tab w:pos="961" w:val="left" w:leader="none"/>
        </w:tabs>
        <w:spacing w:line="240" w:lineRule="auto" w:before="168" w:after="0"/>
        <w:ind w:left="960" w:right="0" w:hanging="340"/>
        <w:jc w:val="left"/>
        <w:rPr>
          <w:sz w:val="20"/>
        </w:rPr>
      </w:pPr>
      <w:r>
        <w:rPr>
          <w:color w:val="231F20"/>
          <w:sz w:val="20"/>
        </w:rPr>
        <w:t>How long have you worked with your agency and how long have you worked in the public sector?</w:t>
      </w:r>
    </w:p>
    <w:p>
      <w:pPr>
        <w:pStyle w:val="ListParagraph"/>
        <w:numPr>
          <w:ilvl w:val="1"/>
          <w:numId w:val="7"/>
        </w:numPr>
        <w:tabs>
          <w:tab w:pos="960" w:val="left" w:leader="none"/>
          <w:tab w:pos="961" w:val="left" w:leader="none"/>
        </w:tabs>
        <w:spacing w:line="235" w:lineRule="auto" w:before="111" w:after="0"/>
        <w:ind w:left="960" w:right="1274" w:hanging="340"/>
        <w:jc w:val="left"/>
        <w:rPr>
          <w:sz w:val="20"/>
        </w:rPr>
      </w:pPr>
      <w:r>
        <w:rPr>
          <w:color w:val="231F20"/>
          <w:sz w:val="20"/>
        </w:rPr>
        <w:t>I would like to start by talking about your current role and any experiences you have had </w:t>
      </w:r>
      <w:r>
        <w:rPr>
          <w:color w:val="231F20"/>
          <w:spacing w:val="-4"/>
          <w:sz w:val="20"/>
        </w:rPr>
        <w:t>with </w:t>
      </w:r>
      <w:r>
        <w:rPr>
          <w:color w:val="231F20"/>
          <w:sz w:val="20"/>
        </w:rPr>
        <w:t>Aboriginal Communities in that</w:t>
      </w:r>
      <w:r>
        <w:rPr>
          <w:color w:val="231F20"/>
          <w:spacing w:val="-1"/>
          <w:sz w:val="20"/>
        </w:rPr>
        <w:t> </w:t>
      </w:r>
      <w:r>
        <w:rPr>
          <w:color w:val="231F20"/>
          <w:sz w:val="20"/>
        </w:rPr>
        <w:t>role.</w:t>
      </w:r>
    </w:p>
    <w:p>
      <w:pPr>
        <w:spacing w:after="0" w:line="235" w:lineRule="auto"/>
        <w:jc w:val="left"/>
        <w:rPr>
          <w:sz w:val="20"/>
        </w:rPr>
        <w:sectPr>
          <w:pgSz w:w="11910" w:h="16840"/>
          <w:pgMar w:header="0" w:footer="558" w:top="1600" w:bottom="740" w:left="740" w:right="640"/>
        </w:sect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ListParagraph"/>
        <w:numPr>
          <w:ilvl w:val="1"/>
          <w:numId w:val="7"/>
        </w:numPr>
        <w:tabs>
          <w:tab w:pos="960" w:val="left" w:leader="none"/>
          <w:tab w:pos="961" w:val="left" w:leader="none"/>
        </w:tabs>
        <w:spacing w:line="240" w:lineRule="auto" w:before="100" w:after="0"/>
        <w:ind w:left="960" w:right="0" w:hanging="340"/>
        <w:jc w:val="left"/>
        <w:rPr>
          <w:sz w:val="20"/>
        </w:rPr>
      </w:pPr>
      <w:r>
        <w:rPr>
          <w:color w:val="231F20"/>
          <w:sz w:val="20"/>
        </w:rPr>
        <w:t>What do you see the role of your agency being in terms of working with Aboriginal</w:t>
      </w:r>
      <w:r>
        <w:rPr>
          <w:color w:val="231F20"/>
          <w:spacing w:val="-1"/>
          <w:sz w:val="20"/>
        </w:rPr>
        <w:t> </w:t>
      </w:r>
      <w:r>
        <w:rPr>
          <w:color w:val="231F20"/>
          <w:sz w:val="20"/>
        </w:rPr>
        <w:t>communities?</w:t>
      </w:r>
    </w:p>
    <w:p>
      <w:pPr>
        <w:pStyle w:val="BodyText"/>
        <w:spacing w:before="3"/>
        <w:rPr>
          <w:sz w:val="18"/>
        </w:rPr>
      </w:pPr>
    </w:p>
    <w:p>
      <w:pPr>
        <w:pStyle w:val="ListParagraph"/>
        <w:numPr>
          <w:ilvl w:val="0"/>
          <w:numId w:val="7"/>
        </w:numPr>
        <w:tabs>
          <w:tab w:pos="495" w:val="left" w:leader="none"/>
        </w:tabs>
        <w:spacing w:line="240" w:lineRule="auto" w:before="0" w:after="0"/>
        <w:ind w:left="494" w:right="0" w:hanging="214"/>
        <w:jc w:val="left"/>
        <w:rPr>
          <w:rFonts w:ascii="Helvetica"/>
          <w:b/>
          <w:sz w:val="20"/>
        </w:rPr>
      </w:pPr>
      <w:r>
        <w:rPr>
          <w:rFonts w:ascii="Helvetica"/>
          <w:b/>
          <w:color w:val="231F20"/>
          <w:sz w:val="20"/>
        </w:rPr>
        <w:t>Devolved Decision-Making / Current</w:t>
      </w:r>
      <w:r>
        <w:rPr>
          <w:rFonts w:ascii="Helvetica"/>
          <w:b/>
          <w:color w:val="231F20"/>
          <w:spacing w:val="-1"/>
          <w:sz w:val="20"/>
        </w:rPr>
        <w:t> </w:t>
      </w:r>
      <w:r>
        <w:rPr>
          <w:rFonts w:ascii="Helvetica"/>
          <w:b/>
          <w:color w:val="231F20"/>
          <w:sz w:val="20"/>
        </w:rPr>
        <w:t>practice</w:t>
      </w:r>
    </w:p>
    <w:p>
      <w:pPr>
        <w:spacing w:before="168"/>
        <w:ind w:left="507" w:right="0" w:firstLine="0"/>
        <w:jc w:val="left"/>
        <w:rPr>
          <w:sz w:val="20"/>
        </w:rPr>
      </w:pPr>
      <w:r>
        <w:rPr>
          <w:color w:val="231F20"/>
          <w:sz w:val="20"/>
        </w:rPr>
        <w:t>I'd like to talk about devolved decision making.</w:t>
      </w:r>
    </w:p>
    <w:p>
      <w:pPr>
        <w:spacing w:line="235" w:lineRule="auto" w:before="168"/>
        <w:ind w:left="507" w:right="450" w:firstLine="0"/>
        <w:jc w:val="left"/>
        <w:rPr>
          <w:sz w:val="20"/>
        </w:rPr>
      </w:pPr>
      <w:r>
        <w:rPr>
          <w:color w:val="231F20"/>
          <w:sz w:val="20"/>
        </w:rPr>
        <w:t>For the purposes of our research, we consider devolved decision-making to be the process through which an agency of control (such as a government department) deliberately relinquishes aspects of control over the organisations or functions for which it is responsible, in order for those organisations or functions to move further towards self-management.</w:t>
      </w:r>
    </w:p>
    <w:p>
      <w:pPr>
        <w:pStyle w:val="ListParagraph"/>
        <w:numPr>
          <w:ilvl w:val="1"/>
          <w:numId w:val="7"/>
        </w:numPr>
        <w:tabs>
          <w:tab w:pos="960" w:val="left" w:leader="none"/>
          <w:tab w:pos="961" w:val="left" w:leader="none"/>
        </w:tabs>
        <w:spacing w:line="235" w:lineRule="auto" w:before="167" w:after="0"/>
        <w:ind w:left="960" w:right="897" w:hanging="340"/>
        <w:jc w:val="left"/>
        <w:rPr>
          <w:sz w:val="20"/>
        </w:rPr>
      </w:pPr>
      <w:r>
        <w:rPr>
          <w:color w:val="231F20"/>
          <w:sz w:val="20"/>
        </w:rPr>
        <w:t>Have you been involved in the Aboriginal Affairs’ Aboriginal Communities Local Decision </w:t>
      </w:r>
      <w:r>
        <w:rPr>
          <w:color w:val="231F20"/>
          <w:spacing w:val="-3"/>
          <w:sz w:val="20"/>
        </w:rPr>
        <w:t>Making: </w:t>
      </w:r>
      <w:r>
        <w:rPr>
          <w:color w:val="231F20"/>
          <w:sz w:val="20"/>
        </w:rPr>
        <w:t>Policy and Operational Framework?</w:t>
      </w:r>
    </w:p>
    <w:p>
      <w:pPr>
        <w:pStyle w:val="ListParagraph"/>
        <w:numPr>
          <w:ilvl w:val="1"/>
          <w:numId w:val="7"/>
        </w:numPr>
        <w:tabs>
          <w:tab w:pos="960" w:val="left" w:leader="none"/>
          <w:tab w:pos="961" w:val="left" w:leader="none"/>
        </w:tabs>
        <w:spacing w:line="240" w:lineRule="auto" w:before="108" w:after="0"/>
        <w:ind w:left="960" w:right="0" w:hanging="340"/>
        <w:jc w:val="left"/>
        <w:rPr>
          <w:sz w:val="20"/>
        </w:rPr>
      </w:pPr>
      <w:r>
        <w:rPr>
          <w:color w:val="231F20"/>
          <w:sz w:val="20"/>
        </w:rPr>
        <w:t>What has been your involvement in that framework?</w:t>
      </w:r>
    </w:p>
    <w:p>
      <w:pPr>
        <w:pStyle w:val="ListParagraph"/>
        <w:numPr>
          <w:ilvl w:val="1"/>
          <w:numId w:val="7"/>
        </w:numPr>
        <w:tabs>
          <w:tab w:pos="960" w:val="left" w:leader="none"/>
          <w:tab w:pos="961" w:val="left" w:leader="none"/>
        </w:tabs>
        <w:spacing w:line="235" w:lineRule="auto" w:before="111" w:after="0"/>
        <w:ind w:left="960" w:right="540" w:hanging="340"/>
        <w:jc w:val="left"/>
        <w:rPr>
          <w:sz w:val="20"/>
        </w:rPr>
      </w:pPr>
      <w:r>
        <w:rPr>
          <w:color w:val="231F20"/>
          <w:sz w:val="20"/>
        </w:rPr>
        <w:t>Apart from the framework, have you or your staff had any experience in devolving decision-making </w:t>
      </w:r>
      <w:r>
        <w:rPr>
          <w:color w:val="231F20"/>
          <w:spacing w:val="-8"/>
          <w:sz w:val="20"/>
        </w:rPr>
        <w:t>to </w:t>
      </w:r>
      <w:r>
        <w:rPr>
          <w:color w:val="231F20"/>
          <w:sz w:val="20"/>
        </w:rPr>
        <w:t>Aboriginal communities or other community groups? If so, can you tell me about the</w:t>
      </w:r>
      <w:r>
        <w:rPr>
          <w:color w:val="231F20"/>
          <w:spacing w:val="-3"/>
          <w:sz w:val="20"/>
        </w:rPr>
        <w:t> </w:t>
      </w:r>
      <w:r>
        <w:rPr>
          <w:color w:val="231F20"/>
          <w:sz w:val="20"/>
        </w:rPr>
        <w:t>experience?</w:t>
      </w:r>
    </w:p>
    <w:p>
      <w:pPr>
        <w:pStyle w:val="ListParagraph"/>
        <w:numPr>
          <w:ilvl w:val="1"/>
          <w:numId w:val="7"/>
        </w:numPr>
        <w:tabs>
          <w:tab w:pos="960" w:val="left" w:leader="none"/>
          <w:tab w:pos="961" w:val="left" w:leader="none"/>
        </w:tabs>
        <w:spacing w:line="235" w:lineRule="auto" w:before="112" w:after="0"/>
        <w:ind w:left="960" w:right="551" w:hanging="340"/>
        <w:jc w:val="left"/>
        <w:rPr>
          <w:sz w:val="20"/>
        </w:rPr>
      </w:pPr>
      <w:r>
        <w:rPr>
          <w:color w:val="231F20"/>
          <w:sz w:val="20"/>
        </w:rPr>
        <w:t>Overall, from the public sector perspective, what do you consider to be the critical success factors </w:t>
      </w:r>
      <w:r>
        <w:rPr>
          <w:color w:val="231F20"/>
          <w:spacing w:val="-9"/>
          <w:sz w:val="20"/>
        </w:rPr>
        <w:t>in </w:t>
      </w:r>
      <w:r>
        <w:rPr>
          <w:color w:val="231F20"/>
          <w:sz w:val="20"/>
        </w:rPr>
        <w:t>devolving decision making to Aboriginal communities?</w:t>
      </w:r>
    </w:p>
    <w:p>
      <w:pPr>
        <w:pStyle w:val="ListParagraph"/>
        <w:numPr>
          <w:ilvl w:val="1"/>
          <w:numId w:val="7"/>
        </w:numPr>
        <w:tabs>
          <w:tab w:pos="960" w:val="left" w:leader="none"/>
          <w:tab w:pos="961" w:val="left" w:leader="none"/>
        </w:tabs>
        <w:spacing w:line="240" w:lineRule="auto" w:before="107" w:after="0"/>
        <w:ind w:left="960" w:right="0" w:hanging="340"/>
        <w:jc w:val="left"/>
        <w:rPr>
          <w:sz w:val="20"/>
        </w:rPr>
      </w:pPr>
      <w:r>
        <w:rPr>
          <w:color w:val="231F20"/>
          <w:sz w:val="20"/>
        </w:rPr>
        <w:t>What have been the public sector barriers?</w:t>
      </w:r>
    </w:p>
    <w:p>
      <w:pPr>
        <w:pStyle w:val="BodyText"/>
        <w:spacing w:before="4"/>
        <w:rPr>
          <w:sz w:val="18"/>
        </w:rPr>
      </w:pPr>
    </w:p>
    <w:p>
      <w:pPr>
        <w:pStyle w:val="ListParagraph"/>
        <w:numPr>
          <w:ilvl w:val="0"/>
          <w:numId w:val="7"/>
        </w:numPr>
        <w:tabs>
          <w:tab w:pos="495" w:val="left" w:leader="none"/>
        </w:tabs>
        <w:spacing w:line="240" w:lineRule="auto" w:before="0" w:after="0"/>
        <w:ind w:left="494" w:right="0" w:hanging="214"/>
        <w:jc w:val="left"/>
        <w:rPr>
          <w:rFonts w:ascii="Helvetica"/>
          <w:b/>
          <w:sz w:val="20"/>
        </w:rPr>
      </w:pPr>
      <w:r>
        <w:rPr>
          <w:rFonts w:ascii="Helvetica"/>
          <w:b/>
          <w:color w:val="231F20"/>
          <w:sz w:val="20"/>
        </w:rPr>
        <w:t>Structural Questions</w:t>
      </w:r>
    </w:p>
    <w:p>
      <w:pPr>
        <w:spacing w:line="235" w:lineRule="auto" w:before="172"/>
        <w:ind w:left="507" w:right="544" w:firstLine="0"/>
        <w:jc w:val="left"/>
        <w:rPr>
          <w:sz w:val="20"/>
        </w:rPr>
      </w:pPr>
      <w:r>
        <w:rPr>
          <w:color w:val="231F20"/>
          <w:sz w:val="20"/>
        </w:rPr>
        <w:t>I would now like to ask you some questions about the public sector structural frameworks that may help or hinder devolved decision-making.</w:t>
      </w:r>
    </w:p>
    <w:p>
      <w:pPr>
        <w:spacing w:line="235" w:lineRule="auto" w:before="168"/>
        <w:ind w:left="507" w:right="411" w:firstLine="0"/>
        <w:jc w:val="left"/>
        <w:rPr>
          <w:sz w:val="20"/>
        </w:rPr>
      </w:pPr>
      <w:r>
        <w:rPr>
          <w:color w:val="231F20"/>
          <w:sz w:val="20"/>
        </w:rPr>
        <w:t>Structural frameworks are the work roles and administrative mechanisms allowing organisations to conduct, coordinate and control their work.</w:t>
      </w:r>
    </w:p>
    <w:p>
      <w:pPr>
        <w:spacing w:line="235" w:lineRule="auto" w:before="168"/>
        <w:ind w:left="507" w:right="450" w:firstLine="0"/>
        <w:jc w:val="left"/>
        <w:rPr>
          <w:sz w:val="20"/>
        </w:rPr>
      </w:pPr>
      <w:r>
        <w:rPr>
          <w:color w:val="231F20"/>
          <w:sz w:val="20"/>
        </w:rPr>
        <w:t>They may be real or conceptual, e.g. regulations, delegations, resource allocation, networks, hierarchies, power, performance targets etc.</w:t>
      </w:r>
    </w:p>
    <w:p>
      <w:pPr>
        <w:pStyle w:val="ListParagraph"/>
        <w:numPr>
          <w:ilvl w:val="0"/>
          <w:numId w:val="8"/>
        </w:numPr>
        <w:tabs>
          <w:tab w:pos="960" w:val="left" w:leader="none"/>
          <w:tab w:pos="961" w:val="left" w:leader="none"/>
        </w:tabs>
        <w:spacing w:line="235" w:lineRule="auto" w:before="169" w:after="0"/>
        <w:ind w:left="960" w:right="507" w:hanging="340"/>
        <w:jc w:val="left"/>
        <w:rPr>
          <w:sz w:val="20"/>
        </w:rPr>
      </w:pPr>
      <w:r>
        <w:rPr>
          <w:color w:val="231F20"/>
          <w:sz w:val="20"/>
        </w:rPr>
        <w:t>From your perspective and within the context of structural frameworks, what have been the barriers </w:t>
      </w:r>
      <w:r>
        <w:rPr>
          <w:color w:val="231F20"/>
          <w:spacing w:val="-9"/>
          <w:sz w:val="20"/>
        </w:rPr>
        <w:t>to </w:t>
      </w:r>
      <w:r>
        <w:rPr>
          <w:color w:val="231F20"/>
          <w:sz w:val="20"/>
        </w:rPr>
        <w:t>devolved decision-making?</w:t>
      </w:r>
    </w:p>
    <w:p>
      <w:pPr>
        <w:pStyle w:val="ListParagraph"/>
        <w:numPr>
          <w:ilvl w:val="0"/>
          <w:numId w:val="8"/>
        </w:numPr>
        <w:tabs>
          <w:tab w:pos="960" w:val="left" w:leader="none"/>
          <w:tab w:pos="961" w:val="left" w:leader="none"/>
        </w:tabs>
        <w:spacing w:line="240" w:lineRule="auto" w:before="107" w:after="0"/>
        <w:ind w:left="960" w:right="0" w:hanging="340"/>
        <w:jc w:val="left"/>
        <w:rPr>
          <w:sz w:val="20"/>
        </w:rPr>
      </w:pPr>
      <w:r>
        <w:rPr>
          <w:color w:val="231F20"/>
          <w:sz w:val="20"/>
        </w:rPr>
        <w:t>What are the key ‘success factors’ required to support devolved</w:t>
      </w:r>
      <w:r>
        <w:rPr>
          <w:color w:val="231F20"/>
          <w:spacing w:val="-2"/>
          <w:sz w:val="20"/>
        </w:rPr>
        <w:t> </w:t>
      </w:r>
      <w:r>
        <w:rPr>
          <w:color w:val="231F20"/>
          <w:sz w:val="20"/>
        </w:rPr>
        <w:t>decision-making?</w:t>
      </w:r>
    </w:p>
    <w:p>
      <w:pPr>
        <w:pStyle w:val="ListParagraph"/>
        <w:numPr>
          <w:ilvl w:val="0"/>
          <w:numId w:val="8"/>
        </w:numPr>
        <w:tabs>
          <w:tab w:pos="960" w:val="left" w:leader="none"/>
          <w:tab w:pos="961" w:val="left" w:leader="none"/>
        </w:tabs>
        <w:spacing w:line="230" w:lineRule="auto" w:before="116" w:after="0"/>
        <w:ind w:left="960" w:right="640" w:hanging="340"/>
        <w:jc w:val="left"/>
        <w:rPr>
          <w:rFonts w:ascii="Helvetica-LightOblique" w:hAnsi="Helvetica-LightOblique"/>
          <w:i/>
          <w:sz w:val="20"/>
        </w:rPr>
      </w:pPr>
      <w:r>
        <w:rPr>
          <w:rFonts w:ascii="Helvetica-LightOblique" w:hAnsi="Helvetica-LightOblique"/>
          <w:i/>
          <w:color w:val="231F20"/>
          <w:sz w:val="20"/>
        </w:rPr>
        <w:t>Have public sector power structures (real or perceived) presented a challenge to devolved</w:t>
      </w:r>
      <w:r>
        <w:rPr>
          <w:rFonts w:ascii="Helvetica-LightOblique" w:hAnsi="Helvetica-LightOblique"/>
          <w:i/>
          <w:color w:val="231F20"/>
          <w:spacing w:val="-30"/>
          <w:sz w:val="20"/>
        </w:rPr>
        <w:t> </w:t>
      </w:r>
      <w:r>
        <w:rPr>
          <w:rFonts w:ascii="Helvetica-LightOblique" w:hAnsi="Helvetica-LightOblique"/>
          <w:i/>
          <w:color w:val="231F20"/>
          <w:sz w:val="20"/>
        </w:rPr>
        <w:t>decision making? If so, how?</w:t>
      </w:r>
    </w:p>
    <w:p>
      <w:pPr>
        <w:pStyle w:val="ListParagraph"/>
        <w:numPr>
          <w:ilvl w:val="0"/>
          <w:numId w:val="8"/>
        </w:numPr>
        <w:tabs>
          <w:tab w:pos="960" w:val="left" w:leader="none"/>
          <w:tab w:pos="961" w:val="left" w:leader="none"/>
        </w:tabs>
        <w:spacing w:line="240" w:lineRule="auto" w:before="105" w:after="0"/>
        <w:ind w:left="960" w:right="0" w:hanging="340"/>
        <w:jc w:val="left"/>
        <w:rPr>
          <w:sz w:val="20"/>
        </w:rPr>
      </w:pPr>
      <w:r>
        <w:rPr>
          <w:color w:val="231F20"/>
          <w:sz w:val="20"/>
        </w:rPr>
        <w:t>How are the private and not-for-profit sectors involved in partnership and governance</w:t>
      </w:r>
      <w:r>
        <w:rPr>
          <w:color w:val="231F20"/>
          <w:spacing w:val="-8"/>
          <w:sz w:val="20"/>
        </w:rPr>
        <w:t> </w:t>
      </w:r>
      <w:r>
        <w:rPr>
          <w:color w:val="231F20"/>
          <w:sz w:val="20"/>
        </w:rPr>
        <w:t>arrangements?</w:t>
      </w:r>
    </w:p>
    <w:p>
      <w:pPr>
        <w:pStyle w:val="ListParagraph"/>
        <w:numPr>
          <w:ilvl w:val="0"/>
          <w:numId w:val="8"/>
        </w:numPr>
        <w:tabs>
          <w:tab w:pos="960" w:val="left" w:leader="none"/>
          <w:tab w:pos="961" w:val="left" w:leader="none"/>
        </w:tabs>
        <w:spacing w:line="240" w:lineRule="auto" w:before="107" w:after="0"/>
        <w:ind w:left="960" w:right="0" w:hanging="340"/>
        <w:jc w:val="left"/>
        <w:rPr>
          <w:sz w:val="20"/>
        </w:rPr>
      </w:pPr>
      <w:r>
        <w:rPr>
          <w:color w:val="231F20"/>
          <w:sz w:val="20"/>
        </w:rPr>
        <w:t>Is any support provided to facilitate the participation of such organisations? What sort of</w:t>
      </w:r>
      <w:r>
        <w:rPr>
          <w:color w:val="231F20"/>
          <w:spacing w:val="3"/>
          <w:sz w:val="20"/>
        </w:rPr>
        <w:t> </w:t>
      </w:r>
      <w:r>
        <w:rPr>
          <w:color w:val="231F20"/>
          <w:sz w:val="20"/>
        </w:rPr>
        <w:t>support?</w:t>
      </w:r>
    </w:p>
    <w:p>
      <w:pPr>
        <w:pStyle w:val="BodyText"/>
        <w:spacing w:before="4"/>
        <w:rPr>
          <w:sz w:val="18"/>
        </w:rPr>
      </w:pPr>
    </w:p>
    <w:p>
      <w:pPr>
        <w:pStyle w:val="ListParagraph"/>
        <w:numPr>
          <w:ilvl w:val="0"/>
          <w:numId w:val="7"/>
        </w:numPr>
        <w:tabs>
          <w:tab w:pos="495" w:val="left" w:leader="none"/>
        </w:tabs>
        <w:spacing w:line="240" w:lineRule="auto" w:before="0" w:after="0"/>
        <w:ind w:left="494" w:right="0" w:hanging="214"/>
        <w:jc w:val="left"/>
        <w:rPr>
          <w:rFonts w:ascii="Helvetica"/>
          <w:b/>
          <w:sz w:val="20"/>
        </w:rPr>
      </w:pPr>
      <w:r>
        <w:rPr>
          <w:rFonts w:ascii="Helvetica"/>
          <w:b/>
          <w:color w:val="231F20"/>
          <w:sz w:val="20"/>
        </w:rPr>
        <w:t>Attitudinal Questions</w:t>
      </w:r>
    </w:p>
    <w:p>
      <w:pPr>
        <w:pStyle w:val="ListParagraph"/>
        <w:numPr>
          <w:ilvl w:val="1"/>
          <w:numId w:val="7"/>
        </w:numPr>
        <w:tabs>
          <w:tab w:pos="960" w:val="left" w:leader="none"/>
          <w:tab w:pos="961" w:val="left" w:leader="none"/>
        </w:tabs>
        <w:spacing w:line="235" w:lineRule="auto" w:before="172" w:after="0"/>
        <w:ind w:left="960" w:right="707" w:hanging="340"/>
        <w:jc w:val="left"/>
        <w:rPr>
          <w:sz w:val="20"/>
        </w:rPr>
      </w:pPr>
      <w:r>
        <w:rPr>
          <w:color w:val="231F20"/>
          <w:sz w:val="20"/>
        </w:rPr>
        <w:t>What attitudes, behaviours and ways of thinking within the public service have assisted or </w:t>
      </w:r>
      <w:r>
        <w:rPr>
          <w:color w:val="231F20"/>
          <w:spacing w:val="-4"/>
          <w:sz w:val="20"/>
        </w:rPr>
        <w:t>hindered </w:t>
      </w:r>
      <w:r>
        <w:rPr>
          <w:color w:val="231F20"/>
          <w:sz w:val="20"/>
        </w:rPr>
        <w:t>the process of devolved decision</w:t>
      </w:r>
      <w:r>
        <w:rPr>
          <w:color w:val="231F20"/>
          <w:spacing w:val="-1"/>
          <w:sz w:val="20"/>
        </w:rPr>
        <w:t> </w:t>
      </w:r>
      <w:r>
        <w:rPr>
          <w:color w:val="231F20"/>
          <w:sz w:val="20"/>
        </w:rPr>
        <w:t>making?</w:t>
      </w:r>
    </w:p>
    <w:p>
      <w:pPr>
        <w:pStyle w:val="ListParagraph"/>
        <w:numPr>
          <w:ilvl w:val="1"/>
          <w:numId w:val="7"/>
        </w:numPr>
        <w:tabs>
          <w:tab w:pos="960" w:val="left" w:leader="none"/>
          <w:tab w:pos="961" w:val="left" w:leader="none"/>
        </w:tabs>
        <w:spacing w:line="235" w:lineRule="auto" w:before="111" w:after="0"/>
        <w:ind w:left="960" w:right="696" w:hanging="340"/>
        <w:jc w:val="left"/>
        <w:rPr>
          <w:sz w:val="20"/>
        </w:rPr>
      </w:pPr>
      <w:r>
        <w:rPr>
          <w:color w:val="231F20"/>
          <w:sz w:val="20"/>
        </w:rPr>
        <w:t>What are some of the beliefs that non-Aboriginal public servants hold about working with Aboriginal communities?</w:t>
      </w:r>
    </w:p>
    <w:p>
      <w:pPr>
        <w:pStyle w:val="ListParagraph"/>
        <w:numPr>
          <w:ilvl w:val="1"/>
          <w:numId w:val="7"/>
        </w:numPr>
        <w:tabs>
          <w:tab w:pos="960" w:val="left" w:leader="none"/>
          <w:tab w:pos="961" w:val="left" w:leader="none"/>
        </w:tabs>
        <w:spacing w:line="240" w:lineRule="auto" w:before="108" w:after="0"/>
        <w:ind w:left="960" w:right="0" w:hanging="340"/>
        <w:jc w:val="left"/>
        <w:rPr>
          <w:sz w:val="20"/>
        </w:rPr>
      </w:pPr>
      <w:r>
        <w:rPr>
          <w:color w:val="231F20"/>
          <w:sz w:val="20"/>
        </w:rPr>
        <w:t>How do you think that this impacts on their work?</w:t>
      </w:r>
    </w:p>
    <w:p>
      <w:pPr>
        <w:pStyle w:val="ListParagraph"/>
        <w:numPr>
          <w:ilvl w:val="1"/>
          <w:numId w:val="7"/>
        </w:numPr>
        <w:tabs>
          <w:tab w:pos="960" w:val="left" w:leader="none"/>
          <w:tab w:pos="961" w:val="left" w:leader="none"/>
        </w:tabs>
        <w:spacing w:line="235" w:lineRule="auto" w:before="111" w:after="0"/>
        <w:ind w:left="960" w:right="867" w:hanging="340"/>
        <w:jc w:val="left"/>
        <w:rPr>
          <w:sz w:val="20"/>
        </w:rPr>
      </w:pPr>
      <w:r>
        <w:rPr>
          <w:color w:val="231F20"/>
          <w:sz w:val="20"/>
        </w:rPr>
        <w:t>What strategies might change attitudes and ways of thinking to better support devolved decision- making?</w:t>
      </w:r>
    </w:p>
    <w:p>
      <w:pPr>
        <w:pStyle w:val="ListParagraph"/>
        <w:numPr>
          <w:ilvl w:val="1"/>
          <w:numId w:val="7"/>
        </w:numPr>
        <w:tabs>
          <w:tab w:pos="960" w:val="left" w:leader="none"/>
          <w:tab w:pos="961" w:val="left" w:leader="none"/>
        </w:tabs>
        <w:spacing w:line="240" w:lineRule="auto" w:before="108" w:after="0"/>
        <w:ind w:left="960" w:right="0" w:hanging="340"/>
        <w:jc w:val="left"/>
        <w:rPr>
          <w:sz w:val="20"/>
        </w:rPr>
      </w:pPr>
      <w:r>
        <w:rPr>
          <w:color w:val="231F20"/>
          <w:sz w:val="20"/>
        </w:rPr>
        <w:t>Have you seen any examples of this?</w:t>
      </w:r>
    </w:p>
    <w:p>
      <w:pPr>
        <w:spacing w:after="0" w:line="240" w:lineRule="auto"/>
        <w:jc w:val="left"/>
        <w:rPr>
          <w:sz w:val="20"/>
        </w:rPr>
        <w:sectPr>
          <w:pgSz w:w="11910" w:h="16840"/>
          <w:pgMar w:header="0" w:footer="558" w:top="1600" w:bottom="740" w:left="740" w:right="640"/>
        </w:sect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ListParagraph"/>
        <w:numPr>
          <w:ilvl w:val="1"/>
          <w:numId w:val="7"/>
        </w:numPr>
        <w:tabs>
          <w:tab w:pos="960" w:val="left" w:leader="none"/>
          <w:tab w:pos="961" w:val="left" w:leader="none"/>
        </w:tabs>
        <w:spacing w:line="235" w:lineRule="auto" w:before="104" w:after="0"/>
        <w:ind w:left="960" w:right="410" w:hanging="340"/>
        <w:jc w:val="left"/>
        <w:rPr>
          <w:sz w:val="20"/>
        </w:rPr>
      </w:pPr>
      <w:r>
        <w:rPr>
          <w:color w:val="231F20"/>
          <w:sz w:val="20"/>
        </w:rPr>
        <w:t>In your experience are staff in your agency equipped to engage and negotiate with Aboriginal </w:t>
      </w:r>
      <w:r>
        <w:rPr>
          <w:color w:val="231F20"/>
          <w:spacing w:val="-3"/>
          <w:sz w:val="20"/>
        </w:rPr>
        <w:t>people? </w:t>
      </w:r>
      <w:r>
        <w:rPr>
          <w:color w:val="231F20"/>
          <w:sz w:val="20"/>
        </w:rPr>
        <w:t>Why or why not?</w:t>
      </w:r>
    </w:p>
    <w:p>
      <w:pPr>
        <w:pStyle w:val="BodyText"/>
        <w:spacing w:before="3"/>
        <w:rPr>
          <w:sz w:val="18"/>
        </w:rPr>
      </w:pPr>
    </w:p>
    <w:p>
      <w:pPr>
        <w:pStyle w:val="ListParagraph"/>
        <w:numPr>
          <w:ilvl w:val="0"/>
          <w:numId w:val="7"/>
        </w:numPr>
        <w:tabs>
          <w:tab w:pos="495" w:val="left" w:leader="none"/>
        </w:tabs>
        <w:spacing w:line="240" w:lineRule="auto" w:before="0" w:after="0"/>
        <w:ind w:left="494" w:right="0" w:hanging="214"/>
        <w:jc w:val="left"/>
        <w:rPr>
          <w:rFonts w:ascii="Helvetica"/>
          <w:b/>
          <w:sz w:val="20"/>
        </w:rPr>
      </w:pPr>
      <w:r>
        <w:rPr>
          <w:rFonts w:ascii="Helvetica"/>
          <w:b/>
          <w:color w:val="231F20"/>
          <w:sz w:val="20"/>
        </w:rPr>
        <w:t>Wrap-Up</w:t>
      </w:r>
    </w:p>
    <w:p>
      <w:pPr>
        <w:pStyle w:val="ListParagraph"/>
        <w:numPr>
          <w:ilvl w:val="1"/>
          <w:numId w:val="7"/>
        </w:numPr>
        <w:tabs>
          <w:tab w:pos="960" w:val="left" w:leader="none"/>
          <w:tab w:pos="961" w:val="left" w:leader="none"/>
        </w:tabs>
        <w:spacing w:line="235" w:lineRule="auto" w:before="172" w:after="0"/>
        <w:ind w:left="960" w:right="1218" w:hanging="340"/>
        <w:jc w:val="left"/>
        <w:rPr>
          <w:sz w:val="20"/>
        </w:rPr>
      </w:pPr>
      <w:r>
        <w:rPr>
          <w:color w:val="231F20"/>
          <w:sz w:val="20"/>
        </w:rPr>
        <w:t>Do you have any further comments to make or information that you feel would be useful to </w:t>
      </w:r>
      <w:r>
        <w:rPr>
          <w:color w:val="231F20"/>
          <w:spacing w:val="-6"/>
          <w:sz w:val="20"/>
        </w:rPr>
        <w:t>the </w:t>
      </w:r>
      <w:r>
        <w:rPr>
          <w:color w:val="231F20"/>
          <w:sz w:val="20"/>
        </w:rPr>
        <w:t>research?</w:t>
      </w:r>
    </w:p>
    <w:p>
      <w:pPr>
        <w:pStyle w:val="ListParagraph"/>
        <w:numPr>
          <w:ilvl w:val="1"/>
          <w:numId w:val="7"/>
        </w:numPr>
        <w:tabs>
          <w:tab w:pos="960" w:val="left" w:leader="none"/>
          <w:tab w:pos="961" w:val="left" w:leader="none"/>
        </w:tabs>
        <w:spacing w:line="240" w:lineRule="auto" w:before="108" w:after="0"/>
        <w:ind w:left="960" w:right="0" w:hanging="340"/>
        <w:jc w:val="left"/>
        <w:rPr>
          <w:sz w:val="20"/>
        </w:rPr>
      </w:pPr>
      <w:r>
        <w:rPr>
          <w:color w:val="231F20"/>
          <w:sz w:val="20"/>
        </w:rPr>
        <w:t>Thank the participant for their time.</w:t>
      </w:r>
    </w:p>
    <w:p>
      <w:pPr>
        <w:pStyle w:val="BodyText"/>
        <w:spacing w:before="3"/>
        <w:rPr>
          <w:sz w:val="18"/>
        </w:rPr>
      </w:pPr>
    </w:p>
    <w:p>
      <w:pPr>
        <w:spacing w:before="0"/>
        <w:ind w:left="280" w:right="0" w:firstLine="0"/>
        <w:jc w:val="left"/>
        <w:rPr>
          <w:rFonts w:ascii="Helvetica"/>
          <w:b/>
          <w:sz w:val="20"/>
        </w:rPr>
      </w:pPr>
      <w:r>
        <w:rPr>
          <w:rFonts w:ascii="Helvetica"/>
          <w:b/>
          <w:color w:val="231F20"/>
          <w:sz w:val="20"/>
        </w:rPr>
        <w:t>Probing Questions / Prompts</w:t>
      </w:r>
    </w:p>
    <w:p>
      <w:pPr>
        <w:spacing w:before="168"/>
        <w:ind w:left="620" w:right="0" w:firstLine="0"/>
        <w:jc w:val="left"/>
        <w:rPr>
          <w:rFonts w:ascii="Helvetica-LightOblique"/>
          <w:i/>
          <w:sz w:val="20"/>
        </w:rPr>
      </w:pPr>
      <w:r>
        <w:rPr>
          <w:rFonts w:ascii="Helvetica-LightOblique"/>
          <w:i/>
          <w:color w:val="231F20"/>
          <w:sz w:val="20"/>
        </w:rPr>
        <w:t>Probing for Clarity</w:t>
      </w:r>
    </w:p>
    <w:p>
      <w:pPr>
        <w:spacing w:before="103"/>
        <w:ind w:left="620" w:right="0" w:firstLine="0"/>
        <w:jc w:val="left"/>
        <w:rPr>
          <w:sz w:val="20"/>
        </w:rPr>
      </w:pPr>
      <w:r>
        <w:rPr>
          <w:color w:val="231F20"/>
          <w:sz w:val="20"/>
        </w:rPr>
        <w:t>What do you mean…..</w:t>
      </w:r>
    </w:p>
    <w:p>
      <w:pPr>
        <w:spacing w:line="345" w:lineRule="auto" w:before="108"/>
        <w:ind w:left="620" w:right="6477" w:firstLine="0"/>
        <w:jc w:val="left"/>
        <w:rPr>
          <w:sz w:val="20"/>
        </w:rPr>
      </w:pPr>
      <w:r>
        <w:rPr>
          <w:color w:val="231F20"/>
          <w:sz w:val="20"/>
        </w:rPr>
        <w:t>Could you be more specific about… Could you tell me a little more about… Can you give me an example?</w:t>
      </w:r>
    </w:p>
    <w:p>
      <w:pPr>
        <w:spacing w:line="244" w:lineRule="exact" w:before="0"/>
        <w:ind w:left="620" w:right="0" w:firstLine="0"/>
        <w:jc w:val="left"/>
        <w:rPr>
          <w:sz w:val="20"/>
        </w:rPr>
      </w:pPr>
      <w:r>
        <w:rPr>
          <w:color w:val="231F20"/>
          <w:sz w:val="20"/>
        </w:rPr>
        <w:t>What would that look like in practice?</w:t>
      </w:r>
    </w:p>
    <w:p>
      <w:pPr>
        <w:pStyle w:val="BodyText"/>
        <w:spacing w:before="12"/>
        <w:rPr>
          <w:sz w:val="17"/>
        </w:rPr>
      </w:pPr>
    </w:p>
    <w:p>
      <w:pPr>
        <w:spacing w:before="0"/>
        <w:ind w:left="620" w:right="0" w:firstLine="0"/>
        <w:jc w:val="left"/>
        <w:rPr>
          <w:rFonts w:ascii="Helvetica-LightOblique"/>
          <w:i/>
          <w:sz w:val="20"/>
        </w:rPr>
      </w:pPr>
      <w:r>
        <w:rPr>
          <w:rFonts w:ascii="Helvetica-LightOblique"/>
          <w:i/>
          <w:color w:val="231F20"/>
          <w:sz w:val="20"/>
        </w:rPr>
        <w:t>Probing for additional</w:t>
      </w:r>
      <w:r>
        <w:rPr>
          <w:rFonts w:ascii="Helvetica-LightOblique"/>
          <w:i/>
          <w:color w:val="231F20"/>
          <w:spacing w:val="-1"/>
          <w:sz w:val="20"/>
        </w:rPr>
        <w:t> </w:t>
      </w:r>
      <w:r>
        <w:rPr>
          <w:rFonts w:ascii="Helvetica-LightOblique"/>
          <w:i/>
          <w:color w:val="231F20"/>
          <w:sz w:val="20"/>
        </w:rPr>
        <w:t>information</w:t>
      </w:r>
    </w:p>
    <w:p>
      <w:pPr>
        <w:spacing w:line="345" w:lineRule="auto" w:before="103"/>
        <w:ind w:left="620" w:right="6097" w:firstLine="0"/>
        <w:jc w:val="left"/>
        <w:rPr>
          <w:sz w:val="20"/>
        </w:rPr>
      </w:pPr>
      <w:r>
        <w:rPr>
          <w:color w:val="231F20"/>
          <w:sz w:val="20"/>
        </w:rPr>
        <w:t>What else worked well/didn’t work </w:t>
      </w:r>
      <w:r>
        <w:rPr>
          <w:color w:val="231F20"/>
          <w:spacing w:val="-4"/>
          <w:sz w:val="20"/>
        </w:rPr>
        <w:t>well? </w:t>
      </w:r>
      <w:r>
        <w:rPr>
          <w:color w:val="231F20"/>
          <w:sz w:val="20"/>
        </w:rPr>
        <w:t>Can you tell me more about</w:t>
      </w:r>
      <w:r>
        <w:rPr>
          <w:color w:val="231F20"/>
          <w:spacing w:val="-2"/>
          <w:sz w:val="20"/>
        </w:rPr>
        <w:t> </w:t>
      </w:r>
      <w:r>
        <w:rPr>
          <w:color w:val="231F20"/>
          <w:sz w:val="20"/>
        </w:rPr>
        <w:t>that?</w:t>
      </w:r>
    </w:p>
    <w:p>
      <w:pPr>
        <w:spacing w:after="0" w:line="345" w:lineRule="auto"/>
        <w:jc w:val="left"/>
        <w:rPr>
          <w:sz w:val="20"/>
        </w:rPr>
        <w:sectPr>
          <w:pgSz w:w="11910" w:h="16840"/>
          <w:pgMar w:header="0" w:footer="558" w:top="1600" w:bottom="740" w:left="740" w:right="640"/>
        </w:sect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Heading2"/>
        <w:spacing w:before="56"/>
      </w:pPr>
      <w:r>
        <w:rPr>
          <w:color w:val="358384"/>
        </w:rPr>
        <w:t>Appendix V: Focus Group Schedule</w:t>
      </w:r>
    </w:p>
    <w:p>
      <w:pPr>
        <w:spacing w:line="235" w:lineRule="auto" w:before="162"/>
        <w:ind w:left="280" w:right="431" w:firstLine="0"/>
        <w:jc w:val="left"/>
        <w:rPr>
          <w:sz w:val="20"/>
        </w:rPr>
      </w:pPr>
      <w:r>
        <w:rPr>
          <w:color w:val="231F20"/>
          <w:sz w:val="20"/>
        </w:rPr>
        <w:t>Note to facilitators: Instructions to facilitators are in standard print. Questions to read out are in bold. Prompts are also provided, to be read out if and when needed (for example, if people do not understand a question, </w:t>
      </w:r>
      <w:r>
        <w:rPr>
          <w:color w:val="231F20"/>
          <w:spacing w:val="-8"/>
          <w:sz w:val="20"/>
        </w:rPr>
        <w:t>or </w:t>
      </w:r>
      <w:r>
        <w:rPr>
          <w:color w:val="231F20"/>
          <w:sz w:val="20"/>
        </w:rPr>
        <w:t>to help encourage further discussion).</w:t>
      </w:r>
    </w:p>
    <w:p>
      <w:pPr>
        <w:pStyle w:val="BodyText"/>
        <w:spacing w:before="11"/>
      </w:pPr>
    </w:p>
    <w:p>
      <w:pPr>
        <w:spacing w:before="0"/>
        <w:ind w:left="280" w:right="0" w:firstLine="0"/>
        <w:jc w:val="left"/>
        <w:rPr>
          <w:rFonts w:ascii="Helvetica"/>
          <w:b/>
          <w:sz w:val="20"/>
        </w:rPr>
      </w:pPr>
      <w:r>
        <w:rPr>
          <w:rFonts w:ascii="Helvetica"/>
          <w:b/>
          <w:color w:val="231F20"/>
          <w:sz w:val="20"/>
        </w:rPr>
        <w:t>Running the Focus Group</w:t>
      </w:r>
      <w:r>
        <w:rPr>
          <w:rFonts w:ascii="Helvetica"/>
          <w:b/>
          <w:color w:val="231F20"/>
          <w:spacing w:val="-5"/>
          <w:sz w:val="20"/>
        </w:rPr>
        <w:t> </w:t>
      </w:r>
      <w:r>
        <w:rPr>
          <w:rFonts w:ascii="Helvetica"/>
          <w:b/>
          <w:color w:val="231F20"/>
          <w:sz w:val="20"/>
        </w:rPr>
        <w:t>Sessions</w:t>
      </w:r>
    </w:p>
    <w:p>
      <w:pPr>
        <w:spacing w:before="168"/>
        <w:ind w:left="280" w:right="0" w:firstLine="0"/>
        <w:jc w:val="left"/>
        <w:rPr>
          <w:sz w:val="20"/>
        </w:rPr>
      </w:pPr>
      <w:r>
        <w:rPr>
          <w:color w:val="231F20"/>
          <w:sz w:val="20"/>
        </w:rPr>
        <w:t>Please refer back to these notes just before the group is due to meet to refresh your memory.</w:t>
      </w:r>
    </w:p>
    <w:p>
      <w:pPr>
        <w:spacing w:line="235" w:lineRule="auto" w:before="168"/>
        <w:ind w:left="280" w:right="0" w:firstLine="0"/>
        <w:jc w:val="left"/>
        <w:rPr>
          <w:sz w:val="20"/>
        </w:rPr>
      </w:pPr>
      <w:r>
        <w:rPr>
          <w:color w:val="231F20"/>
          <w:sz w:val="20"/>
        </w:rPr>
        <w:t>Two people will facilitate the sessions - one to lead the session, the other to take notes and make sure the recording equipment is running properly.</w:t>
      </w:r>
    </w:p>
    <w:p>
      <w:pPr>
        <w:spacing w:before="164"/>
        <w:ind w:left="280" w:right="0" w:firstLine="0"/>
        <w:jc w:val="left"/>
        <w:rPr>
          <w:sz w:val="20"/>
        </w:rPr>
      </w:pPr>
      <w:r>
        <w:rPr>
          <w:color w:val="231F20"/>
          <w:sz w:val="20"/>
        </w:rPr>
        <w:t>You should try to get everyone involved in the discussion. You need to record both majority and minority views.</w:t>
      </w:r>
    </w:p>
    <w:p>
      <w:pPr>
        <w:pStyle w:val="BodyText"/>
        <w:spacing w:before="11"/>
      </w:pPr>
    </w:p>
    <w:p>
      <w:pPr>
        <w:spacing w:before="0"/>
        <w:ind w:left="280" w:right="0" w:firstLine="0"/>
        <w:jc w:val="left"/>
        <w:rPr>
          <w:rFonts w:ascii="Helvetica"/>
          <w:b/>
          <w:sz w:val="20"/>
        </w:rPr>
      </w:pPr>
      <w:r>
        <w:rPr>
          <w:rFonts w:ascii="Helvetica"/>
          <w:b/>
          <w:color w:val="231F20"/>
          <w:sz w:val="20"/>
        </w:rPr>
        <w:t>Before the group assembles</w:t>
      </w:r>
    </w:p>
    <w:p>
      <w:pPr>
        <w:spacing w:before="168"/>
        <w:ind w:left="280" w:right="0" w:firstLine="0"/>
        <w:jc w:val="left"/>
        <w:rPr>
          <w:sz w:val="20"/>
        </w:rPr>
      </w:pPr>
      <w:r>
        <w:rPr>
          <w:color w:val="231F20"/>
          <w:sz w:val="20"/>
        </w:rPr>
        <w:t>Test the recording equipment to make sure it is working and that the sound is recording at an acceptable level.</w:t>
      </w:r>
    </w:p>
    <w:p>
      <w:pPr>
        <w:spacing w:line="235" w:lineRule="auto" w:before="168"/>
        <w:ind w:left="280" w:right="782" w:firstLine="0"/>
        <w:jc w:val="left"/>
        <w:rPr>
          <w:sz w:val="20"/>
        </w:rPr>
      </w:pPr>
      <w:r>
        <w:rPr>
          <w:color w:val="231F20"/>
          <w:sz w:val="20"/>
        </w:rPr>
        <w:t>Ensure you have any paperwork ready before the participants arrive, e.g. notes and Participation Consent Forms (see below).</w:t>
      </w:r>
    </w:p>
    <w:p>
      <w:pPr>
        <w:pStyle w:val="BodyText"/>
        <w:spacing w:before="11"/>
      </w:pPr>
    </w:p>
    <w:p>
      <w:pPr>
        <w:spacing w:before="0"/>
        <w:ind w:left="280" w:right="0" w:firstLine="0"/>
        <w:jc w:val="left"/>
        <w:rPr>
          <w:rFonts w:ascii="Helvetica"/>
          <w:b/>
          <w:sz w:val="20"/>
        </w:rPr>
      </w:pPr>
      <w:r>
        <w:rPr>
          <w:rFonts w:ascii="Helvetica"/>
          <w:b/>
          <w:color w:val="231F20"/>
          <w:sz w:val="20"/>
        </w:rPr>
        <w:t>Preparing to start the session</w:t>
      </w:r>
    </w:p>
    <w:p>
      <w:pPr>
        <w:spacing w:before="168"/>
        <w:ind w:left="280" w:right="0" w:firstLine="0"/>
        <w:jc w:val="left"/>
        <w:rPr>
          <w:sz w:val="20"/>
        </w:rPr>
      </w:pPr>
      <w:r>
        <w:rPr>
          <w:color w:val="231F20"/>
          <w:sz w:val="20"/>
        </w:rPr>
        <w:t>As people assemble try to offer them some refreshment.</w:t>
      </w:r>
    </w:p>
    <w:p>
      <w:pPr>
        <w:spacing w:line="235" w:lineRule="auto" w:before="168"/>
        <w:ind w:left="280" w:right="375" w:firstLine="0"/>
        <w:jc w:val="left"/>
        <w:rPr>
          <w:sz w:val="20"/>
        </w:rPr>
      </w:pPr>
      <w:r>
        <w:rPr>
          <w:color w:val="231F20"/>
          <w:sz w:val="20"/>
        </w:rPr>
        <w:t>Once people are settled, check with the group whether they all know each </w:t>
      </w:r>
      <w:r>
        <w:rPr>
          <w:color w:val="231F20"/>
          <w:spacing w:val="-4"/>
          <w:sz w:val="20"/>
        </w:rPr>
        <w:t>other. </w:t>
      </w:r>
      <w:r>
        <w:rPr>
          <w:color w:val="231F20"/>
          <w:sz w:val="20"/>
        </w:rPr>
        <w:t>If not, start by going round the group and getting everyone to introduce themselves. For your own convenience it helps to draw a ‘map’ of where everyone is sitting. </w:t>
      </w:r>
      <w:r>
        <w:rPr>
          <w:color w:val="231F20"/>
          <w:spacing w:val="-7"/>
          <w:sz w:val="20"/>
        </w:rPr>
        <w:t>You </w:t>
      </w:r>
      <w:r>
        <w:rPr>
          <w:color w:val="231F20"/>
          <w:sz w:val="20"/>
        </w:rPr>
        <w:t>may not be able to do this if the group all know one another beforehand, but </w:t>
      </w:r>
      <w:r>
        <w:rPr>
          <w:color w:val="231F20"/>
          <w:spacing w:val="-5"/>
          <w:sz w:val="20"/>
        </w:rPr>
        <w:t>you </w:t>
      </w:r>
      <w:r>
        <w:rPr>
          <w:color w:val="231F20"/>
          <w:sz w:val="20"/>
        </w:rPr>
        <w:t>can develop it as the session proceeds.</w:t>
      </w:r>
    </w:p>
    <w:p>
      <w:pPr>
        <w:spacing w:before="163"/>
        <w:ind w:left="280" w:right="0" w:firstLine="0"/>
        <w:jc w:val="left"/>
        <w:rPr>
          <w:sz w:val="20"/>
        </w:rPr>
      </w:pPr>
      <w:r>
        <w:rPr>
          <w:color w:val="231F20"/>
          <w:sz w:val="20"/>
        </w:rPr>
        <w:t>Make sure that everyone is comfortable before you start and that everyone can see each other.</w:t>
      </w:r>
    </w:p>
    <w:p>
      <w:pPr>
        <w:pStyle w:val="BodyText"/>
        <w:spacing w:before="10"/>
      </w:pPr>
    </w:p>
    <w:p>
      <w:pPr>
        <w:spacing w:before="1"/>
        <w:ind w:left="280" w:right="0" w:firstLine="0"/>
        <w:jc w:val="left"/>
        <w:rPr>
          <w:rFonts w:ascii="Helvetica"/>
          <w:b/>
          <w:sz w:val="20"/>
        </w:rPr>
      </w:pPr>
      <w:r>
        <w:rPr>
          <w:rFonts w:ascii="Helvetica"/>
          <w:b/>
          <w:color w:val="231F20"/>
          <w:sz w:val="20"/>
        </w:rPr>
        <w:t>Logistics and Introductions</w:t>
      </w:r>
    </w:p>
    <w:p>
      <w:pPr>
        <w:spacing w:before="167"/>
        <w:ind w:left="280" w:right="0" w:firstLine="0"/>
        <w:jc w:val="left"/>
        <w:rPr>
          <w:sz w:val="20"/>
        </w:rPr>
      </w:pPr>
      <w:r>
        <w:rPr>
          <w:color w:val="231F20"/>
          <w:sz w:val="20"/>
        </w:rPr>
        <w:t>Facilitators – introduce yourselves.</w:t>
      </w:r>
    </w:p>
    <w:p>
      <w:pPr>
        <w:spacing w:line="290" w:lineRule="auto" w:before="51"/>
        <w:ind w:left="280" w:right="5327" w:firstLine="0"/>
        <w:jc w:val="left"/>
        <w:rPr>
          <w:sz w:val="20"/>
        </w:rPr>
      </w:pPr>
      <w:r>
        <w:rPr>
          <w:color w:val="231F20"/>
          <w:sz w:val="20"/>
        </w:rPr>
        <w:t>Explain duration of the session – no more than 2 hours. WHS – location of toilets and fire exits, drinks etc.</w:t>
      </w:r>
    </w:p>
    <w:p>
      <w:pPr>
        <w:pStyle w:val="BodyText"/>
        <w:spacing w:before="8"/>
        <w:rPr>
          <w:sz w:val="18"/>
        </w:rPr>
      </w:pPr>
    </w:p>
    <w:p>
      <w:pPr>
        <w:spacing w:before="0"/>
        <w:ind w:left="280" w:right="0" w:firstLine="0"/>
        <w:jc w:val="left"/>
        <w:rPr>
          <w:rFonts w:ascii="Helvetica"/>
          <w:b/>
          <w:sz w:val="20"/>
        </w:rPr>
      </w:pPr>
      <w:r>
        <w:rPr>
          <w:rFonts w:ascii="Helvetica"/>
          <w:b/>
          <w:color w:val="231F20"/>
          <w:sz w:val="20"/>
        </w:rPr>
        <w:t>Acknowledgement of Country</w:t>
      </w:r>
    </w:p>
    <w:p>
      <w:pPr>
        <w:spacing w:line="230" w:lineRule="auto" w:before="176"/>
        <w:ind w:left="280" w:right="837" w:firstLine="0"/>
        <w:jc w:val="left"/>
        <w:rPr>
          <w:rFonts w:ascii="Helvetica-LightOblique"/>
          <w:i/>
          <w:sz w:val="20"/>
        </w:rPr>
      </w:pPr>
      <w:r>
        <w:rPr>
          <w:rFonts w:ascii="Helvetica-LightOblique"/>
          <w:i/>
          <w:color w:val="231F20"/>
          <w:sz w:val="20"/>
        </w:rPr>
        <w:t>Thank you for welcoming us here today. I respectfully acknowledge Traditional Custodians of this land on which we are meeting, the &lt;</w:t>
      </w:r>
      <w:r>
        <w:rPr>
          <w:rFonts w:ascii="Helvetica-BoldOblique"/>
          <w:b/>
          <w:i/>
          <w:color w:val="231F20"/>
          <w:sz w:val="20"/>
        </w:rPr>
        <w:t>name</w:t>
      </w:r>
      <w:r>
        <w:rPr>
          <w:rFonts w:ascii="Helvetica-LightOblique"/>
          <w:i/>
          <w:color w:val="231F20"/>
          <w:sz w:val="20"/>
        </w:rPr>
        <w:t>&gt; people and pay my respects to Elders past and present.</w:t>
      </w:r>
    </w:p>
    <w:p>
      <w:pPr>
        <w:spacing w:before="161"/>
        <w:ind w:left="280" w:right="0" w:firstLine="0"/>
        <w:jc w:val="left"/>
        <w:rPr>
          <w:sz w:val="20"/>
        </w:rPr>
      </w:pPr>
      <w:r>
        <w:rPr>
          <w:color w:val="231F20"/>
          <w:sz w:val="20"/>
        </w:rPr>
        <w:t>Dubbo – Wiradjuri People</w:t>
      </w:r>
    </w:p>
    <w:p>
      <w:pPr>
        <w:spacing w:before="164"/>
        <w:ind w:left="280" w:right="0" w:firstLine="0"/>
        <w:jc w:val="left"/>
        <w:rPr>
          <w:sz w:val="20"/>
        </w:rPr>
      </w:pPr>
      <w:r>
        <w:rPr>
          <w:color w:val="231F20"/>
          <w:sz w:val="20"/>
        </w:rPr>
        <w:t>Coffs Harbour – Gumbaynggirr People (pronounced Goom-bang-gear)</w:t>
      </w:r>
    </w:p>
    <w:p>
      <w:pPr>
        <w:pStyle w:val="BodyText"/>
        <w:spacing w:before="11"/>
      </w:pPr>
    </w:p>
    <w:p>
      <w:pPr>
        <w:spacing w:before="0"/>
        <w:ind w:left="280" w:right="0" w:firstLine="0"/>
        <w:jc w:val="left"/>
        <w:rPr>
          <w:rFonts w:ascii="Helvetica"/>
          <w:b/>
          <w:sz w:val="20"/>
        </w:rPr>
      </w:pPr>
      <w:r>
        <w:rPr>
          <w:rFonts w:ascii="Helvetica"/>
          <w:b/>
          <w:color w:val="231F20"/>
          <w:sz w:val="20"/>
        </w:rPr>
        <w:t>Introduction to the session</w:t>
      </w:r>
    </w:p>
    <w:p>
      <w:pPr>
        <w:spacing w:line="235" w:lineRule="auto" w:before="172"/>
        <w:ind w:left="280" w:right="849" w:firstLine="0"/>
        <w:jc w:val="left"/>
        <w:rPr>
          <w:sz w:val="20"/>
        </w:rPr>
      </w:pPr>
      <w:r>
        <w:rPr>
          <w:color w:val="231F20"/>
          <w:sz w:val="20"/>
        </w:rPr>
        <w:t>We are very grateful to you all for sparing time to talk about what devolving decision making to Aboriginal communities.</w:t>
      </w:r>
    </w:p>
    <w:p>
      <w:pPr>
        <w:spacing w:line="235" w:lineRule="auto" w:before="168"/>
        <w:ind w:left="280" w:right="211" w:firstLine="0"/>
        <w:jc w:val="left"/>
        <w:rPr>
          <w:sz w:val="20"/>
        </w:rPr>
      </w:pPr>
      <w:r>
        <w:rPr>
          <w:color w:val="231F20"/>
          <w:sz w:val="20"/>
        </w:rPr>
        <w:t>Our work-based project is part of the core curriculum of the Executive Masters of Public Administration (EMPA) of the Australian and New Zealand School of Government (ANZSOG). This project will explore how the NSW public service can support devolved decision making in Aboriginal communities. It is sponsored by Aboriginal</w:t>
      </w:r>
    </w:p>
    <w:p>
      <w:pPr>
        <w:spacing w:after="0" w:line="235" w:lineRule="auto"/>
        <w:jc w:val="left"/>
        <w:rPr>
          <w:sz w:val="20"/>
        </w:rPr>
        <w:sectPr>
          <w:pgSz w:w="11910" w:h="16840"/>
          <w:pgMar w:header="0" w:footer="558" w:top="1600" w:bottom="740" w:left="740" w:right="640"/>
        </w:sect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line="235" w:lineRule="auto" w:before="104"/>
        <w:ind w:left="287" w:right="585" w:firstLine="0"/>
        <w:jc w:val="left"/>
        <w:rPr>
          <w:sz w:val="20"/>
        </w:rPr>
      </w:pPr>
      <w:r>
        <w:rPr>
          <w:color w:val="231F20"/>
          <w:sz w:val="20"/>
        </w:rPr>
        <w:t>Affairs NSW and could be used by the agency to inform the development of policy options in this area in the future.</w:t>
      </w:r>
    </w:p>
    <w:p>
      <w:pPr>
        <w:spacing w:line="235" w:lineRule="auto" w:before="168"/>
        <w:ind w:left="287" w:right="0" w:firstLine="0"/>
        <w:jc w:val="left"/>
        <w:rPr>
          <w:sz w:val="20"/>
        </w:rPr>
      </w:pPr>
      <w:r>
        <w:rPr>
          <w:color w:val="231F20"/>
          <w:sz w:val="20"/>
        </w:rPr>
        <w:t>Your participation in this focus group will help us better understand structures and ways of thinking in the NSW public service that might help to support devolved decision making in Aboriginal communities.</w:t>
      </w:r>
    </w:p>
    <w:p>
      <w:pPr>
        <w:pStyle w:val="BodyText"/>
        <w:spacing w:before="11"/>
      </w:pPr>
    </w:p>
    <w:p>
      <w:pPr>
        <w:spacing w:before="0"/>
        <w:ind w:left="287" w:right="0" w:firstLine="0"/>
        <w:jc w:val="left"/>
        <w:rPr>
          <w:rFonts w:ascii="Helvetica"/>
          <w:b/>
          <w:sz w:val="20"/>
        </w:rPr>
      </w:pPr>
      <w:r>
        <w:rPr>
          <w:rFonts w:ascii="Helvetica"/>
          <w:b/>
          <w:color w:val="231F20"/>
          <w:sz w:val="20"/>
        </w:rPr>
        <w:t>Read out the statement on confidentiality</w:t>
      </w:r>
    </w:p>
    <w:p>
      <w:pPr>
        <w:spacing w:line="235" w:lineRule="auto" w:before="172"/>
        <w:ind w:left="287" w:right="646" w:firstLine="0"/>
        <w:jc w:val="both"/>
        <w:rPr>
          <w:sz w:val="20"/>
        </w:rPr>
      </w:pPr>
      <w:r>
        <w:rPr>
          <w:color w:val="231F20"/>
          <w:sz w:val="20"/>
        </w:rPr>
        <w:t>We are very keen to hear from all of you and want everyone to feel comfortable to provide their views, ideas and suggestions.</w:t>
      </w:r>
      <w:r>
        <w:rPr>
          <w:color w:val="231F20"/>
          <w:spacing w:val="55"/>
          <w:sz w:val="20"/>
        </w:rPr>
        <w:t> </w:t>
      </w:r>
      <w:r>
        <w:rPr>
          <w:color w:val="231F20"/>
          <w:sz w:val="20"/>
        </w:rPr>
        <w:t>There are no right or wrong responses to the questions and issues that we will be </w:t>
      </w:r>
      <w:r>
        <w:rPr>
          <w:color w:val="231F20"/>
          <w:spacing w:val="-3"/>
          <w:sz w:val="20"/>
        </w:rPr>
        <w:t>asking </w:t>
      </w:r>
      <w:r>
        <w:rPr>
          <w:color w:val="231F20"/>
          <w:sz w:val="20"/>
        </w:rPr>
        <w:t>you to </w:t>
      </w:r>
      <w:r>
        <w:rPr>
          <w:color w:val="231F20"/>
          <w:spacing w:val="-3"/>
          <w:sz w:val="20"/>
        </w:rPr>
        <w:t>consider. </w:t>
      </w:r>
      <w:r>
        <w:rPr>
          <w:color w:val="231F20"/>
          <w:spacing w:val="-5"/>
          <w:sz w:val="20"/>
        </w:rPr>
        <w:t>Your </w:t>
      </w:r>
      <w:r>
        <w:rPr>
          <w:color w:val="231F20"/>
          <w:sz w:val="20"/>
        </w:rPr>
        <w:t>honest thoughts and opinions is what we want.</w:t>
      </w:r>
    </w:p>
    <w:p>
      <w:pPr>
        <w:spacing w:before="163"/>
        <w:ind w:left="287" w:right="0" w:firstLine="0"/>
        <w:jc w:val="left"/>
        <w:rPr>
          <w:sz w:val="20"/>
        </w:rPr>
      </w:pPr>
      <w:r>
        <w:rPr>
          <w:color w:val="231F20"/>
          <w:sz w:val="20"/>
        </w:rPr>
        <w:t>Chatham House rules apply, so we would like the issues discussed today to stay within this group.</w:t>
      </w:r>
    </w:p>
    <w:p>
      <w:pPr>
        <w:spacing w:line="235" w:lineRule="auto" w:before="168"/>
        <w:ind w:left="287" w:right="637" w:firstLine="0"/>
        <w:jc w:val="left"/>
        <w:rPr>
          <w:sz w:val="20"/>
        </w:rPr>
      </w:pPr>
      <w:r>
        <w:rPr>
          <w:color w:val="231F20"/>
          <w:sz w:val="20"/>
        </w:rPr>
        <w:t>Confidentiality The focus group is for the purpose of this project </w:t>
      </w:r>
      <w:r>
        <w:rPr>
          <w:color w:val="231F20"/>
          <w:spacing w:val="-4"/>
          <w:sz w:val="20"/>
        </w:rPr>
        <w:t>only. </w:t>
      </w:r>
      <w:r>
        <w:rPr>
          <w:color w:val="231F20"/>
          <w:sz w:val="20"/>
        </w:rPr>
        <w:t>The information you provide in the session (and in the final report) will be strictly confidential. Individual names and other personal identifiers will not be used (unless you give explicit approval for this). Recording With your permission, we would like to audio-tape and take notes during the session. The recording is to accurately record the information you provide, and will be used for transcription purposes </w:t>
      </w:r>
      <w:r>
        <w:rPr>
          <w:color w:val="231F20"/>
          <w:spacing w:val="-4"/>
          <w:sz w:val="20"/>
        </w:rPr>
        <w:t>only. </w:t>
      </w:r>
      <w:r>
        <w:rPr>
          <w:color w:val="231F20"/>
          <w:sz w:val="20"/>
        </w:rPr>
        <w:t>The audio-tape will be destroyed once research </w:t>
      </w:r>
      <w:r>
        <w:rPr>
          <w:color w:val="231F20"/>
          <w:spacing w:val="-8"/>
          <w:sz w:val="20"/>
        </w:rPr>
        <w:t>is </w:t>
      </w:r>
      <w:r>
        <w:rPr>
          <w:color w:val="231F20"/>
          <w:sz w:val="20"/>
        </w:rPr>
        <w:t>completed.</w:t>
      </w:r>
    </w:p>
    <w:p>
      <w:pPr>
        <w:spacing w:before="161"/>
        <w:ind w:left="287" w:right="0" w:firstLine="0"/>
        <w:jc w:val="left"/>
        <w:rPr>
          <w:sz w:val="20"/>
        </w:rPr>
      </w:pPr>
      <w:r>
        <w:rPr>
          <w:color w:val="231F20"/>
          <w:sz w:val="20"/>
        </w:rPr>
        <w:t>If people would prefer to discuss their ideas in a one-on-one interview, then we can organise this.</w:t>
      </w:r>
    </w:p>
    <w:p>
      <w:pPr>
        <w:spacing w:before="164"/>
        <w:ind w:left="287" w:right="0" w:firstLine="0"/>
        <w:jc w:val="left"/>
        <w:rPr>
          <w:rFonts w:ascii="Helvetica-LightOblique" w:hAnsi="Helvetica-LightOblique"/>
          <w:i/>
          <w:sz w:val="20"/>
        </w:rPr>
      </w:pPr>
      <w:r>
        <w:rPr>
          <w:rFonts w:ascii="Helvetica-LightOblique" w:hAnsi="Helvetica-LightOblique"/>
          <w:i/>
          <w:color w:val="231F20"/>
          <w:sz w:val="20"/>
        </w:rPr>
        <w:t>Ask participants to complete consent forms if they haven’t already.</w:t>
      </w:r>
    </w:p>
    <w:p>
      <w:pPr>
        <w:pStyle w:val="BodyText"/>
        <w:spacing w:before="1"/>
        <w:rPr>
          <w:rFonts w:ascii="Helvetica-LightOblique"/>
          <w:i/>
        </w:rPr>
      </w:pPr>
    </w:p>
    <w:p>
      <w:pPr>
        <w:spacing w:before="1"/>
        <w:ind w:left="287" w:right="0" w:firstLine="0"/>
        <w:jc w:val="left"/>
        <w:rPr>
          <w:rFonts w:ascii="Helvetica"/>
          <w:b/>
          <w:sz w:val="20"/>
        </w:rPr>
      </w:pPr>
      <w:r>
        <w:rPr>
          <w:rFonts w:ascii="Helvetica"/>
          <w:b/>
          <w:color w:val="231F20"/>
          <w:sz w:val="20"/>
          <w:u w:val="single" w:color="231F20"/>
        </w:rPr>
        <w:t>Discussion Point 1: Devolved Decision Making</w:t>
      </w:r>
    </w:p>
    <w:p>
      <w:pPr>
        <w:pStyle w:val="BodyText"/>
        <w:spacing w:before="10"/>
        <w:rPr>
          <w:rFonts w:ascii="Helvetica"/>
          <w:b/>
          <w:sz w:val="23"/>
        </w:rPr>
      </w:pPr>
    </w:p>
    <w:p>
      <w:pPr>
        <w:spacing w:before="1"/>
        <w:ind w:left="287" w:right="450" w:firstLine="0"/>
        <w:jc w:val="left"/>
        <w:rPr>
          <w:rFonts w:ascii="Helvetica"/>
          <w:b/>
          <w:sz w:val="20"/>
        </w:rPr>
      </w:pPr>
      <w:r>
        <w:rPr>
          <w:rFonts w:ascii="Helvetica"/>
          <w:b/>
          <w:color w:val="231F20"/>
          <w:sz w:val="20"/>
        </w:rPr>
        <w:t>Q1: Who is familiar with the Aboriginal Affairs' Aboriginal Communities Local Decision Making: Policy and Operational Framework?</w:t>
      </w:r>
    </w:p>
    <w:p>
      <w:pPr>
        <w:spacing w:line="235" w:lineRule="auto" w:before="173"/>
        <w:ind w:left="287" w:right="934" w:firstLine="0"/>
        <w:jc w:val="left"/>
        <w:rPr>
          <w:sz w:val="20"/>
        </w:rPr>
      </w:pPr>
      <w:r>
        <w:rPr>
          <w:color w:val="231F20"/>
          <w:sz w:val="20"/>
        </w:rPr>
        <w:t>Get a sense if the group is familiar with the document and its purpose. See if anyone is willing to briefly explain it. </w:t>
      </w:r>
      <w:r>
        <w:rPr>
          <w:color w:val="231F20"/>
          <w:sz w:val="20"/>
          <w:u w:val="single" w:color="231F20"/>
        </w:rPr>
        <w:t>If not</w:t>
      </w:r>
      <w:r>
        <w:rPr>
          <w:color w:val="231F20"/>
          <w:sz w:val="20"/>
        </w:rPr>
        <w:t>, provide a brief explanation:</w:t>
      </w:r>
    </w:p>
    <w:p>
      <w:pPr>
        <w:spacing w:line="230" w:lineRule="auto" w:before="172"/>
        <w:ind w:left="287" w:right="0" w:firstLine="0"/>
        <w:jc w:val="left"/>
        <w:rPr>
          <w:rFonts w:ascii="Helvetica-LightOblique"/>
          <w:i/>
          <w:sz w:val="20"/>
        </w:rPr>
      </w:pPr>
      <w:r>
        <w:rPr>
          <w:rFonts w:ascii="Helvetica-LightOblique"/>
          <w:i/>
          <w:color w:val="231F20"/>
          <w:sz w:val="20"/>
        </w:rPr>
        <w:t>It provides a policy and operational framework for government and Aboriginal communities to work together to increase local decision making for Aboriginal communities. It sets out a pathway for communities to have more control in the delivery and coordination of government services, and for government to support community identified priorities, including in the area of economic development. It directs the way government works with communities and looks at ways to improve along the way.</w:t>
      </w:r>
    </w:p>
    <w:p>
      <w:pPr>
        <w:spacing w:line="230" w:lineRule="auto" w:before="168"/>
        <w:ind w:left="287" w:right="797" w:firstLine="0"/>
        <w:jc w:val="left"/>
        <w:rPr>
          <w:rFonts w:ascii="Helvetica-LightOblique"/>
          <w:i/>
          <w:sz w:val="20"/>
        </w:rPr>
      </w:pPr>
      <w:r>
        <w:rPr>
          <w:rFonts w:ascii="Helvetica-LightOblique"/>
          <w:i/>
          <w:color w:val="231F20"/>
          <w:sz w:val="20"/>
        </w:rPr>
        <w:t>Local decision making for Aboriginal communities relies on government devolving some control to these communities. For the purposes of our research, we consider devolved decision-making to be the process through which an agency of control (such as a government department) deliberately relinquishes aspects of control over the organisations or functions for which it is responsible, in order for those organisations or functions to move further towards self-management.</w:t>
      </w:r>
    </w:p>
    <w:p>
      <w:pPr>
        <w:pStyle w:val="BodyText"/>
        <w:spacing w:before="2"/>
        <w:rPr>
          <w:rFonts w:ascii="Helvetica-LightOblique"/>
          <w:i/>
        </w:rPr>
      </w:pPr>
    </w:p>
    <w:p>
      <w:pPr>
        <w:spacing w:before="0"/>
        <w:ind w:left="287" w:right="0" w:firstLine="0"/>
        <w:jc w:val="left"/>
        <w:rPr>
          <w:rFonts w:ascii="Helvetica"/>
          <w:b/>
          <w:sz w:val="20"/>
        </w:rPr>
      </w:pPr>
      <w:r>
        <w:rPr>
          <w:rFonts w:ascii="Helvetica"/>
          <w:b/>
          <w:color w:val="231F20"/>
          <w:sz w:val="20"/>
          <w:u w:val="single" w:color="231F20"/>
        </w:rPr>
        <w:t>Discussion Point 2: Barriers to Devolved Decision Making</w:t>
      </w:r>
    </w:p>
    <w:p>
      <w:pPr>
        <w:spacing w:line="235" w:lineRule="auto" w:before="172"/>
        <w:ind w:left="287" w:right="370" w:firstLine="0"/>
        <w:jc w:val="left"/>
        <w:rPr>
          <w:sz w:val="20"/>
        </w:rPr>
      </w:pPr>
      <w:r>
        <w:rPr>
          <w:color w:val="231F20"/>
          <w:sz w:val="20"/>
        </w:rPr>
        <w:t>Show a list of barriers listed against structural and attitudinal (that came from the interviews).</w:t>
      </w:r>
      <w:r>
        <w:rPr>
          <w:color w:val="231F20"/>
          <w:spacing w:val="55"/>
          <w:sz w:val="20"/>
        </w:rPr>
        <w:t> </w:t>
      </w:r>
      <w:r>
        <w:rPr>
          <w:color w:val="231F20"/>
          <w:sz w:val="20"/>
        </w:rPr>
        <w:t>See if the </w:t>
      </w:r>
      <w:r>
        <w:rPr>
          <w:color w:val="231F20"/>
          <w:spacing w:val="-5"/>
          <w:sz w:val="20"/>
        </w:rPr>
        <w:t>group </w:t>
      </w:r>
      <w:r>
        <w:rPr>
          <w:color w:val="231F20"/>
          <w:sz w:val="20"/>
        </w:rPr>
        <w:t>has any further points to add to the list.</w:t>
      </w:r>
    </w:p>
    <w:p>
      <w:pPr>
        <w:pStyle w:val="BodyText"/>
        <w:spacing w:before="11"/>
      </w:pPr>
    </w:p>
    <w:p>
      <w:pPr>
        <w:spacing w:before="0"/>
        <w:ind w:left="287" w:right="454" w:firstLine="0"/>
        <w:jc w:val="left"/>
        <w:rPr>
          <w:rFonts w:ascii="Helvetica"/>
          <w:b/>
          <w:sz w:val="20"/>
        </w:rPr>
      </w:pPr>
      <w:r>
        <w:rPr>
          <w:rFonts w:ascii="Helvetica"/>
          <w:b/>
          <w:color w:val="231F20"/>
          <w:sz w:val="20"/>
        </w:rPr>
        <w:t>Q2. What do you think are some of the barriers, within the public sector, to devolved decision-making? What can we add to the current list?</w:t>
      </w:r>
    </w:p>
    <w:p>
      <w:pPr>
        <w:spacing w:before="169"/>
        <w:ind w:left="514" w:right="0" w:firstLine="0"/>
        <w:jc w:val="left"/>
        <w:rPr>
          <w:sz w:val="20"/>
        </w:rPr>
      </w:pPr>
      <w:r>
        <w:rPr>
          <w:color w:val="231F20"/>
          <w:sz w:val="20"/>
          <w:u w:val="single" w:color="231F20"/>
        </w:rPr>
        <w:t>Prompt: </w:t>
      </w:r>
      <w:r>
        <w:rPr>
          <w:color w:val="231F20"/>
          <w:sz w:val="20"/>
        </w:rPr>
        <w:t>can discuss with the person next to them for a few minutes and then report back to the group.</w:t>
      </w:r>
    </w:p>
    <w:p>
      <w:pPr>
        <w:spacing w:after="0"/>
        <w:jc w:val="left"/>
        <w:rPr>
          <w:sz w:val="20"/>
        </w:rPr>
        <w:sectPr>
          <w:pgSz w:w="11910" w:h="16840"/>
          <w:pgMar w:header="0" w:footer="558" w:top="1600" w:bottom="740" w:left="740" w:right="640"/>
        </w:sect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before="64"/>
        <w:ind w:left="280" w:right="0" w:firstLine="0"/>
        <w:jc w:val="left"/>
        <w:rPr>
          <w:rFonts w:ascii="Helvetica" w:hAnsi="Helvetica"/>
          <w:b/>
          <w:sz w:val="20"/>
        </w:rPr>
      </w:pPr>
      <w:r>
        <w:rPr>
          <w:rFonts w:ascii="Helvetica" w:hAnsi="Helvetica"/>
          <w:b/>
          <w:color w:val="231F20"/>
          <w:sz w:val="20"/>
          <w:u w:val="single" w:color="231F20"/>
        </w:rPr>
        <w:t>Discussion Point 3: Structural Frameworks – Solutions Focus</w:t>
      </w:r>
    </w:p>
    <w:p>
      <w:pPr>
        <w:spacing w:line="230" w:lineRule="auto" w:before="175"/>
        <w:ind w:left="280" w:right="450" w:firstLine="0"/>
        <w:jc w:val="left"/>
        <w:rPr>
          <w:rFonts w:ascii="Helvetica-LightOblique"/>
          <w:i/>
          <w:sz w:val="20"/>
        </w:rPr>
      </w:pPr>
      <w:r>
        <w:rPr>
          <w:color w:val="231F20"/>
          <w:sz w:val="20"/>
        </w:rPr>
        <w:t>Let's focus on current public sector structural frameworks being the work roles and administrative mechanisms allowing organisations </w:t>
      </w:r>
      <w:r>
        <w:rPr>
          <w:rFonts w:ascii="Helvetica-LightOblique"/>
          <w:i/>
          <w:color w:val="231F20"/>
          <w:sz w:val="20"/>
        </w:rPr>
        <w:t>to conduct, coordinate and control their work. Structural frameworks may be real or conceptual. (For example, regulations, delegations, resource allocation, networks, hierarchies, power, performance targets etc.)</w:t>
      </w:r>
    </w:p>
    <w:p>
      <w:pPr>
        <w:pStyle w:val="BodyText"/>
        <w:spacing w:before="7"/>
        <w:rPr>
          <w:rFonts w:ascii="Helvetica-LightOblique"/>
          <w:i/>
        </w:rPr>
      </w:pPr>
    </w:p>
    <w:p>
      <w:pPr>
        <w:spacing w:before="0"/>
        <w:ind w:left="280" w:right="575" w:firstLine="0"/>
        <w:jc w:val="left"/>
        <w:rPr>
          <w:rFonts w:ascii="Helvetica"/>
          <w:b/>
          <w:sz w:val="20"/>
        </w:rPr>
      </w:pPr>
      <w:r>
        <w:rPr>
          <w:rFonts w:ascii="Helvetica"/>
          <w:b/>
          <w:color w:val="231F20"/>
          <w:sz w:val="20"/>
        </w:rPr>
        <w:t>Q3. What are the key success factors required, in terms of structural frameworks to support devolved decision-making?</w:t>
      </w:r>
    </w:p>
    <w:p>
      <w:pPr>
        <w:spacing w:before="170"/>
        <w:ind w:left="507" w:right="0" w:firstLine="0"/>
        <w:jc w:val="left"/>
        <w:rPr>
          <w:sz w:val="20"/>
        </w:rPr>
      </w:pPr>
      <w:r>
        <w:rPr>
          <w:color w:val="231F20"/>
          <w:sz w:val="20"/>
          <w:u w:val="single" w:color="231F20"/>
        </w:rPr>
        <w:t>Prompt: </w:t>
      </w:r>
      <w:r>
        <w:rPr>
          <w:color w:val="231F20"/>
          <w:sz w:val="20"/>
        </w:rPr>
        <w:t>discuss with person next to you.</w:t>
      </w:r>
    </w:p>
    <w:p>
      <w:pPr>
        <w:pStyle w:val="BodyText"/>
        <w:spacing w:before="10"/>
      </w:pPr>
    </w:p>
    <w:p>
      <w:pPr>
        <w:spacing w:before="1"/>
        <w:ind w:left="280" w:right="0" w:firstLine="0"/>
        <w:jc w:val="left"/>
        <w:rPr>
          <w:rFonts w:ascii="Helvetica"/>
          <w:b/>
          <w:sz w:val="20"/>
        </w:rPr>
      </w:pPr>
      <w:r>
        <w:rPr>
          <w:rFonts w:ascii="Helvetica"/>
          <w:b/>
          <w:color w:val="231F20"/>
          <w:sz w:val="20"/>
        </w:rPr>
        <w:t>Q4. How can we implement 'success factors' across agencies?</w:t>
      </w:r>
    </w:p>
    <w:p>
      <w:pPr>
        <w:spacing w:line="235" w:lineRule="auto" w:before="171"/>
        <w:ind w:left="507" w:right="744" w:firstLine="0"/>
        <w:jc w:val="left"/>
        <w:rPr>
          <w:sz w:val="20"/>
        </w:rPr>
      </w:pPr>
      <w:r>
        <w:rPr>
          <w:color w:val="231F20"/>
          <w:sz w:val="20"/>
          <w:u w:val="single" w:color="231F20"/>
        </w:rPr>
        <w:t>Prompt</w:t>
      </w:r>
      <w:r>
        <w:rPr>
          <w:color w:val="231F20"/>
          <w:sz w:val="20"/>
        </w:rPr>
        <w:t>: each person take time to write down a number of strategies, eg: training, sharing best-practice, new policy, operating procedures etc. Then share back with the group until the list is exhausted.</w:t>
      </w:r>
    </w:p>
    <w:p>
      <w:pPr>
        <w:pStyle w:val="BodyText"/>
        <w:spacing w:before="11"/>
      </w:pPr>
    </w:p>
    <w:p>
      <w:pPr>
        <w:spacing w:before="0"/>
        <w:ind w:left="280" w:right="0" w:firstLine="0"/>
        <w:jc w:val="left"/>
        <w:rPr>
          <w:rFonts w:ascii="Helvetica" w:hAnsi="Helvetica"/>
          <w:b/>
          <w:sz w:val="20"/>
        </w:rPr>
      </w:pPr>
      <w:r>
        <w:rPr>
          <w:rFonts w:ascii="Helvetica" w:hAnsi="Helvetica"/>
          <w:b/>
          <w:color w:val="231F20"/>
          <w:sz w:val="20"/>
          <w:u w:val="single" w:color="231F20"/>
        </w:rPr>
        <w:t>Discussion Point 4: Attitudes &amp; Behaviours – Solutions Focus</w:t>
      </w:r>
    </w:p>
    <w:p>
      <w:pPr>
        <w:pStyle w:val="BodyText"/>
        <w:spacing w:before="11"/>
        <w:rPr>
          <w:rFonts w:ascii="Helvetica"/>
          <w:b/>
          <w:sz w:val="23"/>
        </w:rPr>
      </w:pPr>
    </w:p>
    <w:p>
      <w:pPr>
        <w:spacing w:before="0"/>
        <w:ind w:left="280" w:right="450" w:firstLine="0"/>
        <w:jc w:val="left"/>
        <w:rPr>
          <w:rFonts w:ascii="Helvetica"/>
          <w:b/>
          <w:sz w:val="20"/>
        </w:rPr>
      </w:pPr>
      <w:r>
        <w:rPr>
          <w:rFonts w:ascii="Helvetica"/>
          <w:b/>
          <w:color w:val="231F20"/>
          <w:sz w:val="20"/>
        </w:rPr>
        <w:t>Q5. What are the success factors in terms of attitudes or behaviours to support devolved decision making?</w:t>
      </w:r>
    </w:p>
    <w:p>
      <w:pPr>
        <w:pStyle w:val="BodyText"/>
        <w:spacing w:before="1"/>
        <w:rPr>
          <w:rFonts w:ascii="Helvetica"/>
          <w:b/>
          <w:sz w:val="24"/>
        </w:rPr>
      </w:pPr>
    </w:p>
    <w:p>
      <w:pPr>
        <w:spacing w:before="0"/>
        <w:ind w:left="280" w:right="0" w:firstLine="0"/>
        <w:jc w:val="left"/>
        <w:rPr>
          <w:rFonts w:ascii="Helvetica"/>
          <w:b/>
          <w:sz w:val="20"/>
        </w:rPr>
      </w:pPr>
      <w:r>
        <w:rPr>
          <w:rFonts w:ascii="Helvetica"/>
          <w:b/>
          <w:color w:val="231F20"/>
          <w:sz w:val="20"/>
        </w:rPr>
        <w:t>Q6. How can these attitudes/behaviours be developed across agencies?</w:t>
      </w:r>
    </w:p>
    <w:p>
      <w:pPr>
        <w:spacing w:line="235" w:lineRule="auto" w:before="172"/>
        <w:ind w:left="507" w:right="744" w:firstLine="0"/>
        <w:jc w:val="left"/>
        <w:rPr>
          <w:sz w:val="20"/>
        </w:rPr>
      </w:pPr>
      <w:r>
        <w:rPr>
          <w:color w:val="231F20"/>
          <w:sz w:val="20"/>
          <w:u w:val="single" w:color="231F20"/>
        </w:rPr>
        <w:t>Prompt:</w:t>
      </w:r>
      <w:r>
        <w:rPr>
          <w:color w:val="231F20"/>
          <w:sz w:val="20"/>
        </w:rPr>
        <w:t> each person take time to write down a number of strategies, eg: training, sharing best-practice, new policy, operating procedures etc. Then share back with the group until the list is exhausted.</w:t>
      </w:r>
    </w:p>
    <w:p>
      <w:pPr>
        <w:pStyle w:val="BodyText"/>
        <w:spacing w:before="11"/>
      </w:pPr>
    </w:p>
    <w:p>
      <w:pPr>
        <w:spacing w:before="0"/>
        <w:ind w:left="280" w:right="0" w:firstLine="0"/>
        <w:jc w:val="left"/>
        <w:rPr>
          <w:rFonts w:ascii="Helvetica"/>
          <w:b/>
          <w:sz w:val="20"/>
        </w:rPr>
      </w:pPr>
      <w:r>
        <w:rPr>
          <w:rFonts w:ascii="Helvetica"/>
          <w:b/>
          <w:color w:val="231F20"/>
          <w:sz w:val="20"/>
        </w:rPr>
        <w:t>Ending the session</w:t>
      </w:r>
    </w:p>
    <w:p>
      <w:pPr>
        <w:spacing w:line="235" w:lineRule="auto" w:before="171"/>
        <w:ind w:left="280" w:right="0" w:firstLine="0"/>
        <w:jc w:val="left"/>
        <w:rPr>
          <w:sz w:val="20"/>
        </w:rPr>
      </w:pPr>
      <w:r>
        <w:rPr>
          <w:color w:val="231F20"/>
          <w:sz w:val="20"/>
        </w:rPr>
        <w:t>Finally, summarise the discussions and thank participants for their time. Remember to collect the Participation Consent Forms.</w:t>
      </w:r>
    </w:p>
    <w:p>
      <w:pPr>
        <w:spacing w:after="0" w:line="235" w:lineRule="auto"/>
        <w:jc w:val="left"/>
        <w:rPr>
          <w:sz w:val="20"/>
        </w:rPr>
        <w:sectPr>
          <w:pgSz w:w="11910" w:h="16840"/>
          <w:pgMar w:header="0" w:footer="558" w:top="1600" w:bottom="740" w:left="740" w:right="640"/>
        </w:sectPr>
      </w:pPr>
    </w:p>
    <w:p>
      <w:pPr>
        <w:pStyle w:val="BodyText"/>
        <w:rPr>
          <w:sz w:val="20"/>
        </w:rPr>
      </w:pPr>
      <w:r>
        <w:rPr/>
        <w:pict>
          <v:rect style="position:absolute;margin-left:86.151001pt;margin-top:560.207031pt;width:2.618pt;height:2.621pt;mso-position-horizontal-relative:page;mso-position-vertical-relative:page;z-index:-71080" filled="false" stroked="true" strokeweight=".5pt" strokecolor="#231f20">
            <v:stroke dashstyle="solid"/>
            <w10:wrap type="none"/>
          </v:rect>
        </w:pict>
      </w:r>
      <w:r>
        <w:rPr/>
        <w:pict>
          <v:rect style="position:absolute;margin-left:176.858994pt;margin-top:560.207031pt;width:2.618pt;height:2.621pt;mso-position-horizontal-relative:page;mso-position-vertical-relative:page;z-index:-71056" filled="false" stroked="true" strokeweight=".5pt" strokecolor="#231f20">
            <v:stroke dashstyle="solid"/>
            <w10:wrap type="none"/>
          </v:rect>
        </w:pict>
      </w:r>
      <w:r>
        <w:rPr/>
        <w:pict>
          <v:rect style="position:absolute;margin-left:267.567993pt;margin-top:560.207031pt;width:2.618pt;height:2.621pt;mso-position-horizontal-relative:page;mso-position-vertical-relative:page;z-index:-71032" filled="false" stroked="true" strokeweight=".5pt" strokecolor="#231f20">
            <v:stroke dashstyle="solid"/>
            <w10:wrap type="none"/>
          </v:rect>
        </w:pict>
      </w:r>
      <w:r>
        <w:rPr/>
        <w:pict>
          <v:rect style="position:absolute;margin-left:267.567993pt;margin-top:601.441040pt;width:2.618pt;height:2.621pt;mso-position-horizontal-relative:page;mso-position-vertical-relative:page;z-index:-71008" filled="false" stroked="true" strokeweight=".5pt" strokecolor="#231f20">
            <v:stroke dashstyle="solid"/>
            <w10:wrap type="none"/>
          </v:rect>
        </w:pict>
      </w:r>
      <w:r>
        <w:rPr/>
        <w:pict>
          <v:rect style="position:absolute;margin-left:267.567993pt;margin-top:652.277039pt;width:2.618pt;height:2.621pt;mso-position-horizontal-relative:page;mso-position-vertical-relative:page;z-index:-70984" filled="false" stroked="true" strokeweight=".5pt" strokecolor="#231f20">
            <v:stroke dashstyle="solid"/>
            <w10:wrap type="none"/>
          </v:rect>
        </w:pict>
      </w:r>
      <w:r>
        <w:rPr/>
        <w:pict>
          <v:rect style="position:absolute;margin-left:358.277008pt;margin-top:560.207031pt;width:2.618pt;height:2.621pt;mso-position-horizontal-relative:page;mso-position-vertical-relative:page;z-index:-70960" filled="false" stroked="true" strokeweight=".5pt" strokecolor="#231f20">
            <v:stroke dashstyle="solid"/>
            <w10:wrap type="none"/>
          </v:rect>
        </w:pict>
      </w:r>
      <w:r>
        <w:rPr/>
        <w:pict>
          <v:rect style="position:absolute;margin-left:358.277008pt;margin-top:582.242004pt;width:2.618pt;height:2.621pt;mso-position-horizontal-relative:page;mso-position-vertical-relative:page;z-index:-70936" filled="false" stroked="true" strokeweight=".5pt" strokecolor="#231f20">
            <v:stroke dashstyle="solid"/>
            <w10:wrap type="none"/>
          </v:rect>
        </w:pict>
      </w:r>
      <w:r>
        <w:rPr/>
        <w:pict>
          <v:rect style="position:absolute;margin-left:358.277008pt;margin-top:623.476013pt;width:2.618pt;height:2.621pt;mso-position-horizontal-relative:page;mso-position-vertical-relative:page;z-index:-70912" filled="false" stroked="true" strokeweight=".5pt" strokecolor="#231f20">
            <v:stroke dashstyle="solid"/>
            <w10:wrap type="none"/>
          </v:rect>
        </w:pict>
      </w:r>
      <w:r>
        <w:rPr/>
        <w:pict>
          <v:rect style="position:absolute;margin-left:448.984985pt;margin-top:560.207031pt;width:2.618pt;height:2.621pt;mso-position-horizontal-relative:page;mso-position-vertical-relative:page;z-index:-70888" filled="false" stroked="true" strokeweight=".5pt" strokecolor="#231f20">
            <v:stroke dashstyle="solid"/>
            <w10:wrap type="none"/>
          </v:rect>
        </w:pict>
      </w:r>
    </w:p>
    <w:p>
      <w:pPr>
        <w:pStyle w:val="BodyText"/>
        <w:rPr>
          <w:sz w:val="20"/>
        </w:rPr>
      </w:pPr>
    </w:p>
    <w:p>
      <w:pPr>
        <w:pStyle w:val="BodyText"/>
        <w:rPr>
          <w:sz w:val="20"/>
        </w:rPr>
      </w:pPr>
    </w:p>
    <w:p>
      <w:pPr>
        <w:pStyle w:val="BodyText"/>
        <w:spacing w:before="8"/>
        <w:rPr>
          <w:sz w:val="20"/>
        </w:rPr>
      </w:pPr>
    </w:p>
    <w:p>
      <w:pPr>
        <w:spacing w:before="56"/>
        <w:ind w:left="280" w:right="808" w:firstLine="0"/>
        <w:jc w:val="left"/>
        <w:rPr>
          <w:rFonts w:ascii="Helvetica" w:hAnsi="Helvetica"/>
          <w:b/>
          <w:sz w:val="24"/>
        </w:rPr>
      </w:pPr>
      <w:r>
        <w:rPr>
          <w:rFonts w:ascii="Helvetica" w:hAnsi="Helvetica"/>
          <w:b/>
          <w:color w:val="47A7A8"/>
          <w:spacing w:val="-3"/>
          <w:sz w:val="24"/>
        </w:rPr>
        <w:t>APPENDIX </w:t>
      </w:r>
      <w:r>
        <w:rPr>
          <w:rFonts w:ascii="Helvetica" w:hAnsi="Helvetica"/>
          <w:b/>
          <w:color w:val="47A7A8"/>
          <w:sz w:val="24"/>
        </w:rPr>
        <w:t>VI: </w:t>
      </w:r>
      <w:r>
        <w:rPr>
          <w:rFonts w:ascii="Helvetica" w:hAnsi="Helvetica"/>
          <w:b/>
          <w:color w:val="47A7A8"/>
          <w:spacing w:val="-6"/>
          <w:sz w:val="24"/>
        </w:rPr>
        <w:t>CULTURAL </w:t>
      </w:r>
      <w:r>
        <w:rPr>
          <w:rFonts w:ascii="Helvetica" w:hAnsi="Helvetica"/>
          <w:b/>
          <w:color w:val="47A7A8"/>
          <w:spacing w:val="-3"/>
          <w:sz w:val="24"/>
        </w:rPr>
        <w:t>COMPETENCY LIFECYCLE </w:t>
      </w:r>
      <w:r>
        <w:rPr>
          <w:rFonts w:ascii="Helvetica" w:hAnsi="Helvetica"/>
          <w:b/>
          <w:color w:val="47A7A8"/>
          <w:sz w:val="24"/>
        </w:rPr>
        <w:t>– </w:t>
      </w:r>
      <w:r>
        <w:rPr>
          <w:rFonts w:ascii="Helvetica" w:hAnsi="Helvetica"/>
          <w:b/>
          <w:color w:val="47A7A8"/>
          <w:spacing w:val="-5"/>
          <w:sz w:val="24"/>
        </w:rPr>
        <w:t>PROVIDED </w:t>
      </w:r>
      <w:r>
        <w:rPr>
          <w:rFonts w:ascii="Helvetica" w:hAnsi="Helvetica"/>
          <w:b/>
          <w:color w:val="47A7A8"/>
          <w:sz w:val="24"/>
        </w:rPr>
        <w:t>BY </w:t>
      </w:r>
      <w:r>
        <w:rPr>
          <w:rFonts w:ascii="Helvetica" w:hAnsi="Helvetica"/>
          <w:b/>
          <w:color w:val="47A7A8"/>
          <w:spacing w:val="-3"/>
          <w:sz w:val="24"/>
        </w:rPr>
        <w:t>ABORIGINAL HOUSING OFFICE, </w:t>
      </w:r>
      <w:r>
        <w:rPr>
          <w:rFonts w:ascii="Helvetica" w:hAnsi="Helvetica"/>
          <w:b/>
          <w:color w:val="47A7A8"/>
          <w:spacing w:val="-10"/>
          <w:sz w:val="24"/>
        </w:rPr>
        <w:t>FACS</w:t>
      </w:r>
    </w:p>
    <w:p>
      <w:pPr>
        <w:pStyle w:val="BodyText"/>
        <w:rPr>
          <w:rFonts w:ascii="Helvetica"/>
          <w:b/>
          <w:sz w:val="16"/>
        </w:rPr>
      </w:pPr>
    </w:p>
    <w:p>
      <w:pPr>
        <w:pStyle w:val="Heading3"/>
        <w:tabs>
          <w:tab w:pos="10144" w:val="left" w:leader="none"/>
        </w:tabs>
        <w:spacing w:before="60"/>
        <w:ind w:left="312"/>
      </w:pPr>
      <w:r>
        <w:rPr/>
        <w:pict>
          <v:group style="position:absolute;margin-left:81.207802pt;margin-top:25.147251pt;width:461.3pt;height:33.25pt;mso-position-horizontal-relative:page;mso-position-vertical-relative:paragraph;z-index:-70768" coordorigin="1624,503" coordsize="9226,665">
            <v:shape style="position:absolute;left:8914;top:512;width:1926;height:645" coordorigin="8914,513" coordsize="1926,645" path="m10559,513l10559,719,8914,719,8914,966,10559,966,10565,1158,10840,829,10559,513xe" filled="true" fillcolor="#a5cccd" stroked="false">
              <v:path arrowok="t"/>
              <v:fill type="solid"/>
            </v:shape>
            <v:shape style="position:absolute;left:8914;top:512;width:1926;height:645" coordorigin="8914,513" coordsize="1926,645" path="m8914,966l8914,719,10559,719,10559,513,10840,829,10565,1158,10559,966,8914,966xe" filled="false" stroked="true" strokeweight="1pt" strokecolor="#419a9b">
              <v:path arrowok="t"/>
              <v:stroke dashstyle="solid"/>
            </v:shape>
            <v:shape style="position:absolute;left:7089;top:512;width:1926;height:645" coordorigin="7090,513" coordsize="1926,645" path="m8735,513l8735,719,7090,719,7090,966,8735,966,8741,1158,9016,829,8735,513xe" filled="true" fillcolor="#83bcbe" stroked="false">
              <v:path arrowok="t"/>
              <v:fill type="solid"/>
            </v:shape>
            <v:shape style="position:absolute;left:7089;top:512;width:1926;height:645" coordorigin="7090,513" coordsize="1926,645" path="m7090,966l7090,719,8735,719,8735,513,9016,829,8741,1158,8735,966,7090,966xe" filled="false" stroked="true" strokeweight="1pt" strokecolor="#419a9b">
              <v:path arrowok="t"/>
              <v:stroke dashstyle="solid"/>
            </v:shape>
            <v:shape style="position:absolute;left:5284;top:512;width:1926;height:645" coordorigin="5284,513" coordsize="1926,645" path="m6929,513l6929,719,5284,719,5284,966,6929,966,6935,1158,7210,829,6929,513xe" filled="true" fillcolor="#71b5b6" stroked="false">
              <v:path arrowok="t"/>
              <v:fill type="solid"/>
            </v:shape>
            <v:shape style="position:absolute;left:5284;top:512;width:1926;height:645" coordorigin="5284,513" coordsize="1926,645" path="m5284,966l5284,719,6929,719,6929,513,7210,829,6935,1158,6929,966,5284,966xe" filled="false" stroked="true" strokeweight="1pt" strokecolor="#419a9b">
              <v:path arrowok="t"/>
              <v:stroke dashstyle="solid"/>
            </v:shape>
            <v:shape style="position:absolute;left:3439;top:512;width:1926;height:645" coordorigin="3439,513" coordsize="1926,645" path="m5085,513l5085,719,3439,719,3439,966,5085,966,5090,1158,5365,829,5085,513xe" filled="true" fillcolor="#5eaeaf" stroked="false">
              <v:path arrowok="t"/>
              <v:fill type="solid"/>
            </v:shape>
            <v:shape style="position:absolute;left:3439;top:512;width:1926;height:645" coordorigin="3439,513" coordsize="1926,645" path="m3439,966l3439,719,5085,719,5085,513,5365,829,5090,1158,5085,966,3439,966xe" filled="false" stroked="true" strokeweight="1pt" strokecolor="#419a9b">
              <v:path arrowok="t"/>
              <v:stroke dashstyle="solid"/>
            </v:shape>
            <v:shape style="position:absolute;left:1634;top:512;width:1926;height:645" coordorigin="1634,513" coordsize="1926,645" path="m3279,513l3279,719,1634,719,1634,966,3279,966,3285,1158,3560,829,3279,513xe" filled="true" fillcolor="#47a7a8" stroked="false">
              <v:path arrowok="t"/>
              <v:fill type="solid"/>
            </v:shape>
            <v:shape style="position:absolute;left:1634;top:512;width:1926;height:645" coordorigin="1634,513" coordsize="1926,645" path="m1634,966l1634,719,3279,719,3279,513,3560,829,3285,1158,3279,966,1634,966xe" filled="false" stroked="true" strokeweight="1pt" strokecolor="#419a9b">
              <v:path arrowok="t"/>
              <v:stroke dashstyle="solid"/>
            </v:shape>
            <v:shape style="position:absolute;left:2120;top:768;width:740;height:160" type="#_x0000_t202" filled="false" stroked="false">
              <v:textbox inset="0,0,0,0">
                <w:txbxContent>
                  <w:p>
                    <w:pPr>
                      <w:spacing w:line="160" w:lineRule="exact" w:before="0"/>
                      <w:ind w:left="0" w:right="0" w:firstLine="0"/>
                      <w:jc w:val="left"/>
                      <w:rPr>
                        <w:rFonts w:ascii="Helvetica"/>
                        <w:b/>
                        <w:sz w:val="16"/>
                      </w:rPr>
                    </w:pPr>
                    <w:r>
                      <w:rPr>
                        <w:rFonts w:ascii="Helvetica"/>
                        <w:b/>
                        <w:color w:val="231F20"/>
                        <w:sz w:val="16"/>
                      </w:rPr>
                      <w:t>Induction</w:t>
                    </w:r>
                  </w:p>
                </w:txbxContent>
              </v:textbox>
              <w10:wrap type="none"/>
            </v:shape>
            <v:shape style="position:absolute;left:3755;top:768;width:1101;height:160" type="#_x0000_t202" filled="false" stroked="false">
              <v:textbox inset="0,0,0,0">
                <w:txbxContent>
                  <w:p>
                    <w:pPr>
                      <w:spacing w:line="160" w:lineRule="exact" w:before="0"/>
                      <w:ind w:left="0" w:right="0" w:firstLine="0"/>
                      <w:jc w:val="left"/>
                      <w:rPr>
                        <w:rFonts w:ascii="Helvetica"/>
                        <w:b/>
                        <w:sz w:val="16"/>
                      </w:rPr>
                    </w:pPr>
                    <w:r>
                      <w:rPr>
                        <w:rFonts w:ascii="Helvetica"/>
                        <w:b/>
                        <w:color w:val="231F20"/>
                        <w:sz w:val="16"/>
                      </w:rPr>
                      <w:t>Initial Training</w:t>
                    </w:r>
                  </w:p>
                </w:txbxContent>
              </v:textbox>
              <w10:wrap type="none"/>
            </v:shape>
            <v:shape style="position:absolute;left:5443;top:768;width:3258;height:160" type="#_x0000_t202" filled="false" stroked="false">
              <v:textbox inset="0,0,0,0">
                <w:txbxContent>
                  <w:p>
                    <w:pPr>
                      <w:tabs>
                        <w:tab w:pos="2009" w:val="left" w:leader="none"/>
                      </w:tabs>
                      <w:spacing w:line="160" w:lineRule="exact" w:before="0"/>
                      <w:ind w:left="0" w:right="0" w:firstLine="0"/>
                      <w:jc w:val="left"/>
                      <w:rPr>
                        <w:rFonts w:ascii="Helvetica"/>
                        <w:b/>
                        <w:sz w:val="16"/>
                      </w:rPr>
                    </w:pPr>
                    <w:r>
                      <w:rPr>
                        <w:rFonts w:ascii="Helvetica"/>
                        <w:b/>
                        <w:color w:val="231F20"/>
                        <w:sz w:val="16"/>
                      </w:rPr>
                      <w:t>Manage</w:t>
                    </w:r>
                    <w:r>
                      <w:rPr>
                        <w:rFonts w:ascii="Helvetica"/>
                        <w:b/>
                        <w:color w:val="231F20"/>
                        <w:spacing w:val="-4"/>
                        <w:sz w:val="16"/>
                      </w:rPr>
                      <w:t> </w:t>
                    </w:r>
                    <w:r>
                      <w:rPr>
                        <w:rFonts w:ascii="Helvetica"/>
                        <w:b/>
                        <w:color w:val="231F20"/>
                        <w:sz w:val="16"/>
                      </w:rPr>
                      <w:t>Performance</w:t>
                      <w:tab/>
                      <w:t>Grow &amp;</w:t>
                    </w:r>
                    <w:r>
                      <w:rPr>
                        <w:rFonts w:ascii="Helvetica"/>
                        <w:b/>
                        <w:color w:val="231F20"/>
                        <w:spacing w:val="-8"/>
                        <w:sz w:val="16"/>
                      </w:rPr>
                      <w:t> </w:t>
                    </w:r>
                    <w:r>
                      <w:rPr>
                        <w:rFonts w:ascii="Helvetica"/>
                        <w:b/>
                        <w:color w:val="231F20"/>
                        <w:sz w:val="16"/>
                      </w:rPr>
                      <w:t>Develop</w:t>
                    </w:r>
                  </w:p>
                </w:txbxContent>
              </v:textbox>
              <w10:wrap type="none"/>
            </v:shape>
            <v:shape style="position:absolute;left:9633;top:768;width:314;height:160" type="#_x0000_t202" filled="false" stroked="false">
              <v:textbox inset="0,0,0,0">
                <w:txbxContent>
                  <w:p>
                    <w:pPr>
                      <w:spacing w:line="160" w:lineRule="exact" w:before="0"/>
                      <w:ind w:left="0" w:right="0" w:firstLine="0"/>
                      <w:jc w:val="left"/>
                      <w:rPr>
                        <w:rFonts w:ascii="Helvetica"/>
                        <w:b/>
                        <w:sz w:val="16"/>
                      </w:rPr>
                    </w:pPr>
                    <w:r>
                      <w:rPr>
                        <w:rFonts w:ascii="Helvetica"/>
                        <w:b/>
                        <w:color w:val="231F20"/>
                        <w:sz w:val="16"/>
                      </w:rPr>
                      <w:t>Exit</w:t>
                    </w:r>
                  </w:p>
                </w:txbxContent>
              </v:textbox>
              <w10:wrap type="none"/>
            </v:shape>
            <w10:wrap type="none"/>
          </v:group>
        </w:pict>
      </w:r>
      <w:r>
        <w:rPr>
          <w:color w:val="FFFFFF"/>
          <w:w w:val="100"/>
          <w:shd w:fill="47A7A8" w:color="auto" w:val="clear"/>
        </w:rPr>
        <w:t> </w:t>
      </w:r>
      <w:r>
        <w:rPr>
          <w:color w:val="FFFFFF"/>
          <w:spacing w:val="-9"/>
          <w:shd w:fill="47A7A8" w:color="auto" w:val="clear"/>
        </w:rPr>
        <w:t> </w:t>
      </w:r>
      <w:r>
        <w:rPr>
          <w:color w:val="FFFFFF"/>
          <w:spacing w:val="-5"/>
          <w:shd w:fill="47A7A8" w:color="auto" w:val="clear"/>
        </w:rPr>
        <w:t>CULTURAL </w:t>
      </w:r>
      <w:r>
        <w:rPr>
          <w:color w:val="FFFFFF"/>
          <w:spacing w:val="-3"/>
          <w:shd w:fill="47A7A8" w:color="auto" w:val="clear"/>
        </w:rPr>
        <w:t>COMPETENCY LIFECYCLE </w:t>
      </w:r>
      <w:r>
        <w:rPr>
          <w:color w:val="FFFFFF"/>
          <w:spacing w:val="-12"/>
          <w:shd w:fill="47A7A8" w:color="auto" w:val="clear"/>
        </w:rPr>
        <w:t>AT </w:t>
      </w:r>
      <w:r>
        <w:rPr>
          <w:color w:val="FFFFFF"/>
          <w:shd w:fill="47A7A8" w:color="auto" w:val="clear"/>
        </w:rPr>
        <w:t>THE </w:t>
      </w:r>
      <w:r>
        <w:rPr>
          <w:color w:val="FFFFFF"/>
          <w:spacing w:val="-3"/>
          <w:shd w:fill="47A7A8" w:color="auto" w:val="clear"/>
        </w:rPr>
        <w:t>ABORIGINAL HOUSING</w:t>
      </w:r>
      <w:r>
        <w:rPr>
          <w:color w:val="FFFFFF"/>
          <w:spacing w:val="1"/>
          <w:shd w:fill="47A7A8" w:color="auto" w:val="clear"/>
        </w:rPr>
        <w:t> </w:t>
      </w:r>
      <w:r>
        <w:rPr>
          <w:color w:val="FFFFFF"/>
          <w:spacing w:val="-3"/>
          <w:shd w:fill="47A7A8" w:color="auto" w:val="clear"/>
        </w:rPr>
        <w:t>OFFICE</w:t>
        <w:tab/>
      </w:r>
    </w:p>
    <w:p>
      <w:pPr>
        <w:pStyle w:val="BodyText"/>
        <w:rPr>
          <w:rFonts w:ascii="Helvetica"/>
          <w:b/>
          <w:sz w:val="20"/>
        </w:rPr>
      </w:pPr>
    </w:p>
    <w:p>
      <w:pPr>
        <w:pStyle w:val="BodyText"/>
        <w:rPr>
          <w:rFonts w:ascii="Helvetica"/>
          <w:b/>
          <w:sz w:val="20"/>
        </w:rPr>
      </w:pPr>
    </w:p>
    <w:p>
      <w:pPr>
        <w:pStyle w:val="BodyText"/>
        <w:spacing w:before="5"/>
        <w:rPr>
          <w:rFonts w:ascii="Helvetica"/>
          <w:b/>
          <w:sz w:val="19"/>
        </w:rPr>
      </w:pPr>
    </w:p>
    <w:tbl>
      <w:tblPr>
        <w:tblW w:w="0" w:type="auto"/>
        <w:jc w:val="left"/>
        <w:tblInd w:w="332" w:type="dxa"/>
        <w:tblBorders>
          <w:top w:val="single" w:sz="8" w:space="0" w:color="419A9B"/>
          <w:left w:val="single" w:sz="8" w:space="0" w:color="419A9B"/>
          <w:bottom w:val="single" w:sz="8" w:space="0" w:color="419A9B"/>
          <w:right w:val="single" w:sz="8" w:space="0" w:color="419A9B"/>
          <w:insideH w:val="single" w:sz="8" w:space="0" w:color="419A9B"/>
          <w:insideV w:val="single" w:sz="8" w:space="0" w:color="419A9B"/>
        </w:tblBorders>
        <w:tblLayout w:type="fixed"/>
        <w:tblCellMar>
          <w:top w:w="0" w:type="dxa"/>
          <w:left w:w="0" w:type="dxa"/>
          <w:bottom w:w="0" w:type="dxa"/>
          <w:right w:w="0" w:type="dxa"/>
        </w:tblCellMar>
        <w:tblLook w:val="01E0"/>
      </w:tblPr>
      <w:tblGrid>
        <w:gridCol w:w="576"/>
        <w:gridCol w:w="1814"/>
        <w:gridCol w:w="1814"/>
        <w:gridCol w:w="1814"/>
        <w:gridCol w:w="1814"/>
        <w:gridCol w:w="1814"/>
      </w:tblGrid>
      <w:tr>
        <w:trPr>
          <w:trHeight w:val="1598" w:hRule="atLeast"/>
        </w:trPr>
        <w:tc>
          <w:tcPr>
            <w:tcW w:w="576" w:type="dxa"/>
            <w:tcBorders>
              <w:top w:val="nil"/>
              <w:left w:val="nil"/>
            </w:tcBorders>
          </w:tcPr>
          <w:p>
            <w:pPr>
              <w:pStyle w:val="TableParagraph"/>
              <w:rPr>
                <w:rFonts w:ascii="Times New Roman"/>
                <w:sz w:val="16"/>
              </w:rPr>
            </w:pPr>
          </w:p>
        </w:tc>
        <w:tc>
          <w:tcPr>
            <w:tcW w:w="1814" w:type="dxa"/>
            <w:shd w:val="clear" w:color="auto" w:fill="47A7A8"/>
          </w:tcPr>
          <w:p>
            <w:pPr>
              <w:pStyle w:val="TableParagraph"/>
              <w:spacing w:before="31"/>
              <w:ind w:left="79" w:right="130"/>
              <w:rPr>
                <w:rFonts w:ascii="Helvetica"/>
                <w:b/>
                <w:sz w:val="16"/>
              </w:rPr>
            </w:pPr>
            <w:r>
              <w:rPr>
                <w:rFonts w:ascii="Helvetica"/>
                <w:b/>
                <w:color w:val="231F20"/>
                <w:sz w:val="16"/>
              </w:rPr>
              <w:t>New recruits are made aware of the requirment to be culturally competent to be an effective team nember of the AHO</w:t>
            </w:r>
          </w:p>
        </w:tc>
        <w:tc>
          <w:tcPr>
            <w:tcW w:w="1814" w:type="dxa"/>
            <w:shd w:val="clear" w:color="auto" w:fill="5EAEAF"/>
          </w:tcPr>
          <w:p>
            <w:pPr>
              <w:pStyle w:val="TableParagraph"/>
              <w:spacing w:before="31"/>
              <w:ind w:left="80" w:right="369"/>
              <w:rPr>
                <w:rFonts w:ascii="Helvetica"/>
                <w:b/>
                <w:sz w:val="16"/>
              </w:rPr>
            </w:pPr>
            <w:r>
              <w:rPr>
                <w:rFonts w:ascii="Helvetica"/>
                <w:b/>
                <w:color w:val="231F20"/>
                <w:sz w:val="16"/>
              </w:rPr>
              <w:t>Source, select and acquire training aligned to AHO goals of </w:t>
            </w:r>
            <w:r>
              <w:rPr>
                <w:rFonts w:ascii="Helvetica"/>
                <w:b/>
                <w:color w:val="231F20"/>
                <w:spacing w:val="-18"/>
                <w:sz w:val="16"/>
              </w:rPr>
              <w:t>a</w:t>
            </w:r>
          </w:p>
          <w:p>
            <w:pPr>
              <w:pStyle w:val="TableParagraph"/>
              <w:spacing w:before="5"/>
              <w:ind w:left="80" w:right="129"/>
              <w:rPr>
                <w:rFonts w:ascii="Helvetica"/>
                <w:b/>
                <w:sz w:val="16"/>
              </w:rPr>
            </w:pPr>
            <w:r>
              <w:rPr>
                <w:rFonts w:ascii="Helvetica"/>
                <w:b/>
                <w:color w:val="231F20"/>
                <w:sz w:val="16"/>
              </w:rPr>
              <w:t>culturally competent organisation</w:t>
            </w:r>
          </w:p>
        </w:tc>
        <w:tc>
          <w:tcPr>
            <w:tcW w:w="1814" w:type="dxa"/>
            <w:shd w:val="clear" w:color="auto" w:fill="71B5B6"/>
          </w:tcPr>
          <w:p>
            <w:pPr>
              <w:pStyle w:val="TableParagraph"/>
              <w:spacing w:before="31"/>
              <w:ind w:left="80" w:right="345"/>
              <w:rPr>
                <w:rFonts w:ascii="Helvetica"/>
                <w:b/>
                <w:sz w:val="16"/>
              </w:rPr>
            </w:pPr>
            <w:r>
              <w:rPr>
                <w:rFonts w:ascii="Helvetica"/>
                <w:b/>
                <w:color w:val="231F20"/>
                <w:sz w:val="16"/>
              </w:rPr>
              <w:t>Employees understand that the AHO</w:t>
            </w:r>
            <w:r>
              <w:rPr>
                <w:rFonts w:ascii="Helvetica"/>
                <w:b/>
                <w:color w:val="231F20"/>
                <w:spacing w:val="7"/>
                <w:sz w:val="16"/>
              </w:rPr>
              <w:t> </w:t>
            </w:r>
            <w:r>
              <w:rPr>
                <w:rFonts w:ascii="Helvetica"/>
                <w:b/>
                <w:color w:val="231F20"/>
                <w:spacing w:val="-3"/>
                <w:sz w:val="16"/>
              </w:rPr>
              <w:t>requires</w:t>
            </w:r>
          </w:p>
          <w:p>
            <w:pPr>
              <w:pStyle w:val="TableParagraph"/>
              <w:spacing w:before="4"/>
              <w:ind w:left="80" w:right="138"/>
              <w:rPr>
                <w:rFonts w:ascii="Helvetica"/>
                <w:b/>
                <w:sz w:val="16"/>
              </w:rPr>
            </w:pPr>
            <w:r>
              <w:rPr>
                <w:rFonts w:ascii="Helvetica"/>
                <w:b/>
                <w:color w:val="231F20"/>
                <w:sz w:val="16"/>
              </w:rPr>
              <w:t>them to operate in a culturally</w:t>
            </w:r>
            <w:r>
              <w:rPr>
                <w:rFonts w:ascii="Helvetica"/>
                <w:b/>
                <w:color w:val="231F20"/>
                <w:spacing w:val="-14"/>
                <w:sz w:val="16"/>
              </w:rPr>
              <w:t> </w:t>
            </w:r>
            <w:r>
              <w:rPr>
                <w:rFonts w:ascii="Helvetica"/>
                <w:b/>
                <w:color w:val="231F20"/>
                <w:sz w:val="16"/>
              </w:rPr>
              <w:t>competent manner while working towards the objectives of</w:t>
            </w:r>
            <w:r>
              <w:rPr>
                <w:rFonts w:ascii="Helvetica"/>
                <w:b/>
                <w:color w:val="231F20"/>
                <w:spacing w:val="-1"/>
                <w:sz w:val="16"/>
              </w:rPr>
              <w:t> </w:t>
            </w:r>
            <w:r>
              <w:rPr>
                <w:rFonts w:ascii="Helvetica"/>
                <w:b/>
                <w:color w:val="231F20"/>
                <w:sz w:val="16"/>
              </w:rPr>
              <w:t>AHO</w:t>
            </w:r>
          </w:p>
        </w:tc>
        <w:tc>
          <w:tcPr>
            <w:tcW w:w="1814" w:type="dxa"/>
            <w:shd w:val="clear" w:color="auto" w:fill="83BCBE"/>
          </w:tcPr>
          <w:p>
            <w:pPr>
              <w:pStyle w:val="TableParagraph"/>
              <w:spacing w:before="31"/>
              <w:ind w:left="80" w:right="155"/>
              <w:rPr>
                <w:rFonts w:ascii="Helvetica"/>
                <w:b/>
                <w:sz w:val="16"/>
              </w:rPr>
            </w:pPr>
            <w:r>
              <w:rPr>
                <w:rFonts w:ascii="Helvetica"/>
                <w:b/>
                <w:color w:val="231F20"/>
                <w:sz w:val="16"/>
              </w:rPr>
              <w:t>Optimise the cultural competence of employees to contribute to the success of AHO </w:t>
            </w:r>
            <w:r>
              <w:rPr>
                <w:rFonts w:ascii="Helvetica"/>
                <w:b/>
                <w:color w:val="231F20"/>
                <w:spacing w:val="-6"/>
                <w:sz w:val="16"/>
              </w:rPr>
              <w:t>and </w:t>
            </w:r>
            <w:r>
              <w:rPr>
                <w:rFonts w:ascii="Helvetica"/>
                <w:b/>
                <w:color w:val="231F20"/>
                <w:sz w:val="16"/>
              </w:rPr>
              <w:t>their own</w:t>
            </w:r>
            <w:r>
              <w:rPr>
                <w:rFonts w:ascii="Helvetica"/>
                <w:b/>
                <w:color w:val="231F20"/>
                <w:spacing w:val="-2"/>
                <w:sz w:val="16"/>
              </w:rPr>
              <w:t> </w:t>
            </w:r>
            <w:r>
              <w:rPr>
                <w:rFonts w:ascii="Helvetica"/>
                <w:b/>
                <w:color w:val="231F20"/>
                <w:sz w:val="16"/>
              </w:rPr>
              <w:t>careers</w:t>
            </w:r>
          </w:p>
        </w:tc>
        <w:tc>
          <w:tcPr>
            <w:tcW w:w="1814" w:type="dxa"/>
            <w:shd w:val="clear" w:color="auto" w:fill="A5CCCD"/>
          </w:tcPr>
          <w:p>
            <w:pPr>
              <w:pStyle w:val="TableParagraph"/>
              <w:spacing w:before="31"/>
              <w:ind w:left="80"/>
              <w:rPr>
                <w:rFonts w:ascii="Helvetica"/>
                <w:b/>
                <w:sz w:val="16"/>
              </w:rPr>
            </w:pPr>
            <w:r>
              <w:rPr>
                <w:rFonts w:ascii="Helvetica"/>
                <w:b/>
                <w:color w:val="231F20"/>
                <w:sz w:val="16"/>
              </w:rPr>
              <w:t>Employees leave with a positive experience of their cultural learning while at the AHO</w:t>
            </w:r>
          </w:p>
        </w:tc>
      </w:tr>
      <w:tr>
        <w:trPr>
          <w:trHeight w:val="3905" w:hRule="atLeast"/>
        </w:trPr>
        <w:tc>
          <w:tcPr>
            <w:tcW w:w="576" w:type="dxa"/>
            <w:vMerge w:val="restart"/>
            <w:shd w:val="clear" w:color="auto" w:fill="47A7A8"/>
            <w:textDirection w:val="btLr"/>
          </w:tcPr>
          <w:p>
            <w:pPr>
              <w:pStyle w:val="TableParagraph"/>
              <w:spacing w:before="1"/>
              <w:rPr>
                <w:rFonts w:ascii="Helvetica"/>
                <w:b/>
                <w:sz w:val="16"/>
              </w:rPr>
            </w:pPr>
          </w:p>
          <w:p>
            <w:pPr>
              <w:pStyle w:val="TableParagraph"/>
              <w:ind w:left="1960" w:right="1960"/>
              <w:jc w:val="center"/>
              <w:rPr>
                <w:rFonts w:ascii="Helvetica"/>
                <w:b/>
                <w:sz w:val="16"/>
              </w:rPr>
            </w:pPr>
            <w:r>
              <w:rPr>
                <w:rFonts w:ascii="Helvetica"/>
                <w:b/>
                <w:color w:val="FFFFFF"/>
                <w:sz w:val="16"/>
              </w:rPr>
              <w:t>Requirments</w:t>
            </w:r>
          </w:p>
        </w:tc>
        <w:tc>
          <w:tcPr>
            <w:tcW w:w="1814" w:type="dxa"/>
            <w:tcBorders>
              <w:bottom w:val="nil"/>
            </w:tcBorders>
          </w:tcPr>
          <w:p>
            <w:pPr>
              <w:pStyle w:val="TableParagraph"/>
              <w:numPr>
                <w:ilvl w:val="0"/>
                <w:numId w:val="9"/>
              </w:numPr>
              <w:tabs>
                <w:tab w:pos="205" w:val="left" w:leader="none"/>
              </w:tabs>
              <w:spacing w:line="235" w:lineRule="auto" w:before="73" w:after="0"/>
              <w:ind w:left="193" w:right="131" w:hanging="114"/>
              <w:jc w:val="left"/>
              <w:rPr>
                <w:sz w:val="16"/>
              </w:rPr>
            </w:pPr>
            <w:r>
              <w:rPr>
                <w:color w:val="231F20"/>
                <w:sz w:val="16"/>
              </w:rPr>
              <w:t>Awareness of the culture of AHO, including cultural competency </w:t>
            </w:r>
            <w:r>
              <w:rPr>
                <w:color w:val="231F20"/>
                <w:spacing w:val="-3"/>
                <w:sz w:val="16"/>
              </w:rPr>
              <w:t>training </w:t>
            </w:r>
            <w:r>
              <w:rPr>
                <w:color w:val="231F20"/>
                <w:sz w:val="16"/>
              </w:rPr>
              <w:t>discussed</w:t>
            </w:r>
          </w:p>
          <w:p>
            <w:pPr>
              <w:pStyle w:val="TableParagraph"/>
              <w:numPr>
                <w:ilvl w:val="0"/>
                <w:numId w:val="9"/>
              </w:numPr>
              <w:tabs>
                <w:tab w:pos="205" w:val="left" w:leader="none"/>
              </w:tabs>
              <w:spacing w:line="235" w:lineRule="auto" w:before="53" w:after="0"/>
              <w:ind w:left="193" w:right="78" w:hanging="114"/>
              <w:jc w:val="left"/>
              <w:rPr>
                <w:sz w:val="16"/>
              </w:rPr>
            </w:pPr>
            <w:r>
              <w:rPr>
                <w:color w:val="231F20"/>
                <w:sz w:val="16"/>
              </w:rPr>
              <w:t>Determination made of urgency of</w:t>
            </w:r>
            <w:r>
              <w:rPr>
                <w:color w:val="231F20"/>
                <w:spacing w:val="5"/>
                <w:sz w:val="16"/>
              </w:rPr>
              <w:t> </w:t>
            </w:r>
            <w:r>
              <w:rPr>
                <w:color w:val="231F20"/>
                <w:spacing w:val="-3"/>
                <w:sz w:val="16"/>
              </w:rPr>
              <w:t>training</w:t>
            </w:r>
          </w:p>
          <w:p>
            <w:pPr>
              <w:pStyle w:val="TableParagraph"/>
              <w:spacing w:line="235" w:lineRule="auto"/>
              <w:ind w:left="193" w:right="220"/>
              <w:rPr>
                <w:sz w:val="16"/>
              </w:rPr>
            </w:pPr>
            <w:r>
              <w:rPr>
                <w:color w:val="231F20"/>
                <w:sz w:val="16"/>
              </w:rPr>
              <w:t>- does the person have any skills and knowledge in this area?</w:t>
            </w:r>
          </w:p>
          <w:p>
            <w:pPr>
              <w:pStyle w:val="TableParagraph"/>
              <w:numPr>
                <w:ilvl w:val="0"/>
                <w:numId w:val="9"/>
              </w:numPr>
              <w:tabs>
                <w:tab w:pos="205" w:val="left" w:leader="none"/>
              </w:tabs>
              <w:spacing w:line="235" w:lineRule="auto" w:before="52" w:after="0"/>
              <w:ind w:left="193" w:right="175" w:hanging="114"/>
              <w:jc w:val="left"/>
              <w:rPr>
                <w:sz w:val="16"/>
              </w:rPr>
            </w:pPr>
            <w:r>
              <w:rPr>
                <w:color w:val="231F20"/>
                <w:sz w:val="16"/>
              </w:rPr>
              <w:t>Check to see if critical mass for face to face </w:t>
            </w:r>
            <w:r>
              <w:rPr>
                <w:color w:val="231F20"/>
                <w:spacing w:val="-3"/>
                <w:sz w:val="16"/>
              </w:rPr>
              <w:t>training </w:t>
            </w:r>
            <w:r>
              <w:rPr>
                <w:color w:val="231F20"/>
                <w:sz w:val="16"/>
              </w:rPr>
              <w:t>reached.</w:t>
            </w:r>
          </w:p>
          <w:p>
            <w:pPr>
              <w:pStyle w:val="TableParagraph"/>
              <w:numPr>
                <w:ilvl w:val="0"/>
                <w:numId w:val="9"/>
              </w:numPr>
              <w:tabs>
                <w:tab w:pos="205" w:val="left" w:leader="none"/>
              </w:tabs>
              <w:spacing w:line="192" w:lineRule="exact" w:before="54" w:after="0"/>
              <w:ind w:left="193" w:right="93" w:hanging="114"/>
              <w:jc w:val="left"/>
              <w:rPr>
                <w:sz w:val="16"/>
              </w:rPr>
            </w:pPr>
            <w:r>
              <w:rPr>
                <w:color w:val="231F20"/>
                <w:sz w:val="16"/>
              </w:rPr>
              <w:t>Requirement to complete mandatory </w:t>
            </w:r>
            <w:r>
              <w:rPr>
                <w:color w:val="231F20"/>
                <w:spacing w:val="-3"/>
                <w:sz w:val="16"/>
              </w:rPr>
              <w:t>FACS </w:t>
            </w:r>
            <w:r>
              <w:rPr>
                <w:color w:val="231F20"/>
                <w:sz w:val="16"/>
              </w:rPr>
              <w:t>Cross Cultural eLearning</w:t>
            </w:r>
            <w:r>
              <w:rPr>
                <w:color w:val="231F20"/>
                <w:spacing w:val="-11"/>
                <w:sz w:val="16"/>
              </w:rPr>
              <w:t> </w:t>
            </w:r>
            <w:r>
              <w:rPr>
                <w:color w:val="231F20"/>
                <w:sz w:val="16"/>
              </w:rPr>
              <w:t>discussed</w:t>
            </w:r>
          </w:p>
        </w:tc>
        <w:tc>
          <w:tcPr>
            <w:tcW w:w="1814" w:type="dxa"/>
            <w:tcBorders>
              <w:bottom w:val="nil"/>
            </w:tcBorders>
          </w:tcPr>
          <w:p>
            <w:pPr>
              <w:pStyle w:val="TableParagraph"/>
              <w:numPr>
                <w:ilvl w:val="0"/>
                <w:numId w:val="10"/>
              </w:numPr>
              <w:tabs>
                <w:tab w:pos="205" w:val="left" w:leader="none"/>
              </w:tabs>
              <w:spacing w:line="235" w:lineRule="auto" w:before="73" w:after="0"/>
              <w:ind w:left="193" w:right="57" w:hanging="113"/>
              <w:jc w:val="left"/>
              <w:rPr>
                <w:sz w:val="16"/>
              </w:rPr>
            </w:pPr>
            <w:r>
              <w:rPr>
                <w:color w:val="231F20"/>
                <w:sz w:val="16"/>
              </w:rPr>
              <w:t>Access to initial face to face Cross</w:t>
            </w:r>
            <w:r>
              <w:rPr>
                <w:color w:val="231F20"/>
                <w:spacing w:val="-21"/>
                <w:sz w:val="16"/>
              </w:rPr>
              <w:t> </w:t>
            </w:r>
            <w:r>
              <w:rPr>
                <w:color w:val="231F20"/>
                <w:sz w:val="16"/>
              </w:rPr>
              <w:t>Cultural Awareness</w:t>
            </w:r>
            <w:r>
              <w:rPr>
                <w:color w:val="231F20"/>
                <w:spacing w:val="-5"/>
                <w:sz w:val="16"/>
              </w:rPr>
              <w:t> </w:t>
            </w:r>
            <w:r>
              <w:rPr>
                <w:color w:val="231F20"/>
                <w:sz w:val="16"/>
              </w:rPr>
              <w:t>Training</w:t>
            </w:r>
          </w:p>
          <w:p>
            <w:pPr>
              <w:pStyle w:val="TableParagraph"/>
              <w:numPr>
                <w:ilvl w:val="0"/>
                <w:numId w:val="10"/>
              </w:numPr>
              <w:tabs>
                <w:tab w:pos="205" w:val="left" w:leader="none"/>
              </w:tabs>
              <w:spacing w:line="235" w:lineRule="auto" w:before="54" w:after="0"/>
              <w:ind w:left="193" w:right="371" w:hanging="113"/>
              <w:jc w:val="left"/>
              <w:rPr>
                <w:sz w:val="16"/>
              </w:rPr>
            </w:pPr>
            <w:r>
              <w:rPr>
                <w:color w:val="231F20"/>
                <w:sz w:val="16"/>
              </w:rPr>
              <w:t>Access to place based Aboriginal Cultural</w:t>
            </w:r>
            <w:r>
              <w:rPr>
                <w:color w:val="231F20"/>
                <w:spacing w:val="-6"/>
                <w:sz w:val="16"/>
              </w:rPr>
              <w:t> </w:t>
            </w:r>
            <w:r>
              <w:rPr>
                <w:color w:val="231F20"/>
                <w:sz w:val="16"/>
              </w:rPr>
              <w:t>Training</w:t>
            </w:r>
          </w:p>
          <w:p>
            <w:pPr>
              <w:pStyle w:val="TableParagraph"/>
              <w:numPr>
                <w:ilvl w:val="0"/>
                <w:numId w:val="10"/>
              </w:numPr>
              <w:tabs>
                <w:tab w:pos="205" w:val="left" w:leader="none"/>
              </w:tabs>
              <w:spacing w:line="235" w:lineRule="auto" w:before="55" w:after="0"/>
              <w:ind w:left="193" w:right="173" w:hanging="113"/>
              <w:jc w:val="left"/>
              <w:rPr>
                <w:sz w:val="16"/>
              </w:rPr>
            </w:pPr>
            <w:r>
              <w:rPr>
                <w:color w:val="231F20"/>
                <w:sz w:val="16"/>
              </w:rPr>
              <w:t>Regional immersion for city based</w:t>
            </w:r>
            <w:r>
              <w:rPr>
                <w:color w:val="231F20"/>
                <w:spacing w:val="-2"/>
                <w:sz w:val="16"/>
              </w:rPr>
              <w:t> </w:t>
            </w:r>
            <w:r>
              <w:rPr>
                <w:color w:val="231F20"/>
                <w:sz w:val="16"/>
              </w:rPr>
              <w:t>staff</w:t>
            </w:r>
          </w:p>
          <w:p>
            <w:pPr>
              <w:pStyle w:val="TableParagraph"/>
              <w:numPr>
                <w:ilvl w:val="0"/>
                <w:numId w:val="10"/>
              </w:numPr>
              <w:tabs>
                <w:tab w:pos="205" w:val="left" w:leader="none"/>
              </w:tabs>
              <w:spacing w:line="235" w:lineRule="auto" w:before="55" w:after="0"/>
              <w:ind w:left="193" w:right="327" w:hanging="113"/>
              <w:jc w:val="left"/>
              <w:rPr>
                <w:sz w:val="16"/>
              </w:rPr>
            </w:pPr>
            <w:r>
              <w:rPr>
                <w:color w:val="231F20"/>
                <w:sz w:val="16"/>
              </w:rPr>
              <w:t>Regular presentations by Aboriginal </w:t>
            </w:r>
            <w:r>
              <w:rPr>
                <w:color w:val="231F20"/>
                <w:spacing w:val="-3"/>
                <w:sz w:val="16"/>
              </w:rPr>
              <w:t>people </w:t>
            </w:r>
            <w:r>
              <w:rPr>
                <w:color w:val="231F20"/>
                <w:sz w:val="16"/>
              </w:rPr>
              <w:t>to</w:t>
            </w:r>
            <w:r>
              <w:rPr>
                <w:color w:val="231F20"/>
                <w:spacing w:val="-1"/>
                <w:sz w:val="16"/>
              </w:rPr>
              <w:t> </w:t>
            </w:r>
            <w:r>
              <w:rPr>
                <w:color w:val="231F20"/>
                <w:sz w:val="16"/>
              </w:rPr>
              <w:t>staff</w:t>
            </w:r>
          </w:p>
          <w:p>
            <w:pPr>
              <w:pStyle w:val="TableParagraph"/>
              <w:numPr>
                <w:ilvl w:val="0"/>
                <w:numId w:val="10"/>
              </w:numPr>
              <w:tabs>
                <w:tab w:pos="205" w:val="left" w:leader="none"/>
              </w:tabs>
              <w:spacing w:line="235" w:lineRule="auto" w:before="54" w:after="0"/>
              <w:ind w:left="193" w:right="526" w:hanging="113"/>
              <w:jc w:val="left"/>
              <w:rPr>
                <w:sz w:val="16"/>
              </w:rPr>
            </w:pPr>
            <w:r>
              <w:rPr>
                <w:color w:val="231F20"/>
                <w:sz w:val="16"/>
              </w:rPr>
              <w:t>Participation </w:t>
            </w:r>
            <w:r>
              <w:rPr>
                <w:color w:val="231F20"/>
                <w:spacing w:val="-8"/>
                <w:sz w:val="16"/>
              </w:rPr>
              <w:t>in </w:t>
            </w:r>
            <w:r>
              <w:rPr>
                <w:color w:val="231F20"/>
                <w:sz w:val="16"/>
              </w:rPr>
              <w:t>cultural days</w:t>
            </w:r>
          </w:p>
        </w:tc>
        <w:tc>
          <w:tcPr>
            <w:tcW w:w="1814" w:type="dxa"/>
            <w:tcBorders>
              <w:bottom w:val="nil"/>
            </w:tcBorders>
          </w:tcPr>
          <w:p>
            <w:pPr>
              <w:pStyle w:val="TableParagraph"/>
              <w:numPr>
                <w:ilvl w:val="0"/>
                <w:numId w:val="11"/>
              </w:numPr>
              <w:tabs>
                <w:tab w:pos="205" w:val="left" w:leader="none"/>
              </w:tabs>
              <w:spacing w:line="235" w:lineRule="auto" w:before="73" w:after="0"/>
              <w:ind w:left="193" w:right="534" w:hanging="113"/>
              <w:jc w:val="left"/>
              <w:rPr>
                <w:sz w:val="16"/>
              </w:rPr>
            </w:pPr>
            <w:r>
              <w:rPr>
                <w:color w:val="231F20"/>
                <w:sz w:val="16"/>
              </w:rPr>
              <w:t>Workplace behaviours </w:t>
            </w:r>
            <w:r>
              <w:rPr>
                <w:color w:val="231F20"/>
                <w:spacing w:val="-9"/>
                <w:sz w:val="16"/>
              </w:rPr>
              <w:t>are </w:t>
            </w:r>
            <w:r>
              <w:rPr>
                <w:color w:val="231F20"/>
                <w:sz w:val="16"/>
              </w:rPr>
              <w:t>monitored</w:t>
            </w:r>
          </w:p>
          <w:p>
            <w:pPr>
              <w:pStyle w:val="TableParagraph"/>
              <w:numPr>
                <w:ilvl w:val="0"/>
                <w:numId w:val="11"/>
              </w:numPr>
              <w:tabs>
                <w:tab w:pos="205" w:val="left" w:leader="none"/>
              </w:tabs>
              <w:spacing w:line="235" w:lineRule="auto" w:before="54" w:after="0"/>
              <w:ind w:left="193" w:right="166" w:hanging="113"/>
              <w:jc w:val="left"/>
              <w:rPr>
                <w:sz w:val="16"/>
              </w:rPr>
            </w:pPr>
            <w:r>
              <w:rPr>
                <w:color w:val="231F20"/>
                <w:sz w:val="16"/>
              </w:rPr>
              <w:t>Regular one-on- one discussions scheduled and </w:t>
            </w:r>
            <w:r>
              <w:rPr>
                <w:color w:val="231F20"/>
                <w:spacing w:val="-5"/>
                <w:sz w:val="16"/>
              </w:rPr>
              <w:t>held </w:t>
            </w:r>
            <w:r>
              <w:rPr>
                <w:color w:val="231F20"/>
                <w:sz w:val="16"/>
              </w:rPr>
              <w:t>discussing cultural</w:t>
            </w:r>
          </w:p>
          <w:p>
            <w:pPr>
              <w:pStyle w:val="TableParagraph"/>
              <w:spacing w:line="191" w:lineRule="exact"/>
              <w:ind w:left="193"/>
              <w:rPr>
                <w:sz w:val="16"/>
              </w:rPr>
            </w:pPr>
            <w:r>
              <w:rPr>
                <w:color w:val="231F20"/>
                <w:sz w:val="16"/>
              </w:rPr>
              <w:t>issues that may arise</w:t>
            </w:r>
          </w:p>
          <w:p>
            <w:pPr>
              <w:pStyle w:val="TableParagraph"/>
              <w:numPr>
                <w:ilvl w:val="0"/>
                <w:numId w:val="11"/>
              </w:numPr>
              <w:tabs>
                <w:tab w:pos="205" w:val="left" w:leader="none"/>
              </w:tabs>
              <w:spacing w:line="235" w:lineRule="auto" w:before="55" w:after="0"/>
              <w:ind w:left="193" w:right="209" w:hanging="113"/>
              <w:jc w:val="left"/>
              <w:rPr>
                <w:sz w:val="16"/>
              </w:rPr>
            </w:pPr>
            <w:r>
              <w:rPr>
                <w:color w:val="231F20"/>
                <w:sz w:val="16"/>
              </w:rPr>
              <w:t>Cultural complaints are discussed and a plan of action developed to deal with the matter</w:t>
            </w:r>
          </w:p>
          <w:p>
            <w:pPr>
              <w:pStyle w:val="TableParagraph"/>
              <w:numPr>
                <w:ilvl w:val="0"/>
                <w:numId w:val="11"/>
              </w:numPr>
              <w:tabs>
                <w:tab w:pos="205" w:val="left" w:leader="none"/>
              </w:tabs>
              <w:spacing w:line="235" w:lineRule="auto" w:before="53" w:after="0"/>
              <w:ind w:left="193" w:right="211" w:hanging="113"/>
              <w:jc w:val="left"/>
              <w:rPr>
                <w:sz w:val="16"/>
              </w:rPr>
            </w:pPr>
            <w:r>
              <w:rPr>
                <w:color w:val="231F20"/>
                <w:sz w:val="16"/>
              </w:rPr>
              <w:t>Regular team meetings scheduledand</w:t>
            </w:r>
            <w:r>
              <w:rPr>
                <w:color w:val="231F20"/>
                <w:spacing w:val="1"/>
                <w:sz w:val="16"/>
              </w:rPr>
              <w:t> </w:t>
            </w:r>
            <w:r>
              <w:rPr>
                <w:color w:val="231F20"/>
                <w:spacing w:val="-5"/>
                <w:sz w:val="16"/>
              </w:rPr>
              <w:t>held</w:t>
            </w:r>
          </w:p>
        </w:tc>
        <w:tc>
          <w:tcPr>
            <w:tcW w:w="1814" w:type="dxa"/>
            <w:tcBorders>
              <w:bottom w:val="nil"/>
            </w:tcBorders>
          </w:tcPr>
          <w:p>
            <w:pPr>
              <w:pStyle w:val="TableParagraph"/>
              <w:numPr>
                <w:ilvl w:val="0"/>
                <w:numId w:val="12"/>
              </w:numPr>
              <w:tabs>
                <w:tab w:pos="204" w:val="left" w:leader="none"/>
              </w:tabs>
              <w:spacing w:line="235" w:lineRule="auto" w:before="72" w:after="0"/>
              <w:ind w:left="193" w:right="176" w:hanging="113"/>
              <w:jc w:val="left"/>
              <w:rPr>
                <w:sz w:val="16"/>
              </w:rPr>
            </w:pPr>
            <w:r>
              <w:rPr>
                <w:color w:val="231F20"/>
                <w:sz w:val="16"/>
              </w:rPr>
              <w:t>Appropriate </w:t>
            </w:r>
            <w:r>
              <w:rPr>
                <w:color w:val="231F20"/>
                <w:spacing w:val="-3"/>
                <w:sz w:val="16"/>
              </w:rPr>
              <w:t>training </w:t>
            </w:r>
            <w:r>
              <w:rPr>
                <w:color w:val="231F20"/>
                <w:sz w:val="16"/>
              </w:rPr>
              <w:t>provided</w:t>
            </w:r>
          </w:p>
          <w:p>
            <w:pPr>
              <w:pStyle w:val="TableParagraph"/>
              <w:numPr>
                <w:ilvl w:val="0"/>
                <w:numId w:val="12"/>
              </w:numPr>
              <w:tabs>
                <w:tab w:pos="204" w:val="left" w:leader="none"/>
              </w:tabs>
              <w:spacing w:line="235" w:lineRule="auto" w:before="56" w:after="0"/>
              <w:ind w:left="193" w:right="271" w:hanging="113"/>
              <w:jc w:val="left"/>
              <w:rPr>
                <w:sz w:val="16"/>
              </w:rPr>
            </w:pPr>
            <w:r>
              <w:rPr>
                <w:color w:val="231F20"/>
                <w:sz w:val="16"/>
              </w:rPr>
              <w:t>Employees attend Aboriginal Cultural days presented </w:t>
            </w:r>
            <w:r>
              <w:rPr>
                <w:color w:val="231F20"/>
                <w:spacing w:val="-8"/>
                <w:sz w:val="16"/>
              </w:rPr>
              <w:t>by </w:t>
            </w:r>
            <w:r>
              <w:rPr>
                <w:color w:val="231F20"/>
                <w:sz w:val="16"/>
              </w:rPr>
              <w:t>the AHO as well as in their own communities</w:t>
            </w:r>
          </w:p>
          <w:p>
            <w:pPr>
              <w:pStyle w:val="TableParagraph"/>
              <w:numPr>
                <w:ilvl w:val="0"/>
                <w:numId w:val="12"/>
              </w:numPr>
              <w:tabs>
                <w:tab w:pos="204" w:val="left" w:leader="none"/>
              </w:tabs>
              <w:spacing w:line="235" w:lineRule="auto" w:before="52" w:after="0"/>
              <w:ind w:left="193" w:right="275" w:hanging="113"/>
              <w:jc w:val="left"/>
              <w:rPr>
                <w:sz w:val="16"/>
              </w:rPr>
            </w:pPr>
            <w:r>
              <w:rPr>
                <w:color w:val="231F20"/>
                <w:sz w:val="16"/>
              </w:rPr>
              <w:t>Opportunities for further cultural development provided (e.g. informal </w:t>
            </w:r>
            <w:r>
              <w:rPr>
                <w:color w:val="231F20"/>
                <w:spacing w:val="-3"/>
                <w:sz w:val="16"/>
              </w:rPr>
              <w:t>mentoring </w:t>
            </w:r>
            <w:r>
              <w:rPr>
                <w:color w:val="231F20"/>
                <w:sz w:val="16"/>
              </w:rPr>
              <w:t>&amp;</w:t>
            </w:r>
            <w:r>
              <w:rPr>
                <w:color w:val="231F20"/>
                <w:spacing w:val="-3"/>
                <w:sz w:val="16"/>
              </w:rPr>
              <w:t> </w:t>
            </w:r>
            <w:r>
              <w:rPr>
                <w:color w:val="231F20"/>
                <w:sz w:val="16"/>
              </w:rPr>
              <w:t>coaching,</w:t>
            </w:r>
          </w:p>
          <w:p>
            <w:pPr>
              <w:pStyle w:val="TableParagraph"/>
              <w:spacing w:line="189" w:lineRule="exact"/>
              <w:ind w:left="193"/>
              <w:rPr>
                <w:sz w:val="16"/>
              </w:rPr>
            </w:pPr>
            <w:r>
              <w:rPr>
                <w:color w:val="231F20"/>
                <w:sz w:val="16"/>
              </w:rPr>
              <w:t>conferences, training)</w:t>
            </w:r>
          </w:p>
          <w:p>
            <w:pPr>
              <w:pStyle w:val="TableParagraph"/>
              <w:numPr>
                <w:ilvl w:val="0"/>
                <w:numId w:val="12"/>
              </w:numPr>
              <w:tabs>
                <w:tab w:pos="204" w:val="left" w:leader="none"/>
              </w:tabs>
              <w:spacing w:line="192" w:lineRule="exact" w:before="55" w:after="0"/>
              <w:ind w:left="193" w:right="224" w:hanging="113"/>
              <w:jc w:val="left"/>
              <w:rPr>
                <w:sz w:val="16"/>
              </w:rPr>
            </w:pPr>
            <w:r>
              <w:rPr>
                <w:color w:val="231F20"/>
                <w:sz w:val="16"/>
              </w:rPr>
              <w:t>AHO Staff </w:t>
            </w:r>
            <w:r>
              <w:rPr>
                <w:color w:val="231F20"/>
                <w:spacing w:val="-3"/>
                <w:sz w:val="16"/>
              </w:rPr>
              <w:t>Advisory </w:t>
            </w:r>
            <w:r>
              <w:rPr>
                <w:color w:val="231F20"/>
                <w:sz w:val="16"/>
              </w:rPr>
              <w:t>Committee to develop cultural activities</w:t>
            </w:r>
          </w:p>
        </w:tc>
        <w:tc>
          <w:tcPr>
            <w:tcW w:w="1814" w:type="dxa"/>
            <w:tcBorders>
              <w:bottom w:val="nil"/>
            </w:tcBorders>
          </w:tcPr>
          <w:p>
            <w:pPr>
              <w:pStyle w:val="TableParagraph"/>
              <w:numPr>
                <w:ilvl w:val="0"/>
                <w:numId w:val="13"/>
              </w:numPr>
              <w:tabs>
                <w:tab w:pos="206" w:val="left" w:leader="none"/>
              </w:tabs>
              <w:spacing w:line="235" w:lineRule="auto" w:before="72" w:after="0"/>
              <w:ind w:left="194" w:right="352" w:hanging="114"/>
              <w:jc w:val="left"/>
              <w:rPr>
                <w:sz w:val="16"/>
              </w:rPr>
            </w:pPr>
            <w:r>
              <w:rPr>
                <w:color w:val="231F20"/>
                <w:sz w:val="16"/>
              </w:rPr>
              <w:t>Employess asked about </w:t>
            </w:r>
            <w:r>
              <w:rPr>
                <w:color w:val="231F20"/>
                <w:spacing w:val="-4"/>
                <w:sz w:val="16"/>
              </w:rPr>
              <w:t>their </w:t>
            </w:r>
            <w:r>
              <w:rPr>
                <w:color w:val="231F20"/>
                <w:sz w:val="16"/>
              </w:rPr>
              <w:t>experience with cultural learning while in the organisation</w:t>
            </w:r>
          </w:p>
          <w:p>
            <w:pPr>
              <w:pStyle w:val="TableParagraph"/>
              <w:numPr>
                <w:ilvl w:val="0"/>
                <w:numId w:val="13"/>
              </w:numPr>
              <w:tabs>
                <w:tab w:pos="206" w:val="left" w:leader="none"/>
              </w:tabs>
              <w:spacing w:line="235" w:lineRule="auto" w:before="53" w:after="0"/>
              <w:ind w:left="194" w:right="59" w:hanging="114"/>
              <w:jc w:val="left"/>
              <w:rPr>
                <w:sz w:val="16"/>
              </w:rPr>
            </w:pPr>
            <w:r>
              <w:rPr>
                <w:color w:val="231F20"/>
                <w:sz w:val="16"/>
              </w:rPr>
              <w:t>The 'Leaving AHO Survey' should include a question </w:t>
            </w:r>
            <w:r>
              <w:rPr>
                <w:color w:val="231F20"/>
                <w:spacing w:val="-9"/>
                <w:sz w:val="16"/>
              </w:rPr>
              <w:t>on </w:t>
            </w:r>
            <w:r>
              <w:rPr>
                <w:color w:val="231F20"/>
                <w:sz w:val="16"/>
              </w:rPr>
              <w:t>their experience with cultural learning.</w:t>
            </w:r>
          </w:p>
        </w:tc>
      </w:tr>
      <w:tr>
        <w:trPr>
          <w:trHeight w:val="1013" w:hRule="atLeast"/>
        </w:trPr>
        <w:tc>
          <w:tcPr>
            <w:tcW w:w="576" w:type="dxa"/>
            <w:vMerge/>
            <w:tcBorders>
              <w:top w:val="nil"/>
            </w:tcBorders>
            <w:shd w:val="clear" w:color="auto" w:fill="47A7A8"/>
            <w:textDirection w:val="btLr"/>
          </w:tcPr>
          <w:p>
            <w:pPr>
              <w:rPr>
                <w:sz w:val="2"/>
                <w:szCs w:val="2"/>
              </w:rPr>
            </w:pPr>
          </w:p>
        </w:tc>
        <w:tc>
          <w:tcPr>
            <w:tcW w:w="1814" w:type="dxa"/>
            <w:tcBorders>
              <w:top w:val="nil"/>
            </w:tcBorders>
          </w:tcPr>
          <w:p>
            <w:pPr>
              <w:pStyle w:val="TableParagraph"/>
              <w:rPr>
                <w:rFonts w:ascii="Times New Roman"/>
                <w:sz w:val="16"/>
              </w:rPr>
            </w:pPr>
          </w:p>
        </w:tc>
        <w:tc>
          <w:tcPr>
            <w:tcW w:w="1814" w:type="dxa"/>
            <w:tcBorders>
              <w:top w:val="nil"/>
            </w:tcBorders>
          </w:tcPr>
          <w:p>
            <w:pPr>
              <w:pStyle w:val="TableParagraph"/>
              <w:rPr>
                <w:rFonts w:ascii="Times New Roman"/>
                <w:sz w:val="16"/>
              </w:rPr>
            </w:pPr>
          </w:p>
        </w:tc>
        <w:tc>
          <w:tcPr>
            <w:tcW w:w="1814" w:type="dxa"/>
            <w:tcBorders>
              <w:top w:val="nil"/>
            </w:tcBorders>
          </w:tcPr>
          <w:p>
            <w:pPr>
              <w:pStyle w:val="TableParagraph"/>
              <w:rPr>
                <w:rFonts w:ascii="Times New Roman"/>
                <w:sz w:val="16"/>
              </w:rPr>
            </w:pPr>
          </w:p>
        </w:tc>
        <w:tc>
          <w:tcPr>
            <w:tcW w:w="1814" w:type="dxa"/>
            <w:tcBorders>
              <w:top w:val="nil"/>
            </w:tcBorders>
          </w:tcPr>
          <w:p>
            <w:pPr>
              <w:pStyle w:val="TableParagraph"/>
              <w:numPr>
                <w:ilvl w:val="0"/>
                <w:numId w:val="14"/>
              </w:numPr>
              <w:tabs>
                <w:tab w:pos="204" w:val="left" w:leader="none"/>
              </w:tabs>
              <w:spacing w:line="235" w:lineRule="auto" w:before="21" w:after="0"/>
              <w:ind w:left="193" w:right="145" w:hanging="113"/>
              <w:jc w:val="left"/>
              <w:rPr>
                <w:sz w:val="16"/>
              </w:rPr>
            </w:pPr>
            <w:r>
              <w:rPr>
                <w:color w:val="231F20"/>
                <w:sz w:val="16"/>
              </w:rPr>
              <w:t>A staff award for contribution to cultural </w:t>
            </w:r>
            <w:r>
              <w:rPr>
                <w:color w:val="231F20"/>
                <w:spacing w:val="-3"/>
                <w:sz w:val="16"/>
              </w:rPr>
              <w:t>competence </w:t>
            </w:r>
            <w:r>
              <w:rPr>
                <w:color w:val="231F20"/>
                <w:sz w:val="16"/>
              </w:rPr>
              <w:t>of the AHO developed</w:t>
            </w:r>
          </w:p>
        </w:tc>
        <w:tc>
          <w:tcPr>
            <w:tcW w:w="1814" w:type="dxa"/>
            <w:tcBorders>
              <w:top w:val="nil"/>
            </w:tcBorders>
          </w:tcPr>
          <w:p>
            <w:pPr>
              <w:pStyle w:val="TableParagraph"/>
              <w:rPr>
                <w:rFonts w:ascii="Times New Roman"/>
                <w:sz w:val="16"/>
              </w:rPr>
            </w:pPr>
          </w:p>
        </w:tc>
      </w:tr>
      <w:tr>
        <w:trPr>
          <w:trHeight w:val="1872" w:hRule="atLeast"/>
        </w:trPr>
        <w:tc>
          <w:tcPr>
            <w:tcW w:w="576" w:type="dxa"/>
            <w:vMerge w:val="restart"/>
            <w:shd w:val="clear" w:color="auto" w:fill="47A7A8"/>
            <w:textDirection w:val="btLr"/>
          </w:tcPr>
          <w:p>
            <w:pPr>
              <w:pStyle w:val="TableParagraph"/>
              <w:spacing w:before="1"/>
              <w:rPr>
                <w:rFonts w:ascii="Helvetica"/>
                <w:b/>
                <w:sz w:val="16"/>
              </w:rPr>
            </w:pPr>
          </w:p>
          <w:p>
            <w:pPr>
              <w:pStyle w:val="TableParagraph"/>
              <w:ind w:left="360"/>
              <w:rPr>
                <w:rFonts w:ascii="Helvetica"/>
                <w:b/>
                <w:sz w:val="16"/>
              </w:rPr>
            </w:pPr>
            <w:r>
              <w:rPr>
                <w:rFonts w:ascii="Helvetica"/>
                <w:b/>
                <w:color w:val="FFFFFF"/>
                <w:sz w:val="16"/>
              </w:rPr>
              <w:t>Forms and templates</w:t>
            </w:r>
          </w:p>
        </w:tc>
        <w:tc>
          <w:tcPr>
            <w:tcW w:w="1814" w:type="dxa"/>
            <w:tcBorders>
              <w:bottom w:val="nil"/>
            </w:tcBorders>
          </w:tcPr>
          <w:p>
            <w:pPr>
              <w:pStyle w:val="TableParagraph"/>
              <w:spacing w:line="235" w:lineRule="auto" w:before="73"/>
              <w:ind w:left="193" w:right="130" w:hanging="7"/>
              <w:rPr>
                <w:sz w:val="16"/>
              </w:rPr>
            </w:pPr>
            <w:r>
              <w:rPr>
                <w:color w:val="231F20"/>
                <w:sz w:val="16"/>
              </w:rPr>
              <w:t>Mandatory FACS Cross Cultural Awareness eLearning</w:t>
            </w:r>
          </w:p>
        </w:tc>
        <w:tc>
          <w:tcPr>
            <w:tcW w:w="1814" w:type="dxa"/>
            <w:tcBorders>
              <w:bottom w:val="nil"/>
            </w:tcBorders>
          </w:tcPr>
          <w:p>
            <w:pPr>
              <w:pStyle w:val="TableParagraph"/>
              <w:spacing w:line="235" w:lineRule="auto" w:before="73"/>
              <w:ind w:left="193" w:right="423" w:hanging="7"/>
              <w:rPr>
                <w:sz w:val="16"/>
              </w:rPr>
            </w:pPr>
            <w:r>
              <w:rPr>
                <w:color w:val="231F20"/>
                <w:sz w:val="16"/>
              </w:rPr>
              <w:t>AHO request for training form</w:t>
            </w:r>
          </w:p>
        </w:tc>
        <w:tc>
          <w:tcPr>
            <w:tcW w:w="1814" w:type="dxa"/>
            <w:tcBorders>
              <w:bottom w:val="nil"/>
            </w:tcBorders>
          </w:tcPr>
          <w:p>
            <w:pPr>
              <w:pStyle w:val="TableParagraph"/>
              <w:spacing w:line="235" w:lineRule="auto" w:before="73"/>
              <w:ind w:left="193" w:right="158" w:hanging="7"/>
              <w:rPr>
                <w:sz w:val="16"/>
              </w:rPr>
            </w:pPr>
            <w:r>
              <w:rPr>
                <w:color w:val="231F20"/>
                <w:sz w:val="16"/>
              </w:rPr>
              <w:t>Employee Performance Development Plan Conversation Guide</w:t>
            </w:r>
          </w:p>
          <w:p>
            <w:pPr>
              <w:pStyle w:val="TableParagraph"/>
              <w:spacing w:line="192" w:lineRule="exact" w:before="54"/>
              <w:ind w:left="193" w:right="69" w:hanging="7"/>
              <w:rPr>
                <w:rFonts w:ascii="Helvetica-LightOblique"/>
                <w:i/>
                <w:sz w:val="16"/>
              </w:rPr>
            </w:pPr>
            <w:r>
              <w:rPr>
                <w:color w:val="231F20"/>
                <w:sz w:val="16"/>
              </w:rPr>
              <w:t>Employee Performance Development Plan [online] (</w:t>
            </w:r>
            <w:r>
              <w:rPr>
                <w:rFonts w:ascii="Helvetica-LightOblique"/>
                <w:i/>
                <w:color w:val="231F20"/>
                <w:sz w:val="16"/>
              </w:rPr>
              <w:t>Mid-Year and Annual Reviews)</w:t>
            </w:r>
          </w:p>
        </w:tc>
        <w:tc>
          <w:tcPr>
            <w:tcW w:w="1814" w:type="dxa"/>
            <w:tcBorders>
              <w:bottom w:val="nil"/>
            </w:tcBorders>
          </w:tcPr>
          <w:p>
            <w:pPr>
              <w:pStyle w:val="TableParagraph"/>
              <w:spacing w:line="235" w:lineRule="auto" w:before="73"/>
              <w:ind w:left="193" w:right="113" w:hanging="7"/>
              <w:rPr>
                <w:sz w:val="16"/>
              </w:rPr>
            </w:pPr>
            <w:r>
              <w:rPr>
                <w:color w:val="231F20"/>
                <w:sz w:val="16"/>
              </w:rPr>
              <w:t>Aboriginal Cultural Calendar developed</w:t>
            </w:r>
          </w:p>
          <w:p>
            <w:pPr>
              <w:pStyle w:val="TableParagraph"/>
              <w:spacing w:line="235" w:lineRule="auto" w:before="55"/>
              <w:ind w:left="193" w:right="496" w:hanging="7"/>
              <w:rPr>
                <w:sz w:val="16"/>
              </w:rPr>
            </w:pPr>
            <w:r>
              <w:rPr>
                <w:color w:val="231F20"/>
                <w:sz w:val="16"/>
              </w:rPr>
              <w:t>Access to FACS Learning</w:t>
            </w:r>
          </w:p>
          <w:p>
            <w:pPr>
              <w:pStyle w:val="TableParagraph"/>
              <w:spacing w:line="235" w:lineRule="auto"/>
              <w:ind w:left="193" w:right="69"/>
              <w:rPr>
                <w:sz w:val="16"/>
              </w:rPr>
            </w:pPr>
            <w:r>
              <w:rPr>
                <w:color w:val="231F20"/>
                <w:sz w:val="16"/>
              </w:rPr>
              <w:t>Management System (LMS)</w:t>
            </w:r>
          </w:p>
          <w:p>
            <w:pPr>
              <w:pStyle w:val="TableParagraph"/>
              <w:spacing w:line="235" w:lineRule="auto" w:before="54"/>
              <w:ind w:left="193" w:right="709" w:hanging="7"/>
              <w:rPr>
                <w:sz w:val="16"/>
              </w:rPr>
            </w:pPr>
            <w:r>
              <w:rPr>
                <w:color w:val="231F20"/>
                <w:sz w:val="16"/>
              </w:rPr>
              <w:t>Staff award applications</w:t>
            </w:r>
          </w:p>
        </w:tc>
        <w:tc>
          <w:tcPr>
            <w:tcW w:w="1814" w:type="dxa"/>
            <w:tcBorders>
              <w:bottom w:val="nil"/>
            </w:tcBorders>
          </w:tcPr>
          <w:p>
            <w:pPr>
              <w:pStyle w:val="TableParagraph"/>
              <w:spacing w:before="70"/>
              <w:ind w:left="187"/>
              <w:rPr>
                <w:sz w:val="16"/>
              </w:rPr>
            </w:pPr>
            <w:r>
              <w:rPr>
                <w:color w:val="231F20"/>
                <w:sz w:val="16"/>
              </w:rPr>
              <w:t>Leaving AHO Survey</w:t>
            </w:r>
          </w:p>
        </w:tc>
      </w:tr>
      <w:tr>
        <w:trPr>
          <w:trHeight w:val="437" w:hRule="atLeast"/>
        </w:trPr>
        <w:tc>
          <w:tcPr>
            <w:tcW w:w="576" w:type="dxa"/>
            <w:vMerge/>
            <w:tcBorders>
              <w:top w:val="nil"/>
            </w:tcBorders>
            <w:shd w:val="clear" w:color="auto" w:fill="47A7A8"/>
            <w:textDirection w:val="btLr"/>
          </w:tcPr>
          <w:p>
            <w:pPr>
              <w:rPr>
                <w:sz w:val="2"/>
                <w:szCs w:val="2"/>
              </w:rPr>
            </w:pPr>
          </w:p>
        </w:tc>
        <w:tc>
          <w:tcPr>
            <w:tcW w:w="1814" w:type="dxa"/>
            <w:tcBorders>
              <w:top w:val="nil"/>
            </w:tcBorders>
          </w:tcPr>
          <w:p>
            <w:pPr>
              <w:pStyle w:val="TableParagraph"/>
              <w:rPr>
                <w:rFonts w:ascii="Times New Roman"/>
                <w:sz w:val="16"/>
              </w:rPr>
            </w:pPr>
          </w:p>
        </w:tc>
        <w:tc>
          <w:tcPr>
            <w:tcW w:w="1814" w:type="dxa"/>
            <w:tcBorders>
              <w:top w:val="nil"/>
            </w:tcBorders>
          </w:tcPr>
          <w:p>
            <w:pPr>
              <w:pStyle w:val="TableParagraph"/>
              <w:rPr>
                <w:rFonts w:ascii="Times New Roman"/>
                <w:sz w:val="16"/>
              </w:rPr>
            </w:pPr>
          </w:p>
        </w:tc>
        <w:tc>
          <w:tcPr>
            <w:tcW w:w="1814" w:type="dxa"/>
            <w:tcBorders>
              <w:top w:val="nil"/>
            </w:tcBorders>
          </w:tcPr>
          <w:p>
            <w:pPr>
              <w:pStyle w:val="TableParagraph"/>
              <w:spacing w:line="235" w:lineRule="auto" w:before="21"/>
              <w:ind w:left="193" w:right="130" w:hanging="7"/>
              <w:rPr>
                <w:sz w:val="16"/>
              </w:rPr>
            </w:pPr>
            <w:r>
              <w:rPr>
                <w:color w:val="231F20"/>
                <w:sz w:val="16"/>
              </w:rPr>
              <w:t>Performance Improvement Plan</w:t>
            </w:r>
          </w:p>
        </w:tc>
        <w:tc>
          <w:tcPr>
            <w:tcW w:w="1814" w:type="dxa"/>
            <w:tcBorders>
              <w:top w:val="nil"/>
            </w:tcBorders>
          </w:tcPr>
          <w:p>
            <w:pPr>
              <w:pStyle w:val="TableParagraph"/>
              <w:rPr>
                <w:rFonts w:ascii="Times New Roman"/>
                <w:sz w:val="16"/>
              </w:rPr>
            </w:pPr>
          </w:p>
        </w:tc>
        <w:tc>
          <w:tcPr>
            <w:tcW w:w="1814" w:type="dxa"/>
            <w:tcBorders>
              <w:top w:val="nil"/>
            </w:tcBorders>
          </w:tcPr>
          <w:p>
            <w:pPr>
              <w:pStyle w:val="TableParagraph"/>
              <w:rPr>
                <w:rFonts w:ascii="Times New Roman"/>
                <w:sz w:val="16"/>
              </w:rPr>
            </w:pPr>
          </w:p>
        </w:tc>
      </w:tr>
      <w:tr>
        <w:trPr>
          <w:trHeight w:val="471" w:hRule="atLeast"/>
        </w:trPr>
        <w:tc>
          <w:tcPr>
            <w:tcW w:w="576" w:type="dxa"/>
            <w:vMerge w:val="restart"/>
            <w:shd w:val="clear" w:color="auto" w:fill="47A7A8"/>
            <w:textDirection w:val="btLr"/>
          </w:tcPr>
          <w:p>
            <w:pPr>
              <w:pStyle w:val="TableParagraph"/>
              <w:spacing w:before="1"/>
              <w:rPr>
                <w:rFonts w:ascii="Helvetica"/>
                <w:b/>
                <w:sz w:val="16"/>
              </w:rPr>
            </w:pPr>
          </w:p>
          <w:p>
            <w:pPr>
              <w:pStyle w:val="TableParagraph"/>
              <w:ind w:left="597"/>
              <w:rPr>
                <w:rFonts w:ascii="Helvetica"/>
                <w:b/>
                <w:sz w:val="16"/>
              </w:rPr>
            </w:pPr>
            <w:r>
              <w:rPr>
                <w:rFonts w:ascii="Helvetica"/>
                <w:b/>
                <w:color w:val="FFFFFF"/>
                <w:sz w:val="16"/>
              </w:rPr>
              <w:t>Support</w:t>
            </w:r>
          </w:p>
        </w:tc>
        <w:tc>
          <w:tcPr>
            <w:tcW w:w="1814" w:type="dxa"/>
            <w:tcBorders>
              <w:bottom w:val="nil"/>
            </w:tcBorders>
          </w:tcPr>
          <w:p>
            <w:pPr>
              <w:pStyle w:val="TableParagraph"/>
              <w:spacing w:line="192" w:lineRule="exact" w:before="73"/>
              <w:ind w:left="79" w:right="219"/>
              <w:rPr>
                <w:sz w:val="16"/>
              </w:rPr>
            </w:pPr>
            <w:r>
              <w:rPr>
                <w:color w:val="231F20"/>
                <w:sz w:val="16"/>
              </w:rPr>
              <w:t>AHO Intranet &lt;insert link to page&gt;</w:t>
            </w:r>
          </w:p>
        </w:tc>
        <w:tc>
          <w:tcPr>
            <w:tcW w:w="1814" w:type="dxa"/>
            <w:tcBorders>
              <w:bottom w:val="nil"/>
            </w:tcBorders>
          </w:tcPr>
          <w:p>
            <w:pPr>
              <w:pStyle w:val="TableParagraph"/>
              <w:spacing w:line="192" w:lineRule="exact" w:before="73"/>
              <w:ind w:left="80" w:right="218"/>
              <w:rPr>
                <w:sz w:val="16"/>
              </w:rPr>
            </w:pPr>
            <w:r>
              <w:rPr>
                <w:color w:val="231F20"/>
                <w:sz w:val="16"/>
              </w:rPr>
              <w:t>AHO Intranet &lt;insert link to page&gt;</w:t>
            </w:r>
          </w:p>
        </w:tc>
        <w:tc>
          <w:tcPr>
            <w:tcW w:w="1814" w:type="dxa"/>
            <w:tcBorders>
              <w:bottom w:val="nil"/>
            </w:tcBorders>
          </w:tcPr>
          <w:p>
            <w:pPr>
              <w:pStyle w:val="TableParagraph"/>
              <w:spacing w:line="192" w:lineRule="exact" w:before="73"/>
              <w:ind w:left="80" w:right="218"/>
              <w:rPr>
                <w:sz w:val="16"/>
              </w:rPr>
            </w:pPr>
            <w:r>
              <w:rPr>
                <w:color w:val="231F20"/>
                <w:sz w:val="16"/>
              </w:rPr>
              <w:t>AHO Intranet &lt;insert link to page&gt;</w:t>
            </w:r>
          </w:p>
        </w:tc>
        <w:tc>
          <w:tcPr>
            <w:tcW w:w="1814" w:type="dxa"/>
            <w:tcBorders>
              <w:bottom w:val="nil"/>
            </w:tcBorders>
          </w:tcPr>
          <w:p>
            <w:pPr>
              <w:pStyle w:val="TableParagraph"/>
              <w:spacing w:line="192" w:lineRule="exact" w:before="73"/>
              <w:ind w:left="80" w:right="218"/>
              <w:rPr>
                <w:sz w:val="16"/>
              </w:rPr>
            </w:pPr>
            <w:r>
              <w:rPr>
                <w:color w:val="231F20"/>
                <w:sz w:val="16"/>
              </w:rPr>
              <w:t>AHO Intranet &lt;insert link to page&gt;</w:t>
            </w:r>
          </w:p>
        </w:tc>
        <w:tc>
          <w:tcPr>
            <w:tcW w:w="1814" w:type="dxa"/>
            <w:tcBorders>
              <w:bottom w:val="nil"/>
            </w:tcBorders>
          </w:tcPr>
          <w:p>
            <w:pPr>
              <w:pStyle w:val="TableParagraph"/>
              <w:spacing w:line="192" w:lineRule="exact" w:before="73"/>
              <w:ind w:left="80" w:right="218"/>
              <w:rPr>
                <w:sz w:val="16"/>
              </w:rPr>
            </w:pPr>
            <w:r>
              <w:rPr>
                <w:color w:val="231F20"/>
                <w:sz w:val="16"/>
              </w:rPr>
              <w:t>AHO Intranet &lt;insert link to page&gt;</w:t>
            </w:r>
          </w:p>
        </w:tc>
      </w:tr>
      <w:tr>
        <w:trPr>
          <w:trHeight w:val="420" w:hRule="atLeast"/>
        </w:trPr>
        <w:tc>
          <w:tcPr>
            <w:tcW w:w="576" w:type="dxa"/>
            <w:vMerge/>
            <w:tcBorders>
              <w:top w:val="nil"/>
            </w:tcBorders>
            <w:shd w:val="clear" w:color="auto" w:fill="47A7A8"/>
            <w:textDirection w:val="btLr"/>
          </w:tcPr>
          <w:p>
            <w:pPr>
              <w:rPr>
                <w:sz w:val="2"/>
                <w:szCs w:val="2"/>
              </w:rPr>
            </w:pPr>
          </w:p>
        </w:tc>
        <w:tc>
          <w:tcPr>
            <w:tcW w:w="1814" w:type="dxa"/>
            <w:tcBorders>
              <w:top w:val="nil"/>
              <w:bottom w:val="nil"/>
            </w:tcBorders>
          </w:tcPr>
          <w:p>
            <w:pPr>
              <w:pStyle w:val="TableParagraph"/>
              <w:rPr>
                <w:rFonts w:ascii="Times New Roman"/>
                <w:sz w:val="16"/>
              </w:rPr>
            </w:pPr>
          </w:p>
        </w:tc>
        <w:tc>
          <w:tcPr>
            <w:tcW w:w="1814" w:type="dxa"/>
            <w:tcBorders>
              <w:top w:val="nil"/>
              <w:bottom w:val="nil"/>
            </w:tcBorders>
          </w:tcPr>
          <w:p>
            <w:pPr>
              <w:pStyle w:val="TableParagraph"/>
              <w:rPr>
                <w:rFonts w:ascii="Times New Roman"/>
                <w:sz w:val="16"/>
              </w:rPr>
            </w:pPr>
          </w:p>
        </w:tc>
        <w:tc>
          <w:tcPr>
            <w:tcW w:w="1814" w:type="dxa"/>
            <w:tcBorders>
              <w:top w:val="nil"/>
              <w:bottom w:val="nil"/>
            </w:tcBorders>
          </w:tcPr>
          <w:p>
            <w:pPr>
              <w:pStyle w:val="TableParagraph"/>
              <w:spacing w:line="192" w:lineRule="exact" w:before="21"/>
              <w:ind w:left="80" w:right="130"/>
              <w:rPr>
                <w:sz w:val="16"/>
              </w:rPr>
            </w:pPr>
            <w:r>
              <w:rPr>
                <w:color w:val="231F20"/>
                <w:sz w:val="16"/>
              </w:rPr>
              <w:t>FACS Business Services</w:t>
            </w:r>
          </w:p>
        </w:tc>
        <w:tc>
          <w:tcPr>
            <w:tcW w:w="1814" w:type="dxa"/>
            <w:tcBorders>
              <w:top w:val="nil"/>
              <w:bottom w:val="nil"/>
            </w:tcBorders>
          </w:tcPr>
          <w:p>
            <w:pPr>
              <w:pStyle w:val="TableParagraph"/>
              <w:spacing w:line="192" w:lineRule="exact" w:before="21"/>
              <w:ind w:left="80" w:right="130"/>
              <w:rPr>
                <w:sz w:val="16"/>
              </w:rPr>
            </w:pPr>
            <w:r>
              <w:rPr>
                <w:color w:val="231F20"/>
                <w:sz w:val="16"/>
              </w:rPr>
              <w:t>FACS Business Services</w:t>
            </w:r>
          </w:p>
        </w:tc>
        <w:tc>
          <w:tcPr>
            <w:tcW w:w="1814" w:type="dxa"/>
            <w:tcBorders>
              <w:top w:val="nil"/>
              <w:bottom w:val="nil"/>
            </w:tcBorders>
          </w:tcPr>
          <w:p>
            <w:pPr>
              <w:pStyle w:val="TableParagraph"/>
              <w:rPr>
                <w:rFonts w:ascii="Times New Roman"/>
                <w:sz w:val="16"/>
              </w:rPr>
            </w:pPr>
          </w:p>
        </w:tc>
      </w:tr>
      <w:tr>
        <w:trPr>
          <w:trHeight w:val="228" w:hRule="atLeast"/>
        </w:trPr>
        <w:tc>
          <w:tcPr>
            <w:tcW w:w="576" w:type="dxa"/>
            <w:vMerge/>
            <w:tcBorders>
              <w:top w:val="nil"/>
            </w:tcBorders>
            <w:shd w:val="clear" w:color="auto" w:fill="47A7A8"/>
            <w:textDirection w:val="btLr"/>
          </w:tcPr>
          <w:p>
            <w:pPr>
              <w:rPr>
                <w:sz w:val="2"/>
                <w:szCs w:val="2"/>
              </w:rPr>
            </w:pPr>
          </w:p>
        </w:tc>
        <w:tc>
          <w:tcPr>
            <w:tcW w:w="1814" w:type="dxa"/>
            <w:tcBorders>
              <w:top w:val="nil"/>
              <w:bottom w:val="nil"/>
            </w:tcBorders>
          </w:tcPr>
          <w:p>
            <w:pPr>
              <w:pStyle w:val="TableParagraph"/>
              <w:rPr>
                <w:rFonts w:ascii="Times New Roman"/>
                <w:sz w:val="16"/>
              </w:rPr>
            </w:pPr>
          </w:p>
        </w:tc>
        <w:tc>
          <w:tcPr>
            <w:tcW w:w="1814" w:type="dxa"/>
            <w:tcBorders>
              <w:top w:val="nil"/>
              <w:bottom w:val="nil"/>
            </w:tcBorders>
          </w:tcPr>
          <w:p>
            <w:pPr>
              <w:pStyle w:val="TableParagraph"/>
              <w:rPr>
                <w:rFonts w:ascii="Times New Roman"/>
                <w:sz w:val="16"/>
              </w:rPr>
            </w:pPr>
          </w:p>
        </w:tc>
        <w:tc>
          <w:tcPr>
            <w:tcW w:w="1814" w:type="dxa"/>
            <w:tcBorders>
              <w:top w:val="nil"/>
              <w:bottom w:val="nil"/>
            </w:tcBorders>
          </w:tcPr>
          <w:p>
            <w:pPr>
              <w:pStyle w:val="TableParagraph"/>
              <w:spacing w:line="190" w:lineRule="exact" w:before="18"/>
              <w:ind w:left="80"/>
              <w:rPr>
                <w:sz w:val="16"/>
              </w:rPr>
            </w:pPr>
            <w:r>
              <w:rPr>
                <w:color w:val="231F20"/>
                <w:sz w:val="16"/>
              </w:rPr>
              <w:t>(02) 0765 3999</w:t>
            </w:r>
          </w:p>
        </w:tc>
        <w:tc>
          <w:tcPr>
            <w:tcW w:w="1814" w:type="dxa"/>
            <w:tcBorders>
              <w:top w:val="nil"/>
              <w:bottom w:val="nil"/>
            </w:tcBorders>
          </w:tcPr>
          <w:p>
            <w:pPr>
              <w:pStyle w:val="TableParagraph"/>
              <w:spacing w:line="190" w:lineRule="exact" w:before="18"/>
              <w:ind w:left="80"/>
              <w:rPr>
                <w:sz w:val="16"/>
              </w:rPr>
            </w:pPr>
            <w:r>
              <w:rPr>
                <w:color w:val="231F20"/>
                <w:sz w:val="16"/>
              </w:rPr>
              <w:t>(02) 0765 3999</w:t>
            </w:r>
          </w:p>
        </w:tc>
        <w:tc>
          <w:tcPr>
            <w:tcW w:w="1814" w:type="dxa"/>
            <w:tcBorders>
              <w:top w:val="nil"/>
              <w:bottom w:val="nil"/>
            </w:tcBorders>
          </w:tcPr>
          <w:p>
            <w:pPr>
              <w:pStyle w:val="TableParagraph"/>
              <w:rPr>
                <w:rFonts w:ascii="Times New Roman"/>
                <w:sz w:val="16"/>
              </w:rPr>
            </w:pPr>
          </w:p>
        </w:tc>
      </w:tr>
      <w:tr>
        <w:trPr>
          <w:trHeight w:val="629" w:hRule="atLeast"/>
        </w:trPr>
        <w:tc>
          <w:tcPr>
            <w:tcW w:w="576" w:type="dxa"/>
            <w:vMerge/>
            <w:tcBorders>
              <w:top w:val="nil"/>
            </w:tcBorders>
            <w:shd w:val="clear" w:color="auto" w:fill="47A7A8"/>
            <w:textDirection w:val="btLr"/>
          </w:tcPr>
          <w:p>
            <w:pPr>
              <w:rPr>
                <w:sz w:val="2"/>
                <w:szCs w:val="2"/>
              </w:rPr>
            </w:pPr>
          </w:p>
        </w:tc>
        <w:tc>
          <w:tcPr>
            <w:tcW w:w="1814" w:type="dxa"/>
            <w:tcBorders>
              <w:top w:val="nil"/>
            </w:tcBorders>
          </w:tcPr>
          <w:p>
            <w:pPr>
              <w:pStyle w:val="TableParagraph"/>
              <w:rPr>
                <w:rFonts w:ascii="Times New Roman"/>
                <w:sz w:val="16"/>
              </w:rPr>
            </w:pPr>
          </w:p>
        </w:tc>
        <w:tc>
          <w:tcPr>
            <w:tcW w:w="1814" w:type="dxa"/>
            <w:tcBorders>
              <w:top w:val="nil"/>
            </w:tcBorders>
          </w:tcPr>
          <w:p>
            <w:pPr>
              <w:pStyle w:val="TableParagraph"/>
              <w:rPr>
                <w:rFonts w:ascii="Times New Roman"/>
                <w:sz w:val="16"/>
              </w:rPr>
            </w:pPr>
          </w:p>
        </w:tc>
        <w:tc>
          <w:tcPr>
            <w:tcW w:w="1814" w:type="dxa"/>
            <w:tcBorders>
              <w:top w:val="nil"/>
            </w:tcBorders>
          </w:tcPr>
          <w:p>
            <w:pPr>
              <w:pStyle w:val="TableParagraph"/>
              <w:spacing w:line="235" w:lineRule="auto" w:before="21"/>
              <w:ind w:left="80" w:right="132"/>
              <w:jc w:val="both"/>
              <w:rPr>
                <w:sz w:val="16"/>
              </w:rPr>
            </w:pPr>
            <w:r>
              <w:rPr>
                <w:color w:val="205E9E"/>
                <w:spacing w:val="-1"/>
                <w:sz w:val="16"/>
                <w:u w:val="single" w:color="205E9E"/>
              </w:rPr>
              <w:t>FACSPerformanceDe-</w:t>
            </w:r>
            <w:r>
              <w:rPr>
                <w:color w:val="205E9E"/>
                <w:spacing w:val="-1"/>
                <w:sz w:val="16"/>
              </w:rPr>
              <w:t> </w:t>
            </w:r>
            <w:hyperlink r:id="rId63">
              <w:r>
                <w:rPr>
                  <w:color w:val="205E9E"/>
                  <w:sz w:val="16"/>
                  <w:u w:val="single" w:color="205E9E"/>
                </w:rPr>
                <w:t>velopment@facs.nsw.</w:t>
              </w:r>
            </w:hyperlink>
            <w:r>
              <w:rPr>
                <w:color w:val="205E9E"/>
                <w:sz w:val="16"/>
              </w:rPr>
              <w:t> </w:t>
            </w:r>
            <w:r>
              <w:rPr>
                <w:color w:val="205E9E"/>
                <w:sz w:val="16"/>
                <w:u w:val="single" w:color="205E9E"/>
              </w:rPr>
              <w:t>gov.au</w:t>
            </w:r>
          </w:p>
        </w:tc>
        <w:tc>
          <w:tcPr>
            <w:tcW w:w="1814" w:type="dxa"/>
            <w:tcBorders>
              <w:top w:val="nil"/>
            </w:tcBorders>
          </w:tcPr>
          <w:p>
            <w:pPr>
              <w:pStyle w:val="TableParagraph"/>
              <w:spacing w:line="235" w:lineRule="auto" w:before="21"/>
              <w:ind w:left="80" w:right="267"/>
              <w:rPr>
                <w:sz w:val="16"/>
              </w:rPr>
            </w:pPr>
            <w:r>
              <w:rPr>
                <w:color w:val="205E9E"/>
                <w:sz w:val="16"/>
                <w:u w:val="single" w:color="205E9E"/>
              </w:rPr>
              <w:t>Organisational.</w:t>
            </w:r>
            <w:r>
              <w:rPr>
                <w:color w:val="205E9E"/>
                <w:sz w:val="16"/>
              </w:rPr>
              <w:t> </w:t>
            </w:r>
            <w:r>
              <w:rPr>
                <w:color w:val="205E9E"/>
                <w:sz w:val="16"/>
                <w:u w:val="single" w:color="205E9E"/>
              </w:rPr>
              <w:t>Development@facs.</w:t>
            </w:r>
            <w:r>
              <w:rPr>
                <w:color w:val="205E9E"/>
                <w:sz w:val="16"/>
              </w:rPr>
              <w:t> </w:t>
            </w:r>
            <w:r>
              <w:rPr>
                <w:color w:val="205E9E"/>
                <w:sz w:val="16"/>
                <w:u w:val="single" w:color="205E9E"/>
              </w:rPr>
              <w:t>nsw.gov.au</w:t>
            </w:r>
          </w:p>
        </w:tc>
        <w:tc>
          <w:tcPr>
            <w:tcW w:w="1814" w:type="dxa"/>
            <w:tcBorders>
              <w:top w:val="nil"/>
            </w:tcBorders>
          </w:tcPr>
          <w:p>
            <w:pPr>
              <w:pStyle w:val="TableParagraph"/>
              <w:rPr>
                <w:rFonts w:ascii="Times New Roman"/>
                <w:sz w:val="16"/>
              </w:rPr>
            </w:pPr>
          </w:p>
        </w:tc>
      </w:tr>
      <w:tr>
        <w:trPr>
          <w:trHeight w:val="327" w:hRule="atLeast"/>
        </w:trPr>
        <w:tc>
          <w:tcPr>
            <w:tcW w:w="9646" w:type="dxa"/>
            <w:gridSpan w:val="6"/>
            <w:tcBorders>
              <w:left w:val="nil"/>
              <w:bottom w:val="nil"/>
              <w:right w:val="nil"/>
            </w:tcBorders>
            <w:shd w:val="clear" w:color="auto" w:fill="47A7A8"/>
          </w:tcPr>
          <w:p>
            <w:pPr>
              <w:pStyle w:val="TableParagraph"/>
              <w:spacing w:before="92"/>
              <w:ind w:left="3705" w:right="3685"/>
              <w:jc w:val="center"/>
              <w:rPr>
                <w:rFonts w:ascii="Helvetica-BoldOblique"/>
                <w:b/>
                <w:i/>
                <w:sz w:val="16"/>
              </w:rPr>
            </w:pPr>
            <w:r>
              <w:rPr>
                <w:rFonts w:ascii="Helvetica-BoldOblique"/>
                <w:b/>
                <w:i/>
                <w:color w:val="FFFFFF"/>
                <w:sz w:val="16"/>
              </w:rPr>
              <w:t>AHO as a great place to work</w:t>
            </w:r>
          </w:p>
        </w:tc>
      </w:tr>
    </w:tbl>
    <w:p>
      <w:pPr>
        <w:spacing w:after="0"/>
        <w:jc w:val="center"/>
        <w:rPr>
          <w:rFonts w:ascii="Helvetica-BoldOblique"/>
          <w:sz w:val="16"/>
        </w:rPr>
        <w:sectPr>
          <w:pgSz w:w="11910" w:h="16840"/>
          <w:pgMar w:header="0" w:footer="558" w:top="1600" w:bottom="740" w:left="740" w:right="640"/>
        </w:sectPr>
      </w:pPr>
    </w:p>
    <w:p>
      <w:pPr>
        <w:pStyle w:val="BodyText"/>
        <w:rPr>
          <w:rFonts w:ascii="Helvetica"/>
          <w:b/>
          <w:sz w:val="20"/>
        </w:rPr>
      </w:pPr>
    </w:p>
    <w:p>
      <w:pPr>
        <w:pStyle w:val="BodyText"/>
        <w:rPr>
          <w:rFonts w:ascii="Helvetica"/>
          <w:b/>
          <w:sz w:val="20"/>
        </w:rPr>
      </w:pPr>
    </w:p>
    <w:p>
      <w:pPr>
        <w:pStyle w:val="BodyText"/>
        <w:rPr>
          <w:rFonts w:ascii="Helvetica"/>
          <w:b/>
          <w:sz w:val="20"/>
        </w:rPr>
      </w:pPr>
    </w:p>
    <w:p>
      <w:pPr>
        <w:pStyle w:val="BodyText"/>
        <w:spacing w:before="4"/>
        <w:rPr>
          <w:rFonts w:ascii="Helvetica"/>
          <w:b/>
          <w:sz w:val="24"/>
        </w:rPr>
      </w:pPr>
    </w:p>
    <w:p>
      <w:pPr>
        <w:spacing w:line="235" w:lineRule="auto" w:before="104"/>
        <w:ind w:left="280" w:right="0" w:firstLine="0"/>
        <w:jc w:val="left"/>
        <w:rPr>
          <w:sz w:val="20"/>
        </w:rPr>
      </w:pPr>
      <w:r>
        <w:rPr>
          <w:rFonts w:ascii="Helvetica"/>
          <w:b/>
          <w:color w:val="231F20"/>
          <w:sz w:val="20"/>
        </w:rPr>
        <w:t>Assessment: </w:t>
      </w:r>
      <w:r>
        <w:rPr>
          <w:color w:val="231F20"/>
          <w:sz w:val="20"/>
        </w:rPr>
        <w:t>the table below provides details of items required to be assessed and actioned to ensure the effective delivery of the employment lifecycle</w:t>
      </w:r>
    </w:p>
    <w:p>
      <w:pPr>
        <w:pStyle w:val="BodyText"/>
        <w:spacing w:before="1"/>
        <w:rPr>
          <w:sz w:val="25"/>
        </w:rPr>
      </w:pPr>
    </w:p>
    <w:tbl>
      <w:tblPr>
        <w:tblW w:w="0" w:type="auto"/>
        <w:jc w:val="left"/>
        <w:tblInd w:w="300" w:type="dxa"/>
        <w:tblBorders>
          <w:top w:val="single" w:sz="8" w:space="0" w:color="419A9B"/>
          <w:left w:val="single" w:sz="8" w:space="0" w:color="419A9B"/>
          <w:bottom w:val="single" w:sz="8" w:space="0" w:color="419A9B"/>
          <w:right w:val="single" w:sz="8" w:space="0" w:color="419A9B"/>
          <w:insideH w:val="single" w:sz="8" w:space="0" w:color="419A9B"/>
          <w:insideV w:val="single" w:sz="8" w:space="0" w:color="419A9B"/>
        </w:tblBorders>
        <w:tblLayout w:type="fixed"/>
        <w:tblCellMar>
          <w:top w:w="0" w:type="dxa"/>
          <w:left w:w="0" w:type="dxa"/>
          <w:bottom w:w="0" w:type="dxa"/>
          <w:right w:w="0" w:type="dxa"/>
        </w:tblCellMar>
        <w:tblLook w:val="01E0"/>
      </w:tblPr>
      <w:tblGrid>
        <w:gridCol w:w="557"/>
        <w:gridCol w:w="1814"/>
        <w:gridCol w:w="1814"/>
        <w:gridCol w:w="1814"/>
        <w:gridCol w:w="1814"/>
        <w:gridCol w:w="1814"/>
      </w:tblGrid>
      <w:tr>
        <w:trPr>
          <w:trHeight w:val="374" w:hRule="atLeast"/>
        </w:trPr>
        <w:tc>
          <w:tcPr>
            <w:tcW w:w="557" w:type="dxa"/>
            <w:tcBorders>
              <w:top w:val="nil"/>
              <w:left w:val="nil"/>
            </w:tcBorders>
          </w:tcPr>
          <w:p>
            <w:pPr>
              <w:pStyle w:val="TableParagraph"/>
              <w:rPr>
                <w:rFonts w:ascii="Times New Roman"/>
                <w:sz w:val="16"/>
              </w:rPr>
            </w:pPr>
          </w:p>
        </w:tc>
        <w:tc>
          <w:tcPr>
            <w:tcW w:w="1814" w:type="dxa"/>
            <w:shd w:val="clear" w:color="auto" w:fill="47A7A8"/>
          </w:tcPr>
          <w:p>
            <w:pPr>
              <w:pStyle w:val="TableParagraph"/>
              <w:spacing w:before="91"/>
              <w:ind w:left="547"/>
              <w:rPr>
                <w:rFonts w:ascii="Helvetica"/>
                <w:b/>
                <w:sz w:val="16"/>
              </w:rPr>
            </w:pPr>
            <w:r>
              <w:rPr>
                <w:rFonts w:ascii="Helvetica"/>
                <w:b/>
                <w:color w:val="231F20"/>
                <w:sz w:val="16"/>
              </w:rPr>
              <w:t>Induction</w:t>
            </w:r>
          </w:p>
        </w:tc>
        <w:tc>
          <w:tcPr>
            <w:tcW w:w="1814" w:type="dxa"/>
            <w:shd w:val="clear" w:color="auto" w:fill="5EAEAF"/>
          </w:tcPr>
          <w:p>
            <w:pPr>
              <w:pStyle w:val="TableParagraph"/>
              <w:spacing w:before="91"/>
              <w:ind w:left="366"/>
              <w:rPr>
                <w:rFonts w:ascii="Helvetica"/>
                <w:b/>
                <w:sz w:val="16"/>
              </w:rPr>
            </w:pPr>
            <w:r>
              <w:rPr>
                <w:rFonts w:ascii="Helvetica"/>
                <w:b/>
                <w:color w:val="231F20"/>
                <w:sz w:val="16"/>
              </w:rPr>
              <w:t>Initial Training</w:t>
            </w:r>
          </w:p>
        </w:tc>
        <w:tc>
          <w:tcPr>
            <w:tcW w:w="1814" w:type="dxa"/>
            <w:shd w:val="clear" w:color="auto" w:fill="71B5B6"/>
          </w:tcPr>
          <w:p>
            <w:pPr>
              <w:pStyle w:val="TableParagraph"/>
              <w:spacing w:before="91"/>
              <w:ind w:left="102"/>
              <w:rPr>
                <w:rFonts w:ascii="Helvetica"/>
                <w:b/>
                <w:sz w:val="16"/>
              </w:rPr>
            </w:pPr>
            <w:r>
              <w:rPr>
                <w:rFonts w:ascii="Helvetica"/>
                <w:b/>
                <w:color w:val="231F20"/>
                <w:sz w:val="16"/>
              </w:rPr>
              <w:t>Manage Performance</w:t>
            </w:r>
          </w:p>
        </w:tc>
        <w:tc>
          <w:tcPr>
            <w:tcW w:w="1814" w:type="dxa"/>
            <w:shd w:val="clear" w:color="auto" w:fill="83BCBE"/>
          </w:tcPr>
          <w:p>
            <w:pPr>
              <w:pStyle w:val="TableParagraph"/>
              <w:spacing w:before="91"/>
              <w:ind w:left="269" w:right="248"/>
              <w:jc w:val="center"/>
              <w:rPr>
                <w:rFonts w:ascii="Helvetica"/>
                <w:b/>
                <w:sz w:val="16"/>
              </w:rPr>
            </w:pPr>
            <w:r>
              <w:rPr>
                <w:rFonts w:ascii="Helvetica"/>
                <w:b/>
                <w:color w:val="231F20"/>
                <w:sz w:val="16"/>
              </w:rPr>
              <w:t>Grow &amp; Develop</w:t>
            </w:r>
          </w:p>
        </w:tc>
        <w:tc>
          <w:tcPr>
            <w:tcW w:w="1814" w:type="dxa"/>
            <w:shd w:val="clear" w:color="auto" w:fill="A5CCCD"/>
          </w:tcPr>
          <w:p>
            <w:pPr>
              <w:pStyle w:val="TableParagraph"/>
              <w:spacing w:before="91"/>
              <w:ind w:left="269" w:right="248"/>
              <w:jc w:val="center"/>
              <w:rPr>
                <w:rFonts w:ascii="Helvetica"/>
                <w:b/>
                <w:sz w:val="16"/>
              </w:rPr>
            </w:pPr>
            <w:r>
              <w:rPr>
                <w:rFonts w:ascii="Helvetica"/>
                <w:b/>
                <w:color w:val="231F20"/>
                <w:sz w:val="16"/>
              </w:rPr>
              <w:t>Leave</w:t>
            </w:r>
          </w:p>
        </w:tc>
      </w:tr>
      <w:tr>
        <w:trPr>
          <w:trHeight w:val="997" w:hRule="atLeast"/>
        </w:trPr>
        <w:tc>
          <w:tcPr>
            <w:tcW w:w="557" w:type="dxa"/>
            <w:shd w:val="clear" w:color="auto" w:fill="47A7A8"/>
            <w:textDirection w:val="btLr"/>
          </w:tcPr>
          <w:p>
            <w:pPr>
              <w:pStyle w:val="TableParagraph"/>
              <w:spacing w:before="86"/>
              <w:ind w:left="218" w:right="194" w:hanging="5"/>
              <w:rPr>
                <w:rFonts w:ascii="Helvetica"/>
                <w:b/>
                <w:sz w:val="16"/>
              </w:rPr>
            </w:pPr>
            <w:r>
              <w:rPr>
                <w:rFonts w:ascii="Helvetica"/>
                <w:b/>
                <w:color w:val="FFFFFF"/>
                <w:sz w:val="16"/>
              </w:rPr>
              <w:t>System Access</w:t>
            </w:r>
          </w:p>
        </w:tc>
        <w:tc>
          <w:tcPr>
            <w:tcW w:w="1814" w:type="dxa"/>
          </w:tcPr>
          <w:p>
            <w:pPr>
              <w:pStyle w:val="TableParagraph"/>
              <w:numPr>
                <w:ilvl w:val="0"/>
                <w:numId w:val="15"/>
              </w:numPr>
              <w:tabs>
                <w:tab w:pos="205" w:val="left" w:leader="none"/>
              </w:tabs>
              <w:spacing w:line="240" w:lineRule="auto" w:before="70" w:after="0"/>
              <w:ind w:left="204" w:right="0" w:hanging="125"/>
              <w:jc w:val="left"/>
              <w:rPr>
                <w:sz w:val="16"/>
              </w:rPr>
            </w:pPr>
            <w:r>
              <w:rPr>
                <w:color w:val="231F20"/>
                <w:sz w:val="16"/>
              </w:rPr>
              <w:t>AHO Intranet</w:t>
            </w:r>
          </w:p>
        </w:tc>
        <w:tc>
          <w:tcPr>
            <w:tcW w:w="1814" w:type="dxa"/>
          </w:tcPr>
          <w:p>
            <w:pPr>
              <w:pStyle w:val="TableParagraph"/>
              <w:numPr>
                <w:ilvl w:val="0"/>
                <w:numId w:val="16"/>
              </w:numPr>
              <w:tabs>
                <w:tab w:pos="205" w:val="left" w:leader="none"/>
              </w:tabs>
              <w:spacing w:line="240" w:lineRule="auto" w:before="70" w:after="0"/>
              <w:ind w:left="204" w:right="0" w:hanging="124"/>
              <w:jc w:val="left"/>
              <w:rPr>
                <w:sz w:val="16"/>
              </w:rPr>
            </w:pPr>
            <w:r>
              <w:rPr>
                <w:color w:val="231F20"/>
                <w:sz w:val="16"/>
              </w:rPr>
              <w:t>AHO Intranet</w:t>
            </w:r>
          </w:p>
        </w:tc>
        <w:tc>
          <w:tcPr>
            <w:tcW w:w="1814" w:type="dxa"/>
          </w:tcPr>
          <w:p>
            <w:pPr>
              <w:pStyle w:val="TableParagraph"/>
              <w:numPr>
                <w:ilvl w:val="0"/>
                <w:numId w:val="17"/>
              </w:numPr>
              <w:tabs>
                <w:tab w:pos="205" w:val="left" w:leader="none"/>
              </w:tabs>
              <w:spacing w:line="235" w:lineRule="auto" w:before="73" w:after="0"/>
              <w:ind w:left="193" w:right="77" w:hanging="113"/>
              <w:jc w:val="left"/>
              <w:rPr>
                <w:sz w:val="16"/>
              </w:rPr>
            </w:pPr>
            <w:r>
              <w:rPr>
                <w:color w:val="231F20"/>
                <w:spacing w:val="-3"/>
                <w:sz w:val="16"/>
              </w:rPr>
              <w:t>FACS </w:t>
            </w:r>
            <w:r>
              <w:rPr>
                <w:color w:val="231F20"/>
                <w:sz w:val="16"/>
              </w:rPr>
              <w:t>Online Performance Development</w:t>
            </w:r>
            <w:r>
              <w:rPr>
                <w:color w:val="231F20"/>
                <w:spacing w:val="1"/>
                <w:sz w:val="16"/>
              </w:rPr>
              <w:t> </w:t>
            </w:r>
            <w:r>
              <w:rPr>
                <w:color w:val="231F20"/>
                <w:spacing w:val="-3"/>
                <w:sz w:val="16"/>
              </w:rPr>
              <w:t>System</w:t>
            </w:r>
          </w:p>
          <w:p>
            <w:pPr>
              <w:pStyle w:val="TableParagraph"/>
              <w:numPr>
                <w:ilvl w:val="0"/>
                <w:numId w:val="17"/>
              </w:numPr>
              <w:tabs>
                <w:tab w:pos="205" w:val="left" w:leader="none"/>
              </w:tabs>
              <w:spacing w:line="240" w:lineRule="auto" w:before="51" w:after="0"/>
              <w:ind w:left="204" w:right="0" w:hanging="124"/>
              <w:jc w:val="left"/>
              <w:rPr>
                <w:sz w:val="16"/>
              </w:rPr>
            </w:pPr>
            <w:r>
              <w:rPr>
                <w:color w:val="231F20"/>
                <w:sz w:val="16"/>
              </w:rPr>
              <w:t>AHO Intranet</w:t>
            </w:r>
          </w:p>
        </w:tc>
        <w:tc>
          <w:tcPr>
            <w:tcW w:w="1814" w:type="dxa"/>
          </w:tcPr>
          <w:p>
            <w:pPr>
              <w:pStyle w:val="TableParagraph"/>
              <w:numPr>
                <w:ilvl w:val="0"/>
                <w:numId w:val="18"/>
              </w:numPr>
              <w:tabs>
                <w:tab w:pos="206" w:val="left" w:leader="none"/>
              </w:tabs>
              <w:spacing w:line="235" w:lineRule="auto" w:before="73" w:after="0"/>
              <w:ind w:left="194" w:right="77" w:hanging="114"/>
              <w:jc w:val="left"/>
              <w:rPr>
                <w:sz w:val="16"/>
              </w:rPr>
            </w:pPr>
            <w:r>
              <w:rPr>
                <w:color w:val="231F20"/>
                <w:spacing w:val="-3"/>
                <w:sz w:val="16"/>
              </w:rPr>
              <w:t>FACS </w:t>
            </w:r>
            <w:r>
              <w:rPr>
                <w:color w:val="231F20"/>
                <w:sz w:val="16"/>
              </w:rPr>
              <w:t>Online Performance Development </w:t>
            </w:r>
            <w:r>
              <w:rPr>
                <w:color w:val="231F20"/>
                <w:spacing w:val="-3"/>
                <w:sz w:val="16"/>
              </w:rPr>
              <w:t>System</w:t>
            </w:r>
          </w:p>
          <w:p>
            <w:pPr>
              <w:pStyle w:val="TableParagraph"/>
              <w:numPr>
                <w:ilvl w:val="0"/>
                <w:numId w:val="18"/>
              </w:numPr>
              <w:tabs>
                <w:tab w:pos="206" w:val="left" w:leader="none"/>
              </w:tabs>
              <w:spacing w:line="240" w:lineRule="auto" w:before="51" w:after="0"/>
              <w:ind w:left="205" w:right="0" w:hanging="125"/>
              <w:jc w:val="left"/>
              <w:rPr>
                <w:sz w:val="16"/>
              </w:rPr>
            </w:pPr>
            <w:r>
              <w:rPr>
                <w:color w:val="231F20"/>
                <w:sz w:val="16"/>
              </w:rPr>
              <w:t>AHO Intranet</w:t>
            </w:r>
          </w:p>
        </w:tc>
        <w:tc>
          <w:tcPr>
            <w:tcW w:w="1814" w:type="dxa"/>
          </w:tcPr>
          <w:p>
            <w:pPr>
              <w:pStyle w:val="TableParagraph"/>
              <w:numPr>
                <w:ilvl w:val="0"/>
                <w:numId w:val="19"/>
              </w:numPr>
              <w:tabs>
                <w:tab w:pos="206" w:val="left" w:leader="none"/>
              </w:tabs>
              <w:spacing w:line="240" w:lineRule="auto" w:before="70" w:after="0"/>
              <w:ind w:left="205" w:right="0" w:hanging="125"/>
              <w:jc w:val="left"/>
              <w:rPr>
                <w:sz w:val="16"/>
              </w:rPr>
            </w:pPr>
            <w:r>
              <w:rPr>
                <w:color w:val="231F20"/>
                <w:sz w:val="16"/>
              </w:rPr>
              <w:t>AHO Intranet</w:t>
            </w:r>
          </w:p>
        </w:tc>
      </w:tr>
      <w:tr>
        <w:trPr>
          <w:trHeight w:val="4132" w:hRule="atLeast"/>
        </w:trPr>
        <w:tc>
          <w:tcPr>
            <w:tcW w:w="557" w:type="dxa"/>
            <w:vMerge w:val="restart"/>
            <w:shd w:val="clear" w:color="auto" w:fill="47A7A8"/>
            <w:textDirection w:val="btLr"/>
          </w:tcPr>
          <w:p>
            <w:pPr>
              <w:pStyle w:val="TableParagraph"/>
              <w:spacing w:before="10"/>
              <w:rPr>
                <w:sz w:val="14"/>
              </w:rPr>
            </w:pPr>
          </w:p>
          <w:p>
            <w:pPr>
              <w:pStyle w:val="TableParagraph"/>
              <w:ind w:left="2368" w:right="2368"/>
              <w:jc w:val="center"/>
              <w:rPr>
                <w:rFonts w:ascii="Helvetica"/>
                <w:b/>
                <w:sz w:val="16"/>
              </w:rPr>
            </w:pPr>
            <w:r>
              <w:rPr>
                <w:rFonts w:ascii="Helvetica"/>
                <w:b/>
                <w:color w:val="FFFFFF"/>
                <w:sz w:val="16"/>
              </w:rPr>
              <w:t>Skills</w:t>
            </w:r>
          </w:p>
        </w:tc>
        <w:tc>
          <w:tcPr>
            <w:tcW w:w="1814" w:type="dxa"/>
            <w:tcBorders>
              <w:bottom w:val="nil"/>
            </w:tcBorders>
          </w:tcPr>
          <w:p>
            <w:pPr>
              <w:pStyle w:val="TableParagraph"/>
              <w:numPr>
                <w:ilvl w:val="0"/>
                <w:numId w:val="20"/>
              </w:numPr>
              <w:tabs>
                <w:tab w:pos="205" w:val="left" w:leader="none"/>
              </w:tabs>
              <w:spacing w:line="235" w:lineRule="auto" w:before="73" w:after="0"/>
              <w:ind w:left="193" w:right="129" w:hanging="114"/>
              <w:jc w:val="both"/>
              <w:rPr>
                <w:sz w:val="16"/>
              </w:rPr>
            </w:pPr>
            <w:r>
              <w:rPr>
                <w:color w:val="231F20"/>
                <w:sz w:val="16"/>
              </w:rPr>
              <w:t>Initial </w:t>
            </w:r>
            <w:r>
              <w:rPr>
                <w:color w:val="231F20"/>
                <w:spacing w:val="-2"/>
                <w:sz w:val="16"/>
              </w:rPr>
              <w:t>understanding </w:t>
            </w:r>
            <w:r>
              <w:rPr>
                <w:color w:val="231F20"/>
                <w:sz w:val="16"/>
              </w:rPr>
              <w:t>of Aboriginal history and peoples</w:t>
            </w:r>
          </w:p>
          <w:p>
            <w:pPr>
              <w:pStyle w:val="TableParagraph"/>
              <w:numPr>
                <w:ilvl w:val="0"/>
                <w:numId w:val="20"/>
              </w:numPr>
              <w:tabs>
                <w:tab w:pos="205" w:val="left" w:leader="none"/>
              </w:tabs>
              <w:spacing w:line="235" w:lineRule="auto" w:before="54" w:after="0"/>
              <w:ind w:left="193" w:right="196" w:hanging="114"/>
              <w:jc w:val="left"/>
              <w:rPr>
                <w:sz w:val="16"/>
              </w:rPr>
            </w:pPr>
            <w:r>
              <w:rPr>
                <w:color w:val="231F20"/>
                <w:sz w:val="16"/>
              </w:rPr>
              <w:t>Understanding of managers role in creating a</w:t>
            </w:r>
            <w:r>
              <w:rPr>
                <w:color w:val="231F20"/>
                <w:spacing w:val="-17"/>
                <w:sz w:val="16"/>
              </w:rPr>
              <w:t> </w:t>
            </w:r>
            <w:r>
              <w:rPr>
                <w:color w:val="231F20"/>
                <w:sz w:val="16"/>
              </w:rPr>
              <w:t>culturally safe workplace</w:t>
            </w:r>
          </w:p>
          <w:p>
            <w:pPr>
              <w:pStyle w:val="TableParagraph"/>
              <w:spacing w:before="8"/>
              <w:rPr>
                <w:sz w:val="13"/>
              </w:rPr>
            </w:pPr>
          </w:p>
          <w:p>
            <w:pPr>
              <w:pStyle w:val="TableParagraph"/>
              <w:spacing w:line="235" w:lineRule="auto"/>
              <w:ind w:left="79" w:right="130"/>
              <w:rPr>
                <w:sz w:val="16"/>
              </w:rPr>
            </w:pPr>
            <w:r>
              <w:rPr>
                <w:color w:val="231F20"/>
                <w:sz w:val="16"/>
                <w:u w:val="single" w:color="231F20"/>
              </w:rPr>
              <w:t>Strategies to address</w:t>
            </w:r>
            <w:r>
              <w:rPr>
                <w:color w:val="231F20"/>
                <w:sz w:val="16"/>
              </w:rPr>
              <w:t> </w:t>
            </w:r>
            <w:r>
              <w:rPr>
                <w:color w:val="231F20"/>
                <w:sz w:val="16"/>
                <w:u w:val="single" w:color="231F20"/>
              </w:rPr>
              <w:t>skills gap:</w:t>
            </w:r>
          </w:p>
          <w:p>
            <w:pPr>
              <w:pStyle w:val="TableParagraph"/>
              <w:numPr>
                <w:ilvl w:val="0"/>
                <w:numId w:val="20"/>
              </w:numPr>
              <w:tabs>
                <w:tab w:pos="205" w:val="left" w:leader="none"/>
              </w:tabs>
              <w:spacing w:line="235" w:lineRule="auto" w:before="55" w:after="0"/>
              <w:ind w:left="193" w:right="280" w:hanging="114"/>
              <w:jc w:val="left"/>
              <w:rPr>
                <w:sz w:val="16"/>
              </w:rPr>
            </w:pPr>
            <w:r>
              <w:rPr>
                <w:color w:val="231F20"/>
                <w:sz w:val="16"/>
              </w:rPr>
              <w:t>Education </w:t>
            </w:r>
            <w:r>
              <w:rPr>
                <w:color w:val="231F20"/>
                <w:spacing w:val="-3"/>
                <w:sz w:val="16"/>
              </w:rPr>
              <w:t>session </w:t>
            </w:r>
            <w:r>
              <w:rPr>
                <w:color w:val="231F20"/>
                <w:sz w:val="16"/>
              </w:rPr>
              <w:t>for managers</w:t>
            </w:r>
          </w:p>
          <w:p>
            <w:pPr>
              <w:pStyle w:val="TableParagraph"/>
              <w:spacing w:line="235" w:lineRule="auto"/>
              <w:ind w:left="193" w:right="193"/>
              <w:rPr>
                <w:sz w:val="16"/>
              </w:rPr>
            </w:pPr>
            <w:r>
              <w:rPr>
                <w:color w:val="231F20"/>
                <w:sz w:val="16"/>
              </w:rPr>
              <w:t>on the Cultural Competency/safety</w:t>
            </w:r>
          </w:p>
          <w:p>
            <w:pPr>
              <w:pStyle w:val="TableParagraph"/>
              <w:numPr>
                <w:ilvl w:val="0"/>
                <w:numId w:val="20"/>
              </w:numPr>
              <w:tabs>
                <w:tab w:pos="205" w:val="left" w:leader="none"/>
              </w:tabs>
              <w:spacing w:line="235" w:lineRule="auto" w:before="54" w:after="0"/>
              <w:ind w:left="193" w:right="84" w:hanging="114"/>
              <w:jc w:val="left"/>
              <w:rPr>
                <w:sz w:val="16"/>
              </w:rPr>
            </w:pPr>
            <w:r>
              <w:rPr>
                <w:color w:val="231F20"/>
                <w:sz w:val="16"/>
              </w:rPr>
              <w:t>Include in manager's induction</w:t>
            </w:r>
          </w:p>
        </w:tc>
        <w:tc>
          <w:tcPr>
            <w:tcW w:w="1814" w:type="dxa"/>
            <w:tcBorders>
              <w:bottom w:val="nil"/>
            </w:tcBorders>
          </w:tcPr>
          <w:p>
            <w:pPr>
              <w:pStyle w:val="TableParagraph"/>
              <w:numPr>
                <w:ilvl w:val="0"/>
                <w:numId w:val="21"/>
              </w:numPr>
              <w:tabs>
                <w:tab w:pos="205" w:val="left" w:leader="none"/>
              </w:tabs>
              <w:spacing w:line="235" w:lineRule="auto" w:before="73" w:after="0"/>
              <w:ind w:left="193" w:right="350" w:hanging="113"/>
              <w:jc w:val="left"/>
              <w:rPr>
                <w:sz w:val="16"/>
              </w:rPr>
            </w:pPr>
            <w:r>
              <w:rPr>
                <w:color w:val="231F20"/>
                <w:sz w:val="16"/>
              </w:rPr>
              <w:t>Growing understanding of Aboriginal </w:t>
            </w:r>
            <w:r>
              <w:rPr>
                <w:color w:val="231F20"/>
                <w:spacing w:val="-3"/>
                <w:sz w:val="16"/>
              </w:rPr>
              <w:t>history </w:t>
            </w:r>
            <w:r>
              <w:rPr>
                <w:color w:val="231F20"/>
                <w:sz w:val="16"/>
              </w:rPr>
              <w:t>and peoples</w:t>
            </w:r>
          </w:p>
          <w:p>
            <w:pPr>
              <w:pStyle w:val="TableParagraph"/>
              <w:numPr>
                <w:ilvl w:val="0"/>
                <w:numId w:val="21"/>
              </w:numPr>
              <w:tabs>
                <w:tab w:pos="205" w:val="left" w:leader="none"/>
              </w:tabs>
              <w:spacing w:line="235" w:lineRule="auto" w:before="54" w:after="0"/>
              <w:ind w:left="193" w:right="223" w:hanging="113"/>
              <w:jc w:val="left"/>
              <w:rPr>
                <w:sz w:val="16"/>
              </w:rPr>
            </w:pPr>
            <w:r>
              <w:rPr>
                <w:color w:val="231F20"/>
                <w:sz w:val="16"/>
              </w:rPr>
              <w:t>Understanding of regional</w:t>
            </w:r>
            <w:r>
              <w:rPr>
                <w:color w:val="231F20"/>
                <w:spacing w:val="-14"/>
                <w:sz w:val="16"/>
              </w:rPr>
              <w:t> </w:t>
            </w:r>
            <w:r>
              <w:rPr>
                <w:color w:val="231F20"/>
                <w:sz w:val="16"/>
              </w:rPr>
              <w:t>operations and client base</w:t>
            </w:r>
          </w:p>
          <w:p>
            <w:pPr>
              <w:pStyle w:val="TableParagraph"/>
              <w:spacing w:before="8"/>
              <w:rPr>
                <w:sz w:val="13"/>
              </w:rPr>
            </w:pPr>
          </w:p>
          <w:p>
            <w:pPr>
              <w:pStyle w:val="TableParagraph"/>
              <w:spacing w:line="235" w:lineRule="auto"/>
              <w:ind w:left="80" w:right="130"/>
              <w:rPr>
                <w:sz w:val="16"/>
              </w:rPr>
            </w:pPr>
            <w:r>
              <w:rPr>
                <w:color w:val="231F20"/>
                <w:sz w:val="16"/>
                <w:u w:val="single" w:color="231F20"/>
              </w:rPr>
              <w:t>Strategies to address</w:t>
            </w:r>
            <w:r>
              <w:rPr>
                <w:color w:val="231F20"/>
                <w:sz w:val="16"/>
              </w:rPr>
              <w:t> </w:t>
            </w:r>
            <w:r>
              <w:rPr>
                <w:color w:val="231F20"/>
                <w:sz w:val="16"/>
                <w:u w:val="single" w:color="231F20"/>
              </w:rPr>
              <w:t>skills gap:</w:t>
            </w:r>
          </w:p>
          <w:p>
            <w:pPr>
              <w:pStyle w:val="TableParagraph"/>
              <w:numPr>
                <w:ilvl w:val="0"/>
                <w:numId w:val="21"/>
              </w:numPr>
              <w:tabs>
                <w:tab w:pos="205" w:val="left" w:leader="none"/>
              </w:tabs>
              <w:spacing w:line="235" w:lineRule="auto" w:before="55" w:after="0"/>
              <w:ind w:left="193" w:right="152" w:hanging="113"/>
              <w:jc w:val="left"/>
              <w:rPr>
                <w:sz w:val="16"/>
              </w:rPr>
            </w:pPr>
            <w:r>
              <w:rPr>
                <w:color w:val="231F20"/>
                <w:sz w:val="16"/>
              </w:rPr>
              <w:t>Education session on their role in On Boarding city </w:t>
            </w:r>
            <w:r>
              <w:rPr>
                <w:color w:val="231F20"/>
                <w:spacing w:val="-4"/>
                <w:sz w:val="16"/>
              </w:rPr>
              <w:t>based </w:t>
            </w:r>
            <w:r>
              <w:rPr>
                <w:color w:val="231F20"/>
                <w:sz w:val="16"/>
              </w:rPr>
              <w:t>employees</w:t>
            </w:r>
          </w:p>
          <w:p>
            <w:pPr>
              <w:pStyle w:val="TableParagraph"/>
              <w:numPr>
                <w:ilvl w:val="0"/>
                <w:numId w:val="21"/>
              </w:numPr>
              <w:tabs>
                <w:tab w:pos="205" w:val="left" w:leader="none"/>
              </w:tabs>
              <w:spacing w:line="235" w:lineRule="auto" w:before="54" w:after="0"/>
              <w:ind w:left="193" w:right="265" w:hanging="113"/>
              <w:jc w:val="left"/>
              <w:rPr>
                <w:sz w:val="16"/>
              </w:rPr>
            </w:pPr>
            <w:r>
              <w:rPr>
                <w:color w:val="231F20"/>
                <w:sz w:val="16"/>
              </w:rPr>
              <w:t>Include in </w:t>
            </w:r>
            <w:r>
              <w:rPr>
                <w:color w:val="231F20"/>
                <w:spacing w:val="-4"/>
                <w:sz w:val="16"/>
              </w:rPr>
              <w:t>regional </w:t>
            </w:r>
            <w:r>
              <w:rPr>
                <w:color w:val="231F20"/>
                <w:sz w:val="16"/>
              </w:rPr>
              <w:t>staff</w:t>
            </w:r>
            <w:r>
              <w:rPr>
                <w:color w:val="231F20"/>
                <w:spacing w:val="-1"/>
                <w:sz w:val="16"/>
              </w:rPr>
              <w:t> </w:t>
            </w:r>
            <w:r>
              <w:rPr>
                <w:color w:val="231F20"/>
                <w:sz w:val="16"/>
              </w:rPr>
              <w:t>induction</w:t>
            </w:r>
          </w:p>
        </w:tc>
        <w:tc>
          <w:tcPr>
            <w:tcW w:w="1814" w:type="dxa"/>
            <w:tcBorders>
              <w:bottom w:val="nil"/>
            </w:tcBorders>
          </w:tcPr>
          <w:p>
            <w:pPr>
              <w:pStyle w:val="TableParagraph"/>
              <w:numPr>
                <w:ilvl w:val="0"/>
                <w:numId w:val="22"/>
              </w:numPr>
              <w:tabs>
                <w:tab w:pos="205" w:val="left" w:leader="none"/>
              </w:tabs>
              <w:spacing w:line="235" w:lineRule="auto" w:before="73" w:after="0"/>
              <w:ind w:left="193" w:right="400" w:hanging="113"/>
              <w:jc w:val="left"/>
              <w:rPr>
                <w:sz w:val="16"/>
              </w:rPr>
            </w:pPr>
            <w:r>
              <w:rPr>
                <w:color w:val="231F20"/>
                <w:sz w:val="16"/>
              </w:rPr>
              <w:t>Understanding of managers role in</w:t>
            </w:r>
            <w:r>
              <w:rPr>
                <w:color w:val="231F20"/>
                <w:spacing w:val="3"/>
                <w:sz w:val="16"/>
              </w:rPr>
              <w:t> </w:t>
            </w:r>
            <w:r>
              <w:rPr>
                <w:color w:val="231F20"/>
                <w:spacing w:val="-3"/>
                <w:sz w:val="16"/>
              </w:rPr>
              <w:t>Managing</w:t>
            </w:r>
          </w:p>
          <w:p>
            <w:pPr>
              <w:pStyle w:val="TableParagraph"/>
              <w:spacing w:line="235" w:lineRule="auto"/>
              <w:ind w:left="193" w:right="345"/>
              <w:rPr>
                <w:sz w:val="16"/>
              </w:rPr>
            </w:pPr>
            <w:r>
              <w:rPr>
                <w:color w:val="231F20"/>
                <w:sz w:val="16"/>
              </w:rPr>
              <w:t>Performance and behaviours</w:t>
            </w:r>
          </w:p>
          <w:p>
            <w:pPr>
              <w:pStyle w:val="TableParagraph"/>
              <w:numPr>
                <w:ilvl w:val="0"/>
                <w:numId w:val="22"/>
              </w:numPr>
              <w:tabs>
                <w:tab w:pos="205" w:val="left" w:leader="none"/>
              </w:tabs>
              <w:spacing w:line="235" w:lineRule="auto" w:before="53" w:after="0"/>
              <w:ind w:left="193" w:right="493" w:hanging="113"/>
              <w:jc w:val="both"/>
              <w:rPr>
                <w:sz w:val="16"/>
              </w:rPr>
            </w:pPr>
            <w:r>
              <w:rPr>
                <w:color w:val="231F20"/>
                <w:sz w:val="16"/>
              </w:rPr>
              <w:t>Competence </w:t>
            </w:r>
            <w:r>
              <w:rPr>
                <w:color w:val="231F20"/>
                <w:spacing w:val="-9"/>
                <w:sz w:val="16"/>
              </w:rPr>
              <w:t>in </w:t>
            </w:r>
            <w:r>
              <w:rPr>
                <w:color w:val="231F20"/>
                <w:sz w:val="16"/>
              </w:rPr>
              <w:t>managing poor behaviour</w:t>
            </w:r>
          </w:p>
          <w:p>
            <w:pPr>
              <w:pStyle w:val="TableParagraph"/>
              <w:numPr>
                <w:ilvl w:val="0"/>
                <w:numId w:val="22"/>
              </w:numPr>
              <w:tabs>
                <w:tab w:pos="205" w:val="left" w:leader="none"/>
              </w:tabs>
              <w:spacing w:line="235" w:lineRule="auto" w:before="54" w:after="0"/>
              <w:ind w:left="193" w:right="523" w:hanging="113"/>
              <w:jc w:val="left"/>
              <w:rPr>
                <w:sz w:val="16"/>
              </w:rPr>
            </w:pPr>
            <w:r>
              <w:rPr>
                <w:color w:val="231F20"/>
                <w:sz w:val="16"/>
              </w:rPr>
              <w:t>Having </w:t>
            </w:r>
            <w:r>
              <w:rPr>
                <w:color w:val="231F20"/>
                <w:spacing w:val="-3"/>
                <w:sz w:val="16"/>
              </w:rPr>
              <w:t>difficult </w:t>
            </w:r>
            <w:r>
              <w:rPr>
                <w:color w:val="231F20"/>
                <w:sz w:val="16"/>
              </w:rPr>
              <w:t>conversations</w:t>
            </w:r>
          </w:p>
          <w:p>
            <w:pPr>
              <w:pStyle w:val="TableParagraph"/>
              <w:spacing w:before="9"/>
              <w:rPr>
                <w:sz w:val="13"/>
              </w:rPr>
            </w:pPr>
          </w:p>
          <w:p>
            <w:pPr>
              <w:pStyle w:val="TableParagraph"/>
              <w:spacing w:line="235" w:lineRule="auto"/>
              <w:ind w:left="80" w:right="130"/>
              <w:rPr>
                <w:sz w:val="16"/>
              </w:rPr>
            </w:pPr>
            <w:r>
              <w:rPr>
                <w:color w:val="231F20"/>
                <w:sz w:val="16"/>
                <w:u w:val="single" w:color="231F20"/>
              </w:rPr>
              <w:t>Strategies to address</w:t>
            </w:r>
            <w:r>
              <w:rPr>
                <w:color w:val="231F20"/>
                <w:sz w:val="16"/>
              </w:rPr>
              <w:t> </w:t>
            </w:r>
            <w:r>
              <w:rPr>
                <w:color w:val="231F20"/>
                <w:sz w:val="16"/>
                <w:u w:val="single" w:color="231F20"/>
              </w:rPr>
              <w:t>skills gap:</w:t>
            </w:r>
          </w:p>
          <w:p>
            <w:pPr>
              <w:pStyle w:val="TableParagraph"/>
              <w:numPr>
                <w:ilvl w:val="0"/>
                <w:numId w:val="22"/>
              </w:numPr>
              <w:tabs>
                <w:tab w:pos="205" w:val="left" w:leader="none"/>
              </w:tabs>
              <w:spacing w:line="235" w:lineRule="auto" w:before="56" w:after="0"/>
              <w:ind w:left="193" w:right="280" w:hanging="113"/>
              <w:jc w:val="left"/>
              <w:rPr>
                <w:sz w:val="16"/>
              </w:rPr>
            </w:pPr>
            <w:r>
              <w:rPr>
                <w:color w:val="231F20"/>
                <w:sz w:val="16"/>
              </w:rPr>
              <w:t>Education </w:t>
            </w:r>
            <w:r>
              <w:rPr>
                <w:color w:val="231F20"/>
                <w:spacing w:val="-3"/>
                <w:sz w:val="16"/>
              </w:rPr>
              <w:t>session </w:t>
            </w:r>
            <w:r>
              <w:rPr>
                <w:color w:val="231F20"/>
                <w:sz w:val="16"/>
              </w:rPr>
              <w:t>for managers</w:t>
            </w:r>
          </w:p>
          <w:p>
            <w:pPr>
              <w:pStyle w:val="TableParagraph"/>
              <w:spacing w:line="235" w:lineRule="auto"/>
              <w:ind w:left="193" w:right="345"/>
              <w:rPr>
                <w:sz w:val="16"/>
              </w:rPr>
            </w:pPr>
            <w:r>
              <w:rPr>
                <w:color w:val="231F20"/>
                <w:sz w:val="16"/>
              </w:rPr>
              <w:t>on process and the FACS Online</w:t>
            </w:r>
          </w:p>
          <w:p>
            <w:pPr>
              <w:pStyle w:val="TableParagraph"/>
              <w:spacing w:line="192" w:lineRule="exact"/>
              <w:ind w:left="193"/>
              <w:rPr>
                <w:sz w:val="16"/>
              </w:rPr>
            </w:pPr>
            <w:r>
              <w:rPr>
                <w:color w:val="231F20"/>
                <w:sz w:val="16"/>
              </w:rPr>
              <w:t>Performance System</w:t>
            </w:r>
          </w:p>
          <w:p>
            <w:pPr>
              <w:pStyle w:val="TableParagraph"/>
              <w:numPr>
                <w:ilvl w:val="0"/>
                <w:numId w:val="22"/>
              </w:numPr>
              <w:tabs>
                <w:tab w:pos="205" w:val="left" w:leader="none"/>
              </w:tabs>
              <w:spacing w:line="192" w:lineRule="exact" w:before="53" w:after="0"/>
              <w:ind w:left="193" w:right="200" w:hanging="113"/>
              <w:jc w:val="left"/>
              <w:rPr>
                <w:sz w:val="16"/>
              </w:rPr>
            </w:pPr>
            <w:r>
              <w:rPr>
                <w:color w:val="231F20"/>
                <w:sz w:val="16"/>
              </w:rPr>
              <w:t>Include in </w:t>
            </w:r>
            <w:r>
              <w:rPr>
                <w:color w:val="231F20"/>
                <w:spacing w:val="-3"/>
                <w:sz w:val="16"/>
              </w:rPr>
              <w:t>manager </w:t>
            </w:r>
            <w:r>
              <w:rPr>
                <w:color w:val="231F20"/>
                <w:sz w:val="16"/>
              </w:rPr>
              <w:t>induction</w:t>
            </w:r>
          </w:p>
        </w:tc>
        <w:tc>
          <w:tcPr>
            <w:tcW w:w="1814" w:type="dxa"/>
            <w:tcBorders>
              <w:bottom w:val="nil"/>
            </w:tcBorders>
          </w:tcPr>
          <w:p>
            <w:pPr>
              <w:pStyle w:val="TableParagraph"/>
              <w:numPr>
                <w:ilvl w:val="0"/>
                <w:numId w:val="23"/>
              </w:numPr>
              <w:tabs>
                <w:tab w:pos="205" w:val="left" w:leader="none"/>
              </w:tabs>
              <w:spacing w:line="235" w:lineRule="auto" w:before="73" w:after="0"/>
              <w:ind w:left="193" w:right="71" w:hanging="113"/>
              <w:jc w:val="left"/>
              <w:rPr>
                <w:sz w:val="16"/>
              </w:rPr>
            </w:pPr>
            <w:r>
              <w:rPr>
                <w:color w:val="231F20"/>
                <w:sz w:val="16"/>
              </w:rPr>
              <w:t>Factsheet on performance development process</w:t>
            </w:r>
            <w:r>
              <w:rPr>
                <w:color w:val="231F20"/>
                <w:spacing w:val="-14"/>
                <w:sz w:val="16"/>
              </w:rPr>
              <w:t> </w:t>
            </w:r>
            <w:r>
              <w:rPr>
                <w:color w:val="231F20"/>
                <w:sz w:val="16"/>
              </w:rPr>
              <w:t>documented</w:t>
            </w:r>
          </w:p>
          <w:p>
            <w:pPr>
              <w:pStyle w:val="TableParagraph"/>
              <w:numPr>
                <w:ilvl w:val="0"/>
                <w:numId w:val="23"/>
              </w:numPr>
              <w:tabs>
                <w:tab w:pos="205" w:val="left" w:leader="none"/>
              </w:tabs>
              <w:spacing w:line="235" w:lineRule="auto" w:before="54" w:after="0"/>
              <w:ind w:left="193" w:right="99" w:hanging="113"/>
              <w:jc w:val="left"/>
              <w:rPr>
                <w:sz w:val="16"/>
              </w:rPr>
            </w:pPr>
            <w:r>
              <w:rPr>
                <w:color w:val="231F20"/>
                <w:sz w:val="16"/>
              </w:rPr>
              <w:t>Information available on Intranet page</w:t>
            </w:r>
          </w:p>
          <w:p>
            <w:pPr>
              <w:pStyle w:val="TableParagraph"/>
              <w:numPr>
                <w:ilvl w:val="0"/>
                <w:numId w:val="23"/>
              </w:numPr>
              <w:tabs>
                <w:tab w:pos="205" w:val="left" w:leader="none"/>
              </w:tabs>
              <w:spacing w:line="235" w:lineRule="auto" w:before="55" w:after="0"/>
              <w:ind w:left="193" w:right="342" w:hanging="113"/>
              <w:jc w:val="left"/>
              <w:rPr>
                <w:sz w:val="16"/>
              </w:rPr>
            </w:pPr>
            <w:r>
              <w:rPr>
                <w:color w:val="231F20"/>
                <w:sz w:val="16"/>
              </w:rPr>
              <w:t>Understanding </w:t>
            </w:r>
            <w:r>
              <w:rPr>
                <w:color w:val="231F20"/>
                <w:spacing w:val="-9"/>
                <w:sz w:val="16"/>
              </w:rPr>
              <w:t>of </w:t>
            </w:r>
            <w:r>
              <w:rPr>
                <w:color w:val="231F20"/>
                <w:sz w:val="16"/>
              </w:rPr>
              <w:t>processes</w:t>
            </w:r>
          </w:p>
          <w:p>
            <w:pPr>
              <w:pStyle w:val="TableParagraph"/>
              <w:numPr>
                <w:ilvl w:val="0"/>
                <w:numId w:val="23"/>
              </w:numPr>
              <w:tabs>
                <w:tab w:pos="205" w:val="left" w:leader="none"/>
              </w:tabs>
              <w:spacing w:line="235" w:lineRule="auto" w:before="55" w:after="0"/>
              <w:ind w:left="193" w:right="391" w:hanging="113"/>
              <w:jc w:val="left"/>
              <w:rPr>
                <w:sz w:val="16"/>
              </w:rPr>
            </w:pPr>
            <w:r>
              <w:rPr>
                <w:color w:val="231F20"/>
                <w:sz w:val="16"/>
              </w:rPr>
              <w:t>Understanding of managers </w:t>
            </w:r>
            <w:r>
              <w:rPr>
                <w:color w:val="231F20"/>
                <w:spacing w:val="-6"/>
                <w:sz w:val="16"/>
              </w:rPr>
              <w:t>role </w:t>
            </w:r>
            <w:r>
              <w:rPr>
                <w:color w:val="231F20"/>
                <w:sz w:val="16"/>
              </w:rPr>
              <w:t>in developing employees</w:t>
            </w:r>
          </w:p>
          <w:p>
            <w:pPr>
              <w:pStyle w:val="TableParagraph"/>
              <w:spacing w:before="7"/>
              <w:rPr>
                <w:sz w:val="13"/>
              </w:rPr>
            </w:pPr>
          </w:p>
          <w:p>
            <w:pPr>
              <w:pStyle w:val="TableParagraph"/>
              <w:spacing w:line="235" w:lineRule="auto" w:before="1"/>
              <w:ind w:left="80" w:right="130"/>
              <w:rPr>
                <w:sz w:val="16"/>
              </w:rPr>
            </w:pPr>
            <w:r>
              <w:rPr>
                <w:color w:val="231F20"/>
                <w:sz w:val="16"/>
                <w:u w:val="single" w:color="231F20"/>
              </w:rPr>
              <w:t>Strategies to address</w:t>
            </w:r>
            <w:r>
              <w:rPr>
                <w:color w:val="231F20"/>
                <w:sz w:val="16"/>
              </w:rPr>
              <w:t> </w:t>
            </w:r>
            <w:r>
              <w:rPr>
                <w:color w:val="231F20"/>
                <w:sz w:val="16"/>
                <w:u w:val="single" w:color="231F20"/>
              </w:rPr>
              <w:t>skills gap:</w:t>
            </w:r>
          </w:p>
          <w:p>
            <w:pPr>
              <w:pStyle w:val="TableParagraph"/>
              <w:numPr>
                <w:ilvl w:val="0"/>
                <w:numId w:val="23"/>
              </w:numPr>
              <w:tabs>
                <w:tab w:pos="205" w:val="left" w:leader="none"/>
              </w:tabs>
              <w:spacing w:line="235" w:lineRule="auto" w:before="55" w:after="0"/>
              <w:ind w:left="193" w:right="279" w:hanging="113"/>
              <w:jc w:val="left"/>
              <w:rPr>
                <w:sz w:val="16"/>
              </w:rPr>
            </w:pPr>
            <w:r>
              <w:rPr>
                <w:color w:val="231F20"/>
                <w:sz w:val="16"/>
              </w:rPr>
              <w:t>Education </w:t>
            </w:r>
            <w:r>
              <w:rPr>
                <w:color w:val="231F20"/>
                <w:spacing w:val="-3"/>
                <w:sz w:val="16"/>
              </w:rPr>
              <w:t>session </w:t>
            </w:r>
            <w:r>
              <w:rPr>
                <w:color w:val="231F20"/>
                <w:sz w:val="16"/>
              </w:rPr>
              <w:t>for managers</w:t>
            </w:r>
          </w:p>
          <w:p>
            <w:pPr>
              <w:pStyle w:val="TableParagraph"/>
              <w:spacing w:line="235" w:lineRule="auto"/>
              <w:ind w:left="193" w:right="345"/>
              <w:rPr>
                <w:sz w:val="16"/>
              </w:rPr>
            </w:pPr>
            <w:r>
              <w:rPr>
                <w:color w:val="231F20"/>
                <w:sz w:val="16"/>
              </w:rPr>
              <w:t>on process and the FACS Online</w:t>
            </w:r>
          </w:p>
          <w:p>
            <w:pPr>
              <w:pStyle w:val="TableParagraph"/>
              <w:spacing w:line="185" w:lineRule="exact"/>
              <w:ind w:left="193"/>
              <w:rPr>
                <w:sz w:val="16"/>
              </w:rPr>
            </w:pPr>
            <w:r>
              <w:rPr>
                <w:color w:val="231F20"/>
                <w:sz w:val="16"/>
              </w:rPr>
              <w:t>Performance System</w:t>
            </w:r>
          </w:p>
        </w:tc>
        <w:tc>
          <w:tcPr>
            <w:tcW w:w="1814" w:type="dxa"/>
            <w:tcBorders>
              <w:bottom w:val="nil"/>
            </w:tcBorders>
          </w:tcPr>
          <w:p>
            <w:pPr>
              <w:pStyle w:val="TableParagraph"/>
              <w:numPr>
                <w:ilvl w:val="0"/>
                <w:numId w:val="24"/>
              </w:numPr>
              <w:tabs>
                <w:tab w:pos="206" w:val="left" w:leader="none"/>
              </w:tabs>
              <w:spacing w:line="235" w:lineRule="auto" w:before="73" w:after="0"/>
              <w:ind w:left="194" w:right="368" w:hanging="114"/>
              <w:jc w:val="both"/>
              <w:rPr>
                <w:sz w:val="16"/>
              </w:rPr>
            </w:pPr>
            <w:r>
              <w:rPr>
                <w:color w:val="231F20"/>
                <w:sz w:val="16"/>
              </w:rPr>
              <w:t>Factsheet on </w:t>
            </w:r>
            <w:r>
              <w:rPr>
                <w:color w:val="231F20"/>
                <w:spacing w:val="-5"/>
                <w:sz w:val="16"/>
              </w:rPr>
              <w:t>exit </w:t>
            </w:r>
            <w:r>
              <w:rPr>
                <w:color w:val="231F20"/>
                <w:sz w:val="16"/>
              </w:rPr>
              <w:t>process includes cultural question</w:t>
            </w:r>
          </w:p>
          <w:p>
            <w:pPr>
              <w:pStyle w:val="TableParagraph"/>
              <w:numPr>
                <w:ilvl w:val="0"/>
                <w:numId w:val="24"/>
              </w:numPr>
              <w:tabs>
                <w:tab w:pos="206" w:val="left" w:leader="none"/>
              </w:tabs>
              <w:spacing w:line="235" w:lineRule="auto" w:before="54" w:after="0"/>
              <w:ind w:left="194" w:right="99" w:hanging="114"/>
              <w:jc w:val="left"/>
              <w:rPr>
                <w:sz w:val="16"/>
              </w:rPr>
            </w:pPr>
            <w:r>
              <w:rPr>
                <w:color w:val="231F20"/>
                <w:sz w:val="16"/>
              </w:rPr>
              <w:t>Information available on intranet page</w:t>
            </w:r>
          </w:p>
          <w:p>
            <w:pPr>
              <w:pStyle w:val="TableParagraph"/>
              <w:spacing w:before="9"/>
              <w:rPr>
                <w:sz w:val="13"/>
              </w:rPr>
            </w:pPr>
          </w:p>
          <w:p>
            <w:pPr>
              <w:pStyle w:val="TableParagraph"/>
              <w:spacing w:line="235" w:lineRule="auto"/>
              <w:ind w:left="80" w:right="130"/>
              <w:rPr>
                <w:sz w:val="16"/>
              </w:rPr>
            </w:pPr>
            <w:r>
              <w:rPr>
                <w:color w:val="231F20"/>
                <w:sz w:val="16"/>
                <w:u w:val="single" w:color="231F20"/>
              </w:rPr>
              <w:t>Strategies to address</w:t>
            </w:r>
            <w:r>
              <w:rPr>
                <w:color w:val="231F20"/>
                <w:sz w:val="16"/>
              </w:rPr>
              <w:t> </w:t>
            </w:r>
            <w:r>
              <w:rPr>
                <w:color w:val="231F20"/>
                <w:sz w:val="16"/>
                <w:u w:val="single" w:color="231F20"/>
              </w:rPr>
              <w:t>skills gap:</w:t>
            </w:r>
          </w:p>
          <w:p>
            <w:pPr>
              <w:pStyle w:val="TableParagraph"/>
              <w:numPr>
                <w:ilvl w:val="0"/>
                <w:numId w:val="24"/>
              </w:numPr>
              <w:tabs>
                <w:tab w:pos="206" w:val="left" w:leader="none"/>
              </w:tabs>
              <w:spacing w:line="235" w:lineRule="auto" w:before="55" w:after="0"/>
              <w:ind w:left="194" w:right="279" w:hanging="114"/>
              <w:jc w:val="both"/>
              <w:rPr>
                <w:sz w:val="16"/>
              </w:rPr>
            </w:pPr>
            <w:r>
              <w:rPr>
                <w:color w:val="231F20"/>
                <w:sz w:val="16"/>
              </w:rPr>
              <w:t>Education </w:t>
            </w:r>
            <w:r>
              <w:rPr>
                <w:color w:val="231F20"/>
                <w:spacing w:val="-3"/>
                <w:sz w:val="16"/>
              </w:rPr>
              <w:t>session </w:t>
            </w:r>
            <w:r>
              <w:rPr>
                <w:color w:val="231F20"/>
                <w:sz w:val="16"/>
              </w:rPr>
              <w:t>for managers</w:t>
            </w:r>
          </w:p>
          <w:p>
            <w:pPr>
              <w:pStyle w:val="TableParagraph"/>
              <w:numPr>
                <w:ilvl w:val="0"/>
                <w:numId w:val="24"/>
              </w:numPr>
              <w:tabs>
                <w:tab w:pos="206" w:val="left" w:leader="none"/>
              </w:tabs>
              <w:spacing w:line="235" w:lineRule="auto" w:before="56" w:after="0"/>
              <w:ind w:left="194" w:right="199" w:hanging="114"/>
              <w:jc w:val="left"/>
              <w:rPr>
                <w:sz w:val="16"/>
              </w:rPr>
            </w:pPr>
            <w:r>
              <w:rPr>
                <w:color w:val="231F20"/>
                <w:sz w:val="16"/>
              </w:rPr>
              <w:t>Include in </w:t>
            </w:r>
            <w:r>
              <w:rPr>
                <w:color w:val="231F20"/>
                <w:spacing w:val="-3"/>
                <w:sz w:val="16"/>
              </w:rPr>
              <w:t>manager </w:t>
            </w:r>
            <w:r>
              <w:rPr>
                <w:color w:val="231F20"/>
                <w:sz w:val="16"/>
              </w:rPr>
              <w:t>induction</w:t>
            </w:r>
          </w:p>
        </w:tc>
      </w:tr>
      <w:tr>
        <w:trPr>
          <w:trHeight w:val="1043" w:hRule="atLeast"/>
        </w:trPr>
        <w:tc>
          <w:tcPr>
            <w:tcW w:w="557" w:type="dxa"/>
            <w:vMerge/>
            <w:tcBorders>
              <w:top w:val="nil"/>
            </w:tcBorders>
            <w:shd w:val="clear" w:color="auto" w:fill="47A7A8"/>
            <w:textDirection w:val="btLr"/>
          </w:tcPr>
          <w:p>
            <w:pPr>
              <w:rPr>
                <w:sz w:val="2"/>
                <w:szCs w:val="2"/>
              </w:rPr>
            </w:pPr>
          </w:p>
        </w:tc>
        <w:tc>
          <w:tcPr>
            <w:tcW w:w="1814" w:type="dxa"/>
            <w:tcBorders>
              <w:top w:val="nil"/>
            </w:tcBorders>
          </w:tcPr>
          <w:p>
            <w:pPr>
              <w:pStyle w:val="TableParagraph"/>
              <w:rPr>
                <w:rFonts w:ascii="Times New Roman"/>
                <w:sz w:val="16"/>
              </w:rPr>
            </w:pPr>
          </w:p>
        </w:tc>
        <w:tc>
          <w:tcPr>
            <w:tcW w:w="1814" w:type="dxa"/>
            <w:tcBorders>
              <w:top w:val="nil"/>
            </w:tcBorders>
          </w:tcPr>
          <w:p>
            <w:pPr>
              <w:pStyle w:val="TableParagraph"/>
              <w:rPr>
                <w:rFonts w:ascii="Times New Roman"/>
                <w:sz w:val="16"/>
              </w:rPr>
            </w:pPr>
          </w:p>
        </w:tc>
        <w:tc>
          <w:tcPr>
            <w:tcW w:w="1814" w:type="dxa"/>
            <w:tcBorders>
              <w:top w:val="nil"/>
            </w:tcBorders>
          </w:tcPr>
          <w:p>
            <w:pPr>
              <w:pStyle w:val="TableParagraph"/>
              <w:numPr>
                <w:ilvl w:val="0"/>
                <w:numId w:val="25"/>
              </w:numPr>
              <w:tabs>
                <w:tab w:pos="205" w:val="left" w:leader="none"/>
              </w:tabs>
              <w:spacing w:line="235" w:lineRule="auto" w:before="21" w:after="0"/>
              <w:ind w:left="193" w:right="460" w:hanging="113"/>
              <w:jc w:val="left"/>
              <w:rPr>
                <w:sz w:val="16"/>
              </w:rPr>
            </w:pPr>
            <w:r>
              <w:rPr>
                <w:color w:val="231F20"/>
                <w:sz w:val="16"/>
              </w:rPr>
              <w:t>Training on </w:t>
            </w:r>
            <w:r>
              <w:rPr>
                <w:color w:val="231F20"/>
                <w:spacing w:val="-5"/>
                <w:sz w:val="16"/>
              </w:rPr>
              <w:t>how </w:t>
            </w:r>
            <w:r>
              <w:rPr>
                <w:color w:val="231F20"/>
                <w:sz w:val="16"/>
              </w:rPr>
              <w:t>to manage </w:t>
            </w:r>
            <w:r>
              <w:rPr>
                <w:color w:val="231F20"/>
                <w:spacing w:val="-5"/>
                <w:sz w:val="16"/>
              </w:rPr>
              <w:t>poor </w:t>
            </w:r>
            <w:r>
              <w:rPr>
                <w:color w:val="231F20"/>
                <w:sz w:val="16"/>
              </w:rPr>
              <w:t>behaviour and having difficult conversations</w:t>
            </w:r>
          </w:p>
        </w:tc>
        <w:tc>
          <w:tcPr>
            <w:tcW w:w="1814" w:type="dxa"/>
            <w:tcBorders>
              <w:top w:val="nil"/>
            </w:tcBorders>
          </w:tcPr>
          <w:p>
            <w:pPr>
              <w:pStyle w:val="TableParagraph"/>
              <w:numPr>
                <w:ilvl w:val="0"/>
                <w:numId w:val="26"/>
              </w:numPr>
              <w:tabs>
                <w:tab w:pos="205" w:val="left" w:leader="none"/>
              </w:tabs>
              <w:spacing w:line="235" w:lineRule="auto" w:before="21" w:after="0"/>
              <w:ind w:left="193" w:right="199" w:hanging="113"/>
              <w:jc w:val="left"/>
              <w:rPr>
                <w:sz w:val="16"/>
              </w:rPr>
            </w:pPr>
            <w:r>
              <w:rPr>
                <w:color w:val="231F20"/>
                <w:sz w:val="16"/>
              </w:rPr>
              <w:t>Include in </w:t>
            </w:r>
            <w:r>
              <w:rPr>
                <w:color w:val="231F20"/>
                <w:spacing w:val="-3"/>
                <w:sz w:val="16"/>
              </w:rPr>
              <w:t>manager </w:t>
            </w:r>
            <w:r>
              <w:rPr>
                <w:color w:val="231F20"/>
                <w:sz w:val="16"/>
              </w:rPr>
              <w:t>induction</w:t>
            </w:r>
          </w:p>
        </w:tc>
        <w:tc>
          <w:tcPr>
            <w:tcW w:w="1814" w:type="dxa"/>
            <w:tcBorders>
              <w:top w:val="nil"/>
            </w:tcBorders>
          </w:tcPr>
          <w:p>
            <w:pPr>
              <w:pStyle w:val="TableParagraph"/>
              <w:rPr>
                <w:rFonts w:ascii="Times New Roman"/>
                <w:sz w:val="16"/>
              </w:rPr>
            </w:pPr>
          </w:p>
        </w:tc>
      </w:tr>
      <w:tr>
        <w:trPr>
          <w:trHeight w:val="1425" w:hRule="atLeast"/>
        </w:trPr>
        <w:tc>
          <w:tcPr>
            <w:tcW w:w="557" w:type="dxa"/>
            <w:shd w:val="clear" w:color="auto" w:fill="47A7A8"/>
            <w:textDirection w:val="btLr"/>
          </w:tcPr>
          <w:p>
            <w:pPr>
              <w:pStyle w:val="TableParagraph"/>
              <w:spacing w:before="86"/>
              <w:ind w:left="392" w:right="111" w:hanging="263"/>
              <w:rPr>
                <w:rFonts w:ascii="Helvetica"/>
                <w:b/>
                <w:sz w:val="16"/>
              </w:rPr>
            </w:pPr>
            <w:r>
              <w:rPr>
                <w:rFonts w:ascii="Helvetica"/>
                <w:b/>
                <w:color w:val="FFFFFF"/>
                <w:sz w:val="16"/>
              </w:rPr>
              <w:t>Documentation on Gaps</w:t>
            </w:r>
          </w:p>
        </w:tc>
        <w:tc>
          <w:tcPr>
            <w:tcW w:w="1814" w:type="dxa"/>
          </w:tcPr>
          <w:p>
            <w:pPr>
              <w:pStyle w:val="TableParagraph"/>
              <w:numPr>
                <w:ilvl w:val="0"/>
                <w:numId w:val="27"/>
              </w:numPr>
              <w:tabs>
                <w:tab w:pos="205" w:val="left" w:leader="none"/>
              </w:tabs>
              <w:spacing w:line="235" w:lineRule="auto" w:before="73" w:after="0"/>
              <w:ind w:left="193" w:right="304" w:hanging="114"/>
              <w:jc w:val="left"/>
              <w:rPr>
                <w:sz w:val="16"/>
              </w:rPr>
            </w:pPr>
            <w:r>
              <w:rPr>
                <w:color w:val="231F20"/>
                <w:sz w:val="16"/>
              </w:rPr>
              <w:t>Training </w:t>
            </w:r>
            <w:r>
              <w:rPr>
                <w:color w:val="231F20"/>
                <w:spacing w:val="-3"/>
                <w:sz w:val="16"/>
              </w:rPr>
              <w:t>feedback </w:t>
            </w:r>
            <w:r>
              <w:rPr>
                <w:color w:val="231F20"/>
                <w:sz w:val="16"/>
              </w:rPr>
              <w:t>from</w:t>
            </w:r>
          </w:p>
        </w:tc>
        <w:tc>
          <w:tcPr>
            <w:tcW w:w="1814" w:type="dxa"/>
          </w:tcPr>
          <w:p>
            <w:pPr>
              <w:pStyle w:val="TableParagraph"/>
              <w:numPr>
                <w:ilvl w:val="0"/>
                <w:numId w:val="28"/>
              </w:numPr>
              <w:tabs>
                <w:tab w:pos="205" w:val="left" w:leader="none"/>
              </w:tabs>
              <w:spacing w:line="235" w:lineRule="auto" w:before="73" w:after="0"/>
              <w:ind w:left="193" w:right="256" w:hanging="113"/>
              <w:jc w:val="left"/>
              <w:rPr>
                <w:sz w:val="16"/>
              </w:rPr>
            </w:pPr>
            <w:r>
              <w:rPr>
                <w:color w:val="231F20"/>
                <w:sz w:val="16"/>
              </w:rPr>
              <w:t>Employee </w:t>
            </w:r>
            <w:r>
              <w:rPr>
                <w:color w:val="231F20"/>
                <w:spacing w:val="-4"/>
                <w:sz w:val="16"/>
              </w:rPr>
              <w:t>regional </w:t>
            </w:r>
            <w:r>
              <w:rPr>
                <w:color w:val="231F20"/>
                <w:sz w:val="16"/>
              </w:rPr>
              <w:t>visit Plan</w:t>
            </w:r>
          </w:p>
          <w:p>
            <w:pPr>
              <w:pStyle w:val="TableParagraph"/>
              <w:numPr>
                <w:ilvl w:val="0"/>
                <w:numId w:val="28"/>
              </w:numPr>
              <w:tabs>
                <w:tab w:pos="205" w:val="left" w:leader="none"/>
              </w:tabs>
              <w:spacing w:line="235" w:lineRule="auto" w:before="55" w:after="0"/>
              <w:ind w:left="193" w:right="155" w:hanging="113"/>
              <w:jc w:val="left"/>
              <w:rPr>
                <w:sz w:val="16"/>
              </w:rPr>
            </w:pPr>
            <w:r>
              <w:rPr>
                <w:color w:val="231F20"/>
                <w:sz w:val="16"/>
              </w:rPr>
              <w:t>Employee feedback form for training</w:t>
            </w:r>
          </w:p>
          <w:p>
            <w:pPr>
              <w:pStyle w:val="TableParagraph"/>
              <w:numPr>
                <w:ilvl w:val="0"/>
                <w:numId w:val="28"/>
              </w:numPr>
              <w:tabs>
                <w:tab w:pos="205" w:val="left" w:leader="none"/>
              </w:tabs>
              <w:spacing w:line="235" w:lineRule="auto" w:before="55" w:after="0"/>
              <w:ind w:left="193" w:right="104" w:hanging="113"/>
              <w:jc w:val="left"/>
              <w:rPr>
                <w:sz w:val="16"/>
              </w:rPr>
            </w:pPr>
            <w:r>
              <w:rPr>
                <w:color w:val="231F20"/>
                <w:sz w:val="16"/>
              </w:rPr>
              <w:t>Employee feedback form for regional</w:t>
            </w:r>
            <w:r>
              <w:rPr>
                <w:color w:val="231F20"/>
                <w:spacing w:val="2"/>
                <w:sz w:val="16"/>
              </w:rPr>
              <w:t> </w:t>
            </w:r>
            <w:r>
              <w:rPr>
                <w:color w:val="231F20"/>
                <w:spacing w:val="-4"/>
                <w:sz w:val="16"/>
              </w:rPr>
              <w:t>visit</w:t>
            </w:r>
          </w:p>
        </w:tc>
        <w:tc>
          <w:tcPr>
            <w:tcW w:w="1814" w:type="dxa"/>
          </w:tcPr>
          <w:p>
            <w:pPr>
              <w:pStyle w:val="TableParagraph"/>
              <w:numPr>
                <w:ilvl w:val="0"/>
                <w:numId w:val="29"/>
              </w:numPr>
              <w:tabs>
                <w:tab w:pos="205" w:val="left" w:leader="none"/>
              </w:tabs>
              <w:spacing w:line="235" w:lineRule="auto" w:before="73" w:after="0"/>
              <w:ind w:left="193" w:right="302" w:hanging="113"/>
              <w:jc w:val="left"/>
              <w:rPr>
                <w:sz w:val="16"/>
              </w:rPr>
            </w:pPr>
            <w:r>
              <w:rPr>
                <w:color w:val="231F20"/>
                <w:sz w:val="16"/>
              </w:rPr>
              <w:t>Performance Improvement </w:t>
            </w:r>
            <w:r>
              <w:rPr>
                <w:color w:val="231F20"/>
                <w:spacing w:val="-5"/>
                <w:sz w:val="16"/>
              </w:rPr>
              <w:t>Plan</w:t>
            </w:r>
          </w:p>
          <w:p>
            <w:pPr>
              <w:pStyle w:val="TableParagraph"/>
              <w:numPr>
                <w:ilvl w:val="0"/>
                <w:numId w:val="29"/>
              </w:numPr>
              <w:tabs>
                <w:tab w:pos="205" w:val="left" w:leader="none"/>
              </w:tabs>
              <w:spacing w:line="235" w:lineRule="auto" w:before="55" w:after="0"/>
              <w:ind w:left="193" w:right="320" w:hanging="113"/>
              <w:jc w:val="left"/>
              <w:rPr>
                <w:sz w:val="16"/>
              </w:rPr>
            </w:pPr>
            <w:r>
              <w:rPr>
                <w:color w:val="231F20"/>
                <w:sz w:val="16"/>
              </w:rPr>
              <w:t>Updated documented </w:t>
            </w:r>
            <w:r>
              <w:rPr>
                <w:color w:val="231F20"/>
                <w:spacing w:val="-1"/>
                <w:sz w:val="16"/>
              </w:rPr>
              <w:t>process/factsheet</w:t>
            </w:r>
          </w:p>
        </w:tc>
        <w:tc>
          <w:tcPr>
            <w:tcW w:w="1814" w:type="dxa"/>
          </w:tcPr>
          <w:p>
            <w:pPr>
              <w:pStyle w:val="TableParagraph"/>
              <w:numPr>
                <w:ilvl w:val="0"/>
                <w:numId w:val="30"/>
              </w:numPr>
              <w:tabs>
                <w:tab w:pos="206" w:val="left" w:leader="none"/>
              </w:tabs>
              <w:spacing w:line="235" w:lineRule="auto" w:before="73" w:after="0"/>
              <w:ind w:left="194" w:right="320" w:hanging="114"/>
              <w:jc w:val="left"/>
              <w:rPr>
                <w:sz w:val="16"/>
              </w:rPr>
            </w:pPr>
            <w:r>
              <w:rPr>
                <w:color w:val="231F20"/>
                <w:sz w:val="16"/>
              </w:rPr>
              <w:t>Updated documented </w:t>
            </w:r>
            <w:r>
              <w:rPr>
                <w:color w:val="231F20"/>
                <w:spacing w:val="-1"/>
                <w:sz w:val="16"/>
              </w:rPr>
              <w:t>process/factsheet</w:t>
            </w:r>
          </w:p>
        </w:tc>
        <w:tc>
          <w:tcPr>
            <w:tcW w:w="1814" w:type="dxa"/>
          </w:tcPr>
          <w:p>
            <w:pPr>
              <w:pStyle w:val="TableParagraph"/>
              <w:numPr>
                <w:ilvl w:val="0"/>
                <w:numId w:val="31"/>
              </w:numPr>
              <w:tabs>
                <w:tab w:pos="206" w:val="left" w:leader="none"/>
              </w:tabs>
              <w:spacing w:line="240" w:lineRule="auto" w:before="70" w:after="0"/>
              <w:ind w:left="205" w:right="0" w:hanging="125"/>
              <w:jc w:val="left"/>
              <w:rPr>
                <w:sz w:val="16"/>
              </w:rPr>
            </w:pPr>
            <w:r>
              <w:rPr>
                <w:color w:val="231F20"/>
                <w:sz w:val="16"/>
              </w:rPr>
              <w:t>Leaving AHO Survey</w:t>
            </w:r>
          </w:p>
        </w:tc>
      </w:tr>
      <w:tr>
        <w:trPr>
          <w:trHeight w:val="2312" w:hRule="atLeast"/>
        </w:trPr>
        <w:tc>
          <w:tcPr>
            <w:tcW w:w="557" w:type="dxa"/>
            <w:vMerge w:val="restart"/>
            <w:shd w:val="clear" w:color="auto" w:fill="47A7A8"/>
            <w:textDirection w:val="btLr"/>
          </w:tcPr>
          <w:p>
            <w:pPr>
              <w:pStyle w:val="TableParagraph"/>
              <w:spacing w:before="10"/>
              <w:rPr>
                <w:sz w:val="14"/>
              </w:rPr>
            </w:pPr>
          </w:p>
          <w:p>
            <w:pPr>
              <w:pStyle w:val="TableParagraph"/>
              <w:ind w:left="806"/>
              <w:rPr>
                <w:rFonts w:ascii="Helvetica"/>
                <w:b/>
                <w:sz w:val="16"/>
              </w:rPr>
            </w:pPr>
            <w:r>
              <w:rPr>
                <w:rFonts w:ascii="Helvetica"/>
                <w:b/>
                <w:color w:val="FFFFFF"/>
                <w:sz w:val="16"/>
              </w:rPr>
              <w:t>Measure of success</w:t>
            </w:r>
          </w:p>
        </w:tc>
        <w:tc>
          <w:tcPr>
            <w:tcW w:w="1814" w:type="dxa"/>
            <w:tcBorders>
              <w:bottom w:val="nil"/>
            </w:tcBorders>
          </w:tcPr>
          <w:p>
            <w:pPr>
              <w:pStyle w:val="TableParagraph"/>
              <w:numPr>
                <w:ilvl w:val="0"/>
                <w:numId w:val="32"/>
              </w:numPr>
              <w:tabs>
                <w:tab w:pos="205" w:val="left" w:leader="none"/>
              </w:tabs>
              <w:spacing w:line="235" w:lineRule="auto" w:before="73" w:after="0"/>
              <w:ind w:left="193" w:right="396" w:hanging="114"/>
              <w:jc w:val="left"/>
              <w:rPr>
                <w:sz w:val="16"/>
              </w:rPr>
            </w:pPr>
            <w:r>
              <w:rPr>
                <w:color w:val="231F20"/>
                <w:sz w:val="16"/>
              </w:rPr>
              <w:t>Compliance </w:t>
            </w:r>
            <w:r>
              <w:rPr>
                <w:color w:val="231F20"/>
                <w:spacing w:val="-5"/>
                <w:sz w:val="16"/>
              </w:rPr>
              <w:t>with </w:t>
            </w:r>
            <w:r>
              <w:rPr>
                <w:color w:val="231F20"/>
                <w:sz w:val="16"/>
              </w:rPr>
              <w:t>process</w:t>
            </w:r>
          </w:p>
          <w:p>
            <w:pPr>
              <w:pStyle w:val="TableParagraph"/>
              <w:numPr>
                <w:ilvl w:val="0"/>
                <w:numId w:val="32"/>
              </w:numPr>
              <w:tabs>
                <w:tab w:pos="205" w:val="left" w:leader="none"/>
              </w:tabs>
              <w:spacing w:line="235" w:lineRule="auto" w:before="55" w:after="0"/>
              <w:ind w:left="193" w:right="149" w:hanging="114"/>
              <w:jc w:val="left"/>
              <w:rPr>
                <w:sz w:val="16"/>
              </w:rPr>
            </w:pPr>
            <w:r>
              <w:rPr>
                <w:color w:val="231F20"/>
                <w:sz w:val="16"/>
              </w:rPr>
              <w:t>Attraction of Aboriginal people </w:t>
            </w:r>
            <w:r>
              <w:rPr>
                <w:color w:val="231F20"/>
                <w:spacing w:val="-9"/>
                <w:sz w:val="16"/>
              </w:rPr>
              <w:t>to </w:t>
            </w:r>
            <w:r>
              <w:rPr>
                <w:color w:val="231F20"/>
                <w:sz w:val="16"/>
              </w:rPr>
              <w:t>AHO</w:t>
            </w:r>
          </w:p>
          <w:p>
            <w:pPr>
              <w:pStyle w:val="TableParagraph"/>
              <w:numPr>
                <w:ilvl w:val="0"/>
                <w:numId w:val="32"/>
              </w:numPr>
              <w:tabs>
                <w:tab w:pos="205" w:val="left" w:leader="none"/>
              </w:tabs>
              <w:spacing w:line="235" w:lineRule="auto" w:before="55" w:after="0"/>
              <w:ind w:left="193" w:right="434" w:hanging="114"/>
              <w:jc w:val="left"/>
              <w:rPr>
                <w:sz w:val="16"/>
              </w:rPr>
            </w:pPr>
            <w:r>
              <w:rPr>
                <w:color w:val="231F20"/>
                <w:sz w:val="16"/>
              </w:rPr>
              <w:t>Retention of Aboriginal employees </w:t>
            </w:r>
            <w:r>
              <w:rPr>
                <w:color w:val="231F20"/>
                <w:spacing w:val="-5"/>
                <w:sz w:val="16"/>
              </w:rPr>
              <w:t>(&gt;12 </w:t>
            </w:r>
            <w:r>
              <w:rPr>
                <w:color w:val="231F20"/>
                <w:sz w:val="16"/>
              </w:rPr>
              <w:t>months)</w:t>
            </w:r>
          </w:p>
        </w:tc>
        <w:tc>
          <w:tcPr>
            <w:tcW w:w="1814" w:type="dxa"/>
            <w:tcBorders>
              <w:bottom w:val="nil"/>
            </w:tcBorders>
          </w:tcPr>
          <w:p>
            <w:pPr>
              <w:pStyle w:val="TableParagraph"/>
              <w:numPr>
                <w:ilvl w:val="0"/>
                <w:numId w:val="33"/>
              </w:numPr>
              <w:tabs>
                <w:tab w:pos="205" w:val="left" w:leader="none"/>
              </w:tabs>
              <w:spacing w:line="235" w:lineRule="auto" w:before="73" w:after="0"/>
              <w:ind w:left="193" w:right="397" w:hanging="113"/>
              <w:jc w:val="left"/>
              <w:rPr>
                <w:sz w:val="16"/>
              </w:rPr>
            </w:pPr>
            <w:r>
              <w:rPr>
                <w:color w:val="231F20"/>
                <w:sz w:val="16"/>
              </w:rPr>
              <w:t>Compliance </w:t>
            </w:r>
            <w:r>
              <w:rPr>
                <w:color w:val="231F20"/>
                <w:spacing w:val="-5"/>
                <w:sz w:val="16"/>
              </w:rPr>
              <w:t>with </w:t>
            </w:r>
            <w:r>
              <w:rPr>
                <w:color w:val="231F20"/>
                <w:sz w:val="16"/>
              </w:rPr>
              <w:t>process</w:t>
            </w:r>
          </w:p>
          <w:p>
            <w:pPr>
              <w:pStyle w:val="TableParagraph"/>
              <w:numPr>
                <w:ilvl w:val="0"/>
                <w:numId w:val="33"/>
              </w:numPr>
              <w:tabs>
                <w:tab w:pos="205" w:val="left" w:leader="none"/>
              </w:tabs>
              <w:spacing w:line="235" w:lineRule="auto" w:before="55" w:after="0"/>
              <w:ind w:left="193" w:right="72" w:hanging="113"/>
              <w:jc w:val="left"/>
              <w:rPr>
                <w:sz w:val="16"/>
              </w:rPr>
            </w:pPr>
            <w:r>
              <w:rPr>
                <w:color w:val="231F20"/>
                <w:sz w:val="16"/>
              </w:rPr>
              <w:t>Retention of employees (&gt;12 months) who </w:t>
            </w:r>
            <w:r>
              <w:rPr>
                <w:color w:val="231F20"/>
                <w:spacing w:val="-3"/>
                <w:sz w:val="16"/>
              </w:rPr>
              <w:t>perform </w:t>
            </w:r>
            <w:r>
              <w:rPr>
                <w:color w:val="231F20"/>
                <w:sz w:val="16"/>
              </w:rPr>
              <w:t>at a satisfactory or greater</w:t>
            </w:r>
            <w:r>
              <w:rPr>
                <w:color w:val="231F20"/>
                <w:spacing w:val="-1"/>
                <w:sz w:val="16"/>
              </w:rPr>
              <w:t> </w:t>
            </w:r>
            <w:r>
              <w:rPr>
                <w:color w:val="231F20"/>
                <w:sz w:val="16"/>
              </w:rPr>
              <w:t>level</w:t>
            </w:r>
          </w:p>
          <w:p>
            <w:pPr>
              <w:pStyle w:val="TableParagraph"/>
              <w:numPr>
                <w:ilvl w:val="0"/>
                <w:numId w:val="33"/>
              </w:numPr>
              <w:tabs>
                <w:tab w:pos="205" w:val="left" w:leader="none"/>
              </w:tabs>
              <w:spacing w:line="240" w:lineRule="auto" w:before="50" w:after="0"/>
              <w:ind w:left="204" w:right="0" w:hanging="124"/>
              <w:jc w:val="left"/>
              <w:rPr>
                <w:sz w:val="16"/>
              </w:rPr>
            </w:pPr>
            <w:r>
              <w:rPr>
                <w:color w:val="231F20"/>
                <w:sz w:val="16"/>
              </w:rPr>
              <w:t>Employee feedback</w:t>
            </w:r>
          </w:p>
        </w:tc>
        <w:tc>
          <w:tcPr>
            <w:tcW w:w="1814" w:type="dxa"/>
            <w:tcBorders>
              <w:bottom w:val="nil"/>
            </w:tcBorders>
          </w:tcPr>
          <w:p>
            <w:pPr>
              <w:pStyle w:val="TableParagraph"/>
              <w:numPr>
                <w:ilvl w:val="0"/>
                <w:numId w:val="34"/>
              </w:numPr>
              <w:tabs>
                <w:tab w:pos="205" w:val="left" w:leader="none"/>
              </w:tabs>
              <w:spacing w:line="235" w:lineRule="auto" w:before="73" w:after="0"/>
              <w:ind w:left="193" w:right="475" w:hanging="113"/>
              <w:jc w:val="left"/>
              <w:rPr>
                <w:sz w:val="16"/>
              </w:rPr>
            </w:pPr>
            <w:r>
              <w:rPr>
                <w:color w:val="231F20"/>
                <w:sz w:val="16"/>
              </w:rPr>
              <w:t>Achievement </w:t>
            </w:r>
            <w:r>
              <w:rPr>
                <w:color w:val="231F20"/>
                <w:spacing w:val="-9"/>
                <w:sz w:val="16"/>
              </w:rPr>
              <w:t>of </w:t>
            </w:r>
            <w:r>
              <w:rPr>
                <w:color w:val="231F20"/>
                <w:sz w:val="16"/>
              </w:rPr>
              <w:t>objectives</w:t>
            </w:r>
          </w:p>
          <w:p>
            <w:pPr>
              <w:pStyle w:val="TableParagraph"/>
              <w:numPr>
                <w:ilvl w:val="0"/>
                <w:numId w:val="34"/>
              </w:numPr>
              <w:tabs>
                <w:tab w:pos="205" w:val="left" w:leader="none"/>
              </w:tabs>
              <w:spacing w:line="235" w:lineRule="auto" w:before="55" w:after="0"/>
              <w:ind w:left="193" w:right="457" w:hanging="113"/>
              <w:jc w:val="left"/>
              <w:rPr>
                <w:sz w:val="16"/>
              </w:rPr>
            </w:pPr>
            <w:r>
              <w:rPr>
                <w:color w:val="231F20"/>
                <w:sz w:val="16"/>
              </w:rPr>
              <w:t>Employee performance at a satisfactory </w:t>
            </w:r>
            <w:r>
              <w:rPr>
                <w:color w:val="231F20"/>
                <w:spacing w:val="-9"/>
                <w:sz w:val="16"/>
              </w:rPr>
              <w:t>or </w:t>
            </w:r>
            <w:r>
              <w:rPr>
                <w:color w:val="231F20"/>
                <w:sz w:val="16"/>
              </w:rPr>
              <w:t>greater</w:t>
            </w:r>
            <w:r>
              <w:rPr>
                <w:color w:val="231F20"/>
                <w:spacing w:val="-1"/>
                <w:sz w:val="16"/>
              </w:rPr>
              <w:t> </w:t>
            </w:r>
            <w:r>
              <w:rPr>
                <w:color w:val="231F20"/>
                <w:sz w:val="16"/>
              </w:rPr>
              <w:t>level</w:t>
            </w:r>
          </w:p>
          <w:p>
            <w:pPr>
              <w:pStyle w:val="TableParagraph"/>
              <w:numPr>
                <w:ilvl w:val="0"/>
                <w:numId w:val="34"/>
              </w:numPr>
              <w:tabs>
                <w:tab w:pos="205" w:val="left" w:leader="none"/>
              </w:tabs>
              <w:spacing w:line="235" w:lineRule="auto" w:before="54" w:after="0"/>
              <w:ind w:left="193" w:right="395" w:hanging="113"/>
              <w:jc w:val="left"/>
              <w:rPr>
                <w:sz w:val="16"/>
              </w:rPr>
            </w:pPr>
            <w:r>
              <w:rPr>
                <w:color w:val="231F20"/>
                <w:sz w:val="16"/>
              </w:rPr>
              <w:t>Compliance </w:t>
            </w:r>
            <w:r>
              <w:rPr>
                <w:color w:val="231F20"/>
                <w:spacing w:val="-4"/>
                <w:sz w:val="16"/>
              </w:rPr>
              <w:t>with </w:t>
            </w:r>
            <w:r>
              <w:rPr>
                <w:color w:val="231F20"/>
                <w:sz w:val="16"/>
              </w:rPr>
              <w:t>process</w:t>
            </w:r>
          </w:p>
          <w:p>
            <w:pPr>
              <w:pStyle w:val="TableParagraph"/>
              <w:numPr>
                <w:ilvl w:val="0"/>
                <w:numId w:val="34"/>
              </w:numPr>
              <w:tabs>
                <w:tab w:pos="205" w:val="left" w:leader="none"/>
              </w:tabs>
              <w:spacing w:line="240" w:lineRule="auto" w:before="52" w:after="0"/>
              <w:ind w:left="204" w:right="0" w:hanging="124"/>
              <w:jc w:val="left"/>
              <w:rPr>
                <w:sz w:val="16"/>
              </w:rPr>
            </w:pPr>
            <w:r>
              <w:rPr>
                <w:color w:val="231F20"/>
                <w:sz w:val="16"/>
              </w:rPr>
              <w:t>Employee feedback</w:t>
            </w:r>
          </w:p>
        </w:tc>
        <w:tc>
          <w:tcPr>
            <w:tcW w:w="1814" w:type="dxa"/>
            <w:tcBorders>
              <w:bottom w:val="nil"/>
            </w:tcBorders>
          </w:tcPr>
          <w:p>
            <w:pPr>
              <w:pStyle w:val="TableParagraph"/>
              <w:numPr>
                <w:ilvl w:val="0"/>
                <w:numId w:val="35"/>
              </w:numPr>
              <w:tabs>
                <w:tab w:pos="206" w:val="left" w:leader="none"/>
              </w:tabs>
              <w:spacing w:line="235" w:lineRule="auto" w:before="72" w:after="0"/>
              <w:ind w:left="194" w:right="475" w:hanging="114"/>
              <w:jc w:val="left"/>
              <w:rPr>
                <w:sz w:val="16"/>
              </w:rPr>
            </w:pPr>
            <w:r>
              <w:rPr>
                <w:color w:val="231F20"/>
                <w:sz w:val="16"/>
              </w:rPr>
              <w:t>Achievement </w:t>
            </w:r>
            <w:r>
              <w:rPr>
                <w:color w:val="231F20"/>
                <w:spacing w:val="-9"/>
                <w:sz w:val="16"/>
              </w:rPr>
              <w:t>of </w:t>
            </w:r>
            <w:r>
              <w:rPr>
                <w:color w:val="231F20"/>
                <w:sz w:val="16"/>
              </w:rPr>
              <w:t>objectives</w:t>
            </w:r>
          </w:p>
          <w:p>
            <w:pPr>
              <w:pStyle w:val="TableParagraph"/>
              <w:numPr>
                <w:ilvl w:val="0"/>
                <w:numId w:val="35"/>
              </w:numPr>
              <w:tabs>
                <w:tab w:pos="206" w:val="left" w:leader="none"/>
              </w:tabs>
              <w:spacing w:line="235" w:lineRule="auto" w:before="56" w:after="0"/>
              <w:ind w:left="194" w:right="456" w:hanging="114"/>
              <w:jc w:val="left"/>
              <w:rPr>
                <w:sz w:val="16"/>
              </w:rPr>
            </w:pPr>
            <w:r>
              <w:rPr>
                <w:color w:val="231F20"/>
                <w:sz w:val="16"/>
              </w:rPr>
              <w:t>Employee performance at a satisfactory </w:t>
            </w:r>
            <w:r>
              <w:rPr>
                <w:color w:val="231F20"/>
                <w:spacing w:val="-9"/>
                <w:sz w:val="16"/>
              </w:rPr>
              <w:t>or </w:t>
            </w:r>
            <w:r>
              <w:rPr>
                <w:color w:val="231F20"/>
                <w:sz w:val="16"/>
              </w:rPr>
              <w:t>greater</w:t>
            </w:r>
            <w:r>
              <w:rPr>
                <w:color w:val="231F20"/>
                <w:spacing w:val="-1"/>
                <w:sz w:val="16"/>
              </w:rPr>
              <w:t> </w:t>
            </w:r>
            <w:r>
              <w:rPr>
                <w:color w:val="231F20"/>
                <w:sz w:val="16"/>
              </w:rPr>
              <w:t>level</w:t>
            </w:r>
          </w:p>
          <w:p>
            <w:pPr>
              <w:pStyle w:val="TableParagraph"/>
              <w:numPr>
                <w:ilvl w:val="0"/>
                <w:numId w:val="35"/>
              </w:numPr>
              <w:tabs>
                <w:tab w:pos="206" w:val="left" w:leader="none"/>
              </w:tabs>
              <w:spacing w:line="192" w:lineRule="exact" w:before="53" w:after="0"/>
              <w:ind w:left="194" w:right="71" w:hanging="114"/>
              <w:jc w:val="left"/>
              <w:rPr>
                <w:sz w:val="16"/>
              </w:rPr>
            </w:pPr>
            <w:r>
              <w:rPr>
                <w:color w:val="231F20"/>
                <w:sz w:val="16"/>
              </w:rPr>
              <w:t>Retention rates of employees (&gt;12 months) who </w:t>
            </w:r>
            <w:r>
              <w:rPr>
                <w:color w:val="231F20"/>
                <w:spacing w:val="-3"/>
                <w:sz w:val="16"/>
              </w:rPr>
              <w:t>perform </w:t>
            </w:r>
            <w:r>
              <w:rPr>
                <w:color w:val="231F20"/>
                <w:sz w:val="16"/>
              </w:rPr>
              <w:t>at a satisfactory level or</w:t>
            </w:r>
            <w:r>
              <w:rPr>
                <w:color w:val="231F20"/>
                <w:spacing w:val="-1"/>
                <w:sz w:val="16"/>
              </w:rPr>
              <w:t> </w:t>
            </w:r>
            <w:r>
              <w:rPr>
                <w:color w:val="231F20"/>
                <w:sz w:val="16"/>
              </w:rPr>
              <w:t>greater</w:t>
            </w:r>
          </w:p>
        </w:tc>
        <w:tc>
          <w:tcPr>
            <w:tcW w:w="1814" w:type="dxa"/>
            <w:tcBorders>
              <w:bottom w:val="nil"/>
            </w:tcBorders>
          </w:tcPr>
          <w:p>
            <w:pPr>
              <w:pStyle w:val="TableParagraph"/>
              <w:numPr>
                <w:ilvl w:val="0"/>
                <w:numId w:val="36"/>
              </w:numPr>
              <w:tabs>
                <w:tab w:pos="206" w:val="left" w:leader="none"/>
              </w:tabs>
              <w:spacing w:line="240" w:lineRule="auto" w:before="69" w:after="0"/>
              <w:ind w:left="194" w:right="0" w:hanging="114"/>
              <w:jc w:val="left"/>
              <w:rPr>
                <w:sz w:val="16"/>
              </w:rPr>
            </w:pPr>
            <w:r>
              <w:rPr>
                <w:color w:val="231F20"/>
                <w:sz w:val="16"/>
              </w:rPr>
              <w:t>Employee feedback</w:t>
            </w:r>
          </w:p>
          <w:p>
            <w:pPr>
              <w:pStyle w:val="TableParagraph"/>
              <w:numPr>
                <w:ilvl w:val="0"/>
                <w:numId w:val="36"/>
              </w:numPr>
              <w:tabs>
                <w:tab w:pos="206" w:val="left" w:leader="none"/>
              </w:tabs>
              <w:spacing w:line="235" w:lineRule="auto" w:before="55" w:after="0"/>
              <w:ind w:left="194" w:right="112" w:hanging="114"/>
              <w:jc w:val="left"/>
              <w:rPr>
                <w:sz w:val="16"/>
              </w:rPr>
            </w:pPr>
            <w:r>
              <w:rPr>
                <w:color w:val="231F20"/>
                <w:sz w:val="16"/>
              </w:rPr>
              <w:t>Cultural Programs/ Strategies formed after review of information </w:t>
            </w:r>
            <w:r>
              <w:rPr>
                <w:color w:val="231F20"/>
                <w:spacing w:val="-3"/>
                <w:sz w:val="16"/>
              </w:rPr>
              <w:t>gathered </w:t>
            </w:r>
            <w:r>
              <w:rPr>
                <w:color w:val="231F20"/>
                <w:sz w:val="16"/>
              </w:rPr>
              <w:t>at exit</w:t>
            </w:r>
            <w:r>
              <w:rPr>
                <w:color w:val="231F20"/>
                <w:spacing w:val="-1"/>
                <w:sz w:val="16"/>
              </w:rPr>
              <w:t> </w:t>
            </w:r>
            <w:r>
              <w:rPr>
                <w:color w:val="231F20"/>
                <w:sz w:val="16"/>
              </w:rPr>
              <w:t>reviews.</w:t>
            </w:r>
          </w:p>
        </w:tc>
      </w:tr>
      <w:tr>
        <w:trPr>
          <w:trHeight w:val="420" w:hRule="atLeast"/>
        </w:trPr>
        <w:tc>
          <w:tcPr>
            <w:tcW w:w="557" w:type="dxa"/>
            <w:vMerge/>
            <w:tcBorders>
              <w:top w:val="nil"/>
            </w:tcBorders>
            <w:shd w:val="clear" w:color="auto" w:fill="47A7A8"/>
            <w:textDirection w:val="btLr"/>
          </w:tcPr>
          <w:p>
            <w:pPr>
              <w:rPr>
                <w:sz w:val="2"/>
                <w:szCs w:val="2"/>
              </w:rPr>
            </w:pPr>
          </w:p>
        </w:tc>
        <w:tc>
          <w:tcPr>
            <w:tcW w:w="1814" w:type="dxa"/>
            <w:tcBorders>
              <w:top w:val="nil"/>
              <w:bottom w:val="nil"/>
            </w:tcBorders>
          </w:tcPr>
          <w:p>
            <w:pPr>
              <w:pStyle w:val="TableParagraph"/>
              <w:rPr>
                <w:rFonts w:ascii="Times New Roman"/>
                <w:sz w:val="16"/>
              </w:rPr>
            </w:pPr>
          </w:p>
        </w:tc>
        <w:tc>
          <w:tcPr>
            <w:tcW w:w="1814" w:type="dxa"/>
            <w:tcBorders>
              <w:top w:val="nil"/>
              <w:bottom w:val="nil"/>
            </w:tcBorders>
          </w:tcPr>
          <w:p>
            <w:pPr>
              <w:pStyle w:val="TableParagraph"/>
              <w:rPr>
                <w:rFonts w:ascii="Times New Roman"/>
                <w:sz w:val="16"/>
              </w:rPr>
            </w:pPr>
          </w:p>
        </w:tc>
        <w:tc>
          <w:tcPr>
            <w:tcW w:w="1814" w:type="dxa"/>
            <w:tcBorders>
              <w:top w:val="nil"/>
              <w:bottom w:val="nil"/>
            </w:tcBorders>
          </w:tcPr>
          <w:p>
            <w:pPr>
              <w:pStyle w:val="TableParagraph"/>
              <w:rPr>
                <w:rFonts w:ascii="Times New Roman"/>
                <w:sz w:val="16"/>
              </w:rPr>
            </w:pPr>
          </w:p>
        </w:tc>
        <w:tc>
          <w:tcPr>
            <w:tcW w:w="1814" w:type="dxa"/>
            <w:tcBorders>
              <w:top w:val="nil"/>
              <w:bottom w:val="nil"/>
            </w:tcBorders>
          </w:tcPr>
          <w:p>
            <w:pPr>
              <w:pStyle w:val="TableParagraph"/>
              <w:numPr>
                <w:ilvl w:val="0"/>
                <w:numId w:val="37"/>
              </w:numPr>
              <w:tabs>
                <w:tab w:pos="206" w:val="left" w:leader="none"/>
              </w:tabs>
              <w:spacing w:line="192" w:lineRule="exact" w:before="21" w:after="0"/>
              <w:ind w:left="194" w:right="395" w:hanging="114"/>
              <w:jc w:val="left"/>
              <w:rPr>
                <w:sz w:val="16"/>
              </w:rPr>
            </w:pPr>
            <w:r>
              <w:rPr>
                <w:color w:val="231F20"/>
                <w:sz w:val="16"/>
              </w:rPr>
              <w:t>Compliance </w:t>
            </w:r>
            <w:r>
              <w:rPr>
                <w:color w:val="231F20"/>
                <w:spacing w:val="-5"/>
                <w:sz w:val="16"/>
              </w:rPr>
              <w:t>with </w:t>
            </w:r>
            <w:r>
              <w:rPr>
                <w:color w:val="231F20"/>
                <w:sz w:val="16"/>
              </w:rPr>
              <w:t>process</w:t>
            </w:r>
          </w:p>
        </w:tc>
        <w:tc>
          <w:tcPr>
            <w:tcW w:w="1814" w:type="dxa"/>
            <w:tcBorders>
              <w:top w:val="nil"/>
              <w:bottom w:val="nil"/>
            </w:tcBorders>
          </w:tcPr>
          <w:p>
            <w:pPr>
              <w:pStyle w:val="TableParagraph"/>
              <w:rPr>
                <w:rFonts w:ascii="Times New Roman"/>
                <w:sz w:val="16"/>
              </w:rPr>
            </w:pPr>
          </w:p>
        </w:tc>
      </w:tr>
      <w:tr>
        <w:trPr>
          <w:trHeight w:val="361" w:hRule="atLeast"/>
        </w:trPr>
        <w:tc>
          <w:tcPr>
            <w:tcW w:w="557" w:type="dxa"/>
            <w:vMerge/>
            <w:tcBorders>
              <w:top w:val="nil"/>
            </w:tcBorders>
            <w:shd w:val="clear" w:color="auto" w:fill="47A7A8"/>
            <w:textDirection w:val="btLr"/>
          </w:tcPr>
          <w:p>
            <w:pPr>
              <w:rPr>
                <w:sz w:val="2"/>
                <w:szCs w:val="2"/>
              </w:rPr>
            </w:pPr>
          </w:p>
        </w:tc>
        <w:tc>
          <w:tcPr>
            <w:tcW w:w="1814" w:type="dxa"/>
            <w:tcBorders>
              <w:top w:val="nil"/>
            </w:tcBorders>
          </w:tcPr>
          <w:p>
            <w:pPr>
              <w:pStyle w:val="TableParagraph"/>
              <w:rPr>
                <w:rFonts w:ascii="Times New Roman"/>
                <w:sz w:val="16"/>
              </w:rPr>
            </w:pPr>
          </w:p>
        </w:tc>
        <w:tc>
          <w:tcPr>
            <w:tcW w:w="1814" w:type="dxa"/>
            <w:tcBorders>
              <w:top w:val="nil"/>
            </w:tcBorders>
          </w:tcPr>
          <w:p>
            <w:pPr>
              <w:pStyle w:val="TableParagraph"/>
              <w:rPr>
                <w:rFonts w:ascii="Times New Roman"/>
                <w:sz w:val="16"/>
              </w:rPr>
            </w:pPr>
          </w:p>
        </w:tc>
        <w:tc>
          <w:tcPr>
            <w:tcW w:w="1814" w:type="dxa"/>
            <w:tcBorders>
              <w:top w:val="nil"/>
            </w:tcBorders>
          </w:tcPr>
          <w:p>
            <w:pPr>
              <w:pStyle w:val="TableParagraph"/>
              <w:rPr>
                <w:rFonts w:ascii="Times New Roman"/>
                <w:sz w:val="16"/>
              </w:rPr>
            </w:pPr>
          </w:p>
        </w:tc>
        <w:tc>
          <w:tcPr>
            <w:tcW w:w="1814" w:type="dxa"/>
            <w:tcBorders>
              <w:top w:val="nil"/>
            </w:tcBorders>
          </w:tcPr>
          <w:p>
            <w:pPr>
              <w:pStyle w:val="TableParagraph"/>
              <w:numPr>
                <w:ilvl w:val="0"/>
                <w:numId w:val="38"/>
              </w:numPr>
              <w:tabs>
                <w:tab w:pos="206" w:val="left" w:leader="none"/>
              </w:tabs>
              <w:spacing w:line="240" w:lineRule="auto" w:before="18" w:after="0"/>
              <w:ind w:left="205" w:right="0" w:hanging="125"/>
              <w:jc w:val="left"/>
              <w:rPr>
                <w:sz w:val="16"/>
              </w:rPr>
            </w:pPr>
            <w:r>
              <w:rPr>
                <w:color w:val="231F20"/>
                <w:sz w:val="16"/>
              </w:rPr>
              <w:t>Employee feedback</w:t>
            </w:r>
          </w:p>
        </w:tc>
        <w:tc>
          <w:tcPr>
            <w:tcW w:w="1814" w:type="dxa"/>
            <w:tcBorders>
              <w:top w:val="nil"/>
            </w:tcBorders>
          </w:tcPr>
          <w:p>
            <w:pPr>
              <w:pStyle w:val="TableParagraph"/>
              <w:rPr>
                <w:rFonts w:ascii="Times New Roman"/>
                <w:sz w:val="16"/>
              </w:rPr>
            </w:pPr>
          </w:p>
        </w:tc>
      </w:tr>
    </w:tbl>
    <w:p>
      <w:pPr>
        <w:spacing w:after="0"/>
        <w:rPr>
          <w:rFonts w:ascii="Times New Roman"/>
          <w:sz w:val="16"/>
        </w:rPr>
        <w:sectPr>
          <w:pgSz w:w="11910" w:h="16840"/>
          <w:pgMar w:header="0" w:footer="558" w:top="1600" w:bottom="740" w:left="740" w:right="640"/>
        </w:sectPr>
      </w:pPr>
    </w:p>
    <w:p>
      <w:pPr>
        <w:pStyle w:val="BodyText"/>
        <w:spacing w:before="4"/>
        <w:rPr>
          <w:rFonts w:ascii="Times New Roman"/>
          <w:sz w:val="17"/>
        </w:rPr>
      </w:pPr>
      <w:r>
        <w:rPr/>
        <w:pict>
          <v:group style="position:absolute;margin-left:-.000003pt;margin-top:.000015pt;width:595.3pt;height:841.9pt;mso-position-horizontal-relative:page;mso-position-vertical-relative:page;z-index:-70744" coordorigin="0,0" coordsize="11906,16838">
            <v:shape style="position:absolute;left:0;top:0;width:11906;height:1317" type="#_x0000_t75" stroked="false">
              <v:imagedata r:id="rId66" o:title=""/>
            </v:shape>
            <v:rect style="position:absolute;left:0;top:1241;width:11906;height:15597" filled="true" fillcolor="#47a7a8" stroked="false">
              <v:fill type="solid"/>
            </v:rect>
            <v:shape style="position:absolute;left:0;top:6310;width:8234;height:9575" coordorigin="0,6311" coordsize="8234,9575" path="m117,14939l84,14892,53,14843,23,14790,0,14743,0,15006,2,15005,39,14986,77,14964,117,14939m174,11995l133,11894,89,11796,44,11698,0,11608,0,12568,21,12489,46,12402,72,12313,99,12224,111,12183,124,12141,138,12100,153,12059,158,12043,169,12011,174,11995m1851,9442l1817,9339,1782,9238,1746,9137,1710,9037,1674,8939,1637,8841,1599,8745,1562,8650,1524,8557,1486,8465,1447,8374,1409,8284,1371,8196,1332,8110,1294,8025,1256,7941,1217,7859,1179,7779,1142,7701,1105,7624,1068,7549,1031,7476,995,7405,959,7336,925,7268,890,7203,857,7140,824,7079,792,7020,760,6963,730,6908,701,6856,672,6806,645,6758,619,6712,594,6669,570,6629,548,6591,527,6555,507,6523,426,6395,389,6348,358,6323,334,6313,320,6311,293,6316,265,6332,237,6359,209,6396,203,6404,187,6428,162,6468,129,6523,85,6597,41,6670,0,6740,0,10919,15,10944,60,11018,104,11092,147,11168,190,11244,231,11322,272,11400,311,11479,350,11559,380,11494,412,11430,445,11365,478,11300,513,11235,548,11170,585,11105,622,11041,660,10976,699,10911,739,10847,780,10782,822,10717,865,10653,909,10589,953,10524,999,10460,1045,10396,1093,10332,1141,10268,1190,10204,1240,10140,1291,10076,1343,10012,1396,9948,1450,9885,1505,9821,1560,9758,1616,9694,1674,9631,1732,9568,1791,9505,1851,9442m3269,11380l3269,11297,3267,11190,3264,11084,3261,10980,3256,10877,3251,10776,3245,10676,3238,10579,3230,10483,3222,10390,3214,10299,3205,10210,3196,10124,3186,10041,3176,9960,3166,9882,3156,9808,3146,9736,3136,9668,3126,9603,3117,9541,3107,9483,3098,9429,3089,9379,3081,9333,3073,9291,3066,9253,3051,9175,3039,9117,3031,9082,3029,9070,3015,9027,2996,8986,2970,8956,2936,8944,2919,8946,2902,8952,2883,8962,2863,8975,2858,8979,2843,8991,2820,9011,2787,9039,2746,9072,2696,9114,2638,9165,2535,9256,2494,9293,2448,9335,2398,9383,2343,9435,2285,9491,2222,9553,2157,9619,2088,9689,2016,9764,1942,9843,1866,9925,1824,9971,1783,10019,1740,10068,1697,10118,1654,10170,1610,10223,1566,10277,1521,10333,1476,10390,1431,10448,1386,10507,1341,10568,1296,10630,1252,10693,1207,10757,1162,10822,1118,10888,1074,10955,1031,11024,988,11093,946,11163,904,11235,863,11307,822,11380,783,11454,744,11529,706,11605,670,11682,634,11759,600,11838,566,11917,534,11996,503,12077,474,12158,446,12240,420,12322,392,12413,366,12503,342,12592,319,12679,298,12764,278,12849,260,12932,243,13013,227,13093,213,13172,201,13249,190,13325,181,13400,173,13473,167,13544,162,13614,159,13683,157,13748,157,13830,157,13907,161,13995,167,14080,177,14162,190,14241,206,14317,225,14390,247,14460,273,14526,301,14589,339,14662,381,14729,428,14791,480,14848,538,14899,600,14946,668,14989,741,15026,809,15051,885,15069,970,15080,1062,15083,1068,15083,1119,15082,1171,15079,1224,15073,1279,15065,1336,15054,1393,15041,1452,15026,1511,15009,1571,14989,1632,14966,1693,14941,1755,14914,1817,14884,1879,14852,1941,14817,2002,14780,2064,14740,2125,14698,2185,14653,2245,14605,2304,14555,2361,14502,2418,14447,2474,14389,2528,14329,2580,14266,2631,14200,2680,14131,2728,14060,2773,13986,2816,13910,2856,13830,2895,13748,2930,13664,2963,13576,2993,13486,3014,13417,3034,13347,3053,13276,3071,13205,3089,13132,3106,13058,3121,12984,3137,12909,3151,12832,3164,12755,3177,12677,3189,12598,3200,12518,3210,12438,3220,12356,3228,12274,3236,12191,3243,12107,3249,12022,3255,11936,3259,11850,3263,11762,3266,11674,3268,11585,3269,11495,3269,11454,3269,11380m3275,8142l3252,8029,3229,7919,3205,7813,3182,7711,3159,7613,3136,7520,3114,7431,3092,7346,3070,7267,3050,7192,3030,7123,3012,7059,2994,7000,2979,6947,2964,6900,2951,6859,2940,6824,2938,6817,2937,6813,2937,6810,2905,6748,2865,6704,2818,6678,2762,6669,2752,6669,2740,6669,2729,6671,2728,6672,2727,6672,2707,6675,2687,6682,2667,6691,2647,6704,2645,6704,2645,6706,2633,6713,2600,6734,2548,6767,2478,6813,2392,6872,2290,6942,2175,7024,2129,7056,2026,7132,1906,7222,1771,7327,1698,7384,1622,7445,1543,7509,1461,7576,1495,7649,1530,7722,1564,7795,1598,7869,1631,7942,1664,8016,1697,8090,1729,8164,1760,8238,1792,8312,1822,8386,1853,8460,1883,8534,1913,8608,1942,8682,1970,8757,1999,8831,2026,8905,2054,8979,2112,8934,2170,8889,2229,8844,2289,8799,2350,8754,2411,8710,2473,8666,2535,8622,2662,8534,2793,8446,2926,8359,3063,8272,3203,8186,3275,8142m5375,9517l5375,9371,5375,9292,5373,9212,5372,9132,5370,9052,5367,8972,5364,8892,5360,8812,5356,8733,5351,8653,5346,8574,5341,8494,5335,8415,5328,8337,5321,8258,5308,8125,5297,8012,5286,7921,5278,7854,5273,7813,5271,7798,5248,7724,5210,7670,5157,7637,5090,7624,5073,7625,5052,7628,5027,7634,4999,7645,4998,7645,4997,7646,4988,7649,4962,7659,4921,7676,4865,7702,4811,7724,4752,7751,4484,7875,4341,7945,4200,8017,4059,8090,3920,8165,3782,8242,3645,8320,3510,8399,3376,8480,3244,8562,3210,8582,3177,8603,3110,8646,3168,8682,3221,8729,3268,8784,3307,8848,3338,8919,3360,8996,3361,9001,3362,9005,3364,9012,3370,9042,3377,9076,3385,9115,3393,9158,3402,9205,3412,9256,3421,9312,3432,9372,3442,9434,3453,9500,3464,9570,3475,9644,3486,9720,3497,9800,3508,9883,3519,9969,3529,10057,3539,10148,3549,10242,3558,10338,3567,10436,3575,10537,3582,10640,3589,10744,3595,10850,3600,10959,3604,11068,3607,11179,3608,11291,3609,11405,3609,11493,3607,11580,3606,11666,3603,11752,3600,11837,3596,11921,3591,12005,3585,12088,3579,12170,3572,12251,3564,12332,3555,12412,3546,12491,3536,12569,3525,12647,3514,12724,3501,12800,3488,12875,3475,12950,3460,13024,3445,13097,3429,13169,3412,13241,3395,13311,3377,13381,3358,13450,3338,13518,3318,13586,3287,13678,3254,13767,3219,13853,3182,13936,3143,14016,3102,14093,3060,14166,3017,14237,2972,14305,2927,14370,2880,14433,2833,14492,2785,14549,2737,14604,2689,14655,2640,14704,2592,14751,2543,14795,2495,14837,2448,14876,2401,14913,2473,14909,2544,14902,2615,14893,2685,14881,2755,14867,2825,14851,2893,14832,2961,14811,3029,14788,3096,14762,3163,14734,3228,14704,3293,14672,3358,14638,3422,14601,3485,14562,3547,14521,3609,14478,3670,14432,3730,14384,3789,14335,3847,14283,3905,14229,3962,14173,4018,14114,4073,14054,4127,13992,4180,13927,4232,13861,4284,13792,4334,13721,4383,13649,4432,13574,4479,13498,4525,13419,4565,13348,4604,13276,4642,13203,4678,13129,4713,13055,4747,12980,4780,12904,4812,12828,4843,12751,4872,12674,4901,12596,4928,12518,4955,12439,4980,12360,5005,12281,5028,12201,5051,12122,5073,12042,5093,11961,5113,11881,5132,11801,5150,11720,5167,11640,5184,11559,5199,11479,5214,11398,5228,11318,5241,11238,5254,11158,5266,11078,5277,10998,5287,10919,5297,10840,5306,10762,5314,10683,5322,10606,5329,10528,5336,10452,5342,10376,5347,10300,5352,10225,5356,10148,5360,10077,5364,10004,5367,9932,5369,9861,5371,9790,5373,9720,5374,9652,5375,9584,5375,9517m5382,15355l5373,15294,5372,15288,5351,15234,5316,15192,5262,15163,5184,15146,5079,15140,5028,15141,4972,15143,4912,15148,4847,15154,4777,15161,4701,15170,3981,15266,3909,15274,3833,15280,3753,15285,3667,15289,3576,15292,3479,15294,3376,15294,2832,15286,2815,15286,2398,15278,2223,15277,2154,15277,1938,15280,1786,15285,1708,15289,1630,15294,1551,15299,1471,15306,1391,15314,1310,15323,1230,15334,1149,15346,1069,15359,989,15374,910,15391,831,15410,754,15430,737,15439,724,15452,716,15467,714,15481,721,15491,735,15498,753,15501,773,15502,780,15502,787,15502,795,15502,877,15495,959,15489,1040,15484,1120,15480,1198,15478,1275,15476,1407,15476,1450,15477,1546,15479,1639,15483,1729,15489,1816,15496,1900,15505,1982,15515,2062,15526,2140,15537,2216,15550,2290,15564,2363,15578,2435,15593,2574,15625,3138,15763,3212,15780,3287,15796,3363,15811,3440,15825,3519,15838,3599,15850,3681,15860,3766,15869,3853,15876,3942,15881,4035,15884,4130,15885,4233,15884,4332,15880,4428,15873,4521,15864,4611,15852,4696,15838,4778,15821,4856,15802,4929,15780,4998,15757,5061,15731,5120,15703,5174,15673,5222,15641,5265,15607,5302,15571,5341,15520,5363,15476,5367,15467,5381,15412,5382,15355m7553,10056l7551,10008,7540,9958,7522,9911,7504,9877,7453,9818,7394,9773,7328,9744,7257,9731,7189,9728,7109,9725,7000,9723,6866,9722,6802,9723,6622,9726,6422,9732,6184,9744,5911,9763,5710,9780,5708,9861,5705,9942,5702,10023,5698,10105,5694,10184,5689,10264,5684,10344,5678,10423,5671,10502,5664,10581,5657,10660,5648,10738,5640,10817,5631,10894,5621,10972,5611,11049,5600,11126,5589,11202,5577,11279,5649,11306,5795,11364,5942,11425,6090,11488,6239,11554,6388,11623,6538,11693,6688,11767,6774,11657,6853,11550,6927,11447,6996,11346,7059,11249,7118,11155,7172,11064,7221,10977,7265,10893,7306,10812,7343,10735,7375,10662,7405,10592,7431,10526,7453,10464,7473,10405,7490,10350,7505,10300,7517,10253,7527,10210,7535,10171,7542,10136,7547,10105,7550,10078,7553,10056m8234,13269l8225,13195,8201,13125,8162,13064,8110,13015,8102,13010,7996,12936,7995,12936,7993,12936,7947,12902,7893,12865,7829,12823,7757,12776,7737,12762,7695,12734,7673,12719,7572,12655,7458,12585,7331,12508,7192,12427,7041,12341,6880,12252,6709,12162,6620,12116,6455,12033,6309,11962,6164,11893,6019,11828,5874,11765,5731,11706,5588,11649,5517,11622,5499,11709,5481,11795,5461,11880,5441,11964,5421,12048,5399,12130,5377,12212,5354,12293,5330,12373,5306,12452,5281,12530,5255,12607,5228,12683,5201,12758,5173,12833,5144,12906,5114,12979,5084,13050,5053,13121,5022,13191,4989,13260,4956,13327,4923,13394,4888,13460,4853,13525,4817,13589,4774,13663,4730,13735,4685,13806,4640,13875,4593,13943,4545,14009,4497,14074,4447,14137,4397,14198,4345,14258,4293,14316,4240,14372,4186,14427,4132,14480,4076,14532,4020,14582,3962,14630,3904,14677,3845,14722,3785,14765,3725,14807,3663,14847,3601,14885,3921,14865,4076,14853,4227,14839,4374,14825,4518,14809,4659,14792,4796,14774,4930,14755,5060,14735,5188,14715,5311,14693,5432,14670,5550,14647,5664,14623,5775,14598,5883,14573,5989,14547,6091,14520,6190,14493,6286,14465,6379,14437,6470,14409,6558,14380,6642,14351,6725,14321,6804,14292,6881,14262,6955,14232,7026,14202,7095,14172,7162,14142,7226,14112,7287,14082,7347,14052,7403,14022,7458,13993,7510,13964,7560,13935,7607,13906,7653,13878,7696,13850,7737,13823,7777,13797,7814,13771,7849,13745,7882,13720,7913,13696,7942,13673,7970,13650,7996,13629,8020,13608,8042,13588,8062,13569,8081,13551,8098,13534,8114,13519,8128,13504,8140,13490,8151,13478,8161,13467,8169,13458,8176,13450,8181,13443,8181,13442,8204,13402,8221,13359,8231,13315,8234,13269e" filled="true" fillcolor="#91c2c4" stroked="false">
              <v:path arrowok="t"/>
              <v:fill type="solid"/>
            </v:shape>
            <v:shape style="position:absolute;left:0;top:1195;width:11906;height:105" coordorigin="0,1196" coordsize="11906,105" path="m1064,1268l1056,1268,1057,1268,1064,1268m1184,1267l1155,1266,1142,1266,1147,1266,1064,1268,1184,1267m1389,1219l1289,1218,1217,1218,1074,1219,1389,1219m1524,1284l1458,1286,1252,1287,1251,1288,1221,1291,1232,1291,1348,1289,1330,1292,1374,1292,1423,1289,1470,1289,1470,1289,1470,1289,1472,1288,1475,1287,1489,1286,1524,1284m1685,1275l1684,1275,1674,1275,1685,1275m2251,1298l2228,1297,2233,1298,2240,1298,2251,1298m3365,1294l3334,1294,3263,1295,3227,1295,3248,1293,3159,1298,3222,1298,3310,1295,3319,1295,3365,1294m3403,1298l3397,1297,3388,1295,3354,1300,3384,1299,3393,1300,3401,1299,3403,1299,3403,1298m3658,1295l3645,1295,3617,1295,3581,1294,3534,1297,3566,1298,3651,1297,3657,1295,3658,1295m5493,1233l5484,1232,5476,1231,5449,1231,5422,1232,5404,1233,5426,1232,5453,1232,5493,1233m5762,1239l5742,1239,5710,1238,5683,1239,5609,1238,5582,1239,5762,1239m10391,1285l10332,1286,10371,1286,10383,1285,10391,1285m11389,1272l11372,1272,11349,1273,11333,1274,11335,1275,11356,1274,11376,1274,11389,1273,11389,1272m11801,1273l11795,1273,11790,1273,11785,1274,11801,1273m11842,1262l11789,1262,11794,1262,11801,1263,11810,1263,11842,1262m11905,1244l11882,1245,11905,1246,11905,1244m11905,1196l11633,1201,11587,1201,11568,1199,11559,1197,11539,1196,11438,1197,11210,1205,11114,1208,11134,1206,11141,1204,11148,1203,11142,1201,11103,1200,11093,1202,11079,1203,11060,1204,11029,1204,11054,1202,11019,1201,10870,1202,10705,1205,10549,1211,10405,1218,10344,1217,10354,1214,10376,1212,10385,1212,10392,1210,10448,1210,10457,1210,10470,1209,10471,1209,10476,1208,10478,1208,10487,1206,10445,1207,10402,1208,10365,1207,10337,1205,10286,1206,10200,1208,10149,1210,10176,1209,10195,1209,10199,1211,10184,1212,10050,1212,9991,1211,9970,1208,8807,1214,8787,1216,8803,1216,8825,1216,8821,1217,8768,1219,8711,1218,8669,1219,8700,1216,8614,1217,8355,1225,8351,1224,8350,1223,8328,1222,8320,1221,8356,1220,8314,1218,8230,1209,8195,1208,8256,1223,8248,1224,8248,1229,8223,1227,8193,1225,8248,1229,8248,1224,8242,1224,8192,1224,8184,1225,8144,1223,8110,1221,8075,1219,8047,1219,8050,1217,8051,1217,8079,1216,8158,1216,8138,1212,8121,1212,8058,1209,8071,1206,8032,1207,8035,1209,8045,1210,8028,1212,7944,1211,8009,1213,7923,1216,7880,1217,7821,1216,7724,1223,7711,1221,7708,1220,7678,1220,7642,1221,7603,1221,7634,1218,7591,1218,7558,1217,7501,1215,7526,1214,7547,1214,7563,1214,7565,1214,7577,1212,7504,1211,7498,1213,7488,1215,7487,1216,7510,1217,7463,1221,7411,1224,7341,1226,7293,1227,7304,1225,7262,1227,7236,1227,7216,1224,7244,1223,7281,1221,7286,1218,7177,1219,7100,1224,7037,1228,6995,1230,6968,1230,6950,1230,6892,1230,6846,1231,6830,1230,6780,1231,6763,1233,6711,1233,6714,1231,6678,1230,6629,1229,6594,1227,6640,1224,6647,1223,6617,1224,6593,1223,6579,1222,6579,1221,6554,1223,6315,1227,6331,1231,6144,1234,6084,1234,6021,1235,5987,1237,5957,1240,5909,1242,5883,1240,5880,1239,5872,1237,5873,1234,5882,1231,5909,1232,5977,1232,6014,1233,6077,1231,6133,1229,6124,1230,6134,1232,6187,1232,6163,1232,6159,1231,6148,1229,6149,1229,6250,1225,6328,1223,6411,1223,6413,1222,6415,1222,6421,1220,6377,1220,6309,1222,6245,1221,6247,1221,6252,1221,6257,1220,6240,1220,6289,1219,6328,1218,6366,1216,6388,1213,6341,1215,6312,1217,6279,1219,6235,1218,6220,1218,6164,1218,6113,1217,6068,1214,6029,1213,5997,1216,5966,1219,5921,1222,5846,1222,5902,1217,5828,1218,5767,1223,5698,1224,5713,1226,5705,1227,5704,1229,5743,1230,5701,1231,5645,1232,5585,1232,5526,1231,5507,1232,5522,1233,5519,1235,5574,1236,5667,1235,5714,1237,5734,1235,5759,1232,5771,1231,5815,1233,5835,1235,5832,1238,5808,1240,5838,1239,5851,1239,5863,1240,5854,1243,5777,1241,5746,1244,5800,1243,5789,1246,5737,1247,5669,1248,5606,1247,5509,1245,5502,1244,5467,1243,5463,1242,5455,1241,5452,1240,5491,1239,5512,1240,5538,1240,5561,1240,5577,1239,5580,1238,5548,1238,5512,1237,5362,1240,5360,1240,5358,1240,5352,1239,5345,1239,5348,1239,5350,1240,5350,1240,5337,1240,5331,1240,5325,1239,5315,1238,5235,1239,5235,1244,5225,1246,5157,1246,5114,1244,5090,1241,5135,1240,5140,1243,5147,1241,5185,1241,5218,1242,5235,1244,5235,1239,5176,1240,5151,1239,5202,1237,5230,1237,5223,1236,5250,1235,5290,1238,5317,1235,5321,1235,5378,1229,5331,1230,5306,1232,5286,1234,5254,1235,5242,1234,5243,1232,5246,1232,5238,1231,5188,1229,5141,1229,5134,1229,5137,1229,5161,1227,5123,1227,5123,1229,5099,1230,5091,1230,5091,1239,5084,1241,5066,1238,5089,1236,5089,1236,5091,1239,5091,1230,5065,1231,5079,1234,5079,1234,5004,1232,5044,1230,5123,1229,5123,1227,5103,1227,5010,1229,4949,1229,4954,1228,4970,1227,5037,1225,5048,1223,5049,1222,4987,1221,5038,1220,5052,1219,5045,1217,5036,1215,5038,1214,5041,1213,5079,1212,5042,1212,5009,1213,4971,1214,4921,1213,4943,1215,4963,1218,4964,1221,4931,1223,4844,1221,4842,1219,4869,1216,4892,1214,4878,1212,4788,1214,4796,1215,4809,1216,4816,1218,4807,1219,4771,1219,4737,1222,4702,1226,4660,1228,4596,1228,4572,1227,4555,1226,4478,1228,4234,1234,4219,1233,4228,1234,4162,1235,4193,1233,4184,1231,4135,1228,4112,1227,4127,1227,4164,1226,4168,1225,4190,1223,4198,1220,4196,1217,4160,1219,4134,1221,4124,1223,4134,1225,4084,1225,4034,1227,3991,1225,3989,1225,3973,1224,3975,1223,3983,1222,3998,1220,3999,1218,3952,1219,3936,1221,3918,1223,3866,1223,3872,1223,3882,1222,3873,1221,3830,1221,3791,1222,3759,1223,3742,1225,3689,1222,3593,1222,3581,1219,3526,1221,3536,1222,3568,1224,3575,1225,3525,1227,3468,1227,3447,1226,3380,1225,3454,1223,3479,1224,3476,1223,3449,1219,3370,1219,3325,1221,3292,1224,3249,1226,3173,1226,3214,1224,3225,1222,3225,1222,3227,1221,3244,1219,3210,1219,3166,1219,3141,1220,3166,1222,3123,1222,3017,1220,2897,1224,2868,1226,2807,1225,2754,1224,2697,1221,2674,1220,2595,1221,2518,1221,2286,1220,2206,1220,2124,1222,2138,1222,2094,1222,2082,1223,2089,1224,2102,1225,2108,1227,2095,1228,2048,1228,2041,1225,2003,1224,1971,1223,1950,1223,1903,1221,1811,1220,1480,1223,1411,1222,1394,1222,1395,1222,1397,1221,1405,1220,1419,1219,1441,1219,1074,1219,1080,1218,997,1216,916,1216,504,1222,521,1221,525,1218,538,1218,452,1217,358,1217,269,1219,201,1222,172,1221,135,1220,51,1221,0,1220,0,1270,861,1275,1043,1275,1057,1273,1037,1270,1046,1268,1056,1268,1052,1267,1062,1267,1054,1266,1004,1267,977,1268,949,1268,985,1266,1015,1264,1049,1262,1096,1263,1091,1263,1061,1264,1098,1264,1145,1263,1205,1264,1218,1264,1222,1264,1225,1265,1404,1267,1474,1265,1542,1265,1633,1268,1606,1270,1512,1271,1470,1274,1535,1277,1539,1273,1631,1274,1626,1275,1634,1274,1642,1273,1644,1273,1656,1273,1672,1273,1676,1274,1684,1275,1740,1273,1733,1275,1779,1276,1788,1278,1884,1279,2094,1276,2165,1276,2250,1278,2247,1276,2250,1276,2275,1274,2305,1273,2310,1273,2320,1272,2377,1272,2388,1273,2399,1274,2399,1275,2388,1276,2464,1274,2536,1277,2612,1278,2792,1278,2785,1280,2868,1277,2916,1277,2971,1277,2956,1281,3009,1281,3041,1278,3057,1277,3075,1275,3134,1275,3128,1274,3123,1272,3121,1272,3073,1267,3057,1265,3089,1267,3132,1268,3165,1268,3168,1267,3224,1266,3245,1266,3248,1267,3250,1268,3292,1266,3311,1265,3345,1266,3347,1268,3330,1271,3308,1273,3360,1271,3415,1271,3529,1273,3497,1274,3600,1275,3654,1273,3716,1273,3781,1273,3846,1274,3787,1279,3817,1280,3827,1279,3828,1278,3834,1276,3893,1275,3934,1276,4001,1281,4092,1279,4271,1283,4356,1284,4437,1281,4453,1285,4531,1283,4692,1282,4769,1283,4844,1283,4865,1282,4905,1281,4915,1281,4958,1279,4980,1278,5067,1281,5121,1281,5164,1278,5193,1276,5243,1275,5322,1278,5316,1277,6436,1281,6515,1281,6594,1281,6673,1281,6752,1281,6829,1281,7283,1280,7283,1280,7444,1281,7683,1281,8715,1278,8988,1277,9202,1275,9703,1273,9989,1271,10219,1270,10265,1267,10277,1265,10280,1265,10281,1265,10290,1263,10292,1262,10296,1262,10334,1259,10403,1259,10433,1260,10446,1261,10413,1263,10404,1264,10403,1265,10395,1267,10575,1266,10665,1265,10746,1263,10664,1260,10696,1259,10731,1259,10797,1259,10796,1261,10805,1263,10812,1264,10803,1266,10901,1262,10965,1262,11005,1263,11057,1264,11140,1263,11153,1261,11174,1259,11180,1258,11253,1253,11299,1251,11358,1248,11456,1243,11465,1243,11473,1242,11537,1239,11613,1241,11569,1242,11561,1244,11548,1246,11490,1247,11567,1247,11790,1244,11780,1243,11780,1241,11791,1240,11795,1239,11815,1238,11852,1239,11905,1242,11905,1238,11905,1234,11905,1233,11905,1230,11905,1229,11905,1225,11905,1219,11905,1218,11905,1208,11905,1201,11905,1196m11906,1269l11849,1271,11801,1273,11839,1273,11851,1272,11855,1271,11888,1271,11906,1270,11906,1269e" filled="true" fillcolor="#ffffff" stroked="false">
              <v:path arrowok="t"/>
              <v:fill type="solid"/>
            </v:shape>
            <w10:wrap type="none"/>
          </v:group>
        </w:pict>
      </w:r>
    </w:p>
    <w:sectPr>
      <w:headerReference w:type="default" r:id="rId64"/>
      <w:footerReference w:type="default" r:id="rId65"/>
      <w:pgSz w:w="11910" w:h="16840"/>
      <w:pgMar w:header="0" w:footer="0" w:top="1580" w:bottom="280" w:left="740" w:right="6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Light">
    <w:altName w:val="Helvetica-Light"/>
    <w:charset w:val="0"/>
    <w:family w:val="swiss"/>
    <w:pitch w:val="variable"/>
  </w:font>
  <w:font w:name="Helvetica-BoldOblique">
    <w:altName w:val="Helvetica-BoldOblique"/>
    <w:charset w:val="0"/>
    <w:family w:val="swiss"/>
    <w:pitch w:val="variable"/>
  </w:font>
  <w:font w:name="Helvetica">
    <w:altName w:val="Helvetica"/>
    <w:charset w:val="0"/>
    <w:family w:val="swiss"/>
    <w:pitch w:val="variable"/>
  </w:font>
  <w:font w:name="Helvetica-LightOblique">
    <w:altName w:val="Helvetica-LightOblique"/>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023602pt;margin-top:804.781372pt;width:161.1pt;height:12pt;mso-position-horizontal-relative:page;mso-position-vertical-relative:page;z-index:-72160" type="#_x0000_t202" filled="false" stroked="false">
          <v:textbox inset="0,0,0,0">
            <w:txbxContent>
              <w:p>
                <w:pPr>
                  <w:spacing w:line="222" w:lineRule="exact" w:before="0"/>
                  <w:ind w:left="20" w:right="0" w:firstLine="0"/>
                  <w:jc w:val="left"/>
                  <w:rPr>
                    <w:rFonts w:ascii="Helvetica"/>
                    <w:b/>
                    <w:sz w:val="20"/>
                  </w:rPr>
                </w:pPr>
                <w:hyperlink r:id="rId1">
                  <w:r>
                    <w:rPr>
                      <w:rFonts w:ascii="Helvetica"/>
                      <w:b/>
                      <w:color w:val="C2B59B"/>
                      <w:spacing w:val="-1"/>
                      <w:sz w:val="20"/>
                    </w:rPr>
                    <w:t>www.aboriginalaffairs.nsw.gov.au</w:t>
                  </w:r>
                </w:hyperlink>
              </w:p>
            </w:txbxContent>
          </v:textbox>
          <w10:wrap type="none"/>
        </v:shape>
      </w:pict>
    </w:r>
    <w:r>
      <w:rPr/>
      <w:pict>
        <v:shape style="position:absolute;margin-left:572.444275pt;margin-top:804.781372pt;width:9.6pt;height:12pt;mso-position-horizontal-relative:page;mso-position-vertical-relative:page;z-index:-72136" type="#_x0000_t202" filled="false" stroked="false">
          <v:textbox inset="0,0,0,0">
            <w:txbxContent>
              <w:p>
                <w:pPr>
                  <w:spacing w:line="222" w:lineRule="exact" w:before="0"/>
                  <w:ind w:left="40" w:right="0" w:firstLine="0"/>
                  <w:jc w:val="left"/>
                  <w:rPr>
                    <w:rFonts w:ascii="Helvetica"/>
                    <w:b/>
                    <w:sz w:val="20"/>
                  </w:rPr>
                </w:pPr>
                <w:r>
                  <w:rPr/>
                  <w:fldChar w:fldCharType="begin"/>
                </w:r>
                <w:r>
                  <w:rPr>
                    <w:rFonts w:ascii="Helvetica"/>
                    <w:b/>
                    <w:color w:val="231F20"/>
                    <w:w w:val="99"/>
                    <w:sz w:val="20"/>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1488" from="-.000014pt,800.3703pt" to="595.275987pt,800.3703pt" stroked="true" strokeweight=".75pt" strokecolor="#c2b59b">
          <v:stroke dashstyle="solid"/>
          <w10:wrap type="none"/>
        </v:line>
      </w:pict>
    </w:r>
    <w:r>
      <w:rPr/>
      <w:pict>
        <v:shape style="position:absolute;margin-left:50.023602pt;margin-top:804.781372pt;width:161.1pt;height:12pt;mso-position-horizontal-relative:page;mso-position-vertical-relative:page;z-index:-71464" type="#_x0000_t202" filled="false" stroked="false">
          <v:textbox inset="0,0,0,0">
            <w:txbxContent>
              <w:p>
                <w:pPr>
                  <w:spacing w:line="222" w:lineRule="exact" w:before="0"/>
                  <w:ind w:left="20" w:right="0" w:firstLine="0"/>
                  <w:jc w:val="left"/>
                  <w:rPr>
                    <w:rFonts w:ascii="Helvetica"/>
                    <w:b/>
                    <w:sz w:val="20"/>
                  </w:rPr>
                </w:pPr>
                <w:hyperlink r:id="rId1">
                  <w:r>
                    <w:rPr>
                      <w:rFonts w:ascii="Helvetica"/>
                      <w:b/>
                      <w:color w:val="C2B59B"/>
                      <w:spacing w:val="-1"/>
                      <w:sz w:val="20"/>
                    </w:rPr>
                    <w:t>www.aboriginalaffairs.nsw.gov.au</w:t>
                  </w:r>
                </w:hyperlink>
              </w:p>
            </w:txbxContent>
          </v:textbox>
          <w10:wrap type="none"/>
        </v:shape>
      </w:pict>
    </w:r>
    <w:r>
      <w:rPr/>
      <w:pict>
        <v:shape style="position:absolute;margin-left:542.789917pt;margin-top:804.781372pt;width:15.15pt;height:12pt;mso-position-horizontal-relative:page;mso-position-vertical-relative:page;z-index:-71440" type="#_x0000_t202" filled="false" stroked="false">
          <v:textbox inset="0,0,0,0">
            <w:txbxContent>
              <w:p>
                <w:pPr>
                  <w:spacing w:line="222" w:lineRule="exact" w:before="0"/>
                  <w:ind w:left="40" w:right="0" w:firstLine="0"/>
                  <w:jc w:val="left"/>
                  <w:rPr>
                    <w:rFonts w:ascii="Helvetica"/>
                    <w:b/>
                    <w:sz w:val="20"/>
                  </w:rPr>
                </w:pPr>
                <w:r>
                  <w:rPr/>
                  <w:fldChar w:fldCharType="begin"/>
                </w:r>
                <w:r>
                  <w:rPr>
                    <w:rFonts w:ascii="Helvetica"/>
                    <w:b/>
                    <w:color w:val="231F20"/>
                    <w:sz w:val="20"/>
                  </w:rPr>
                  <w:instrText> PAGE </w:instrText>
                </w:r>
                <w:r>
                  <w:rPr/>
                  <w:fldChar w:fldCharType="separate"/>
                </w:r>
                <w:r>
                  <w:rPr/>
                  <w:t>21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1416" from="-.000014pt,800.3703pt" to="595.275987pt,800.3703pt" stroked="true" strokeweight=".75pt" strokecolor="#c2b59b">
          <v:stroke dashstyle="solid"/>
          <w10:wrap type="none"/>
        </v:line>
      </w:pict>
    </w:r>
    <w:r>
      <w:rPr/>
      <w:pict>
        <v:shape style="position:absolute;margin-left:50.023602pt;margin-top:804.781372pt;width:161.1pt;height:12pt;mso-position-horizontal-relative:page;mso-position-vertical-relative:page;z-index:-71392" type="#_x0000_t202" filled="false" stroked="false">
          <v:textbox inset="0,0,0,0">
            <w:txbxContent>
              <w:p>
                <w:pPr>
                  <w:spacing w:line="222" w:lineRule="exact" w:before="0"/>
                  <w:ind w:left="20" w:right="0" w:firstLine="0"/>
                  <w:jc w:val="left"/>
                  <w:rPr>
                    <w:rFonts w:ascii="Helvetica"/>
                    <w:b/>
                    <w:sz w:val="20"/>
                  </w:rPr>
                </w:pPr>
                <w:hyperlink r:id="rId1">
                  <w:r>
                    <w:rPr>
                      <w:rFonts w:ascii="Helvetica"/>
                      <w:b/>
                      <w:color w:val="C2B59B"/>
                      <w:spacing w:val="-1"/>
                      <w:sz w:val="20"/>
                    </w:rPr>
                    <w:t>www.aboriginalaffairs.nsw.gov.au</w:t>
                  </w:r>
                </w:hyperlink>
              </w:p>
            </w:txbxContent>
          </v:textbox>
          <w10:wrap type="none"/>
        </v:shape>
      </w:pict>
    </w:r>
    <w:r>
      <w:rPr/>
      <w:pict>
        <v:shape style="position:absolute;margin-left:542.789917pt;margin-top:804.781372pt;width:15.15pt;height:12pt;mso-position-horizontal-relative:page;mso-position-vertical-relative:page;z-index:-71368" type="#_x0000_t202" filled="false" stroked="false">
          <v:textbox inset="0,0,0,0">
            <w:txbxContent>
              <w:p>
                <w:pPr>
                  <w:spacing w:line="222" w:lineRule="exact" w:before="0"/>
                  <w:ind w:left="40" w:right="0" w:firstLine="0"/>
                  <w:jc w:val="left"/>
                  <w:rPr>
                    <w:rFonts w:ascii="Helvetica"/>
                    <w:b/>
                    <w:sz w:val="20"/>
                  </w:rPr>
                </w:pPr>
                <w:r>
                  <w:rPr/>
                  <w:fldChar w:fldCharType="begin"/>
                </w:r>
                <w:r>
                  <w:rPr>
                    <w:rFonts w:ascii="Helvetica"/>
                    <w:b/>
                    <w:color w:val="231F20"/>
                    <w:sz w:val="20"/>
                  </w:rPr>
                  <w:instrText> PAGE </w:instrText>
                </w:r>
                <w:r>
                  <w:rPr/>
                  <w:fldChar w:fldCharType="separate"/>
                </w:r>
                <w:r>
                  <w:rPr/>
                  <w:t>22</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1296" from="-.000014pt,800.3703pt" to="595.275987pt,800.3703pt" stroked="true" strokeweight=".75pt" strokecolor="#c2b59b">
          <v:stroke dashstyle="solid"/>
          <w10:wrap type="none"/>
        </v:line>
      </w:pict>
    </w:r>
    <w:r>
      <w:rPr/>
      <w:pict>
        <v:shape style="position:absolute;margin-left:50.023602pt;margin-top:804.781372pt;width:161.1pt;height:12pt;mso-position-horizontal-relative:page;mso-position-vertical-relative:page;z-index:-71272" type="#_x0000_t202" filled="false" stroked="false">
          <v:textbox inset="0,0,0,0">
            <w:txbxContent>
              <w:p>
                <w:pPr>
                  <w:spacing w:line="222" w:lineRule="exact" w:before="0"/>
                  <w:ind w:left="20" w:right="0" w:firstLine="0"/>
                  <w:jc w:val="left"/>
                  <w:rPr>
                    <w:rFonts w:ascii="Helvetica"/>
                    <w:b/>
                    <w:sz w:val="20"/>
                  </w:rPr>
                </w:pPr>
                <w:hyperlink r:id="rId1">
                  <w:r>
                    <w:rPr>
                      <w:rFonts w:ascii="Helvetica"/>
                      <w:b/>
                      <w:color w:val="C2B59B"/>
                      <w:spacing w:val="-1"/>
                      <w:sz w:val="20"/>
                    </w:rPr>
                    <w:t>www.aboriginalaffairs.nsw.gov.au</w:t>
                  </w:r>
                </w:hyperlink>
              </w:p>
            </w:txbxContent>
          </v:textbox>
          <w10:wrap type="none"/>
        </v:shape>
      </w:pict>
    </w:r>
    <w:r>
      <w:rPr/>
      <w:pict>
        <v:shape style="position:absolute;margin-left:542.789917pt;margin-top:804.781372pt;width:15.15pt;height:12pt;mso-position-horizontal-relative:page;mso-position-vertical-relative:page;z-index:-71248" type="#_x0000_t202" filled="false" stroked="false">
          <v:textbox inset="0,0,0,0">
            <w:txbxContent>
              <w:p>
                <w:pPr>
                  <w:spacing w:line="222" w:lineRule="exact" w:before="0"/>
                  <w:ind w:left="40" w:right="0" w:firstLine="0"/>
                  <w:jc w:val="left"/>
                  <w:rPr>
                    <w:rFonts w:ascii="Helvetica"/>
                    <w:b/>
                    <w:sz w:val="20"/>
                  </w:rPr>
                </w:pPr>
                <w:r>
                  <w:rPr/>
                  <w:fldChar w:fldCharType="begin"/>
                </w:r>
                <w:r>
                  <w:rPr>
                    <w:rFonts w:ascii="Helvetica"/>
                    <w:b/>
                    <w:color w:val="231F20"/>
                    <w:sz w:val="20"/>
                  </w:rPr>
                  <w:instrText> PAGE </w:instrText>
                </w:r>
                <w:r>
                  <w:rPr/>
                  <w:fldChar w:fldCharType="separate"/>
                </w:r>
                <w:r>
                  <w:rPr/>
                  <w:t>32</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804.781372pt;width:161.1pt;height:12pt;mso-position-horizontal-relative:page;mso-position-vertical-relative:page;z-index:-72112" type="#_x0000_t202" filled="false" stroked="false">
          <v:textbox inset="0,0,0,0">
            <w:txbxContent>
              <w:p>
                <w:pPr>
                  <w:spacing w:line="222" w:lineRule="exact" w:before="0"/>
                  <w:ind w:left="20" w:right="0" w:firstLine="0"/>
                  <w:jc w:val="left"/>
                  <w:rPr>
                    <w:rFonts w:ascii="Helvetica"/>
                    <w:b/>
                    <w:sz w:val="20"/>
                  </w:rPr>
                </w:pPr>
                <w:hyperlink r:id="rId1">
                  <w:r>
                    <w:rPr>
                      <w:rFonts w:ascii="Helvetica"/>
                      <w:b/>
                      <w:color w:val="C2B59B"/>
                      <w:spacing w:val="-1"/>
                      <w:sz w:val="20"/>
                    </w:rPr>
                    <w:t>www.aboriginalaffairs.nsw.gov.au</w:t>
                  </w:r>
                </w:hyperlink>
              </w:p>
            </w:txbxContent>
          </v:textbox>
          <w10:wrap type="none"/>
        </v:shape>
      </w:pict>
    </w:r>
    <w:r>
      <w:rPr/>
      <w:pict>
        <v:shape style="position:absolute;margin-left:548.349915pt;margin-top:804.781372pt;width:9.6pt;height:12pt;mso-position-horizontal-relative:page;mso-position-vertical-relative:page;z-index:-72088" type="#_x0000_t202" filled="false" stroked="false">
          <v:textbox inset="0,0,0,0">
            <w:txbxContent>
              <w:p>
                <w:pPr>
                  <w:spacing w:line="222" w:lineRule="exact" w:before="0"/>
                  <w:ind w:left="40" w:right="0" w:firstLine="0"/>
                  <w:jc w:val="left"/>
                  <w:rPr>
                    <w:rFonts w:ascii="Helvetica"/>
                    <w:b/>
                    <w:sz w:val="20"/>
                  </w:rPr>
                </w:pPr>
                <w:r>
                  <w:rPr/>
                  <w:fldChar w:fldCharType="begin"/>
                </w:r>
                <w:r>
                  <w:rPr>
                    <w:rFonts w:ascii="Helvetica"/>
                    <w:b/>
                    <w:color w:val="231F20"/>
                    <w:w w:val="99"/>
                    <w:sz w:val="20"/>
                  </w:rPr>
                  <w:instrText> PAGE </w:instrText>
                </w:r>
                <w:r>
                  <w:rPr/>
                  <w:fldChar w:fldCharType="separate"/>
                </w:r>
                <w:r>
                  <w:rPr/>
                  <w:t>4</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804.781372pt;width:161.1pt;height:12pt;mso-position-horizontal-relative:page;mso-position-vertical-relative:page;z-index:-72064" type="#_x0000_t202" filled="false" stroked="false">
          <v:textbox inset="0,0,0,0">
            <w:txbxContent>
              <w:p>
                <w:pPr>
                  <w:spacing w:line="222" w:lineRule="exact" w:before="0"/>
                  <w:ind w:left="20" w:right="0" w:firstLine="0"/>
                  <w:jc w:val="left"/>
                  <w:rPr>
                    <w:rFonts w:ascii="Helvetica"/>
                    <w:b/>
                    <w:sz w:val="20"/>
                  </w:rPr>
                </w:pPr>
                <w:hyperlink r:id="rId1">
                  <w:r>
                    <w:rPr>
                      <w:rFonts w:ascii="Helvetica"/>
                      <w:b/>
                      <w:color w:val="C2B59B"/>
                      <w:spacing w:val="-1"/>
                      <w:sz w:val="20"/>
                    </w:rPr>
                    <w:t>www.aboriginalaffairs.nsw.gov.au</w:t>
                  </w:r>
                </w:hyperlink>
              </w:p>
            </w:txbxContent>
          </v:textbox>
          <w10:wrap type="none"/>
        </v:shape>
      </w:pict>
    </w:r>
    <w:r>
      <w:rPr/>
      <w:pict>
        <v:shape style="position:absolute;margin-left:548.349915pt;margin-top:804.781372pt;width:9.6pt;height:12pt;mso-position-horizontal-relative:page;mso-position-vertical-relative:page;z-index:-72040" type="#_x0000_t202" filled="false" stroked="false">
          <v:textbox inset="0,0,0,0">
            <w:txbxContent>
              <w:p>
                <w:pPr>
                  <w:spacing w:line="222" w:lineRule="exact" w:before="0"/>
                  <w:ind w:left="40" w:right="0" w:firstLine="0"/>
                  <w:jc w:val="left"/>
                  <w:rPr>
                    <w:rFonts w:ascii="Helvetica"/>
                    <w:b/>
                    <w:sz w:val="20"/>
                  </w:rPr>
                </w:pPr>
                <w:r>
                  <w:rPr/>
                  <w:fldChar w:fldCharType="begin"/>
                </w:r>
                <w:r>
                  <w:rPr>
                    <w:rFonts w:ascii="Helvetica"/>
                    <w:b/>
                    <w:color w:val="231F20"/>
                    <w:w w:val="99"/>
                    <w:sz w:val="20"/>
                  </w:rPr>
                  <w:instrText> PAGE </w:instrText>
                </w:r>
                <w:r>
                  <w:rPr/>
                  <w:fldChar w:fldCharType="separate"/>
                </w:r>
                <w:r>
                  <w:rPr/>
                  <w:t>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2016" from="-.000014pt,800.3703pt" to="595.275987pt,800.3703pt" stroked="true" strokeweight=".75pt" strokecolor="#c2b59b">
          <v:stroke dashstyle="solid"/>
          <w10:wrap type="none"/>
        </v:line>
      </w:pict>
    </w:r>
    <w:r>
      <w:rPr/>
      <w:pict>
        <v:shape style="position:absolute;margin-left:50.023602pt;margin-top:804.781372pt;width:161.1pt;height:12pt;mso-position-horizontal-relative:page;mso-position-vertical-relative:page;z-index:-71992" type="#_x0000_t202" filled="false" stroked="false">
          <v:textbox inset="0,0,0,0">
            <w:txbxContent>
              <w:p>
                <w:pPr>
                  <w:spacing w:line="222" w:lineRule="exact" w:before="0"/>
                  <w:ind w:left="20" w:right="0" w:firstLine="0"/>
                  <w:jc w:val="left"/>
                  <w:rPr>
                    <w:rFonts w:ascii="Helvetica"/>
                    <w:b/>
                    <w:sz w:val="20"/>
                  </w:rPr>
                </w:pPr>
                <w:hyperlink r:id="rId1">
                  <w:r>
                    <w:rPr>
                      <w:rFonts w:ascii="Helvetica"/>
                      <w:b/>
                      <w:color w:val="C2B59B"/>
                      <w:spacing w:val="-1"/>
                      <w:sz w:val="20"/>
                    </w:rPr>
                    <w:t>www.aboriginalaffairs.nsw.gov.au</w:t>
                  </w:r>
                </w:hyperlink>
              </w:p>
            </w:txbxContent>
          </v:textbox>
          <w10:wrap type="none"/>
        </v:shape>
      </w:pict>
    </w:r>
    <w:r>
      <w:rPr/>
      <w:pict>
        <v:shape style="position:absolute;margin-left:542.789917pt;margin-top:804.781372pt;width:15.15pt;height:12pt;mso-position-horizontal-relative:page;mso-position-vertical-relative:page;z-index:-71968" type="#_x0000_t202" filled="false" stroked="false">
          <v:textbox inset="0,0,0,0">
            <w:txbxContent>
              <w:p>
                <w:pPr>
                  <w:spacing w:line="222" w:lineRule="exact" w:before="0"/>
                  <w:ind w:left="40" w:right="0" w:firstLine="0"/>
                  <w:jc w:val="left"/>
                  <w:rPr>
                    <w:rFonts w:ascii="Helvetica"/>
                    <w:b/>
                    <w:sz w:val="20"/>
                  </w:rPr>
                </w:pPr>
                <w:r>
                  <w:rPr/>
                  <w:fldChar w:fldCharType="begin"/>
                </w:r>
                <w:r>
                  <w:rPr>
                    <w:rFonts w:ascii="Helvetica"/>
                    <w:b/>
                    <w:color w:val="231F20"/>
                    <w:sz w:val="20"/>
                  </w:rPr>
                  <w:instrText> PAGE </w:instrText>
                </w:r>
                <w:r>
                  <w:rPr/>
                  <w:fldChar w:fldCharType="separate"/>
                </w:r>
                <w:r>
                  <w:rPr/>
                  <w:t>10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1944" from="-.000014pt,800.3703pt" to="595.275987pt,800.3703pt" stroked="true" strokeweight=".75pt" strokecolor="#c2b59b">
          <v:stroke dashstyle="solid"/>
          <w10:wrap type="none"/>
        </v:line>
      </w:pict>
    </w:r>
    <w:r>
      <w:rPr/>
      <w:pict>
        <v:shape style="position:absolute;margin-left:50.023602pt;margin-top:804.781372pt;width:161.1pt;height:12pt;mso-position-horizontal-relative:page;mso-position-vertical-relative:page;z-index:-71920" type="#_x0000_t202" filled="false" stroked="false">
          <v:textbox inset="0,0,0,0">
            <w:txbxContent>
              <w:p>
                <w:pPr>
                  <w:spacing w:line="222" w:lineRule="exact" w:before="0"/>
                  <w:ind w:left="20" w:right="0" w:firstLine="0"/>
                  <w:jc w:val="left"/>
                  <w:rPr>
                    <w:rFonts w:ascii="Helvetica"/>
                    <w:b/>
                    <w:sz w:val="20"/>
                  </w:rPr>
                </w:pPr>
                <w:hyperlink r:id="rId1">
                  <w:r>
                    <w:rPr>
                      <w:rFonts w:ascii="Helvetica"/>
                      <w:b/>
                      <w:color w:val="C2B59B"/>
                      <w:spacing w:val="-1"/>
                      <w:sz w:val="20"/>
                    </w:rPr>
                    <w:t>www.aboriginalaffairs.nsw.gov.au</w:t>
                  </w:r>
                </w:hyperlink>
              </w:p>
            </w:txbxContent>
          </v:textbox>
          <w10:wrap type="none"/>
        </v:shape>
      </w:pict>
    </w:r>
    <w:r>
      <w:rPr/>
      <w:pict>
        <v:shape style="position:absolute;margin-left:548.349915pt;margin-top:804.781372pt;width:9.6pt;height:12pt;mso-position-horizontal-relative:page;mso-position-vertical-relative:page;z-index:-71896" type="#_x0000_t202" filled="false" stroked="false">
          <v:textbox inset="0,0,0,0">
            <w:txbxContent>
              <w:p>
                <w:pPr>
                  <w:spacing w:line="222" w:lineRule="exact" w:before="0"/>
                  <w:ind w:left="40" w:right="0" w:firstLine="0"/>
                  <w:jc w:val="left"/>
                  <w:rPr>
                    <w:rFonts w:ascii="Helvetica"/>
                    <w:b/>
                    <w:sz w:val="20"/>
                  </w:rPr>
                </w:pPr>
                <w:r>
                  <w:rPr/>
                  <w:fldChar w:fldCharType="begin"/>
                </w:r>
                <w:r>
                  <w:rPr>
                    <w:rFonts w:ascii="Helvetica"/>
                    <w:b/>
                    <w:color w:val="231F20"/>
                    <w:w w:val="99"/>
                    <w:sz w:val="20"/>
                  </w:rPr>
                  <w:instrText> PAGE </w:instrText>
                </w:r>
                <w:r>
                  <w:rPr/>
                  <w:fldChar w:fldCharType="separate"/>
                </w:r>
                <w:r>
                  <w:rPr/>
                  <w:t>7</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1872" from="-.000014pt,800.3703pt" to="595.275987pt,800.3703pt" stroked="true" strokeweight=".75pt" strokecolor="#c2b59b">
          <v:stroke dashstyle="solid"/>
          <w10:wrap type="none"/>
        </v:line>
      </w:pict>
    </w:r>
    <w:r>
      <w:rPr/>
      <w:pict>
        <v:shape style="position:absolute;margin-left:50.023602pt;margin-top:804.781372pt;width:161.1pt;height:12pt;mso-position-horizontal-relative:page;mso-position-vertical-relative:page;z-index:-71848" type="#_x0000_t202" filled="false" stroked="false">
          <v:textbox inset="0,0,0,0">
            <w:txbxContent>
              <w:p>
                <w:pPr>
                  <w:spacing w:line="222" w:lineRule="exact" w:before="0"/>
                  <w:ind w:left="20" w:right="0" w:firstLine="0"/>
                  <w:jc w:val="left"/>
                  <w:rPr>
                    <w:rFonts w:ascii="Helvetica"/>
                    <w:b/>
                    <w:sz w:val="20"/>
                  </w:rPr>
                </w:pPr>
                <w:hyperlink r:id="rId1">
                  <w:r>
                    <w:rPr>
                      <w:rFonts w:ascii="Helvetica"/>
                      <w:b/>
                      <w:color w:val="C2B59B"/>
                      <w:spacing w:val="-1"/>
                      <w:sz w:val="20"/>
                    </w:rPr>
                    <w:t>www.aboriginalaffairs.nsw.gov.au</w:t>
                  </w:r>
                </w:hyperlink>
              </w:p>
            </w:txbxContent>
          </v:textbox>
          <w10:wrap type="none"/>
        </v:shape>
      </w:pict>
    </w:r>
    <w:r>
      <w:rPr/>
      <w:pict>
        <v:shape style="position:absolute;margin-left:548.349915pt;margin-top:804.781372pt;width:9.6pt;height:12pt;mso-position-horizontal-relative:page;mso-position-vertical-relative:page;z-index:-71824" type="#_x0000_t202" filled="false" stroked="false">
          <v:textbox inset="0,0,0,0">
            <w:txbxContent>
              <w:p>
                <w:pPr>
                  <w:spacing w:line="222" w:lineRule="exact" w:before="0"/>
                  <w:ind w:left="40" w:right="0" w:firstLine="0"/>
                  <w:jc w:val="left"/>
                  <w:rPr>
                    <w:rFonts w:ascii="Helvetica"/>
                    <w:b/>
                    <w:sz w:val="20"/>
                  </w:rPr>
                </w:pPr>
                <w:r>
                  <w:rPr/>
                  <w:fldChar w:fldCharType="begin"/>
                </w:r>
                <w:r>
                  <w:rPr>
                    <w:rFonts w:ascii="Helvetica"/>
                    <w:b/>
                    <w:color w:val="231F20"/>
                    <w:w w:val="99"/>
                    <w:sz w:val="20"/>
                  </w:rPr>
                  <w:instrText> PAGE </w:instrText>
                </w:r>
                <w:r>
                  <w:rPr/>
                  <w:fldChar w:fldCharType="separate"/>
                </w:r>
                <w:r>
                  <w:rPr/>
                  <w:t>8</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1800" from="-.000014pt,800.3703pt" to="595.275987pt,800.3703pt" stroked="true" strokeweight=".75pt" strokecolor="#c2b59b">
          <v:stroke dashstyle="solid"/>
          <w10:wrap type="none"/>
        </v:line>
      </w:pict>
    </w:r>
    <w:r>
      <w:rPr/>
      <w:pict>
        <v:shape style="position:absolute;margin-left:50.023602pt;margin-top:804.781372pt;width:161.1pt;height:12pt;mso-position-horizontal-relative:page;mso-position-vertical-relative:page;z-index:-71776" type="#_x0000_t202" filled="false" stroked="false">
          <v:textbox inset="0,0,0,0">
            <w:txbxContent>
              <w:p>
                <w:pPr>
                  <w:spacing w:line="222" w:lineRule="exact" w:before="0"/>
                  <w:ind w:left="20" w:right="0" w:firstLine="0"/>
                  <w:jc w:val="left"/>
                  <w:rPr>
                    <w:rFonts w:ascii="Helvetica"/>
                    <w:b/>
                    <w:sz w:val="20"/>
                  </w:rPr>
                </w:pPr>
                <w:hyperlink r:id="rId1">
                  <w:r>
                    <w:rPr>
                      <w:rFonts w:ascii="Helvetica"/>
                      <w:b/>
                      <w:color w:val="C2B59B"/>
                      <w:spacing w:val="-1"/>
                      <w:sz w:val="20"/>
                    </w:rPr>
                    <w:t>www.aboriginalaffairs.nsw.gov.au</w:t>
                  </w:r>
                </w:hyperlink>
              </w:p>
            </w:txbxContent>
          </v:textbox>
          <w10:wrap type="none"/>
        </v:shape>
      </w:pict>
    </w:r>
    <w:r>
      <w:rPr/>
      <w:pict>
        <v:shape style="position:absolute;margin-left:548.349915pt;margin-top:804.781372pt;width:9.6pt;height:12pt;mso-position-horizontal-relative:page;mso-position-vertical-relative:page;z-index:-71752" type="#_x0000_t202" filled="false" stroked="false">
          <v:textbox inset="0,0,0,0">
            <w:txbxContent>
              <w:p>
                <w:pPr>
                  <w:spacing w:line="222" w:lineRule="exact" w:before="0"/>
                  <w:ind w:left="40" w:right="0" w:firstLine="0"/>
                  <w:jc w:val="left"/>
                  <w:rPr>
                    <w:rFonts w:ascii="Helvetica"/>
                    <w:b/>
                    <w:sz w:val="20"/>
                  </w:rPr>
                </w:pPr>
                <w:r>
                  <w:rPr/>
                  <w:fldChar w:fldCharType="begin"/>
                </w:r>
                <w:r>
                  <w:rPr>
                    <w:rFonts w:ascii="Helvetica"/>
                    <w:b/>
                    <w:color w:val="231F20"/>
                    <w:w w:val="99"/>
                    <w:sz w:val="20"/>
                  </w:rPr>
                  <w:instrText> PAGE </w:instrText>
                </w:r>
                <w:r>
                  <w:rPr/>
                  <w:fldChar w:fldCharType="separate"/>
                </w:r>
                <w:r>
                  <w:rPr/>
                  <w:t>9</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1728" from="-.000014pt,800.3703pt" to="595.275987pt,800.3703pt" stroked="true" strokeweight=".75pt" strokecolor="#c2b59b">
          <v:stroke dashstyle="solid"/>
          <w10:wrap type="none"/>
        </v:line>
      </w:pict>
    </w:r>
    <w:r>
      <w:rPr/>
      <w:pict>
        <v:shape style="position:absolute;margin-left:50.023602pt;margin-top:804.781372pt;width:161.1pt;height:12pt;mso-position-horizontal-relative:page;mso-position-vertical-relative:page;z-index:-71704" type="#_x0000_t202" filled="false" stroked="false">
          <v:textbox inset="0,0,0,0">
            <w:txbxContent>
              <w:p>
                <w:pPr>
                  <w:spacing w:line="222" w:lineRule="exact" w:before="0"/>
                  <w:ind w:left="20" w:right="0" w:firstLine="0"/>
                  <w:jc w:val="left"/>
                  <w:rPr>
                    <w:rFonts w:ascii="Helvetica"/>
                    <w:b/>
                    <w:sz w:val="20"/>
                  </w:rPr>
                </w:pPr>
                <w:hyperlink r:id="rId1">
                  <w:r>
                    <w:rPr>
                      <w:rFonts w:ascii="Helvetica"/>
                      <w:b/>
                      <w:color w:val="C2B59B"/>
                      <w:spacing w:val="-1"/>
                      <w:sz w:val="20"/>
                    </w:rPr>
                    <w:t>www.aboriginalaffairs.nsw.gov.au</w:t>
                  </w:r>
                </w:hyperlink>
              </w:p>
            </w:txbxContent>
          </v:textbox>
          <w10:wrap type="none"/>
        </v:shape>
      </w:pict>
    </w:r>
    <w:r>
      <w:rPr/>
      <w:pict>
        <v:shape style="position:absolute;margin-left:542.789917pt;margin-top:804.781372pt;width:15.15pt;height:12pt;mso-position-horizontal-relative:page;mso-position-vertical-relative:page;z-index:-71680" type="#_x0000_t202" filled="false" stroked="false">
          <v:textbox inset="0,0,0,0">
            <w:txbxContent>
              <w:p>
                <w:pPr>
                  <w:spacing w:line="222" w:lineRule="exact" w:before="0"/>
                  <w:ind w:left="40" w:right="0" w:firstLine="0"/>
                  <w:jc w:val="left"/>
                  <w:rPr>
                    <w:rFonts w:ascii="Helvetica"/>
                    <w:b/>
                    <w:sz w:val="20"/>
                  </w:rPr>
                </w:pPr>
                <w:r>
                  <w:rPr/>
                  <w:fldChar w:fldCharType="begin"/>
                </w:r>
                <w:r>
                  <w:rPr>
                    <w:rFonts w:ascii="Helvetica"/>
                    <w:b/>
                    <w:color w:val="231F20"/>
                    <w:sz w:val="20"/>
                  </w:rPr>
                  <w:instrText> PAGE </w:instrText>
                </w:r>
                <w:r>
                  <w:rPr/>
                  <w:fldChar w:fldCharType="separate"/>
                </w:r>
                <w:r>
                  <w:rPr/>
                  <w:t>10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1608" from="-.000014pt,800.3703pt" to="595.275987pt,800.3703pt" stroked="true" strokeweight=".75pt" strokecolor="#c2b59b">
          <v:stroke dashstyle="solid"/>
          <w10:wrap type="none"/>
        </v:line>
      </w:pict>
    </w:r>
    <w:r>
      <w:rPr/>
      <w:pict>
        <v:shape style="position:absolute;margin-left:50.023602pt;margin-top:804.781372pt;width:161.1pt;height:12pt;mso-position-horizontal-relative:page;mso-position-vertical-relative:page;z-index:-71584" type="#_x0000_t202" filled="false" stroked="false">
          <v:textbox inset="0,0,0,0">
            <w:txbxContent>
              <w:p>
                <w:pPr>
                  <w:spacing w:line="222" w:lineRule="exact" w:before="0"/>
                  <w:ind w:left="20" w:right="0" w:firstLine="0"/>
                  <w:jc w:val="left"/>
                  <w:rPr>
                    <w:rFonts w:ascii="Helvetica"/>
                    <w:b/>
                    <w:sz w:val="20"/>
                  </w:rPr>
                </w:pPr>
                <w:hyperlink r:id="rId1">
                  <w:r>
                    <w:rPr>
                      <w:rFonts w:ascii="Helvetica"/>
                      <w:b/>
                      <w:color w:val="C2B59B"/>
                      <w:spacing w:val="-1"/>
                      <w:sz w:val="20"/>
                    </w:rPr>
                    <w:t>www.aboriginalaffairs.nsw.gov.au</w:t>
                  </w:r>
                </w:hyperlink>
              </w:p>
            </w:txbxContent>
          </v:textbox>
          <w10:wrap type="none"/>
        </v:shape>
      </w:pict>
    </w:r>
    <w:r>
      <w:rPr/>
      <w:pict>
        <v:shape style="position:absolute;margin-left:542.789917pt;margin-top:804.781372pt;width:15.15pt;height:12pt;mso-position-horizontal-relative:page;mso-position-vertical-relative:page;z-index:-71560" type="#_x0000_t202" filled="false" stroked="false">
          <v:textbox inset="0,0,0,0">
            <w:txbxContent>
              <w:p>
                <w:pPr>
                  <w:spacing w:line="222" w:lineRule="exact" w:before="0"/>
                  <w:ind w:left="40" w:right="0" w:firstLine="0"/>
                  <w:jc w:val="left"/>
                  <w:rPr>
                    <w:rFonts w:ascii="Helvetica"/>
                    <w:b/>
                    <w:sz w:val="20"/>
                  </w:rPr>
                </w:pPr>
                <w:r>
                  <w:rPr/>
                  <w:fldChar w:fldCharType="begin"/>
                </w:r>
                <w:r>
                  <w:rPr>
                    <w:rFonts w:ascii="Helvetica"/>
                    <w:b/>
                    <w:color w:val="231F20"/>
                    <w:sz w:val="20"/>
                  </w:rPr>
                  <w:instrText> PAGE </w:instrText>
                </w:r>
                <w:r>
                  <w:rPr/>
                  <w:fldChar w:fldCharType="separate"/>
                </w:r>
                <w:r>
                  <w:rPr/>
                  <w:t>18</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9.104996pt;margin-top:17.008966pt;width:58.85pt;height:46.95pt;mso-position-horizontal-relative:page;mso-position-vertical-relative:page;z-index:-72304" coordorigin="4182,340" coordsize="1177,939">
          <v:shape style="position:absolute;left:4182;top:340;width:1177;height:939" type="#_x0000_t75" stroked="false">
            <v:imagedata r:id="rId1" o:title=""/>
          </v:shape>
          <v:shape style="position:absolute;left:4232;top:431;width:888;height:796" type="#_x0000_t75" stroked="false">
            <v:imagedata r:id="rId2" o:title=""/>
          </v:shape>
          <v:shape style="position:absolute;left:4353;top:443;width:663;height:776" type="#_x0000_t75" stroked="false">
            <v:imagedata r:id="rId3" o:title=""/>
          </v:shape>
          <v:shape style="position:absolute;left:4356;top:445;width:663;height:780" type="#_x0000_t75" stroked="false">
            <v:imagedata r:id="rId4" o:title=""/>
          </v:shape>
          <w10:wrap type="none"/>
        </v:group>
      </w:pict>
    </w:r>
    <w:r>
      <w:rPr/>
      <w:drawing>
        <wp:anchor distT="0" distB="0" distL="0" distR="0" allowOverlap="1" layoutInCell="1" locked="0" behindDoc="1" simplePos="0" relativeHeight="268363175">
          <wp:simplePos x="0" y="0"/>
          <wp:positionH relativeFrom="page">
            <wp:posOffset>270682</wp:posOffset>
          </wp:positionH>
          <wp:positionV relativeFrom="page">
            <wp:posOffset>227148</wp:posOffset>
          </wp:positionV>
          <wp:extent cx="534983" cy="578138"/>
          <wp:effectExtent l="0" t="0" r="0" b="0"/>
          <wp:wrapNone/>
          <wp:docPr id="3" name="image14.png" descr=""/>
          <wp:cNvGraphicFramePr>
            <a:graphicFrameLocks noChangeAspect="1"/>
          </wp:cNvGraphicFramePr>
          <a:graphic>
            <a:graphicData uri="http://schemas.openxmlformats.org/drawingml/2006/picture">
              <pic:pic>
                <pic:nvPicPr>
                  <pic:cNvPr id="4" name="image14.png"/>
                  <pic:cNvPicPr/>
                </pic:nvPicPr>
                <pic:blipFill>
                  <a:blip r:embed="rId5" cstate="print"/>
                  <a:stretch>
                    <a:fillRect/>
                  </a:stretch>
                </pic:blipFill>
                <pic:spPr>
                  <a:xfrm>
                    <a:off x="0" y="0"/>
                    <a:ext cx="534983" cy="578138"/>
                  </a:xfrm>
                  <a:prstGeom prst="rect">
                    <a:avLst/>
                  </a:prstGeom>
                </pic:spPr>
              </pic:pic>
            </a:graphicData>
          </a:graphic>
        </wp:anchor>
      </w:drawing>
    </w:r>
    <w:r>
      <w:rPr/>
      <w:drawing>
        <wp:anchor distT="0" distB="0" distL="0" distR="0" allowOverlap="1" layoutInCell="1" locked="0" behindDoc="1" simplePos="0" relativeHeight="268363199">
          <wp:simplePos x="0" y="0"/>
          <wp:positionH relativeFrom="page">
            <wp:posOffset>880625</wp:posOffset>
          </wp:positionH>
          <wp:positionV relativeFrom="page">
            <wp:posOffset>272808</wp:posOffset>
          </wp:positionV>
          <wp:extent cx="1313755" cy="560548"/>
          <wp:effectExtent l="0" t="0" r="0" b="0"/>
          <wp:wrapNone/>
          <wp:docPr id="5" name="image15.png" descr=""/>
          <wp:cNvGraphicFramePr>
            <a:graphicFrameLocks noChangeAspect="1"/>
          </wp:cNvGraphicFramePr>
          <a:graphic>
            <a:graphicData uri="http://schemas.openxmlformats.org/drawingml/2006/picture">
              <pic:pic>
                <pic:nvPicPr>
                  <pic:cNvPr id="6" name="image15.png"/>
                  <pic:cNvPicPr/>
                </pic:nvPicPr>
                <pic:blipFill>
                  <a:blip r:embed="rId6" cstate="print"/>
                  <a:stretch>
                    <a:fillRect/>
                  </a:stretch>
                </pic:blipFill>
                <pic:spPr>
                  <a:xfrm>
                    <a:off x="0" y="0"/>
                    <a:ext cx="1313755" cy="560548"/>
                  </a:xfrm>
                  <a:prstGeom prst="rect">
                    <a:avLst/>
                  </a:prstGeom>
                </pic:spPr>
              </pic:pic>
            </a:graphicData>
          </a:graphic>
        </wp:anchor>
      </w:drawing>
    </w:r>
    <w:r>
      <w:rPr/>
      <w:pict>
        <v:rect style="position:absolute;margin-left:174.628998pt;margin-top:53.287014pt;width:1.236pt;height:1.194pt;mso-position-horizontal-relative:page;mso-position-vertical-relative:page;z-index:-72232" filled="true" fillcolor="#231f20" stroked="false">
          <v:fill type="solid"/>
          <w10:wrap type="none"/>
        </v:rect>
      </w:pict>
    </w:r>
    <w:r>
      <w:rPr/>
      <w:drawing>
        <wp:anchor distT="0" distB="0" distL="0" distR="0" allowOverlap="1" layoutInCell="1" locked="0" behindDoc="1" simplePos="0" relativeHeight="268363247">
          <wp:simplePos x="0" y="0"/>
          <wp:positionH relativeFrom="page">
            <wp:posOffset>2258129</wp:posOffset>
          </wp:positionH>
          <wp:positionV relativeFrom="page">
            <wp:posOffset>710488</wp:posOffset>
          </wp:positionV>
          <wp:extent cx="129471" cy="95719"/>
          <wp:effectExtent l="0" t="0" r="0" b="0"/>
          <wp:wrapNone/>
          <wp:docPr id="7" name="image16.png" descr=""/>
          <wp:cNvGraphicFramePr>
            <a:graphicFrameLocks noChangeAspect="1"/>
          </wp:cNvGraphicFramePr>
          <a:graphic>
            <a:graphicData uri="http://schemas.openxmlformats.org/drawingml/2006/picture">
              <pic:pic>
                <pic:nvPicPr>
                  <pic:cNvPr id="8" name="image16.png"/>
                  <pic:cNvPicPr/>
                </pic:nvPicPr>
                <pic:blipFill>
                  <a:blip r:embed="rId7" cstate="print"/>
                  <a:stretch>
                    <a:fillRect/>
                  </a:stretch>
                </pic:blipFill>
                <pic:spPr>
                  <a:xfrm>
                    <a:off x="0" y="0"/>
                    <a:ext cx="129471" cy="95719"/>
                  </a:xfrm>
                  <a:prstGeom prst="rect">
                    <a:avLst/>
                  </a:prstGeom>
                </pic:spPr>
              </pic:pic>
            </a:graphicData>
          </a:graphic>
        </wp:anchor>
      </w:drawing>
    </w:r>
    <w:r>
      <w:rPr/>
      <w:pict>
        <v:line style="position:absolute;mso-position-horizontal-relative:page;mso-position-vertical-relative:page;z-index:-72184" from="175.238998pt,56.070015pt" to="175.238998pt,63.340015pt" stroked="true" strokeweight="1.082pt" strokecolor="#231f20">
          <v:stroke dashstyle="solid"/>
          <w10:wrap type="none"/>
        </v:lin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595.3pt;height:80.8pt;mso-position-horizontal-relative:page;mso-position-vertical-relative:page;z-index:-71536" coordorigin="0,0" coordsize="11906,1616">
          <v:rect style="position:absolute;left:0;top:1332;width:4105;height:284" filled="true" fillcolor="#14397f" stroked="false">
            <v:fill type="solid"/>
          </v:rect>
          <v:rect style="position:absolute;left:4104;top:1332;width:1656;height:284" filled="true" fillcolor="#47a7a8" stroked="false">
            <v:fill type="solid"/>
          </v:rect>
          <v:rect style="position:absolute;left:5966;top:1332;width:5146;height:284" filled="true" fillcolor="#14397f" stroked="false">
            <v:fill type="solid"/>
          </v:rect>
          <v:rect style="position:absolute;left:11111;top:1332;width:341;height:284" filled="true" fillcolor="#e3dad1" stroked="false">
            <v:fill type="solid"/>
          </v:rect>
          <v:rect style="position:absolute;left:5748;top:1332;width:218;height:284" filled="true" fillcolor="#e7bb20" stroked="false">
            <v:fill type="solid"/>
          </v:rect>
          <v:rect style="position:absolute;left:11451;top:1332;width:454;height:284" filled="true" fillcolor="#14397f" stroked="false">
            <v:fill type="solid"/>
          </v:rect>
          <v:shape style="position:absolute;left:0;top:0;width:11906;height:1333" type="#_x0000_t75" stroked="false">
            <v:imagedata r:id="rId1" o:title=""/>
          </v:shape>
          <v:rect style="position:absolute;left:0;top:0;width:11906;height:1333" filled="true" fillcolor="#439fa0" stroked="false">
            <v:fill opacity="37355f" type="solid"/>
          </v:rect>
          <w10:wrap type="none"/>
        </v:group>
      </w:pict>
    </w:r>
    <w:r>
      <w:rPr/>
      <w:pict>
        <v:shape style="position:absolute;margin-left:456.55661pt;margin-top:67.829018pt;width:88.7pt;height:11.6pt;mso-position-horizontal-relative:page;mso-position-vertical-relative:page;z-index:-71512" type="#_x0000_t202" filled="false" stroked="false">
          <v:textbox inset="0,0,0,0">
            <w:txbxContent>
              <w:p>
                <w:pPr>
                  <w:spacing w:before="20"/>
                  <w:ind w:left="20" w:right="0" w:firstLine="0"/>
                  <w:jc w:val="left"/>
                  <w:rPr>
                    <w:sz w:val="16"/>
                  </w:rPr>
                </w:pPr>
                <w:r>
                  <w:rPr>
                    <w:color w:val="FFFFFF"/>
                    <w:sz w:val="16"/>
                  </w:rPr>
                  <w:t>RHETORIC TO REALITY</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595.3pt;height:80.8pt;mso-position-horizontal-relative:page;mso-position-vertical-relative:page;z-index:-71344" coordorigin="0,0" coordsize="11906,1616">
          <v:rect style="position:absolute;left:0;top:1332;width:4105;height:284" filled="true" fillcolor="#14397f" stroked="false">
            <v:fill type="solid"/>
          </v:rect>
          <v:rect style="position:absolute;left:4104;top:1332;width:1656;height:284" filled="true" fillcolor="#47a7a8" stroked="false">
            <v:fill type="solid"/>
          </v:rect>
          <v:rect style="position:absolute;left:5966;top:1332;width:5146;height:284" filled="true" fillcolor="#14397f" stroked="false">
            <v:fill type="solid"/>
          </v:rect>
          <v:rect style="position:absolute;left:11111;top:1332;width:341;height:284" filled="true" fillcolor="#e3dad1" stroked="false">
            <v:fill type="solid"/>
          </v:rect>
          <v:rect style="position:absolute;left:5748;top:1332;width:218;height:284" filled="true" fillcolor="#e7bb20" stroked="false">
            <v:fill type="solid"/>
          </v:rect>
          <v:rect style="position:absolute;left:11451;top:1332;width:454;height:284" filled="true" fillcolor="#14397f" stroked="false">
            <v:fill type="solid"/>
          </v:rect>
          <v:shape style="position:absolute;left:0;top:0;width:11906;height:1333" type="#_x0000_t75" stroked="false">
            <v:imagedata r:id="rId1" o:title=""/>
          </v:shape>
          <v:rect style="position:absolute;left:0;top:0;width:11906;height:1333" filled="true" fillcolor="#439fa0" stroked="false">
            <v:fill opacity="37355f" type="solid"/>
          </v:rect>
          <w10:wrap type="none"/>
        </v:group>
      </w:pict>
    </w:r>
    <w:r>
      <w:rPr/>
      <w:pict>
        <v:shape style="position:absolute;margin-left:456.55661pt;margin-top:67.829018pt;width:88.7pt;height:11.6pt;mso-position-horizontal-relative:page;mso-position-vertical-relative:page;z-index:-71320" type="#_x0000_t202" filled="false" stroked="false">
          <v:textbox inset="0,0,0,0">
            <w:txbxContent>
              <w:p>
                <w:pPr>
                  <w:spacing w:before="20"/>
                  <w:ind w:left="20" w:right="0" w:firstLine="0"/>
                  <w:jc w:val="left"/>
                  <w:rPr>
                    <w:sz w:val="16"/>
                  </w:rPr>
                </w:pPr>
                <w:r>
                  <w:rPr>
                    <w:color w:val="FFFFFF"/>
                    <w:sz w:val="16"/>
                  </w:rPr>
                  <w:t>RHETORIC TO REALITY</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595.3pt;height:80.8pt;mso-position-horizontal-relative:page;mso-position-vertical-relative:page;z-index:-71224" coordorigin="0,0" coordsize="11906,1616">
          <v:rect style="position:absolute;left:0;top:1332;width:4105;height:284" filled="true" fillcolor="#14397f" stroked="false">
            <v:fill type="solid"/>
          </v:rect>
          <v:rect style="position:absolute;left:4104;top:1332;width:1656;height:284" filled="true" fillcolor="#47a7a8" stroked="false">
            <v:fill type="solid"/>
          </v:rect>
          <v:rect style="position:absolute;left:5966;top:1332;width:5146;height:284" filled="true" fillcolor="#14397f" stroked="false">
            <v:fill type="solid"/>
          </v:rect>
          <v:rect style="position:absolute;left:11111;top:1332;width:341;height:284" filled="true" fillcolor="#e3dad1" stroked="false">
            <v:fill type="solid"/>
          </v:rect>
          <v:rect style="position:absolute;left:5748;top:1332;width:218;height:284" filled="true" fillcolor="#e7bb20" stroked="false">
            <v:fill type="solid"/>
          </v:rect>
          <v:rect style="position:absolute;left:11451;top:1332;width:454;height:284" filled="true" fillcolor="#14397f" stroked="false">
            <v:fill type="solid"/>
          </v:rect>
          <v:shape style="position:absolute;left:0;top:0;width:11906;height:1333" type="#_x0000_t75" stroked="false">
            <v:imagedata r:id="rId1" o:title=""/>
          </v:shape>
          <v:rect style="position:absolute;left:0;top:0;width:11906;height:1333" filled="true" fillcolor="#439fa0" stroked="false">
            <v:fill opacity="37355f" type="solid"/>
          </v:rect>
          <w10:wrap type="none"/>
        </v:group>
      </w:pict>
    </w:r>
    <w:r>
      <w:rPr/>
      <w:pict>
        <v:shape style="position:absolute;margin-left:456.55661pt;margin-top:67.829018pt;width:88.7pt;height:11.6pt;mso-position-horizontal-relative:page;mso-position-vertical-relative:page;z-index:-71200" type="#_x0000_t202" filled="false" stroked="false">
          <v:textbox inset="0,0,0,0">
            <w:txbxContent>
              <w:p>
                <w:pPr>
                  <w:spacing w:before="20"/>
                  <w:ind w:left="20" w:right="0" w:firstLine="0"/>
                  <w:jc w:val="left"/>
                  <w:rPr>
                    <w:sz w:val="16"/>
                  </w:rPr>
                </w:pPr>
                <w:r>
                  <w:rPr>
                    <w:color w:val="FFFFFF"/>
                    <w:sz w:val="16"/>
                  </w:rPr>
                  <w:t>RHETORIC TO REALITY</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595.3pt;height:80.8pt;mso-position-horizontal-relative:page;mso-position-vertical-relative:page;z-index:-71656" coordorigin="0,0" coordsize="11906,1616">
          <v:rect style="position:absolute;left:0;top:1332;width:4105;height:284" filled="true" fillcolor="#14397f" stroked="false">
            <v:fill type="solid"/>
          </v:rect>
          <v:rect style="position:absolute;left:4104;top:1332;width:1656;height:284" filled="true" fillcolor="#47a7a8" stroked="false">
            <v:fill type="solid"/>
          </v:rect>
          <v:rect style="position:absolute;left:5966;top:1332;width:5146;height:284" filled="true" fillcolor="#14397f" stroked="false">
            <v:fill type="solid"/>
          </v:rect>
          <v:rect style="position:absolute;left:11111;top:1332;width:341;height:284" filled="true" fillcolor="#e3dad1" stroked="false">
            <v:fill type="solid"/>
          </v:rect>
          <v:rect style="position:absolute;left:5748;top:1332;width:218;height:284" filled="true" fillcolor="#e7bb20" stroked="false">
            <v:fill type="solid"/>
          </v:rect>
          <v:rect style="position:absolute;left:11451;top:1332;width:454;height:284" filled="true" fillcolor="#14397f" stroked="false">
            <v:fill type="solid"/>
          </v:rect>
          <v:shape style="position:absolute;left:0;top:0;width:11906;height:1333" type="#_x0000_t75" stroked="false">
            <v:imagedata r:id="rId1" o:title=""/>
          </v:shape>
          <v:rect style="position:absolute;left:0;top:0;width:11906;height:1333" filled="true" fillcolor="#439fa0" stroked="false">
            <v:fill opacity="37355f" type="solid"/>
          </v:rect>
          <w10:wrap type="none"/>
        </v:group>
      </w:pict>
    </w:r>
    <w:r>
      <w:rPr/>
      <w:pict>
        <v:shape style="position:absolute;margin-left:456.55661pt;margin-top:67.829018pt;width:88.7pt;height:11.6pt;mso-position-horizontal-relative:page;mso-position-vertical-relative:page;z-index:-71632" type="#_x0000_t202" filled="false" stroked="false">
          <v:textbox inset="0,0,0,0">
            <w:txbxContent>
              <w:p>
                <w:pPr>
                  <w:spacing w:before="20"/>
                  <w:ind w:left="20" w:right="0" w:firstLine="0"/>
                  <w:jc w:val="left"/>
                  <w:rPr>
                    <w:sz w:val="16"/>
                  </w:rPr>
                </w:pPr>
                <w:r>
                  <w:rPr>
                    <w:color w:val="FFFFFF"/>
                    <w:sz w:val="16"/>
                  </w:rPr>
                  <w:t>RHETORIC TO REALITY</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960" w:hanging="341"/>
      </w:pPr>
      <w:rPr>
        <w:rFonts w:hint="default" w:ascii="Helvetica-Light" w:hAnsi="Helvetica-Light" w:eastAsia="Helvetica-Light" w:cs="Helvetica-Light"/>
        <w:color w:val="231F20"/>
        <w:spacing w:val="-9"/>
        <w:w w:val="100"/>
        <w:sz w:val="20"/>
        <w:szCs w:val="20"/>
        <w:lang w:val="en-us" w:eastAsia="en-us" w:bidi="en-us"/>
      </w:rPr>
    </w:lvl>
    <w:lvl w:ilvl="1">
      <w:start w:val="0"/>
      <w:numFmt w:val="bullet"/>
      <w:lvlText w:val="•"/>
      <w:lvlJc w:val="left"/>
      <w:pPr>
        <w:ind w:left="1916" w:hanging="341"/>
      </w:pPr>
      <w:rPr>
        <w:rFonts w:hint="default"/>
        <w:lang w:val="en-us" w:eastAsia="en-us" w:bidi="en-us"/>
      </w:rPr>
    </w:lvl>
    <w:lvl w:ilvl="2">
      <w:start w:val="0"/>
      <w:numFmt w:val="bullet"/>
      <w:lvlText w:val="•"/>
      <w:lvlJc w:val="left"/>
      <w:pPr>
        <w:ind w:left="2873" w:hanging="341"/>
      </w:pPr>
      <w:rPr>
        <w:rFonts w:hint="default"/>
        <w:lang w:val="en-us" w:eastAsia="en-us" w:bidi="en-us"/>
      </w:rPr>
    </w:lvl>
    <w:lvl w:ilvl="3">
      <w:start w:val="0"/>
      <w:numFmt w:val="bullet"/>
      <w:lvlText w:val="•"/>
      <w:lvlJc w:val="left"/>
      <w:pPr>
        <w:ind w:left="3829" w:hanging="341"/>
      </w:pPr>
      <w:rPr>
        <w:rFonts w:hint="default"/>
        <w:lang w:val="en-us" w:eastAsia="en-us" w:bidi="en-us"/>
      </w:rPr>
    </w:lvl>
    <w:lvl w:ilvl="4">
      <w:start w:val="0"/>
      <w:numFmt w:val="bullet"/>
      <w:lvlText w:val="•"/>
      <w:lvlJc w:val="left"/>
      <w:pPr>
        <w:ind w:left="4786" w:hanging="341"/>
      </w:pPr>
      <w:rPr>
        <w:rFonts w:hint="default"/>
        <w:lang w:val="en-us" w:eastAsia="en-us" w:bidi="en-us"/>
      </w:rPr>
    </w:lvl>
    <w:lvl w:ilvl="5">
      <w:start w:val="0"/>
      <w:numFmt w:val="bullet"/>
      <w:lvlText w:val="•"/>
      <w:lvlJc w:val="left"/>
      <w:pPr>
        <w:ind w:left="5742" w:hanging="341"/>
      </w:pPr>
      <w:rPr>
        <w:rFonts w:hint="default"/>
        <w:lang w:val="en-us" w:eastAsia="en-us" w:bidi="en-us"/>
      </w:rPr>
    </w:lvl>
    <w:lvl w:ilvl="6">
      <w:start w:val="0"/>
      <w:numFmt w:val="bullet"/>
      <w:lvlText w:val="•"/>
      <w:lvlJc w:val="left"/>
      <w:pPr>
        <w:ind w:left="6699" w:hanging="341"/>
      </w:pPr>
      <w:rPr>
        <w:rFonts w:hint="default"/>
        <w:lang w:val="en-us" w:eastAsia="en-us" w:bidi="en-us"/>
      </w:rPr>
    </w:lvl>
    <w:lvl w:ilvl="7">
      <w:start w:val="0"/>
      <w:numFmt w:val="bullet"/>
      <w:lvlText w:val="•"/>
      <w:lvlJc w:val="left"/>
      <w:pPr>
        <w:ind w:left="7655" w:hanging="341"/>
      </w:pPr>
      <w:rPr>
        <w:rFonts w:hint="default"/>
        <w:lang w:val="en-us" w:eastAsia="en-us" w:bidi="en-us"/>
      </w:rPr>
    </w:lvl>
    <w:lvl w:ilvl="8">
      <w:start w:val="0"/>
      <w:numFmt w:val="bullet"/>
      <w:lvlText w:val="•"/>
      <w:lvlJc w:val="left"/>
      <w:pPr>
        <w:ind w:left="8612" w:hanging="341"/>
      </w:pPr>
      <w:rPr>
        <w:rFonts w:hint="default"/>
        <w:lang w:val="en-us" w:eastAsia="en-us" w:bidi="en-us"/>
      </w:rPr>
    </w:lvl>
  </w:abstractNum>
  <w:abstractNum w:abstractNumId="4">
    <w:multiLevelType w:val="hybridMultilevel"/>
    <w:lvl w:ilvl="0">
      <w:start w:val="0"/>
      <w:numFmt w:val="bullet"/>
      <w:lvlText w:val="—"/>
      <w:lvlJc w:val="left"/>
      <w:pPr>
        <w:ind w:left="960" w:hanging="312"/>
      </w:pPr>
      <w:rPr>
        <w:rFonts w:hint="default" w:ascii="Helvetica-Light" w:hAnsi="Helvetica-Light" w:eastAsia="Helvetica-Light" w:cs="Helvetica-Light"/>
        <w:color w:val="231F20"/>
        <w:spacing w:val="-4"/>
        <w:w w:val="100"/>
        <w:sz w:val="20"/>
        <w:szCs w:val="20"/>
        <w:lang w:val="en-us" w:eastAsia="en-us" w:bidi="en-us"/>
      </w:rPr>
    </w:lvl>
    <w:lvl w:ilvl="1">
      <w:start w:val="0"/>
      <w:numFmt w:val="bullet"/>
      <w:lvlText w:val="•"/>
      <w:lvlJc w:val="left"/>
      <w:pPr>
        <w:ind w:left="1916" w:hanging="312"/>
      </w:pPr>
      <w:rPr>
        <w:rFonts w:hint="default"/>
        <w:lang w:val="en-us" w:eastAsia="en-us" w:bidi="en-us"/>
      </w:rPr>
    </w:lvl>
    <w:lvl w:ilvl="2">
      <w:start w:val="0"/>
      <w:numFmt w:val="bullet"/>
      <w:lvlText w:val="•"/>
      <w:lvlJc w:val="left"/>
      <w:pPr>
        <w:ind w:left="2873" w:hanging="312"/>
      </w:pPr>
      <w:rPr>
        <w:rFonts w:hint="default"/>
        <w:lang w:val="en-us" w:eastAsia="en-us" w:bidi="en-us"/>
      </w:rPr>
    </w:lvl>
    <w:lvl w:ilvl="3">
      <w:start w:val="0"/>
      <w:numFmt w:val="bullet"/>
      <w:lvlText w:val="•"/>
      <w:lvlJc w:val="left"/>
      <w:pPr>
        <w:ind w:left="3829" w:hanging="312"/>
      </w:pPr>
      <w:rPr>
        <w:rFonts w:hint="default"/>
        <w:lang w:val="en-us" w:eastAsia="en-us" w:bidi="en-us"/>
      </w:rPr>
    </w:lvl>
    <w:lvl w:ilvl="4">
      <w:start w:val="0"/>
      <w:numFmt w:val="bullet"/>
      <w:lvlText w:val="•"/>
      <w:lvlJc w:val="left"/>
      <w:pPr>
        <w:ind w:left="4786" w:hanging="312"/>
      </w:pPr>
      <w:rPr>
        <w:rFonts w:hint="default"/>
        <w:lang w:val="en-us" w:eastAsia="en-us" w:bidi="en-us"/>
      </w:rPr>
    </w:lvl>
    <w:lvl w:ilvl="5">
      <w:start w:val="0"/>
      <w:numFmt w:val="bullet"/>
      <w:lvlText w:val="•"/>
      <w:lvlJc w:val="left"/>
      <w:pPr>
        <w:ind w:left="5742" w:hanging="312"/>
      </w:pPr>
      <w:rPr>
        <w:rFonts w:hint="default"/>
        <w:lang w:val="en-us" w:eastAsia="en-us" w:bidi="en-us"/>
      </w:rPr>
    </w:lvl>
    <w:lvl w:ilvl="6">
      <w:start w:val="0"/>
      <w:numFmt w:val="bullet"/>
      <w:lvlText w:val="•"/>
      <w:lvlJc w:val="left"/>
      <w:pPr>
        <w:ind w:left="6699" w:hanging="312"/>
      </w:pPr>
      <w:rPr>
        <w:rFonts w:hint="default"/>
        <w:lang w:val="en-us" w:eastAsia="en-us" w:bidi="en-us"/>
      </w:rPr>
    </w:lvl>
    <w:lvl w:ilvl="7">
      <w:start w:val="0"/>
      <w:numFmt w:val="bullet"/>
      <w:lvlText w:val="•"/>
      <w:lvlJc w:val="left"/>
      <w:pPr>
        <w:ind w:left="7655" w:hanging="312"/>
      </w:pPr>
      <w:rPr>
        <w:rFonts w:hint="default"/>
        <w:lang w:val="en-us" w:eastAsia="en-us" w:bidi="en-us"/>
      </w:rPr>
    </w:lvl>
    <w:lvl w:ilvl="8">
      <w:start w:val="0"/>
      <w:numFmt w:val="bullet"/>
      <w:lvlText w:val="•"/>
      <w:lvlJc w:val="left"/>
      <w:pPr>
        <w:ind w:left="8612" w:hanging="312"/>
      </w:pPr>
      <w:rPr>
        <w:rFonts w:hint="default"/>
        <w:lang w:val="en-us" w:eastAsia="en-us" w:bidi="en-us"/>
      </w:rPr>
    </w:lvl>
  </w:abstractNum>
  <w:abstractNum w:abstractNumId="37">
    <w:multiLevelType w:val="hybridMultilevel"/>
    <w:lvl w:ilvl="0">
      <w:start w:val="0"/>
      <w:numFmt w:val="bullet"/>
      <w:lvlText w:val="•"/>
      <w:lvlJc w:val="left"/>
      <w:pPr>
        <w:ind w:left="205" w:hanging="125"/>
      </w:pPr>
      <w:rPr>
        <w:rFonts w:hint="default" w:ascii="Helvetica-Light" w:hAnsi="Helvetica-Light" w:eastAsia="Helvetica-Light" w:cs="Helvetica-Light"/>
        <w:color w:val="231F20"/>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36">
    <w:multiLevelType w:val="hybridMultilevel"/>
    <w:lvl w:ilvl="0">
      <w:start w:val="0"/>
      <w:numFmt w:val="bullet"/>
      <w:lvlText w:val="•"/>
      <w:lvlJc w:val="left"/>
      <w:pPr>
        <w:ind w:left="194" w:hanging="125"/>
      </w:pPr>
      <w:rPr>
        <w:rFonts w:hint="default" w:ascii="Helvetica-Light" w:hAnsi="Helvetica-Light" w:eastAsia="Helvetica-Light" w:cs="Helvetica-Light"/>
        <w:color w:val="231F20"/>
        <w:spacing w:val="-5"/>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35">
    <w:multiLevelType w:val="hybridMultilevel"/>
    <w:lvl w:ilvl="0">
      <w:start w:val="0"/>
      <w:numFmt w:val="bullet"/>
      <w:lvlText w:val="•"/>
      <w:lvlJc w:val="left"/>
      <w:pPr>
        <w:ind w:left="194" w:hanging="125"/>
      </w:pPr>
      <w:rPr>
        <w:rFonts w:hint="default" w:ascii="Helvetica-Light" w:hAnsi="Helvetica-Light" w:eastAsia="Helvetica-Light" w:cs="Helvetica-Light"/>
        <w:color w:val="231F20"/>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34">
    <w:multiLevelType w:val="hybridMultilevel"/>
    <w:lvl w:ilvl="0">
      <w:start w:val="0"/>
      <w:numFmt w:val="bullet"/>
      <w:lvlText w:val="•"/>
      <w:lvlJc w:val="left"/>
      <w:pPr>
        <w:ind w:left="194" w:hanging="125"/>
      </w:pPr>
      <w:rPr>
        <w:rFonts w:hint="default" w:ascii="Helvetica-Light" w:hAnsi="Helvetica-Light" w:eastAsia="Helvetica-Light" w:cs="Helvetica-Light"/>
        <w:color w:val="231F20"/>
        <w:spacing w:val="-9"/>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33">
    <w:multiLevelType w:val="hybridMultilevel"/>
    <w:lvl w:ilvl="0">
      <w:start w:val="0"/>
      <w:numFmt w:val="bullet"/>
      <w:lvlText w:val="•"/>
      <w:lvlJc w:val="left"/>
      <w:pPr>
        <w:ind w:left="193" w:hanging="125"/>
      </w:pPr>
      <w:rPr>
        <w:rFonts w:hint="default" w:ascii="Helvetica-Light" w:hAnsi="Helvetica-Light" w:eastAsia="Helvetica-Light" w:cs="Helvetica-Light"/>
        <w:color w:val="231F20"/>
        <w:spacing w:val="-9"/>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32">
    <w:multiLevelType w:val="hybridMultilevel"/>
    <w:lvl w:ilvl="0">
      <w:start w:val="0"/>
      <w:numFmt w:val="bullet"/>
      <w:lvlText w:val="•"/>
      <w:lvlJc w:val="left"/>
      <w:pPr>
        <w:ind w:left="193" w:hanging="125"/>
      </w:pPr>
      <w:rPr>
        <w:rFonts w:hint="default" w:ascii="Helvetica-Light" w:hAnsi="Helvetica-Light" w:eastAsia="Helvetica-Light" w:cs="Helvetica-Light"/>
        <w:color w:val="231F20"/>
        <w:spacing w:val="-5"/>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31">
    <w:multiLevelType w:val="hybridMultilevel"/>
    <w:lvl w:ilvl="0">
      <w:start w:val="0"/>
      <w:numFmt w:val="bullet"/>
      <w:lvlText w:val="•"/>
      <w:lvlJc w:val="left"/>
      <w:pPr>
        <w:ind w:left="193" w:hanging="125"/>
      </w:pPr>
      <w:rPr>
        <w:rFonts w:hint="default" w:ascii="Helvetica-Light" w:hAnsi="Helvetica-Light" w:eastAsia="Helvetica-Light" w:cs="Helvetica-Light"/>
        <w:color w:val="231F20"/>
        <w:spacing w:val="-5"/>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30">
    <w:multiLevelType w:val="hybridMultilevel"/>
    <w:lvl w:ilvl="0">
      <w:start w:val="0"/>
      <w:numFmt w:val="bullet"/>
      <w:lvlText w:val="•"/>
      <w:lvlJc w:val="left"/>
      <w:pPr>
        <w:ind w:left="205" w:hanging="125"/>
      </w:pPr>
      <w:rPr>
        <w:rFonts w:hint="default" w:ascii="Helvetica-Light" w:hAnsi="Helvetica-Light" w:eastAsia="Helvetica-Light" w:cs="Helvetica-Light"/>
        <w:color w:val="231F20"/>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29">
    <w:multiLevelType w:val="hybridMultilevel"/>
    <w:lvl w:ilvl="0">
      <w:start w:val="0"/>
      <w:numFmt w:val="bullet"/>
      <w:lvlText w:val="•"/>
      <w:lvlJc w:val="left"/>
      <w:pPr>
        <w:ind w:left="194" w:hanging="125"/>
      </w:pPr>
      <w:rPr>
        <w:rFonts w:hint="default" w:ascii="Helvetica-Light" w:hAnsi="Helvetica-Light" w:eastAsia="Helvetica-Light" w:cs="Helvetica-Light"/>
        <w:color w:val="231F20"/>
        <w:spacing w:val="-3"/>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28">
    <w:multiLevelType w:val="hybridMultilevel"/>
    <w:lvl w:ilvl="0">
      <w:start w:val="0"/>
      <w:numFmt w:val="bullet"/>
      <w:lvlText w:val="•"/>
      <w:lvlJc w:val="left"/>
      <w:pPr>
        <w:ind w:left="193" w:hanging="125"/>
      </w:pPr>
      <w:rPr>
        <w:rFonts w:hint="default" w:ascii="Helvetica-Light" w:hAnsi="Helvetica-Light" w:eastAsia="Helvetica-Light" w:cs="Helvetica-Light"/>
        <w:color w:val="231F20"/>
        <w:spacing w:val="-5"/>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27">
    <w:multiLevelType w:val="hybridMultilevel"/>
    <w:lvl w:ilvl="0">
      <w:start w:val="0"/>
      <w:numFmt w:val="bullet"/>
      <w:lvlText w:val="•"/>
      <w:lvlJc w:val="left"/>
      <w:pPr>
        <w:ind w:left="193" w:hanging="125"/>
      </w:pPr>
      <w:rPr>
        <w:rFonts w:hint="default" w:ascii="Helvetica-Light" w:hAnsi="Helvetica-Light" w:eastAsia="Helvetica-Light" w:cs="Helvetica-Light"/>
        <w:color w:val="231F20"/>
        <w:spacing w:val="-6"/>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26">
    <w:multiLevelType w:val="hybridMultilevel"/>
    <w:lvl w:ilvl="0">
      <w:start w:val="0"/>
      <w:numFmt w:val="bullet"/>
      <w:lvlText w:val="•"/>
      <w:lvlJc w:val="left"/>
      <w:pPr>
        <w:ind w:left="193" w:hanging="125"/>
      </w:pPr>
      <w:rPr>
        <w:rFonts w:hint="default" w:ascii="Helvetica-Light" w:hAnsi="Helvetica-Light" w:eastAsia="Helvetica-Light" w:cs="Helvetica-Light"/>
        <w:color w:val="231F20"/>
        <w:spacing w:val="-15"/>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25">
    <w:multiLevelType w:val="hybridMultilevel"/>
    <w:lvl w:ilvl="0">
      <w:start w:val="0"/>
      <w:numFmt w:val="bullet"/>
      <w:lvlText w:val="•"/>
      <w:lvlJc w:val="left"/>
      <w:pPr>
        <w:ind w:left="193" w:hanging="125"/>
      </w:pPr>
      <w:rPr>
        <w:rFonts w:hint="default" w:ascii="Helvetica-Light" w:hAnsi="Helvetica-Light" w:eastAsia="Helvetica-Light" w:cs="Helvetica-Light"/>
        <w:color w:val="231F20"/>
        <w:spacing w:val="-3"/>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24">
    <w:multiLevelType w:val="hybridMultilevel"/>
    <w:lvl w:ilvl="0">
      <w:start w:val="0"/>
      <w:numFmt w:val="bullet"/>
      <w:lvlText w:val="•"/>
      <w:lvlJc w:val="left"/>
      <w:pPr>
        <w:ind w:left="193" w:hanging="125"/>
      </w:pPr>
      <w:rPr>
        <w:rFonts w:hint="default" w:ascii="Helvetica-Light" w:hAnsi="Helvetica-Light" w:eastAsia="Helvetica-Light" w:cs="Helvetica-Light"/>
        <w:color w:val="231F20"/>
        <w:spacing w:val="-15"/>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23">
    <w:multiLevelType w:val="hybridMultilevel"/>
    <w:lvl w:ilvl="0">
      <w:start w:val="0"/>
      <w:numFmt w:val="bullet"/>
      <w:lvlText w:val="•"/>
      <w:lvlJc w:val="left"/>
      <w:pPr>
        <w:ind w:left="194" w:hanging="125"/>
      </w:pPr>
      <w:rPr>
        <w:rFonts w:hint="default" w:ascii="Helvetica-Light" w:hAnsi="Helvetica-Light" w:eastAsia="Helvetica-Light" w:cs="Helvetica-Light"/>
        <w:color w:val="231F20"/>
        <w:spacing w:val="-5"/>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22">
    <w:multiLevelType w:val="hybridMultilevel"/>
    <w:lvl w:ilvl="0">
      <w:start w:val="0"/>
      <w:numFmt w:val="bullet"/>
      <w:lvlText w:val="•"/>
      <w:lvlJc w:val="left"/>
      <w:pPr>
        <w:ind w:left="193" w:hanging="125"/>
      </w:pPr>
      <w:rPr>
        <w:rFonts w:hint="default" w:ascii="Helvetica-Light" w:hAnsi="Helvetica-Light" w:eastAsia="Helvetica-Light" w:cs="Helvetica-Light"/>
        <w:color w:val="231F20"/>
        <w:spacing w:val="-3"/>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21">
    <w:multiLevelType w:val="hybridMultilevel"/>
    <w:lvl w:ilvl="0">
      <w:start w:val="0"/>
      <w:numFmt w:val="bullet"/>
      <w:lvlText w:val="•"/>
      <w:lvlJc w:val="left"/>
      <w:pPr>
        <w:ind w:left="193" w:hanging="125"/>
      </w:pPr>
      <w:rPr>
        <w:rFonts w:hint="default" w:ascii="Helvetica-Light" w:hAnsi="Helvetica-Light" w:eastAsia="Helvetica-Light" w:cs="Helvetica-Light"/>
        <w:color w:val="231F20"/>
        <w:spacing w:val="-3"/>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20">
    <w:multiLevelType w:val="hybridMultilevel"/>
    <w:lvl w:ilvl="0">
      <w:start w:val="0"/>
      <w:numFmt w:val="bullet"/>
      <w:lvlText w:val="•"/>
      <w:lvlJc w:val="left"/>
      <w:pPr>
        <w:ind w:left="193" w:hanging="125"/>
      </w:pPr>
      <w:rPr>
        <w:rFonts w:hint="default" w:ascii="Helvetica-Light" w:hAnsi="Helvetica-Light" w:eastAsia="Helvetica-Light" w:cs="Helvetica-Light"/>
        <w:color w:val="231F20"/>
        <w:spacing w:val="-5"/>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19">
    <w:multiLevelType w:val="hybridMultilevel"/>
    <w:lvl w:ilvl="0">
      <w:start w:val="0"/>
      <w:numFmt w:val="bullet"/>
      <w:lvlText w:val="•"/>
      <w:lvlJc w:val="left"/>
      <w:pPr>
        <w:ind w:left="193" w:hanging="125"/>
      </w:pPr>
      <w:rPr>
        <w:rFonts w:hint="default" w:ascii="Helvetica-Light" w:hAnsi="Helvetica-Light" w:eastAsia="Helvetica-Light" w:cs="Helvetica-Light"/>
        <w:color w:val="231F20"/>
        <w:spacing w:val="-2"/>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18">
    <w:multiLevelType w:val="hybridMultilevel"/>
    <w:lvl w:ilvl="0">
      <w:start w:val="0"/>
      <w:numFmt w:val="bullet"/>
      <w:lvlText w:val="•"/>
      <w:lvlJc w:val="left"/>
      <w:pPr>
        <w:ind w:left="205" w:hanging="125"/>
      </w:pPr>
      <w:rPr>
        <w:rFonts w:hint="default" w:ascii="Helvetica-Light" w:hAnsi="Helvetica-Light" w:eastAsia="Helvetica-Light" w:cs="Helvetica-Light"/>
        <w:color w:val="231F20"/>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17">
    <w:multiLevelType w:val="hybridMultilevel"/>
    <w:lvl w:ilvl="0">
      <w:start w:val="0"/>
      <w:numFmt w:val="bullet"/>
      <w:lvlText w:val="•"/>
      <w:lvlJc w:val="left"/>
      <w:pPr>
        <w:ind w:left="194" w:hanging="125"/>
      </w:pPr>
      <w:rPr>
        <w:rFonts w:hint="default" w:ascii="Helvetica-Light" w:hAnsi="Helvetica-Light" w:eastAsia="Helvetica-Light" w:cs="Helvetica-Light"/>
        <w:color w:val="231F20"/>
        <w:spacing w:val="-9"/>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16">
    <w:multiLevelType w:val="hybridMultilevel"/>
    <w:lvl w:ilvl="0">
      <w:start w:val="0"/>
      <w:numFmt w:val="bullet"/>
      <w:lvlText w:val="•"/>
      <w:lvlJc w:val="left"/>
      <w:pPr>
        <w:ind w:left="193" w:hanging="125"/>
      </w:pPr>
      <w:rPr>
        <w:rFonts w:hint="default" w:ascii="Helvetica-Light" w:hAnsi="Helvetica-Light" w:eastAsia="Helvetica-Light" w:cs="Helvetica-Light"/>
        <w:color w:val="231F20"/>
        <w:spacing w:val="-9"/>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15">
    <w:multiLevelType w:val="hybridMultilevel"/>
    <w:lvl w:ilvl="0">
      <w:start w:val="0"/>
      <w:numFmt w:val="bullet"/>
      <w:lvlText w:val="•"/>
      <w:lvlJc w:val="left"/>
      <w:pPr>
        <w:ind w:left="204" w:hanging="125"/>
      </w:pPr>
      <w:rPr>
        <w:rFonts w:hint="default" w:ascii="Helvetica-Light" w:hAnsi="Helvetica-Light" w:eastAsia="Helvetica-Light" w:cs="Helvetica-Light"/>
        <w:color w:val="231F20"/>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14">
    <w:multiLevelType w:val="hybridMultilevel"/>
    <w:lvl w:ilvl="0">
      <w:start w:val="0"/>
      <w:numFmt w:val="bullet"/>
      <w:lvlText w:val="•"/>
      <w:lvlJc w:val="left"/>
      <w:pPr>
        <w:ind w:left="204" w:hanging="125"/>
      </w:pPr>
      <w:rPr>
        <w:rFonts w:hint="default" w:ascii="Helvetica-Light" w:hAnsi="Helvetica-Light" w:eastAsia="Helvetica-Light" w:cs="Helvetica-Light"/>
        <w:color w:val="231F20"/>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13">
    <w:multiLevelType w:val="hybridMultilevel"/>
    <w:lvl w:ilvl="0">
      <w:start w:val="0"/>
      <w:numFmt w:val="bullet"/>
      <w:lvlText w:val="•"/>
      <w:lvlJc w:val="left"/>
      <w:pPr>
        <w:ind w:left="193" w:hanging="123"/>
      </w:pPr>
      <w:rPr>
        <w:rFonts w:hint="default" w:ascii="Helvetica-Light" w:hAnsi="Helvetica-Light" w:eastAsia="Helvetica-Light" w:cs="Helvetica-Light"/>
        <w:color w:val="231F20"/>
        <w:w w:val="100"/>
        <w:sz w:val="16"/>
        <w:szCs w:val="16"/>
        <w:lang w:val="en-us" w:eastAsia="en-us" w:bidi="en-us"/>
      </w:rPr>
    </w:lvl>
    <w:lvl w:ilvl="1">
      <w:start w:val="0"/>
      <w:numFmt w:val="bullet"/>
      <w:lvlText w:val="•"/>
      <w:lvlJc w:val="left"/>
      <w:pPr>
        <w:ind w:left="359" w:hanging="123"/>
      </w:pPr>
      <w:rPr>
        <w:rFonts w:hint="default"/>
        <w:lang w:val="en-us" w:eastAsia="en-us" w:bidi="en-us"/>
      </w:rPr>
    </w:lvl>
    <w:lvl w:ilvl="2">
      <w:start w:val="0"/>
      <w:numFmt w:val="bullet"/>
      <w:lvlText w:val="•"/>
      <w:lvlJc w:val="left"/>
      <w:pPr>
        <w:ind w:left="518" w:hanging="123"/>
      </w:pPr>
      <w:rPr>
        <w:rFonts w:hint="default"/>
        <w:lang w:val="en-us" w:eastAsia="en-us" w:bidi="en-us"/>
      </w:rPr>
    </w:lvl>
    <w:lvl w:ilvl="3">
      <w:start w:val="0"/>
      <w:numFmt w:val="bullet"/>
      <w:lvlText w:val="•"/>
      <w:lvlJc w:val="left"/>
      <w:pPr>
        <w:ind w:left="678" w:hanging="123"/>
      </w:pPr>
      <w:rPr>
        <w:rFonts w:hint="default"/>
        <w:lang w:val="en-us" w:eastAsia="en-us" w:bidi="en-us"/>
      </w:rPr>
    </w:lvl>
    <w:lvl w:ilvl="4">
      <w:start w:val="0"/>
      <w:numFmt w:val="bullet"/>
      <w:lvlText w:val="•"/>
      <w:lvlJc w:val="left"/>
      <w:pPr>
        <w:ind w:left="837" w:hanging="123"/>
      </w:pPr>
      <w:rPr>
        <w:rFonts w:hint="default"/>
        <w:lang w:val="en-us" w:eastAsia="en-us" w:bidi="en-us"/>
      </w:rPr>
    </w:lvl>
    <w:lvl w:ilvl="5">
      <w:start w:val="0"/>
      <w:numFmt w:val="bullet"/>
      <w:lvlText w:val="•"/>
      <w:lvlJc w:val="left"/>
      <w:pPr>
        <w:ind w:left="997" w:hanging="123"/>
      </w:pPr>
      <w:rPr>
        <w:rFonts w:hint="default"/>
        <w:lang w:val="en-us" w:eastAsia="en-us" w:bidi="en-us"/>
      </w:rPr>
    </w:lvl>
    <w:lvl w:ilvl="6">
      <w:start w:val="0"/>
      <w:numFmt w:val="bullet"/>
      <w:lvlText w:val="•"/>
      <w:lvlJc w:val="left"/>
      <w:pPr>
        <w:ind w:left="1156" w:hanging="123"/>
      </w:pPr>
      <w:rPr>
        <w:rFonts w:hint="default"/>
        <w:lang w:val="en-us" w:eastAsia="en-us" w:bidi="en-us"/>
      </w:rPr>
    </w:lvl>
    <w:lvl w:ilvl="7">
      <w:start w:val="0"/>
      <w:numFmt w:val="bullet"/>
      <w:lvlText w:val="•"/>
      <w:lvlJc w:val="left"/>
      <w:pPr>
        <w:ind w:left="1315" w:hanging="123"/>
      </w:pPr>
      <w:rPr>
        <w:rFonts w:hint="default"/>
        <w:lang w:val="en-us" w:eastAsia="en-us" w:bidi="en-us"/>
      </w:rPr>
    </w:lvl>
    <w:lvl w:ilvl="8">
      <w:start w:val="0"/>
      <w:numFmt w:val="bullet"/>
      <w:lvlText w:val="•"/>
      <w:lvlJc w:val="left"/>
      <w:pPr>
        <w:ind w:left="1475" w:hanging="123"/>
      </w:pPr>
      <w:rPr>
        <w:rFonts w:hint="default"/>
        <w:lang w:val="en-us" w:eastAsia="en-us" w:bidi="en-us"/>
      </w:rPr>
    </w:lvl>
  </w:abstractNum>
  <w:abstractNum w:abstractNumId="12">
    <w:multiLevelType w:val="hybridMultilevel"/>
    <w:lvl w:ilvl="0">
      <w:start w:val="0"/>
      <w:numFmt w:val="bullet"/>
      <w:lvlText w:val="•"/>
      <w:lvlJc w:val="left"/>
      <w:pPr>
        <w:ind w:left="194" w:hanging="125"/>
      </w:pPr>
      <w:rPr>
        <w:rFonts w:hint="default" w:ascii="Helvetica-Light" w:hAnsi="Helvetica-Light" w:eastAsia="Helvetica-Light" w:cs="Helvetica-Light"/>
        <w:color w:val="231F20"/>
        <w:spacing w:val="-4"/>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11">
    <w:multiLevelType w:val="hybridMultilevel"/>
    <w:lvl w:ilvl="0">
      <w:start w:val="0"/>
      <w:numFmt w:val="bullet"/>
      <w:lvlText w:val="•"/>
      <w:lvlJc w:val="left"/>
      <w:pPr>
        <w:ind w:left="193" w:hanging="123"/>
      </w:pPr>
      <w:rPr>
        <w:rFonts w:hint="default" w:ascii="Helvetica-Light" w:hAnsi="Helvetica-Light" w:eastAsia="Helvetica-Light" w:cs="Helvetica-Light"/>
        <w:color w:val="231F20"/>
        <w:w w:val="100"/>
        <w:sz w:val="16"/>
        <w:szCs w:val="16"/>
        <w:lang w:val="en-us" w:eastAsia="en-us" w:bidi="en-us"/>
      </w:rPr>
    </w:lvl>
    <w:lvl w:ilvl="1">
      <w:start w:val="0"/>
      <w:numFmt w:val="bullet"/>
      <w:lvlText w:val="•"/>
      <w:lvlJc w:val="left"/>
      <w:pPr>
        <w:ind w:left="359" w:hanging="123"/>
      </w:pPr>
      <w:rPr>
        <w:rFonts w:hint="default"/>
        <w:lang w:val="en-us" w:eastAsia="en-us" w:bidi="en-us"/>
      </w:rPr>
    </w:lvl>
    <w:lvl w:ilvl="2">
      <w:start w:val="0"/>
      <w:numFmt w:val="bullet"/>
      <w:lvlText w:val="•"/>
      <w:lvlJc w:val="left"/>
      <w:pPr>
        <w:ind w:left="518" w:hanging="123"/>
      </w:pPr>
      <w:rPr>
        <w:rFonts w:hint="default"/>
        <w:lang w:val="en-us" w:eastAsia="en-us" w:bidi="en-us"/>
      </w:rPr>
    </w:lvl>
    <w:lvl w:ilvl="3">
      <w:start w:val="0"/>
      <w:numFmt w:val="bullet"/>
      <w:lvlText w:val="•"/>
      <w:lvlJc w:val="left"/>
      <w:pPr>
        <w:ind w:left="678" w:hanging="123"/>
      </w:pPr>
      <w:rPr>
        <w:rFonts w:hint="default"/>
        <w:lang w:val="en-us" w:eastAsia="en-us" w:bidi="en-us"/>
      </w:rPr>
    </w:lvl>
    <w:lvl w:ilvl="4">
      <w:start w:val="0"/>
      <w:numFmt w:val="bullet"/>
      <w:lvlText w:val="•"/>
      <w:lvlJc w:val="left"/>
      <w:pPr>
        <w:ind w:left="837" w:hanging="123"/>
      </w:pPr>
      <w:rPr>
        <w:rFonts w:hint="default"/>
        <w:lang w:val="en-us" w:eastAsia="en-us" w:bidi="en-us"/>
      </w:rPr>
    </w:lvl>
    <w:lvl w:ilvl="5">
      <w:start w:val="0"/>
      <w:numFmt w:val="bullet"/>
      <w:lvlText w:val="•"/>
      <w:lvlJc w:val="left"/>
      <w:pPr>
        <w:ind w:left="997" w:hanging="123"/>
      </w:pPr>
      <w:rPr>
        <w:rFonts w:hint="default"/>
        <w:lang w:val="en-us" w:eastAsia="en-us" w:bidi="en-us"/>
      </w:rPr>
    </w:lvl>
    <w:lvl w:ilvl="6">
      <w:start w:val="0"/>
      <w:numFmt w:val="bullet"/>
      <w:lvlText w:val="•"/>
      <w:lvlJc w:val="left"/>
      <w:pPr>
        <w:ind w:left="1156" w:hanging="123"/>
      </w:pPr>
      <w:rPr>
        <w:rFonts w:hint="default"/>
        <w:lang w:val="en-us" w:eastAsia="en-us" w:bidi="en-us"/>
      </w:rPr>
    </w:lvl>
    <w:lvl w:ilvl="7">
      <w:start w:val="0"/>
      <w:numFmt w:val="bullet"/>
      <w:lvlText w:val="•"/>
      <w:lvlJc w:val="left"/>
      <w:pPr>
        <w:ind w:left="1315" w:hanging="123"/>
      </w:pPr>
      <w:rPr>
        <w:rFonts w:hint="default"/>
        <w:lang w:val="en-us" w:eastAsia="en-us" w:bidi="en-us"/>
      </w:rPr>
    </w:lvl>
    <w:lvl w:ilvl="8">
      <w:start w:val="0"/>
      <w:numFmt w:val="bullet"/>
      <w:lvlText w:val="•"/>
      <w:lvlJc w:val="left"/>
      <w:pPr>
        <w:ind w:left="1475" w:hanging="123"/>
      </w:pPr>
      <w:rPr>
        <w:rFonts w:hint="default"/>
        <w:lang w:val="en-us" w:eastAsia="en-us" w:bidi="en-us"/>
      </w:rPr>
    </w:lvl>
  </w:abstractNum>
  <w:abstractNum w:abstractNumId="10">
    <w:multiLevelType w:val="hybridMultilevel"/>
    <w:lvl w:ilvl="0">
      <w:start w:val="0"/>
      <w:numFmt w:val="bullet"/>
      <w:lvlText w:val="•"/>
      <w:lvlJc w:val="left"/>
      <w:pPr>
        <w:ind w:left="193" w:hanging="125"/>
      </w:pPr>
      <w:rPr>
        <w:rFonts w:hint="default" w:ascii="Helvetica-Light" w:hAnsi="Helvetica-Light" w:eastAsia="Helvetica-Light" w:cs="Helvetica-Light"/>
        <w:color w:val="231F20"/>
        <w:spacing w:val="-12"/>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9">
    <w:multiLevelType w:val="hybridMultilevel"/>
    <w:lvl w:ilvl="0">
      <w:start w:val="0"/>
      <w:numFmt w:val="bullet"/>
      <w:lvlText w:val="•"/>
      <w:lvlJc w:val="left"/>
      <w:pPr>
        <w:ind w:left="193" w:hanging="125"/>
      </w:pPr>
      <w:rPr>
        <w:rFonts w:hint="default" w:ascii="Helvetica-Light" w:hAnsi="Helvetica-Light" w:eastAsia="Helvetica-Light" w:cs="Helvetica-Light"/>
        <w:color w:val="231F20"/>
        <w:spacing w:val="-15"/>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8">
    <w:multiLevelType w:val="hybridMultilevel"/>
    <w:lvl w:ilvl="0">
      <w:start w:val="0"/>
      <w:numFmt w:val="bullet"/>
      <w:lvlText w:val="•"/>
      <w:lvlJc w:val="left"/>
      <w:pPr>
        <w:ind w:left="193" w:hanging="125"/>
      </w:pPr>
      <w:rPr>
        <w:rFonts w:hint="default" w:ascii="Helvetica-Light" w:hAnsi="Helvetica-Light" w:eastAsia="Helvetica-Light" w:cs="Helvetica-Light"/>
        <w:color w:val="231F20"/>
        <w:spacing w:val="-3"/>
        <w:w w:val="100"/>
        <w:sz w:val="16"/>
        <w:szCs w:val="16"/>
        <w:lang w:val="en-us" w:eastAsia="en-us" w:bidi="en-us"/>
      </w:rPr>
    </w:lvl>
    <w:lvl w:ilvl="1">
      <w:start w:val="0"/>
      <w:numFmt w:val="bullet"/>
      <w:lvlText w:val="•"/>
      <w:lvlJc w:val="left"/>
      <w:pPr>
        <w:ind w:left="359" w:hanging="125"/>
      </w:pPr>
      <w:rPr>
        <w:rFonts w:hint="default"/>
        <w:lang w:val="en-us" w:eastAsia="en-us" w:bidi="en-us"/>
      </w:rPr>
    </w:lvl>
    <w:lvl w:ilvl="2">
      <w:start w:val="0"/>
      <w:numFmt w:val="bullet"/>
      <w:lvlText w:val="•"/>
      <w:lvlJc w:val="left"/>
      <w:pPr>
        <w:ind w:left="518" w:hanging="125"/>
      </w:pPr>
      <w:rPr>
        <w:rFonts w:hint="default"/>
        <w:lang w:val="en-us" w:eastAsia="en-us" w:bidi="en-us"/>
      </w:rPr>
    </w:lvl>
    <w:lvl w:ilvl="3">
      <w:start w:val="0"/>
      <w:numFmt w:val="bullet"/>
      <w:lvlText w:val="•"/>
      <w:lvlJc w:val="left"/>
      <w:pPr>
        <w:ind w:left="678" w:hanging="125"/>
      </w:pPr>
      <w:rPr>
        <w:rFonts w:hint="default"/>
        <w:lang w:val="en-us" w:eastAsia="en-us" w:bidi="en-us"/>
      </w:rPr>
    </w:lvl>
    <w:lvl w:ilvl="4">
      <w:start w:val="0"/>
      <w:numFmt w:val="bullet"/>
      <w:lvlText w:val="•"/>
      <w:lvlJc w:val="left"/>
      <w:pPr>
        <w:ind w:left="837" w:hanging="125"/>
      </w:pPr>
      <w:rPr>
        <w:rFonts w:hint="default"/>
        <w:lang w:val="en-us" w:eastAsia="en-us" w:bidi="en-us"/>
      </w:rPr>
    </w:lvl>
    <w:lvl w:ilvl="5">
      <w:start w:val="0"/>
      <w:numFmt w:val="bullet"/>
      <w:lvlText w:val="•"/>
      <w:lvlJc w:val="left"/>
      <w:pPr>
        <w:ind w:left="997" w:hanging="125"/>
      </w:pPr>
      <w:rPr>
        <w:rFonts w:hint="default"/>
        <w:lang w:val="en-us" w:eastAsia="en-us" w:bidi="en-us"/>
      </w:rPr>
    </w:lvl>
    <w:lvl w:ilvl="6">
      <w:start w:val="0"/>
      <w:numFmt w:val="bullet"/>
      <w:lvlText w:val="•"/>
      <w:lvlJc w:val="left"/>
      <w:pPr>
        <w:ind w:left="1156" w:hanging="125"/>
      </w:pPr>
      <w:rPr>
        <w:rFonts w:hint="default"/>
        <w:lang w:val="en-us" w:eastAsia="en-us" w:bidi="en-us"/>
      </w:rPr>
    </w:lvl>
    <w:lvl w:ilvl="7">
      <w:start w:val="0"/>
      <w:numFmt w:val="bullet"/>
      <w:lvlText w:val="•"/>
      <w:lvlJc w:val="left"/>
      <w:pPr>
        <w:ind w:left="1315" w:hanging="125"/>
      </w:pPr>
      <w:rPr>
        <w:rFonts w:hint="default"/>
        <w:lang w:val="en-us" w:eastAsia="en-us" w:bidi="en-us"/>
      </w:rPr>
    </w:lvl>
    <w:lvl w:ilvl="8">
      <w:start w:val="0"/>
      <w:numFmt w:val="bullet"/>
      <w:lvlText w:val="•"/>
      <w:lvlJc w:val="left"/>
      <w:pPr>
        <w:ind w:left="1475" w:hanging="125"/>
      </w:pPr>
      <w:rPr>
        <w:rFonts w:hint="default"/>
        <w:lang w:val="en-us" w:eastAsia="en-us" w:bidi="en-us"/>
      </w:rPr>
    </w:lvl>
  </w:abstractNum>
  <w:abstractNum w:abstractNumId="6">
    <w:multiLevelType w:val="hybridMultilevel"/>
    <w:lvl w:ilvl="0">
      <w:start w:val="1"/>
      <w:numFmt w:val="decimal"/>
      <w:lvlText w:val="%1."/>
      <w:lvlJc w:val="left"/>
      <w:pPr>
        <w:ind w:left="494" w:hanging="215"/>
        <w:jc w:val="left"/>
      </w:pPr>
      <w:rPr>
        <w:rFonts w:hint="default" w:ascii="Helvetica" w:hAnsi="Helvetica" w:eastAsia="Helvetica" w:cs="Helvetica"/>
        <w:b/>
        <w:bCs/>
        <w:color w:val="231F20"/>
        <w:w w:val="100"/>
        <w:sz w:val="20"/>
        <w:szCs w:val="20"/>
        <w:lang w:val="en-us" w:eastAsia="en-us" w:bidi="en-us"/>
      </w:rPr>
    </w:lvl>
    <w:lvl w:ilvl="1">
      <w:start w:val="0"/>
      <w:numFmt w:val="bullet"/>
      <w:lvlText w:val="•"/>
      <w:lvlJc w:val="left"/>
      <w:pPr>
        <w:ind w:left="960" w:hanging="341"/>
      </w:pPr>
      <w:rPr>
        <w:rFonts w:hint="default" w:ascii="Helvetica-Light" w:hAnsi="Helvetica-Light" w:eastAsia="Helvetica-Light" w:cs="Helvetica-Light"/>
        <w:color w:val="231F20"/>
        <w:w w:val="100"/>
        <w:sz w:val="20"/>
        <w:szCs w:val="20"/>
        <w:lang w:val="en-us" w:eastAsia="en-us" w:bidi="en-us"/>
      </w:rPr>
    </w:lvl>
    <w:lvl w:ilvl="2">
      <w:start w:val="0"/>
      <w:numFmt w:val="bullet"/>
      <w:lvlText w:val="•"/>
      <w:lvlJc w:val="left"/>
      <w:pPr>
        <w:ind w:left="2022" w:hanging="341"/>
      </w:pPr>
      <w:rPr>
        <w:rFonts w:hint="default"/>
        <w:lang w:val="en-us" w:eastAsia="en-us" w:bidi="en-us"/>
      </w:rPr>
    </w:lvl>
    <w:lvl w:ilvl="3">
      <w:start w:val="0"/>
      <w:numFmt w:val="bullet"/>
      <w:lvlText w:val="•"/>
      <w:lvlJc w:val="left"/>
      <w:pPr>
        <w:ind w:left="3085" w:hanging="341"/>
      </w:pPr>
      <w:rPr>
        <w:rFonts w:hint="default"/>
        <w:lang w:val="en-us" w:eastAsia="en-us" w:bidi="en-us"/>
      </w:rPr>
    </w:lvl>
    <w:lvl w:ilvl="4">
      <w:start w:val="0"/>
      <w:numFmt w:val="bullet"/>
      <w:lvlText w:val="•"/>
      <w:lvlJc w:val="left"/>
      <w:pPr>
        <w:ind w:left="4148" w:hanging="341"/>
      </w:pPr>
      <w:rPr>
        <w:rFonts w:hint="default"/>
        <w:lang w:val="en-us" w:eastAsia="en-us" w:bidi="en-us"/>
      </w:rPr>
    </w:lvl>
    <w:lvl w:ilvl="5">
      <w:start w:val="0"/>
      <w:numFmt w:val="bullet"/>
      <w:lvlText w:val="•"/>
      <w:lvlJc w:val="left"/>
      <w:pPr>
        <w:ind w:left="5211" w:hanging="341"/>
      </w:pPr>
      <w:rPr>
        <w:rFonts w:hint="default"/>
        <w:lang w:val="en-us" w:eastAsia="en-us" w:bidi="en-us"/>
      </w:rPr>
    </w:lvl>
    <w:lvl w:ilvl="6">
      <w:start w:val="0"/>
      <w:numFmt w:val="bullet"/>
      <w:lvlText w:val="•"/>
      <w:lvlJc w:val="left"/>
      <w:pPr>
        <w:ind w:left="6274" w:hanging="341"/>
      </w:pPr>
      <w:rPr>
        <w:rFonts w:hint="default"/>
        <w:lang w:val="en-us" w:eastAsia="en-us" w:bidi="en-us"/>
      </w:rPr>
    </w:lvl>
    <w:lvl w:ilvl="7">
      <w:start w:val="0"/>
      <w:numFmt w:val="bullet"/>
      <w:lvlText w:val="•"/>
      <w:lvlJc w:val="left"/>
      <w:pPr>
        <w:ind w:left="7337" w:hanging="341"/>
      </w:pPr>
      <w:rPr>
        <w:rFonts w:hint="default"/>
        <w:lang w:val="en-us" w:eastAsia="en-us" w:bidi="en-us"/>
      </w:rPr>
    </w:lvl>
    <w:lvl w:ilvl="8">
      <w:start w:val="0"/>
      <w:numFmt w:val="bullet"/>
      <w:lvlText w:val="•"/>
      <w:lvlJc w:val="left"/>
      <w:pPr>
        <w:ind w:left="8399" w:hanging="341"/>
      </w:pPr>
      <w:rPr>
        <w:rFonts w:hint="default"/>
        <w:lang w:val="en-us" w:eastAsia="en-us" w:bidi="en-us"/>
      </w:rPr>
    </w:lvl>
  </w:abstractNum>
  <w:abstractNum w:abstractNumId="5">
    <w:multiLevelType w:val="hybridMultilevel"/>
    <w:lvl w:ilvl="0">
      <w:start w:val="0"/>
      <w:numFmt w:val="bullet"/>
      <w:lvlText w:val="•"/>
      <w:lvlJc w:val="left"/>
      <w:pPr>
        <w:ind w:left="960" w:hanging="341"/>
      </w:pPr>
      <w:rPr>
        <w:rFonts w:hint="default" w:ascii="Helvetica-Light" w:hAnsi="Helvetica-Light" w:eastAsia="Helvetica-Light" w:cs="Helvetica-Light"/>
        <w:color w:val="231F20"/>
        <w:spacing w:val="-15"/>
        <w:w w:val="100"/>
        <w:sz w:val="20"/>
        <w:szCs w:val="20"/>
        <w:lang w:val="en-us" w:eastAsia="en-us" w:bidi="en-us"/>
      </w:rPr>
    </w:lvl>
    <w:lvl w:ilvl="1">
      <w:start w:val="0"/>
      <w:numFmt w:val="bullet"/>
      <w:lvlText w:val="•"/>
      <w:lvlJc w:val="left"/>
      <w:pPr>
        <w:ind w:left="1916" w:hanging="341"/>
      </w:pPr>
      <w:rPr>
        <w:rFonts w:hint="default"/>
        <w:lang w:val="en-us" w:eastAsia="en-us" w:bidi="en-us"/>
      </w:rPr>
    </w:lvl>
    <w:lvl w:ilvl="2">
      <w:start w:val="0"/>
      <w:numFmt w:val="bullet"/>
      <w:lvlText w:val="•"/>
      <w:lvlJc w:val="left"/>
      <w:pPr>
        <w:ind w:left="2873" w:hanging="341"/>
      </w:pPr>
      <w:rPr>
        <w:rFonts w:hint="default"/>
        <w:lang w:val="en-us" w:eastAsia="en-us" w:bidi="en-us"/>
      </w:rPr>
    </w:lvl>
    <w:lvl w:ilvl="3">
      <w:start w:val="0"/>
      <w:numFmt w:val="bullet"/>
      <w:lvlText w:val="•"/>
      <w:lvlJc w:val="left"/>
      <w:pPr>
        <w:ind w:left="3829" w:hanging="341"/>
      </w:pPr>
      <w:rPr>
        <w:rFonts w:hint="default"/>
        <w:lang w:val="en-us" w:eastAsia="en-us" w:bidi="en-us"/>
      </w:rPr>
    </w:lvl>
    <w:lvl w:ilvl="4">
      <w:start w:val="0"/>
      <w:numFmt w:val="bullet"/>
      <w:lvlText w:val="•"/>
      <w:lvlJc w:val="left"/>
      <w:pPr>
        <w:ind w:left="4786" w:hanging="341"/>
      </w:pPr>
      <w:rPr>
        <w:rFonts w:hint="default"/>
        <w:lang w:val="en-us" w:eastAsia="en-us" w:bidi="en-us"/>
      </w:rPr>
    </w:lvl>
    <w:lvl w:ilvl="5">
      <w:start w:val="0"/>
      <w:numFmt w:val="bullet"/>
      <w:lvlText w:val="•"/>
      <w:lvlJc w:val="left"/>
      <w:pPr>
        <w:ind w:left="5742" w:hanging="341"/>
      </w:pPr>
      <w:rPr>
        <w:rFonts w:hint="default"/>
        <w:lang w:val="en-us" w:eastAsia="en-us" w:bidi="en-us"/>
      </w:rPr>
    </w:lvl>
    <w:lvl w:ilvl="6">
      <w:start w:val="0"/>
      <w:numFmt w:val="bullet"/>
      <w:lvlText w:val="•"/>
      <w:lvlJc w:val="left"/>
      <w:pPr>
        <w:ind w:left="6699" w:hanging="341"/>
      </w:pPr>
      <w:rPr>
        <w:rFonts w:hint="default"/>
        <w:lang w:val="en-us" w:eastAsia="en-us" w:bidi="en-us"/>
      </w:rPr>
    </w:lvl>
    <w:lvl w:ilvl="7">
      <w:start w:val="0"/>
      <w:numFmt w:val="bullet"/>
      <w:lvlText w:val="•"/>
      <w:lvlJc w:val="left"/>
      <w:pPr>
        <w:ind w:left="7655" w:hanging="341"/>
      </w:pPr>
      <w:rPr>
        <w:rFonts w:hint="default"/>
        <w:lang w:val="en-us" w:eastAsia="en-us" w:bidi="en-us"/>
      </w:rPr>
    </w:lvl>
    <w:lvl w:ilvl="8">
      <w:start w:val="0"/>
      <w:numFmt w:val="bullet"/>
      <w:lvlText w:val="•"/>
      <w:lvlJc w:val="left"/>
      <w:pPr>
        <w:ind w:left="8612" w:hanging="341"/>
      </w:pPr>
      <w:rPr>
        <w:rFonts w:hint="default"/>
        <w:lang w:val="en-us" w:eastAsia="en-us" w:bidi="en-us"/>
      </w:rPr>
    </w:lvl>
  </w:abstractNum>
  <w:abstractNum w:abstractNumId="3">
    <w:multiLevelType w:val="hybridMultilevel"/>
    <w:lvl w:ilvl="0">
      <w:start w:val="1"/>
      <w:numFmt w:val="decimal"/>
      <w:lvlText w:val="%1."/>
      <w:lvlJc w:val="left"/>
      <w:pPr>
        <w:ind w:left="494" w:hanging="215"/>
        <w:jc w:val="left"/>
      </w:pPr>
      <w:rPr>
        <w:rFonts w:hint="default" w:ascii="Helvetica" w:hAnsi="Helvetica" w:eastAsia="Helvetica" w:cs="Helvetica"/>
        <w:b/>
        <w:bCs/>
        <w:color w:val="231F20"/>
        <w:w w:val="100"/>
        <w:sz w:val="20"/>
        <w:szCs w:val="20"/>
        <w:lang w:val="en-us" w:eastAsia="en-us" w:bidi="en-us"/>
      </w:rPr>
    </w:lvl>
    <w:lvl w:ilvl="1">
      <w:start w:val="0"/>
      <w:numFmt w:val="bullet"/>
      <w:lvlText w:val="—"/>
      <w:lvlJc w:val="left"/>
      <w:pPr>
        <w:ind w:left="960" w:hanging="312"/>
      </w:pPr>
      <w:rPr>
        <w:rFonts w:hint="default" w:ascii="Helvetica-Light" w:hAnsi="Helvetica-Light" w:eastAsia="Helvetica-Light" w:cs="Helvetica-Light"/>
        <w:color w:val="231F20"/>
        <w:spacing w:val="-4"/>
        <w:w w:val="100"/>
        <w:sz w:val="20"/>
        <w:szCs w:val="20"/>
        <w:lang w:val="en-us" w:eastAsia="en-us" w:bidi="en-us"/>
      </w:rPr>
    </w:lvl>
    <w:lvl w:ilvl="2">
      <w:start w:val="0"/>
      <w:numFmt w:val="bullet"/>
      <w:lvlText w:val="•"/>
      <w:lvlJc w:val="left"/>
      <w:pPr>
        <w:ind w:left="2022" w:hanging="312"/>
      </w:pPr>
      <w:rPr>
        <w:rFonts w:hint="default"/>
        <w:lang w:val="en-us" w:eastAsia="en-us" w:bidi="en-us"/>
      </w:rPr>
    </w:lvl>
    <w:lvl w:ilvl="3">
      <w:start w:val="0"/>
      <w:numFmt w:val="bullet"/>
      <w:lvlText w:val="•"/>
      <w:lvlJc w:val="left"/>
      <w:pPr>
        <w:ind w:left="3085" w:hanging="312"/>
      </w:pPr>
      <w:rPr>
        <w:rFonts w:hint="default"/>
        <w:lang w:val="en-us" w:eastAsia="en-us" w:bidi="en-us"/>
      </w:rPr>
    </w:lvl>
    <w:lvl w:ilvl="4">
      <w:start w:val="0"/>
      <w:numFmt w:val="bullet"/>
      <w:lvlText w:val="•"/>
      <w:lvlJc w:val="left"/>
      <w:pPr>
        <w:ind w:left="4148" w:hanging="312"/>
      </w:pPr>
      <w:rPr>
        <w:rFonts w:hint="default"/>
        <w:lang w:val="en-us" w:eastAsia="en-us" w:bidi="en-us"/>
      </w:rPr>
    </w:lvl>
    <w:lvl w:ilvl="5">
      <w:start w:val="0"/>
      <w:numFmt w:val="bullet"/>
      <w:lvlText w:val="•"/>
      <w:lvlJc w:val="left"/>
      <w:pPr>
        <w:ind w:left="5211" w:hanging="312"/>
      </w:pPr>
      <w:rPr>
        <w:rFonts w:hint="default"/>
        <w:lang w:val="en-us" w:eastAsia="en-us" w:bidi="en-us"/>
      </w:rPr>
    </w:lvl>
    <w:lvl w:ilvl="6">
      <w:start w:val="0"/>
      <w:numFmt w:val="bullet"/>
      <w:lvlText w:val="•"/>
      <w:lvlJc w:val="left"/>
      <w:pPr>
        <w:ind w:left="6274" w:hanging="312"/>
      </w:pPr>
      <w:rPr>
        <w:rFonts w:hint="default"/>
        <w:lang w:val="en-us" w:eastAsia="en-us" w:bidi="en-us"/>
      </w:rPr>
    </w:lvl>
    <w:lvl w:ilvl="7">
      <w:start w:val="0"/>
      <w:numFmt w:val="bullet"/>
      <w:lvlText w:val="•"/>
      <w:lvlJc w:val="left"/>
      <w:pPr>
        <w:ind w:left="7337" w:hanging="312"/>
      </w:pPr>
      <w:rPr>
        <w:rFonts w:hint="default"/>
        <w:lang w:val="en-us" w:eastAsia="en-us" w:bidi="en-us"/>
      </w:rPr>
    </w:lvl>
    <w:lvl w:ilvl="8">
      <w:start w:val="0"/>
      <w:numFmt w:val="bullet"/>
      <w:lvlText w:val="•"/>
      <w:lvlJc w:val="left"/>
      <w:pPr>
        <w:ind w:left="8399" w:hanging="312"/>
      </w:pPr>
      <w:rPr>
        <w:rFonts w:hint="default"/>
        <w:lang w:val="en-us" w:eastAsia="en-us" w:bidi="en-us"/>
      </w:rPr>
    </w:lvl>
  </w:abstractNum>
  <w:abstractNum w:abstractNumId="2">
    <w:multiLevelType w:val="hybridMultilevel"/>
    <w:lvl w:ilvl="0">
      <w:start w:val="1"/>
      <w:numFmt w:val="decimal"/>
      <w:lvlText w:val="%1."/>
      <w:lvlJc w:val="left"/>
      <w:pPr>
        <w:ind w:left="620" w:hanging="227"/>
        <w:jc w:val="left"/>
      </w:pPr>
      <w:rPr>
        <w:rFonts w:hint="default" w:ascii="Helvetica-Light" w:hAnsi="Helvetica-Light" w:eastAsia="Helvetica-Light" w:cs="Helvetica-Light"/>
        <w:color w:val="231F20"/>
        <w:spacing w:val="-3"/>
        <w:w w:val="100"/>
        <w:sz w:val="22"/>
        <w:szCs w:val="22"/>
        <w:lang w:val="en-us" w:eastAsia="en-us" w:bidi="en-us"/>
      </w:rPr>
    </w:lvl>
    <w:lvl w:ilvl="1">
      <w:start w:val="0"/>
      <w:numFmt w:val="bullet"/>
      <w:lvlText w:val="•"/>
      <w:lvlJc w:val="left"/>
      <w:pPr>
        <w:ind w:left="1059" w:hanging="227"/>
      </w:pPr>
      <w:rPr>
        <w:rFonts w:hint="default"/>
        <w:lang w:val="en-us" w:eastAsia="en-us" w:bidi="en-us"/>
      </w:rPr>
    </w:lvl>
    <w:lvl w:ilvl="2">
      <w:start w:val="0"/>
      <w:numFmt w:val="bullet"/>
      <w:lvlText w:val="•"/>
      <w:lvlJc w:val="left"/>
      <w:pPr>
        <w:ind w:left="1499" w:hanging="227"/>
      </w:pPr>
      <w:rPr>
        <w:rFonts w:hint="default"/>
        <w:lang w:val="en-us" w:eastAsia="en-us" w:bidi="en-us"/>
      </w:rPr>
    </w:lvl>
    <w:lvl w:ilvl="3">
      <w:start w:val="0"/>
      <w:numFmt w:val="bullet"/>
      <w:lvlText w:val="•"/>
      <w:lvlJc w:val="left"/>
      <w:pPr>
        <w:ind w:left="1939" w:hanging="227"/>
      </w:pPr>
      <w:rPr>
        <w:rFonts w:hint="default"/>
        <w:lang w:val="en-us" w:eastAsia="en-us" w:bidi="en-us"/>
      </w:rPr>
    </w:lvl>
    <w:lvl w:ilvl="4">
      <w:start w:val="0"/>
      <w:numFmt w:val="bullet"/>
      <w:lvlText w:val="•"/>
      <w:lvlJc w:val="left"/>
      <w:pPr>
        <w:ind w:left="2379" w:hanging="227"/>
      </w:pPr>
      <w:rPr>
        <w:rFonts w:hint="default"/>
        <w:lang w:val="en-us" w:eastAsia="en-us" w:bidi="en-us"/>
      </w:rPr>
    </w:lvl>
    <w:lvl w:ilvl="5">
      <w:start w:val="0"/>
      <w:numFmt w:val="bullet"/>
      <w:lvlText w:val="•"/>
      <w:lvlJc w:val="left"/>
      <w:pPr>
        <w:ind w:left="2819" w:hanging="227"/>
      </w:pPr>
      <w:rPr>
        <w:rFonts w:hint="default"/>
        <w:lang w:val="en-us" w:eastAsia="en-us" w:bidi="en-us"/>
      </w:rPr>
    </w:lvl>
    <w:lvl w:ilvl="6">
      <w:start w:val="0"/>
      <w:numFmt w:val="bullet"/>
      <w:lvlText w:val="•"/>
      <w:lvlJc w:val="left"/>
      <w:pPr>
        <w:ind w:left="3259" w:hanging="227"/>
      </w:pPr>
      <w:rPr>
        <w:rFonts w:hint="default"/>
        <w:lang w:val="en-us" w:eastAsia="en-us" w:bidi="en-us"/>
      </w:rPr>
    </w:lvl>
    <w:lvl w:ilvl="7">
      <w:start w:val="0"/>
      <w:numFmt w:val="bullet"/>
      <w:lvlText w:val="•"/>
      <w:lvlJc w:val="left"/>
      <w:pPr>
        <w:ind w:left="3699" w:hanging="227"/>
      </w:pPr>
      <w:rPr>
        <w:rFonts w:hint="default"/>
        <w:lang w:val="en-us" w:eastAsia="en-us" w:bidi="en-us"/>
      </w:rPr>
    </w:lvl>
    <w:lvl w:ilvl="8">
      <w:start w:val="0"/>
      <w:numFmt w:val="bullet"/>
      <w:lvlText w:val="•"/>
      <w:lvlJc w:val="left"/>
      <w:pPr>
        <w:ind w:left="4139" w:hanging="227"/>
      </w:pPr>
      <w:rPr>
        <w:rFonts w:hint="default"/>
        <w:lang w:val="en-us" w:eastAsia="en-us" w:bidi="en-us"/>
      </w:rPr>
    </w:lvl>
  </w:abstractNum>
  <w:abstractNum w:abstractNumId="1">
    <w:multiLevelType w:val="hybridMultilevel"/>
    <w:lvl w:ilvl="0">
      <w:start w:val="0"/>
      <w:numFmt w:val="bullet"/>
      <w:lvlText w:val="•"/>
      <w:lvlJc w:val="left"/>
      <w:pPr>
        <w:ind w:left="620" w:hanging="233"/>
      </w:pPr>
      <w:rPr>
        <w:rFonts w:hint="default" w:ascii="Helvetica-Light" w:hAnsi="Helvetica-Light" w:eastAsia="Helvetica-Light" w:cs="Helvetica-Light"/>
        <w:color w:val="231F20"/>
        <w:spacing w:val="-21"/>
        <w:w w:val="100"/>
        <w:sz w:val="22"/>
        <w:szCs w:val="22"/>
        <w:lang w:val="en-us" w:eastAsia="en-us" w:bidi="en-us"/>
      </w:rPr>
    </w:lvl>
    <w:lvl w:ilvl="1">
      <w:start w:val="0"/>
      <w:numFmt w:val="bullet"/>
      <w:lvlText w:val="•"/>
      <w:lvlJc w:val="left"/>
      <w:pPr>
        <w:ind w:left="1094" w:hanging="233"/>
      </w:pPr>
      <w:rPr>
        <w:rFonts w:hint="default"/>
        <w:lang w:val="en-us" w:eastAsia="en-us" w:bidi="en-us"/>
      </w:rPr>
    </w:lvl>
    <w:lvl w:ilvl="2">
      <w:start w:val="0"/>
      <w:numFmt w:val="bullet"/>
      <w:lvlText w:val="•"/>
      <w:lvlJc w:val="left"/>
      <w:pPr>
        <w:ind w:left="1569" w:hanging="233"/>
      </w:pPr>
      <w:rPr>
        <w:rFonts w:hint="default"/>
        <w:lang w:val="en-us" w:eastAsia="en-us" w:bidi="en-us"/>
      </w:rPr>
    </w:lvl>
    <w:lvl w:ilvl="3">
      <w:start w:val="0"/>
      <w:numFmt w:val="bullet"/>
      <w:lvlText w:val="•"/>
      <w:lvlJc w:val="left"/>
      <w:pPr>
        <w:ind w:left="2043" w:hanging="233"/>
      </w:pPr>
      <w:rPr>
        <w:rFonts w:hint="default"/>
        <w:lang w:val="en-us" w:eastAsia="en-us" w:bidi="en-us"/>
      </w:rPr>
    </w:lvl>
    <w:lvl w:ilvl="4">
      <w:start w:val="0"/>
      <w:numFmt w:val="bullet"/>
      <w:lvlText w:val="•"/>
      <w:lvlJc w:val="left"/>
      <w:pPr>
        <w:ind w:left="2518" w:hanging="233"/>
      </w:pPr>
      <w:rPr>
        <w:rFonts w:hint="default"/>
        <w:lang w:val="en-us" w:eastAsia="en-us" w:bidi="en-us"/>
      </w:rPr>
    </w:lvl>
    <w:lvl w:ilvl="5">
      <w:start w:val="0"/>
      <w:numFmt w:val="bullet"/>
      <w:lvlText w:val="•"/>
      <w:lvlJc w:val="left"/>
      <w:pPr>
        <w:ind w:left="2993" w:hanging="233"/>
      </w:pPr>
      <w:rPr>
        <w:rFonts w:hint="default"/>
        <w:lang w:val="en-us" w:eastAsia="en-us" w:bidi="en-us"/>
      </w:rPr>
    </w:lvl>
    <w:lvl w:ilvl="6">
      <w:start w:val="0"/>
      <w:numFmt w:val="bullet"/>
      <w:lvlText w:val="•"/>
      <w:lvlJc w:val="left"/>
      <w:pPr>
        <w:ind w:left="3467" w:hanging="233"/>
      </w:pPr>
      <w:rPr>
        <w:rFonts w:hint="default"/>
        <w:lang w:val="en-us" w:eastAsia="en-us" w:bidi="en-us"/>
      </w:rPr>
    </w:lvl>
    <w:lvl w:ilvl="7">
      <w:start w:val="0"/>
      <w:numFmt w:val="bullet"/>
      <w:lvlText w:val="•"/>
      <w:lvlJc w:val="left"/>
      <w:pPr>
        <w:ind w:left="3942" w:hanging="233"/>
      </w:pPr>
      <w:rPr>
        <w:rFonts w:hint="default"/>
        <w:lang w:val="en-us" w:eastAsia="en-us" w:bidi="en-us"/>
      </w:rPr>
    </w:lvl>
    <w:lvl w:ilvl="8">
      <w:start w:val="0"/>
      <w:numFmt w:val="bullet"/>
      <w:lvlText w:val="•"/>
      <w:lvlJc w:val="left"/>
      <w:pPr>
        <w:ind w:left="4417" w:hanging="233"/>
      </w:pPr>
      <w:rPr>
        <w:rFonts w:hint="default"/>
        <w:lang w:val="en-us" w:eastAsia="en-us" w:bidi="en-us"/>
      </w:rPr>
    </w:lvl>
  </w:abstractNum>
  <w:abstractNum w:abstractNumId="0">
    <w:multiLevelType w:val="hybridMultilevel"/>
    <w:lvl w:ilvl="0">
      <w:start w:val="0"/>
      <w:numFmt w:val="bullet"/>
      <w:lvlText w:val="•"/>
      <w:lvlJc w:val="left"/>
      <w:pPr>
        <w:ind w:left="697" w:hanging="170"/>
      </w:pPr>
      <w:rPr>
        <w:rFonts w:hint="default" w:ascii="Helvetica-Light" w:hAnsi="Helvetica-Light" w:eastAsia="Helvetica-Light" w:cs="Helvetica-Light"/>
        <w:color w:val="FFFFFF"/>
        <w:w w:val="100"/>
        <w:sz w:val="20"/>
        <w:szCs w:val="20"/>
        <w:lang w:val="en-us" w:eastAsia="en-us" w:bidi="en-us"/>
      </w:rPr>
    </w:lvl>
    <w:lvl w:ilvl="1">
      <w:start w:val="0"/>
      <w:numFmt w:val="bullet"/>
      <w:lvlText w:val="•"/>
      <w:lvlJc w:val="left"/>
      <w:pPr>
        <w:ind w:left="1682" w:hanging="170"/>
      </w:pPr>
      <w:rPr>
        <w:rFonts w:hint="default"/>
        <w:lang w:val="en-us" w:eastAsia="en-us" w:bidi="en-us"/>
      </w:rPr>
    </w:lvl>
    <w:lvl w:ilvl="2">
      <w:start w:val="0"/>
      <w:numFmt w:val="bullet"/>
      <w:lvlText w:val="•"/>
      <w:lvlJc w:val="left"/>
      <w:pPr>
        <w:ind w:left="2665" w:hanging="170"/>
      </w:pPr>
      <w:rPr>
        <w:rFonts w:hint="default"/>
        <w:lang w:val="en-us" w:eastAsia="en-us" w:bidi="en-us"/>
      </w:rPr>
    </w:lvl>
    <w:lvl w:ilvl="3">
      <w:start w:val="0"/>
      <w:numFmt w:val="bullet"/>
      <w:lvlText w:val="•"/>
      <w:lvlJc w:val="left"/>
      <w:pPr>
        <w:ind w:left="3647" w:hanging="170"/>
      </w:pPr>
      <w:rPr>
        <w:rFonts w:hint="default"/>
        <w:lang w:val="en-us" w:eastAsia="en-us" w:bidi="en-us"/>
      </w:rPr>
    </w:lvl>
    <w:lvl w:ilvl="4">
      <w:start w:val="0"/>
      <w:numFmt w:val="bullet"/>
      <w:lvlText w:val="•"/>
      <w:lvlJc w:val="left"/>
      <w:pPr>
        <w:ind w:left="4630" w:hanging="170"/>
      </w:pPr>
      <w:rPr>
        <w:rFonts w:hint="default"/>
        <w:lang w:val="en-us" w:eastAsia="en-us" w:bidi="en-us"/>
      </w:rPr>
    </w:lvl>
    <w:lvl w:ilvl="5">
      <w:start w:val="0"/>
      <w:numFmt w:val="bullet"/>
      <w:lvlText w:val="•"/>
      <w:lvlJc w:val="left"/>
      <w:pPr>
        <w:ind w:left="5612" w:hanging="170"/>
      </w:pPr>
      <w:rPr>
        <w:rFonts w:hint="default"/>
        <w:lang w:val="en-us" w:eastAsia="en-us" w:bidi="en-us"/>
      </w:rPr>
    </w:lvl>
    <w:lvl w:ilvl="6">
      <w:start w:val="0"/>
      <w:numFmt w:val="bullet"/>
      <w:lvlText w:val="•"/>
      <w:lvlJc w:val="left"/>
      <w:pPr>
        <w:ind w:left="6595" w:hanging="170"/>
      </w:pPr>
      <w:rPr>
        <w:rFonts w:hint="default"/>
        <w:lang w:val="en-us" w:eastAsia="en-us" w:bidi="en-us"/>
      </w:rPr>
    </w:lvl>
    <w:lvl w:ilvl="7">
      <w:start w:val="0"/>
      <w:numFmt w:val="bullet"/>
      <w:lvlText w:val="•"/>
      <w:lvlJc w:val="left"/>
      <w:pPr>
        <w:ind w:left="7577" w:hanging="170"/>
      </w:pPr>
      <w:rPr>
        <w:rFonts w:hint="default"/>
        <w:lang w:val="en-us" w:eastAsia="en-us" w:bidi="en-us"/>
      </w:rPr>
    </w:lvl>
    <w:lvl w:ilvl="8">
      <w:start w:val="0"/>
      <w:numFmt w:val="bullet"/>
      <w:lvlText w:val="•"/>
      <w:lvlJc w:val="left"/>
      <w:pPr>
        <w:ind w:left="8560" w:hanging="170"/>
      </w:pPr>
      <w:rPr>
        <w:rFonts w:hint="default"/>
        <w:lang w:val="en-us" w:eastAsia="en-us" w:bidi="en-us"/>
      </w:rPr>
    </w:lvl>
  </w:abstractNum>
  <w:num w:numId="8">
    <w:abstractNumId w:val="7"/>
  </w:num>
  <w:num w:numId="5">
    <w:abstractNumId w:val="4"/>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Helvetica-Light" w:hAnsi="Helvetica-Light" w:eastAsia="Helvetica-Light" w:cs="Helvetica-Light"/>
      <w:lang w:val="en-us" w:eastAsia="en-us" w:bidi="en-us"/>
    </w:rPr>
  </w:style>
  <w:style w:styleId="BodyText" w:type="paragraph">
    <w:name w:val="Body Text"/>
    <w:basedOn w:val="Normal"/>
    <w:uiPriority w:val="1"/>
    <w:qFormat/>
    <w:pPr/>
    <w:rPr>
      <w:rFonts w:ascii="Helvetica-Light" w:hAnsi="Helvetica-Light" w:eastAsia="Helvetica-Light" w:cs="Helvetica-Light"/>
      <w:sz w:val="22"/>
      <w:szCs w:val="22"/>
      <w:lang w:val="en-us" w:eastAsia="en-us" w:bidi="en-us"/>
    </w:rPr>
  </w:style>
  <w:style w:styleId="Heading1" w:type="paragraph">
    <w:name w:val="Heading 1"/>
    <w:basedOn w:val="Normal"/>
    <w:uiPriority w:val="1"/>
    <w:qFormat/>
    <w:pPr>
      <w:spacing w:before="23"/>
      <w:ind w:left="280"/>
      <w:outlineLvl w:val="1"/>
    </w:pPr>
    <w:rPr>
      <w:rFonts w:ascii="Helvetica" w:hAnsi="Helvetica" w:eastAsia="Helvetica" w:cs="Helvetica"/>
      <w:sz w:val="44"/>
      <w:szCs w:val="44"/>
      <w:lang w:val="en-us" w:eastAsia="en-us" w:bidi="en-us"/>
    </w:rPr>
  </w:style>
  <w:style w:styleId="Heading2" w:type="paragraph">
    <w:name w:val="Heading 2"/>
    <w:basedOn w:val="Normal"/>
    <w:uiPriority w:val="1"/>
    <w:qFormat/>
    <w:pPr>
      <w:ind w:left="280"/>
      <w:outlineLvl w:val="2"/>
    </w:pPr>
    <w:rPr>
      <w:rFonts w:ascii="Helvetica" w:hAnsi="Helvetica" w:eastAsia="Helvetica" w:cs="Helvetica"/>
      <w:b/>
      <w:bCs/>
      <w:sz w:val="24"/>
      <w:szCs w:val="24"/>
      <w:lang w:val="en-us" w:eastAsia="en-us" w:bidi="en-us"/>
    </w:rPr>
  </w:style>
  <w:style w:styleId="Heading3" w:type="paragraph">
    <w:name w:val="Heading 3"/>
    <w:basedOn w:val="Normal"/>
    <w:uiPriority w:val="1"/>
    <w:qFormat/>
    <w:pPr>
      <w:spacing w:before="167"/>
      <w:ind w:left="280"/>
      <w:outlineLvl w:val="3"/>
    </w:pPr>
    <w:rPr>
      <w:rFonts w:ascii="Helvetica" w:hAnsi="Helvetica" w:eastAsia="Helvetica" w:cs="Helvetica"/>
      <w:b/>
      <w:bCs/>
      <w:sz w:val="22"/>
      <w:szCs w:val="22"/>
      <w:lang w:val="en-us" w:eastAsia="en-us" w:bidi="en-us"/>
    </w:rPr>
  </w:style>
  <w:style w:styleId="ListParagraph" w:type="paragraph">
    <w:name w:val="List Paragraph"/>
    <w:basedOn w:val="Normal"/>
    <w:uiPriority w:val="1"/>
    <w:qFormat/>
    <w:pPr>
      <w:ind w:left="960" w:hanging="340"/>
    </w:pPr>
    <w:rPr>
      <w:rFonts w:ascii="Helvetica-Light" w:hAnsi="Helvetica-Light" w:eastAsia="Helvetica-Light" w:cs="Helvetica-Light"/>
      <w:lang w:val="en-us" w:eastAsia="en-us" w:bidi="en-us"/>
    </w:rPr>
  </w:style>
  <w:style w:styleId="TableParagraph" w:type="paragraph">
    <w:name w:val="Table Paragraph"/>
    <w:basedOn w:val="Normal"/>
    <w:uiPriority w:val="1"/>
    <w:qFormat/>
    <w:pPr/>
    <w:rPr>
      <w:rFonts w:ascii="Helvetica-Light" w:hAnsi="Helvetica-Light" w:eastAsia="Helvetica-Light" w:cs="Helvetica-Light"/>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image" Target="media/image17.jpeg"/><Relationship Id="rId17" Type="http://schemas.openxmlformats.org/officeDocument/2006/relationships/image" Target="media/image18.jpeg"/><Relationship Id="rId18" Type="http://schemas.openxmlformats.org/officeDocument/2006/relationships/hyperlink" Target="mailto:enquiries@aboriginalaffairs.nsw.gov.au" TargetMode="External"/><Relationship Id="rId19" Type="http://schemas.openxmlformats.org/officeDocument/2006/relationships/hyperlink" Target="http://www.aboriginalaffairs.nsw.gov.au/" TargetMode="External"/><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image" Target="media/image19.jpeg"/><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image" Target="media/image20.jpeg"/><Relationship Id="rId26" Type="http://schemas.openxmlformats.org/officeDocument/2006/relationships/header" Target="header4.xml"/><Relationship Id="rId27" Type="http://schemas.openxmlformats.org/officeDocument/2006/relationships/footer" Target="footer4.xml"/><Relationship Id="rId28" Type="http://schemas.openxmlformats.org/officeDocument/2006/relationships/image" Target="media/image21.jpeg"/><Relationship Id="rId29" Type="http://schemas.openxmlformats.org/officeDocument/2006/relationships/header" Target="header5.xml"/><Relationship Id="rId30" Type="http://schemas.openxmlformats.org/officeDocument/2006/relationships/footer" Target="footer5.xml"/><Relationship Id="rId31" Type="http://schemas.openxmlformats.org/officeDocument/2006/relationships/image" Target="media/image22.jpeg"/><Relationship Id="rId32" Type="http://schemas.openxmlformats.org/officeDocument/2006/relationships/header" Target="header6.xml"/><Relationship Id="rId33" Type="http://schemas.openxmlformats.org/officeDocument/2006/relationships/footer" Target="footer6.xml"/><Relationship Id="rId34" Type="http://schemas.openxmlformats.org/officeDocument/2006/relationships/header" Target="header7.xml"/><Relationship Id="rId35" Type="http://schemas.openxmlformats.org/officeDocument/2006/relationships/footer" Target="footer7.xml"/><Relationship Id="rId36" Type="http://schemas.openxmlformats.org/officeDocument/2006/relationships/header" Target="header8.xml"/><Relationship Id="rId37" Type="http://schemas.openxmlformats.org/officeDocument/2006/relationships/footer" Target="footer8.xml"/><Relationship Id="rId38" Type="http://schemas.openxmlformats.org/officeDocument/2006/relationships/header" Target="header9.xml"/><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header" Target="header10.xml"/><Relationship Id="rId43" Type="http://schemas.openxmlformats.org/officeDocument/2006/relationships/footer" Target="footer9.xml"/><Relationship Id="rId44" Type="http://schemas.openxmlformats.org/officeDocument/2006/relationships/header" Target="header11.xml"/><Relationship Id="rId45" Type="http://schemas.openxmlformats.org/officeDocument/2006/relationships/header" Target="header12.xml"/><Relationship Id="rId46" Type="http://schemas.openxmlformats.org/officeDocument/2006/relationships/footer" Target="footer10.xml"/><Relationship Id="rId47" Type="http://schemas.openxmlformats.org/officeDocument/2006/relationships/header" Target="header13.xml"/><Relationship Id="rId48" Type="http://schemas.openxmlformats.org/officeDocument/2006/relationships/footer" Target="footer11.xml"/><Relationship Id="rId49" Type="http://schemas.openxmlformats.org/officeDocument/2006/relationships/header" Target="header14.xml"/><Relationship Id="rId50" Type="http://schemas.openxmlformats.org/officeDocument/2006/relationships/image" Target="media/image26.png"/><Relationship Id="rId51" Type="http://schemas.openxmlformats.org/officeDocument/2006/relationships/image" Target="media/image27.png"/><Relationship Id="rId52" Type="http://schemas.openxmlformats.org/officeDocument/2006/relationships/image" Target="media/image28.png"/><Relationship Id="rId53" Type="http://schemas.openxmlformats.org/officeDocument/2006/relationships/header" Target="header15.xml"/><Relationship Id="rId54" Type="http://schemas.openxmlformats.org/officeDocument/2006/relationships/footer" Target="footer12.xml"/><Relationship Id="rId55" Type="http://schemas.openxmlformats.org/officeDocument/2006/relationships/header" Target="header16.xml"/><Relationship Id="rId56" Type="http://schemas.openxmlformats.org/officeDocument/2006/relationships/hyperlink" Target="http://www.iap2.org.au/Tenant/C0000004/00000001/files/IAP2_Public_" TargetMode="External"/><Relationship Id="rId57" Type="http://schemas.openxmlformats.org/officeDocument/2006/relationships/hyperlink" Target="http://www.housing.nsw.gov.au/data/" TargetMode="External"/><Relationship Id="rId58" Type="http://schemas.openxmlformats.org/officeDocument/2006/relationships/hyperlink" Target="http://www.aboriginalaffairs.nsw.gov.au/nsw-government-" TargetMode="External"/><Relationship Id="rId59" Type="http://schemas.openxmlformats.org/officeDocument/2006/relationships/hyperlink" Target="http://www.procurepoint.nsw.gov.au/system/files/documents/nsw_government_" TargetMode="External"/><Relationship Id="rId60" Type="http://schemas.openxmlformats.org/officeDocument/2006/relationships/hyperlink" Target="http://www.psc.nsw.gov.au/workplace-culture---diversity/equity---diversity/" TargetMode="External"/><Relationship Id="rId61" Type="http://schemas.openxmlformats.org/officeDocument/2006/relationships/hyperlink" Target="http://ci-journal.net/index.php/ciej/article/view/390/424" TargetMode="External"/><Relationship Id="rId62" Type="http://schemas.openxmlformats.org/officeDocument/2006/relationships/hyperlink" Target="mailto:HRECsecretary@anzsog.edu.au" TargetMode="External"/><Relationship Id="rId63" Type="http://schemas.openxmlformats.org/officeDocument/2006/relationships/hyperlink" Target="mailto:velopment@facs.nsw" TargetMode="External"/><Relationship Id="rId64" Type="http://schemas.openxmlformats.org/officeDocument/2006/relationships/header" Target="header17.xml"/><Relationship Id="rId65" Type="http://schemas.openxmlformats.org/officeDocument/2006/relationships/footer" Target="footer13.xml"/><Relationship Id="rId66" Type="http://schemas.openxmlformats.org/officeDocument/2006/relationships/image" Target="media/image29.png"/><Relationship Id="rId6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aboriginalaffairs.nsw.gov.a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aboriginalaffairs.nsw.gov.a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aboriginalaffairs.nsw.gov.a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aboriginalaffairs.nsw.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boriginalaffairs.nsw.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boriginalaffairs.nsw.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aboriginalaffairs.nsw.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aboriginalaffairs.nsw.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aboriginalaffairs.nsw.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aboriginalaffairs.nsw.gov.a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aboriginalaffairs.nsw.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aboriginalaffairs.nsw.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 Id="rId4" Type="http://schemas.openxmlformats.org/officeDocument/2006/relationships/image" Target="media/image13.png"/><Relationship Id="rId5" Type="http://schemas.openxmlformats.org/officeDocument/2006/relationships/image" Target="media/image14.png"/><Relationship Id="rId6" Type="http://schemas.openxmlformats.org/officeDocument/2006/relationships/image" Target="media/image15.png"/><Relationship Id="rId7" Type="http://schemas.openxmlformats.org/officeDocument/2006/relationships/image" Target="media/image16.png"/></Relationships>

</file>

<file path=word/_rels/header11.xml.rels><?xml version="1.0" encoding="UTF-8" standalone="yes"?>
<Relationships xmlns="http://schemas.openxmlformats.org/package/2006/relationships"><Relationship Id="rId1" Type="http://schemas.openxmlformats.org/officeDocument/2006/relationships/image" Target="media/image19.jpeg"/></Relationships>

</file>

<file path=word/_rels/header14.xml.rels><?xml version="1.0" encoding="UTF-8" standalone="yes"?>
<Relationships xmlns="http://schemas.openxmlformats.org/package/2006/relationships"><Relationship Id="rId1" Type="http://schemas.openxmlformats.org/officeDocument/2006/relationships/image" Target="media/image19.jpeg"/></Relationships>

</file>

<file path=word/_rels/header16.xml.rels><?xml version="1.0" encoding="UTF-8" standalone="yes"?>
<Relationships xmlns="http://schemas.openxmlformats.org/package/2006/relationships"><Relationship Id="rId1" Type="http://schemas.openxmlformats.org/officeDocument/2006/relationships/image" Target="media/image19.jpeg"/></Relationships>

</file>

<file path=word/_rels/header9.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2019-07-24T03:05:35Z</dcterms:created>
  <dcterms:modified xsi:type="dcterms:W3CDTF">2019-07-24T03:05:35Z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2017-06-20T00:00:00Z</vt:filetime>
  </property>
  <property fmtid="{D5CDD505-2E9C-101B-9397-08002B2CF9AE}" pid="3" name="Creator">
    <vt:lpwstr>Adobe InDesign CC 2017 (Macintosh)</vt:lpwstr>
  </property>
  <property fmtid="{D5CDD505-2E9C-101B-9397-08002B2CF9AE}" pid="4" name="LastSaved">
    <vt:filetime>2019-07-24T00:00:00Z</vt:filetime>
  </property>
</Properties>
</file>