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CDCE" w14:textId="6A4F368C" w:rsidR="00C035E3" w:rsidRPr="00B5236D" w:rsidRDefault="00035A93" w:rsidP="00487B86">
      <w:pPr>
        <w:spacing w:after="100" w:afterAutospacing="1"/>
        <w:rPr>
          <w:b/>
          <w:bCs/>
          <w:sz w:val="28"/>
          <w:szCs w:val="28"/>
          <w:lang w:val="en-US"/>
        </w:rPr>
      </w:pPr>
      <w:r w:rsidRPr="00B5236D">
        <w:rPr>
          <w:b/>
          <w:bCs/>
          <w:sz w:val="28"/>
          <w:szCs w:val="28"/>
          <w:lang w:val="en-US"/>
        </w:rPr>
        <w:t>Strategy 2025 --- Implementation</w:t>
      </w:r>
      <w:r w:rsidR="00690565">
        <w:rPr>
          <w:b/>
          <w:bCs/>
          <w:sz w:val="28"/>
          <w:szCs w:val="28"/>
          <w:lang w:val="en-US"/>
        </w:rPr>
        <w:t xml:space="preserve"> --- </w:t>
      </w:r>
      <w:r w:rsidR="00197716">
        <w:rPr>
          <w:b/>
          <w:bCs/>
          <w:sz w:val="28"/>
          <w:szCs w:val="28"/>
          <w:lang w:val="en-US"/>
        </w:rPr>
        <w:t xml:space="preserve">Overarching Program --- </w:t>
      </w:r>
      <w:r w:rsidR="00690565">
        <w:rPr>
          <w:b/>
          <w:bCs/>
          <w:sz w:val="28"/>
          <w:szCs w:val="28"/>
          <w:lang w:val="en-US"/>
        </w:rPr>
        <w:t>Priority Workstreams</w:t>
      </w:r>
      <w:r w:rsidR="00197716">
        <w:rPr>
          <w:b/>
          <w:bCs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45"/>
        <w:gridCol w:w="3845"/>
        <w:gridCol w:w="3845"/>
        <w:gridCol w:w="3845"/>
        <w:gridCol w:w="3845"/>
      </w:tblGrid>
      <w:tr w:rsidR="00035A93" w14:paraId="15C7F16F" w14:textId="77777777" w:rsidTr="2CA3D172">
        <w:tc>
          <w:tcPr>
            <w:tcW w:w="1696" w:type="dxa"/>
          </w:tcPr>
          <w:p w14:paraId="420308FD" w14:textId="77777777" w:rsidR="00035A93" w:rsidRPr="00D612E5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Priority</w:t>
            </w:r>
          </w:p>
          <w:p w14:paraId="097CB1BF" w14:textId="77777777" w:rsidR="00035A93" w:rsidRPr="00D612E5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Workstreams</w:t>
            </w:r>
          </w:p>
        </w:tc>
        <w:tc>
          <w:tcPr>
            <w:tcW w:w="3845" w:type="dxa"/>
          </w:tcPr>
          <w:p w14:paraId="53ABB49C" w14:textId="77777777" w:rsidR="00C363C9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Teaching and Learning Strategy</w:t>
            </w:r>
          </w:p>
          <w:p w14:paraId="0FBBAC14" w14:textId="0559CC94" w:rsidR="00C12305" w:rsidRPr="00C12305" w:rsidRDefault="00C123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C12305">
              <w:rPr>
                <w:sz w:val="20"/>
                <w:szCs w:val="20"/>
                <w:lang w:val="en-US"/>
              </w:rPr>
              <w:t>Catherine Althaus)</w:t>
            </w:r>
          </w:p>
        </w:tc>
        <w:tc>
          <w:tcPr>
            <w:tcW w:w="3845" w:type="dxa"/>
          </w:tcPr>
          <w:p w14:paraId="54AFE2F0" w14:textId="77777777" w:rsidR="00035A93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Education Programs (Foundation)</w:t>
            </w:r>
          </w:p>
          <w:p w14:paraId="2DC53DE1" w14:textId="0265C45D" w:rsidR="00C12305" w:rsidRPr="002232EB" w:rsidRDefault="002232EB">
            <w:pPr>
              <w:rPr>
                <w:sz w:val="20"/>
                <w:szCs w:val="20"/>
                <w:lang w:val="en-US"/>
              </w:rPr>
            </w:pPr>
            <w:r w:rsidRPr="002232EB">
              <w:rPr>
                <w:sz w:val="20"/>
                <w:szCs w:val="20"/>
                <w:lang w:val="en-US"/>
              </w:rPr>
              <w:t>(Janine O’Flynn)</w:t>
            </w:r>
          </w:p>
        </w:tc>
        <w:tc>
          <w:tcPr>
            <w:tcW w:w="3845" w:type="dxa"/>
          </w:tcPr>
          <w:p w14:paraId="5B186167" w14:textId="77777777" w:rsidR="00035A93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Education Programs (EMPA Refresh)</w:t>
            </w:r>
          </w:p>
          <w:p w14:paraId="02E3A693" w14:textId="0240259A" w:rsidR="002232EB" w:rsidRPr="001B12E2" w:rsidRDefault="001B12E2">
            <w:pPr>
              <w:rPr>
                <w:sz w:val="20"/>
                <w:szCs w:val="20"/>
                <w:lang w:val="en-US"/>
              </w:rPr>
            </w:pPr>
            <w:r w:rsidRPr="001B12E2">
              <w:rPr>
                <w:sz w:val="20"/>
                <w:szCs w:val="20"/>
                <w:lang w:val="en-US"/>
              </w:rPr>
              <w:t>(Christopher Walker)</w:t>
            </w:r>
          </w:p>
        </w:tc>
        <w:tc>
          <w:tcPr>
            <w:tcW w:w="3845" w:type="dxa"/>
          </w:tcPr>
          <w:p w14:paraId="33F61C2F" w14:textId="77777777" w:rsidR="00035A93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Adaptive Offering</w:t>
            </w:r>
          </w:p>
          <w:p w14:paraId="727A13F7" w14:textId="3489C303" w:rsidR="001B12E2" w:rsidRPr="001B12E2" w:rsidRDefault="001B12E2">
            <w:pPr>
              <w:rPr>
                <w:sz w:val="20"/>
                <w:szCs w:val="20"/>
                <w:lang w:val="en-US"/>
              </w:rPr>
            </w:pPr>
            <w:r w:rsidRPr="001B12E2">
              <w:rPr>
                <w:sz w:val="20"/>
                <w:szCs w:val="20"/>
                <w:lang w:val="en-US"/>
              </w:rPr>
              <w:t>(Monica Pfeffer)</w:t>
            </w:r>
          </w:p>
        </w:tc>
        <w:tc>
          <w:tcPr>
            <w:tcW w:w="3845" w:type="dxa"/>
          </w:tcPr>
          <w:p w14:paraId="2EFF74FF" w14:textId="77777777" w:rsidR="00035A93" w:rsidRDefault="00035A93">
            <w:pPr>
              <w:rPr>
                <w:b/>
                <w:bCs/>
                <w:lang w:val="en-US"/>
              </w:rPr>
            </w:pPr>
            <w:r w:rsidRPr="00D612E5">
              <w:rPr>
                <w:b/>
                <w:bCs/>
                <w:lang w:val="en-US"/>
              </w:rPr>
              <w:t>Research</w:t>
            </w:r>
          </w:p>
          <w:p w14:paraId="505CDE46" w14:textId="4FBDAE19" w:rsidR="001B12E2" w:rsidRPr="001B12E2" w:rsidRDefault="001B12E2">
            <w:pPr>
              <w:rPr>
                <w:sz w:val="20"/>
                <w:szCs w:val="20"/>
                <w:lang w:val="en-US"/>
              </w:rPr>
            </w:pPr>
            <w:r w:rsidRPr="001B12E2">
              <w:rPr>
                <w:sz w:val="20"/>
                <w:szCs w:val="20"/>
                <w:lang w:val="en-US"/>
              </w:rPr>
              <w:t>(Subho Banerjee)</w:t>
            </w:r>
          </w:p>
        </w:tc>
      </w:tr>
      <w:tr w:rsidR="00035A93" w14:paraId="0755374A" w14:textId="77777777" w:rsidTr="2CA3D172">
        <w:tc>
          <w:tcPr>
            <w:tcW w:w="1696" w:type="dxa"/>
          </w:tcPr>
          <w:p w14:paraId="3285E62C" w14:textId="77777777" w:rsidR="00035A93" w:rsidRPr="000301CD" w:rsidRDefault="00035A93">
            <w:pPr>
              <w:rPr>
                <w:b/>
                <w:bCs/>
                <w:lang w:val="en-US"/>
              </w:rPr>
            </w:pPr>
            <w:bookmarkStart w:id="0" w:name="_GoBack" w:colFirst="2" w:colLast="2"/>
            <w:r w:rsidRPr="000301CD">
              <w:rPr>
                <w:b/>
                <w:bCs/>
                <w:lang w:val="en-US"/>
              </w:rPr>
              <w:t>Aim</w:t>
            </w:r>
          </w:p>
        </w:tc>
        <w:tc>
          <w:tcPr>
            <w:tcW w:w="3845" w:type="dxa"/>
          </w:tcPr>
          <w:p w14:paraId="5C0EF968" w14:textId="1E2C510C" w:rsidR="00035A93" w:rsidRPr="00487B86" w:rsidRDefault="001E1539" w:rsidP="00DA5F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Develop and implement </w:t>
            </w:r>
            <w:r w:rsidR="00B52548" w:rsidRPr="00487B86">
              <w:rPr>
                <w:rFonts w:cstheme="minorHAnsi"/>
                <w:sz w:val="20"/>
                <w:szCs w:val="20"/>
                <w:lang w:val="en-US"/>
              </w:rPr>
              <w:t xml:space="preserve">the first ever </w:t>
            </w:r>
            <w:r w:rsidR="000A211C" w:rsidRPr="00487B86">
              <w:rPr>
                <w:rFonts w:cstheme="minorHAnsi"/>
                <w:sz w:val="20"/>
                <w:szCs w:val="20"/>
                <w:lang w:val="en-US"/>
              </w:rPr>
              <w:t>T&amp;L Strategy</w:t>
            </w:r>
            <w:r w:rsidR="00B52548" w:rsidRPr="00487B86"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="000A211C" w:rsidRPr="00487B86">
              <w:rPr>
                <w:rFonts w:cstheme="minorHAnsi"/>
                <w:sz w:val="20"/>
                <w:szCs w:val="20"/>
                <w:lang w:val="en-US"/>
              </w:rPr>
              <w:t xml:space="preserve">guide the approach to teaching and learning across all ANZSOG’s education and related activities (accredited and non-accredited) current and future. </w:t>
            </w:r>
          </w:p>
        </w:tc>
        <w:tc>
          <w:tcPr>
            <w:tcW w:w="3845" w:type="dxa"/>
          </w:tcPr>
          <w:p w14:paraId="4582F0C2" w14:textId="3B472146" w:rsidR="00035A93" w:rsidRPr="00487B86" w:rsidRDefault="00304B66" w:rsidP="00304B66">
            <w:pPr>
              <w:rPr>
                <w:rFonts w:cstheme="minorHAnsi"/>
                <w:bCs/>
                <w:sz w:val="20"/>
                <w:szCs w:val="20"/>
              </w:rPr>
            </w:pPr>
            <w:r w:rsidRPr="00487B86">
              <w:rPr>
                <w:rFonts w:cstheme="minorHAnsi"/>
                <w:bCs/>
                <w:sz w:val="20"/>
                <w:szCs w:val="20"/>
              </w:rPr>
              <w:t>R</w:t>
            </w:r>
            <w:r w:rsidR="008147A7" w:rsidRPr="00487B86">
              <w:rPr>
                <w:rFonts w:cstheme="minorHAnsi"/>
                <w:bCs/>
                <w:sz w:val="20"/>
                <w:szCs w:val="20"/>
              </w:rPr>
              <w:t>ene</w:t>
            </w:r>
            <w:r w:rsidRPr="00487B86"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="008147A7" w:rsidRPr="00487B86">
              <w:rPr>
                <w:rFonts w:cstheme="minorHAnsi"/>
                <w:bCs/>
                <w:sz w:val="20"/>
                <w:szCs w:val="20"/>
              </w:rPr>
              <w:t>ANZSOG’s foundation principles</w:t>
            </w:r>
            <w:r w:rsidRPr="00487B86">
              <w:rPr>
                <w:rFonts w:cstheme="minorHAnsi"/>
                <w:bCs/>
                <w:sz w:val="20"/>
                <w:szCs w:val="20"/>
              </w:rPr>
              <w:t xml:space="preserve">, develop </w:t>
            </w:r>
            <w:r w:rsidR="008147A7" w:rsidRPr="00487B86">
              <w:rPr>
                <w:rFonts w:cstheme="minorHAnsi"/>
                <w:bCs/>
                <w:sz w:val="20"/>
                <w:szCs w:val="20"/>
              </w:rPr>
              <w:t xml:space="preserve">a portfolio of programs that respond to government needs </w:t>
            </w:r>
            <w:r w:rsidRPr="00487B86">
              <w:rPr>
                <w:rFonts w:cstheme="minorHAnsi"/>
                <w:bCs/>
                <w:sz w:val="20"/>
                <w:szCs w:val="20"/>
              </w:rPr>
              <w:t xml:space="preserve">and a </w:t>
            </w:r>
            <w:r w:rsidR="00F449B3">
              <w:rPr>
                <w:rFonts w:cstheme="minorHAnsi"/>
                <w:bCs/>
                <w:sz w:val="20"/>
                <w:szCs w:val="20"/>
              </w:rPr>
              <w:t>f</w:t>
            </w:r>
            <w:r w:rsidR="008147A7" w:rsidRPr="00487B86">
              <w:rPr>
                <w:rFonts w:cstheme="minorHAnsi"/>
                <w:bCs/>
                <w:sz w:val="20"/>
                <w:szCs w:val="20"/>
              </w:rPr>
              <w:t xml:space="preserve">aculty </w:t>
            </w:r>
            <w:r w:rsidR="00C74F80" w:rsidRPr="00487B86">
              <w:rPr>
                <w:rFonts w:cstheme="minorHAnsi"/>
                <w:bCs/>
                <w:sz w:val="20"/>
                <w:szCs w:val="20"/>
              </w:rPr>
              <w:t>n</w:t>
            </w:r>
            <w:r w:rsidR="008147A7" w:rsidRPr="00487B86">
              <w:rPr>
                <w:rFonts w:cstheme="minorHAnsi"/>
                <w:bCs/>
                <w:sz w:val="20"/>
                <w:szCs w:val="20"/>
              </w:rPr>
              <w:t>etwork</w:t>
            </w:r>
            <w:r w:rsidR="00C74F80" w:rsidRPr="00487B86">
              <w:rPr>
                <w:rFonts w:cstheme="minorHAnsi"/>
                <w:bCs/>
                <w:sz w:val="20"/>
                <w:szCs w:val="20"/>
              </w:rPr>
              <w:t xml:space="preserve"> of leading academics and practitioners.</w:t>
            </w:r>
          </w:p>
        </w:tc>
        <w:tc>
          <w:tcPr>
            <w:tcW w:w="3845" w:type="dxa"/>
          </w:tcPr>
          <w:p w14:paraId="4B5B247B" w14:textId="2CAD2258" w:rsidR="00035A93" w:rsidRPr="00487B86" w:rsidRDefault="2CA3D172" w:rsidP="2CA3D172">
            <w:pPr>
              <w:rPr>
                <w:sz w:val="20"/>
                <w:szCs w:val="20"/>
                <w:lang w:val="en-US"/>
              </w:rPr>
            </w:pPr>
            <w:r w:rsidRPr="2CA3D172">
              <w:rPr>
                <w:sz w:val="20"/>
                <w:szCs w:val="20"/>
                <w:lang w:val="en-US"/>
              </w:rPr>
              <w:t>Refresh/reinvigorate the Executive Master of Public Administration (EMPA)</w:t>
            </w:r>
          </w:p>
        </w:tc>
        <w:tc>
          <w:tcPr>
            <w:tcW w:w="3845" w:type="dxa"/>
          </w:tcPr>
          <w:p w14:paraId="40123A7E" w14:textId="01E6AEB1" w:rsidR="00DA5F83" w:rsidRPr="00487B86" w:rsidRDefault="00DA5F83" w:rsidP="00DA5F8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Bring together some or all of ANZSOG’s government owners into an evidence-based, program-solving program to tackle challenges of immediate and shared concern. </w:t>
            </w:r>
          </w:p>
          <w:p w14:paraId="02937301" w14:textId="77777777" w:rsidR="00035A93" w:rsidRPr="00487B86" w:rsidRDefault="00035A9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6DAFAB8D" w14:textId="3E71547F" w:rsidR="00035A93" w:rsidRPr="00487B86" w:rsidRDefault="00D258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Reshape ANZSOG’s research strategy to</w:t>
            </w:r>
            <w:r w:rsidR="009249EA" w:rsidRPr="00487B86"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demand-driven </w:t>
            </w:r>
            <w:r w:rsidR="009249EA" w:rsidRPr="00487B86">
              <w:rPr>
                <w:rFonts w:cstheme="minorHAnsi"/>
                <w:sz w:val="20"/>
                <w:szCs w:val="20"/>
                <w:lang w:val="en-US"/>
              </w:rPr>
              <w:t xml:space="preserve">model </w:t>
            </w:r>
            <w:r w:rsidR="00143C89" w:rsidRPr="00487B86">
              <w:rPr>
                <w:rFonts w:cstheme="minorHAnsi"/>
                <w:sz w:val="20"/>
                <w:szCs w:val="20"/>
                <w:lang w:val="en-US"/>
              </w:rPr>
              <w:t>that</w:t>
            </w:r>
            <w:r w:rsidR="00243A28" w:rsidRPr="00487B86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143C89" w:rsidRPr="00487B86">
              <w:rPr>
                <w:rFonts w:cstheme="minorHAnsi"/>
                <w:sz w:val="20"/>
                <w:szCs w:val="20"/>
                <w:lang w:val="en-US"/>
              </w:rPr>
              <w:t xml:space="preserve"> better meets the needs of government</w:t>
            </w:r>
            <w:r w:rsidR="00243A28" w:rsidRPr="00487B86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9249EA" w:rsidRPr="00487B86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>ignificantly increase</w:t>
            </w:r>
            <w:r w:rsidR="0006138E" w:rsidRPr="00487B86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annual funding for the research program from $250,000 to </w:t>
            </w:r>
            <w:r w:rsidR="006379A0" w:rsidRPr="00487B86">
              <w:rPr>
                <w:rFonts w:cstheme="minorHAnsi"/>
                <w:sz w:val="20"/>
                <w:szCs w:val="20"/>
                <w:lang w:val="en-US"/>
              </w:rPr>
              <w:t>$750,000 and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seek</w:t>
            </w:r>
            <w:r w:rsidR="00243A28" w:rsidRPr="00487B86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matched cash contributions from government and university partners. </w:t>
            </w:r>
          </w:p>
        </w:tc>
      </w:tr>
      <w:bookmarkEnd w:id="0"/>
      <w:tr w:rsidR="00035A93" w14:paraId="2C88A2AB" w14:textId="77777777" w:rsidTr="2CA3D172">
        <w:tc>
          <w:tcPr>
            <w:tcW w:w="1696" w:type="dxa"/>
          </w:tcPr>
          <w:p w14:paraId="6B36CE0C" w14:textId="77777777" w:rsidR="00035A93" w:rsidRPr="000301CD" w:rsidRDefault="00035A93">
            <w:pPr>
              <w:rPr>
                <w:b/>
                <w:bCs/>
                <w:lang w:val="en-US"/>
              </w:rPr>
            </w:pPr>
            <w:r w:rsidRPr="000301CD">
              <w:rPr>
                <w:b/>
                <w:bCs/>
                <w:lang w:val="en-US"/>
              </w:rPr>
              <w:t>Commitments</w:t>
            </w:r>
          </w:p>
        </w:tc>
        <w:tc>
          <w:tcPr>
            <w:tcW w:w="3845" w:type="dxa"/>
          </w:tcPr>
          <w:p w14:paraId="12266047" w14:textId="2DA4A6AF" w:rsidR="00540926" w:rsidRPr="00487B86" w:rsidRDefault="008C4CAA" w:rsidP="0054092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The Strategy a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>ddress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es: 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>what ANZSOG expects in and of its instructors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="007E7287" w:rsidRPr="00487B86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 xml:space="preserve">learning experiences desired and expected by ANZSOG participants </w:t>
            </w:r>
            <w:r w:rsidR="006379A0" w:rsidRPr="00487B86">
              <w:rPr>
                <w:rFonts w:cstheme="minorHAnsi"/>
                <w:sz w:val="20"/>
                <w:szCs w:val="20"/>
                <w:lang w:val="en-US"/>
              </w:rPr>
              <w:t>and owner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 xml:space="preserve"> governments</w:t>
            </w:r>
            <w:r w:rsidR="00C43930" w:rsidRPr="00487B86">
              <w:rPr>
                <w:rFonts w:cstheme="minorHAnsi"/>
                <w:sz w:val="20"/>
                <w:szCs w:val="20"/>
                <w:lang w:val="en-US"/>
              </w:rPr>
              <w:t xml:space="preserve"> as well as 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>impact and evaluation issues including peer review processe</w:t>
            </w:r>
            <w:r w:rsidR="00AB6AC5" w:rsidRPr="00487B86">
              <w:rPr>
                <w:rFonts w:cstheme="minorHAnsi"/>
                <w:sz w:val="20"/>
                <w:szCs w:val="20"/>
                <w:lang w:val="en-US"/>
              </w:rPr>
              <w:t xml:space="preserve">s, 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>richer participant feedback</w:t>
            </w:r>
            <w:r w:rsidR="00AB6AC5" w:rsidRPr="00487B86">
              <w:rPr>
                <w:rFonts w:cstheme="minorHAnsi"/>
                <w:sz w:val="20"/>
                <w:szCs w:val="20"/>
                <w:lang w:val="en-US"/>
              </w:rPr>
              <w:t>, and measuring impact</w:t>
            </w:r>
            <w:r w:rsidR="00F714A4" w:rsidRPr="00487B86">
              <w:rPr>
                <w:rFonts w:cstheme="minorHAnsi"/>
                <w:sz w:val="20"/>
                <w:szCs w:val="20"/>
                <w:lang w:val="en-US"/>
              </w:rPr>
              <w:t xml:space="preserve"> in the workplace.</w:t>
            </w:r>
          </w:p>
          <w:p w14:paraId="6227A128" w14:textId="77777777" w:rsidR="00C43930" w:rsidRPr="00487B86" w:rsidRDefault="00C43930" w:rsidP="0054092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0410CCD" w14:textId="01D77140" w:rsidR="008C4CAA" w:rsidRPr="00487B86" w:rsidRDefault="00C43930" w:rsidP="008C4C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The Strategy will:  establish </w:t>
            </w:r>
            <w:r w:rsidR="00540926" w:rsidRPr="00487B86">
              <w:rPr>
                <w:rFonts w:cstheme="minorHAnsi"/>
                <w:sz w:val="20"/>
                <w:szCs w:val="20"/>
                <w:lang w:val="en-US"/>
              </w:rPr>
              <w:t>an annual planning and review process for education and related activities (accredited and non-accredited)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 w:rsidR="008C4CAA" w:rsidRPr="00487B86">
              <w:rPr>
                <w:rFonts w:cstheme="minorHAnsi"/>
                <w:sz w:val="20"/>
                <w:szCs w:val="20"/>
                <w:lang w:val="en-US"/>
              </w:rPr>
              <w:t xml:space="preserve">incorporate all ANZSOG teaching and learning activities with appropriate Aboriginal, Torres Strait Islander and Māori content, pedagogy and approaches to learning and research. </w:t>
            </w:r>
          </w:p>
          <w:p w14:paraId="308B9D18" w14:textId="77777777" w:rsidR="00035A93" w:rsidRPr="00487B86" w:rsidRDefault="00035A93" w:rsidP="002C2AA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602CFB0D" w14:textId="49719896" w:rsidR="00382DF1" w:rsidRPr="00487B86" w:rsidRDefault="00304B66" w:rsidP="00304B66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T</w:t>
            </w:r>
            <w:r w:rsidR="00382DF1" w:rsidRPr="00487B86">
              <w:rPr>
                <w:rFonts w:cstheme="minorHAnsi"/>
                <w:sz w:val="20"/>
                <w:szCs w:val="20"/>
              </w:rPr>
              <w:t>o extend</w:t>
            </w:r>
            <w:r w:rsidRPr="00487B86">
              <w:rPr>
                <w:rFonts w:cstheme="minorHAnsi"/>
                <w:sz w:val="20"/>
                <w:szCs w:val="20"/>
              </w:rPr>
              <w:t xml:space="preserve"> </w:t>
            </w:r>
            <w:r w:rsidR="007E0987">
              <w:rPr>
                <w:rFonts w:cstheme="minorHAnsi"/>
                <w:sz w:val="20"/>
                <w:szCs w:val="20"/>
              </w:rPr>
              <w:t xml:space="preserve">the </w:t>
            </w:r>
            <w:r w:rsidRPr="00487B86">
              <w:rPr>
                <w:rFonts w:cstheme="minorHAnsi"/>
                <w:sz w:val="20"/>
                <w:szCs w:val="20"/>
              </w:rPr>
              <w:t>‘public value’ model to more fully embrace different perspectives and major developments in theory and practice</w:t>
            </w:r>
            <w:r w:rsidR="00382DF1" w:rsidRPr="00487B86">
              <w:rPr>
                <w:rFonts w:cstheme="minorHAnsi"/>
                <w:sz w:val="20"/>
                <w:szCs w:val="20"/>
              </w:rPr>
              <w:t>.</w:t>
            </w:r>
          </w:p>
          <w:p w14:paraId="5B3C2B36" w14:textId="77777777" w:rsidR="00CC604A" w:rsidRPr="00487B86" w:rsidRDefault="00CC604A" w:rsidP="00304B66">
            <w:pPr>
              <w:rPr>
                <w:rFonts w:cstheme="minorHAnsi"/>
                <w:sz w:val="20"/>
                <w:szCs w:val="20"/>
              </w:rPr>
            </w:pPr>
          </w:p>
          <w:p w14:paraId="1200706F" w14:textId="77777777" w:rsidR="00CC604A" w:rsidRPr="00487B86" w:rsidRDefault="00CC604A" w:rsidP="00304B66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Ensure programs are more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interactive and integrated, and present cutting-edge knowledge to participants. </w:t>
            </w:r>
          </w:p>
          <w:p w14:paraId="0DE2DBD4" w14:textId="24A1659E" w:rsidR="0058544B" w:rsidRPr="00487B86" w:rsidRDefault="005C03D5" w:rsidP="00304B66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I</w:t>
            </w:r>
            <w:r w:rsidR="00304B66" w:rsidRPr="00487B86">
              <w:rPr>
                <w:rFonts w:cstheme="minorHAnsi"/>
                <w:sz w:val="20"/>
                <w:szCs w:val="20"/>
              </w:rPr>
              <w:t>dentify new opportunities and markets</w:t>
            </w:r>
            <w:r w:rsidR="00F523CA" w:rsidRPr="00487B86">
              <w:rPr>
                <w:rFonts w:cstheme="minorHAnsi"/>
                <w:sz w:val="20"/>
                <w:szCs w:val="20"/>
              </w:rPr>
              <w:t>.</w:t>
            </w:r>
          </w:p>
          <w:p w14:paraId="3BAE55FB" w14:textId="77777777" w:rsidR="00770C58" w:rsidRPr="00487B86" w:rsidRDefault="00770C58" w:rsidP="00304B66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 xml:space="preserve">Implement an 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ongoing review process (programs, content and delivery) to update as well as phase out programs where required. </w:t>
            </w:r>
          </w:p>
          <w:p w14:paraId="1061EFB0" w14:textId="1F103C0F" w:rsidR="004544B1" w:rsidRPr="00487B86" w:rsidRDefault="00770C58" w:rsidP="00304B66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 xml:space="preserve">Develop new </w:t>
            </w:r>
            <w:r w:rsidR="00304B66" w:rsidRPr="00487B86">
              <w:rPr>
                <w:rFonts w:cstheme="minorHAnsi"/>
                <w:sz w:val="20"/>
                <w:szCs w:val="20"/>
              </w:rPr>
              <w:t>modules</w:t>
            </w:r>
            <w:r w:rsidR="004C5533" w:rsidRPr="00487B86">
              <w:rPr>
                <w:rFonts w:cstheme="minorHAnsi"/>
                <w:sz w:val="20"/>
                <w:szCs w:val="20"/>
              </w:rPr>
              <w:t>/content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areas </w:t>
            </w:r>
            <w:r w:rsidR="004544B1" w:rsidRPr="00487B86">
              <w:rPr>
                <w:rFonts w:cstheme="minorHAnsi"/>
                <w:sz w:val="20"/>
                <w:szCs w:val="20"/>
              </w:rPr>
              <w:t>including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</w:t>
            </w:r>
            <w:r w:rsidR="00484DFC" w:rsidRPr="00487B86">
              <w:rPr>
                <w:rFonts w:cstheme="minorHAnsi"/>
                <w:sz w:val="20"/>
                <w:szCs w:val="20"/>
              </w:rPr>
              <w:t>open/digital government</w:t>
            </w:r>
            <w:r w:rsidR="004C5533" w:rsidRPr="00487B86">
              <w:rPr>
                <w:rFonts w:cstheme="minorHAnsi"/>
                <w:sz w:val="20"/>
                <w:szCs w:val="20"/>
              </w:rPr>
              <w:t>,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authentic</w:t>
            </w:r>
            <w:r w:rsidR="002F048C" w:rsidRPr="00487B86">
              <w:rPr>
                <w:rFonts w:cstheme="minorHAnsi"/>
                <w:sz w:val="20"/>
                <w:szCs w:val="20"/>
              </w:rPr>
              <w:t>/moral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</w:t>
            </w:r>
            <w:r w:rsidR="00C41318" w:rsidRPr="00487B86">
              <w:rPr>
                <w:rFonts w:cstheme="minorHAnsi"/>
                <w:sz w:val="20"/>
                <w:szCs w:val="20"/>
              </w:rPr>
              <w:t>leadership, 21</w:t>
            </w:r>
            <w:r w:rsidR="00304B66" w:rsidRPr="00487B86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century public management</w:t>
            </w:r>
            <w:r w:rsidR="00F23235" w:rsidRPr="00487B86">
              <w:rPr>
                <w:rFonts w:cstheme="minorHAnsi"/>
                <w:sz w:val="20"/>
                <w:szCs w:val="20"/>
              </w:rPr>
              <w:t>,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ethics and integrity</w:t>
            </w:r>
            <w:r w:rsidR="004544B1" w:rsidRPr="00487B86">
              <w:rPr>
                <w:rFonts w:cstheme="minorHAnsi"/>
                <w:sz w:val="20"/>
                <w:szCs w:val="20"/>
              </w:rPr>
              <w:t>.</w:t>
            </w:r>
          </w:p>
          <w:p w14:paraId="77166992" w14:textId="10A17745" w:rsidR="00035A93" w:rsidRPr="00487B86" w:rsidRDefault="004544B1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R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ecruit leading academics and </w:t>
            </w:r>
            <w:r w:rsidR="00C41318" w:rsidRPr="00487B86">
              <w:rPr>
                <w:rFonts w:cstheme="minorHAnsi"/>
                <w:sz w:val="20"/>
                <w:szCs w:val="20"/>
              </w:rPr>
              <w:t>practitioners to</w:t>
            </w:r>
            <w:r w:rsidR="00304B66" w:rsidRPr="00487B86">
              <w:rPr>
                <w:rFonts w:cstheme="minorHAnsi"/>
                <w:sz w:val="20"/>
                <w:szCs w:val="20"/>
              </w:rPr>
              <w:t xml:space="preserve"> reflect the diversity of our region and embrace contemporary thinking and issues.</w:t>
            </w:r>
          </w:p>
        </w:tc>
        <w:tc>
          <w:tcPr>
            <w:tcW w:w="3845" w:type="dxa"/>
          </w:tcPr>
          <w:p w14:paraId="55971F1F" w14:textId="4BBCC55F" w:rsidR="0039755D" w:rsidRPr="00487B86" w:rsidRDefault="0039755D" w:rsidP="003975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Progressively review all subject areas in the EMPA (content, delivery and leadership) to ensure that they are aligned to the ANZSOG mission, fit-for-purpose and forward looking.</w:t>
            </w:r>
          </w:p>
          <w:p w14:paraId="2191C1A7" w14:textId="4ADA2C31" w:rsidR="0039755D" w:rsidRPr="00487B86" w:rsidRDefault="0039755D" w:rsidP="003975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Introduce participants to the world’s leading thinkers in the subject domain; as well as the best classic and recent academic contributions and ensure that the completion of each subject will immediately add significant value to participants in their public sector role.</w:t>
            </w:r>
          </w:p>
          <w:p w14:paraId="6FBEF1E4" w14:textId="77777777" w:rsidR="0039755D" w:rsidRPr="00487B86" w:rsidRDefault="0039755D" w:rsidP="0039755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3572F6A" w14:textId="77777777" w:rsidR="0039755D" w:rsidRPr="00487B86" w:rsidRDefault="0039755D" w:rsidP="0039755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1DD0DA9" w14:textId="77777777" w:rsidR="00035A93" w:rsidRPr="00487B86" w:rsidRDefault="00035A93" w:rsidP="003975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15270B6D" w14:textId="6DF370C1" w:rsidR="00A55465" w:rsidRPr="00487B86" w:rsidRDefault="00131773" w:rsidP="0065210D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 xml:space="preserve">Pilot two </w:t>
            </w:r>
            <w:r w:rsidR="006B78D8" w:rsidRPr="00487B86">
              <w:rPr>
                <w:rFonts w:cstheme="minorHAnsi"/>
                <w:sz w:val="20"/>
                <w:szCs w:val="20"/>
              </w:rPr>
              <w:t>facilitated two-day workshop</w:t>
            </w:r>
            <w:r w:rsidRPr="00487B86">
              <w:rPr>
                <w:rFonts w:cstheme="minorHAnsi"/>
                <w:sz w:val="20"/>
                <w:szCs w:val="20"/>
              </w:rPr>
              <w:t>s</w:t>
            </w:r>
            <w:r w:rsidR="006B78D8" w:rsidRPr="00487B86">
              <w:rPr>
                <w:rFonts w:cstheme="minorHAnsi"/>
                <w:sz w:val="20"/>
                <w:szCs w:val="20"/>
              </w:rPr>
              <w:t xml:space="preserve">, supported by the latest research. </w:t>
            </w:r>
            <w:r w:rsidR="00C2532A" w:rsidRPr="00487B86">
              <w:rPr>
                <w:rFonts w:cstheme="minorHAnsi"/>
                <w:sz w:val="20"/>
                <w:szCs w:val="20"/>
              </w:rPr>
              <w:t xml:space="preserve"> </w:t>
            </w:r>
            <w:r w:rsidR="00C44F67" w:rsidRPr="00487B86">
              <w:rPr>
                <w:rFonts w:cstheme="minorHAnsi"/>
                <w:sz w:val="20"/>
                <w:szCs w:val="20"/>
              </w:rPr>
              <w:t>O</w:t>
            </w:r>
            <w:r w:rsidR="00C2532A" w:rsidRPr="00487B86">
              <w:rPr>
                <w:rFonts w:cstheme="minorHAnsi"/>
                <w:sz w:val="20"/>
                <w:szCs w:val="20"/>
              </w:rPr>
              <w:t>ne</w:t>
            </w:r>
            <w:r w:rsidR="00C44F67" w:rsidRPr="00487B86">
              <w:rPr>
                <w:rFonts w:cstheme="minorHAnsi"/>
                <w:sz w:val="20"/>
                <w:szCs w:val="20"/>
              </w:rPr>
              <w:t xml:space="preserve"> workshop will </w:t>
            </w:r>
            <w:r w:rsidR="00C2532A" w:rsidRPr="00487B86">
              <w:rPr>
                <w:rFonts w:cstheme="minorHAnsi"/>
                <w:sz w:val="20"/>
                <w:szCs w:val="20"/>
              </w:rPr>
              <w:t xml:space="preserve">focus on outward-facing issues (making progress on a public policy or program issue) and one on </w:t>
            </w:r>
            <w:r w:rsidR="00C44F67" w:rsidRPr="00487B86">
              <w:rPr>
                <w:rFonts w:cstheme="minorHAnsi"/>
                <w:sz w:val="20"/>
                <w:szCs w:val="20"/>
              </w:rPr>
              <w:t xml:space="preserve">an </w:t>
            </w:r>
            <w:r w:rsidR="00C41318" w:rsidRPr="00487B86">
              <w:rPr>
                <w:rFonts w:cstheme="minorHAnsi"/>
                <w:sz w:val="20"/>
                <w:szCs w:val="20"/>
              </w:rPr>
              <w:t>inward-facing issue</w:t>
            </w:r>
            <w:r w:rsidR="00C2532A" w:rsidRPr="00487B86">
              <w:rPr>
                <w:rFonts w:cstheme="minorHAnsi"/>
                <w:sz w:val="20"/>
                <w:szCs w:val="20"/>
              </w:rPr>
              <w:t xml:space="preserve"> (making progress on a public management issue). </w:t>
            </w:r>
          </w:p>
          <w:p w14:paraId="3DEFB766" w14:textId="63F7EE35" w:rsidR="006B78D8" w:rsidRPr="00487B86" w:rsidRDefault="006B78D8" w:rsidP="00A55465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To be considered/selected, an issue must be of immediate and high importance to more than one jurisdiction; be one where ANZSOG can add value beyond existing mechanisms (e.g. COAG, standing committees of officials), and where there is capacity to quickly leverage a useful evidence base and an appropriate facilitator.</w:t>
            </w:r>
            <w:r w:rsidRPr="00487B86">
              <w:rPr>
                <w:rFonts w:cstheme="minorHAnsi"/>
                <w:sz w:val="20"/>
                <w:szCs w:val="20"/>
              </w:rPr>
              <w:br w:type="page"/>
            </w:r>
          </w:p>
          <w:p w14:paraId="0861DD8C" w14:textId="77777777" w:rsidR="00035A93" w:rsidRPr="00487B86" w:rsidRDefault="00035A9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43E9E743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Address key contemporary issues in public administration, policy development and management. </w:t>
            </w:r>
          </w:p>
          <w:p w14:paraId="6B846F53" w14:textId="0956E95F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Encourage and support collaborative and comparative research that can be of practical assistance to governments and the communities they serve.  </w:t>
            </w:r>
          </w:p>
          <w:p w14:paraId="52AFA635" w14:textId="5075F069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Draw on ANZSOG’s network of </w:t>
            </w:r>
            <w:r w:rsidR="003801F3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="008F4E9E">
              <w:rPr>
                <w:rFonts w:cstheme="minorHAnsi"/>
                <w:sz w:val="20"/>
                <w:szCs w:val="20"/>
                <w:lang w:val="en-US"/>
              </w:rPr>
              <w:t>cademics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, practitioners and member governments in Australia and New Zealand to contribute to, support and invest in the research program. </w:t>
            </w:r>
          </w:p>
          <w:p w14:paraId="2D7CEC79" w14:textId="77777777" w:rsidR="00035A93" w:rsidRPr="00487B86" w:rsidRDefault="00035A93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90569" w14:paraId="02E122B8" w14:textId="77777777" w:rsidTr="2CA3D172">
        <w:tc>
          <w:tcPr>
            <w:tcW w:w="1696" w:type="dxa"/>
          </w:tcPr>
          <w:p w14:paraId="10D54341" w14:textId="77777777" w:rsidR="00890569" w:rsidRPr="000301CD" w:rsidRDefault="00890569" w:rsidP="00890569">
            <w:pPr>
              <w:rPr>
                <w:b/>
                <w:bCs/>
                <w:lang w:val="en-US"/>
              </w:rPr>
            </w:pPr>
            <w:r w:rsidRPr="000301CD">
              <w:rPr>
                <w:b/>
                <w:bCs/>
                <w:lang w:val="en-US"/>
              </w:rPr>
              <w:t xml:space="preserve">Immediate Focus Areas </w:t>
            </w:r>
          </w:p>
        </w:tc>
        <w:tc>
          <w:tcPr>
            <w:tcW w:w="3845" w:type="dxa"/>
          </w:tcPr>
          <w:p w14:paraId="6081D2E1" w14:textId="40AF834A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To finalise a detailed implementation plan with a focus on four priority areas: 1. Invest in contemporary programs, resources and technology; 2. Attract, develop, retain, and provide succession planning for exception</w:t>
            </w:r>
            <w:r w:rsidR="007E0987">
              <w:rPr>
                <w:rFonts w:cstheme="minorHAnsi"/>
                <w:sz w:val="20"/>
                <w:szCs w:val="20"/>
                <w:lang w:val="en-US"/>
              </w:rPr>
              <w:t>al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faculty (academics/practitioners); 3. Deliver a quality learner-centred experience across all programs, and 4. Incorporate </w:t>
            </w:r>
            <w:proofErr w:type="spellStart"/>
            <w:r w:rsidRPr="00487B86">
              <w:rPr>
                <w:rFonts w:cstheme="minorHAnsi"/>
                <w:sz w:val="20"/>
                <w:szCs w:val="20"/>
                <w:lang w:val="en-US"/>
              </w:rPr>
              <w:t>modulari</w:t>
            </w:r>
            <w:r w:rsidR="007E0987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>ed</w:t>
            </w:r>
            <w:proofErr w:type="spellEnd"/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and blended learning.</w:t>
            </w:r>
          </w:p>
        </w:tc>
        <w:tc>
          <w:tcPr>
            <w:tcW w:w="3845" w:type="dxa"/>
          </w:tcPr>
          <w:p w14:paraId="3EE7B8F2" w14:textId="083189D5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The renewal of Foundation Principles, new Module/Content Development, the </w:t>
            </w:r>
          </w:p>
          <w:p w14:paraId="6F83D967" w14:textId="47829981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the Review of Programs in public administration, management and policy and delivery models and talent engagement through a new Faculty Appointment Panel (FAP).</w:t>
            </w:r>
          </w:p>
        </w:tc>
        <w:tc>
          <w:tcPr>
            <w:tcW w:w="3845" w:type="dxa"/>
          </w:tcPr>
          <w:p w14:paraId="05802456" w14:textId="009697FB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The progressive review of subject areas, including: Delivering Public Value (DPV), Managing Public Sector Organisations (MPSO), and Decision-Making Under Uncertainty (</w:t>
            </w:r>
            <w:r w:rsidR="006379A0" w:rsidRPr="00487B86">
              <w:rPr>
                <w:rFonts w:cstheme="minorHAnsi"/>
                <w:sz w:val="20"/>
                <w:szCs w:val="20"/>
                <w:lang w:val="en-US"/>
              </w:rPr>
              <w:t>DMMU) and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the development of teaching materials.</w:t>
            </w:r>
          </w:p>
          <w:p w14:paraId="1FFEA9F9" w14:textId="664C2124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1A061AF" w14:textId="385FC435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Roll out of Learning Management System.</w:t>
            </w:r>
          </w:p>
          <w:p w14:paraId="30383230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76EA3952" w14:textId="1758D169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To gauge support, identify and gain agreement on the issue(s) for each workshop, design, deliver and review before the end of 2019.</w:t>
            </w:r>
          </w:p>
        </w:tc>
        <w:tc>
          <w:tcPr>
            <w:tcW w:w="3845" w:type="dxa"/>
          </w:tcPr>
          <w:p w14:paraId="5D6C92FB" w14:textId="50AA3BB0" w:rsidR="001F6596" w:rsidRPr="00487B86" w:rsidRDefault="00890569" w:rsidP="00890569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 xml:space="preserve">Design </w:t>
            </w:r>
            <w:r w:rsidR="001F6596" w:rsidRPr="00487B86">
              <w:rPr>
                <w:rFonts w:cstheme="minorHAnsi"/>
                <w:sz w:val="20"/>
                <w:szCs w:val="20"/>
              </w:rPr>
              <w:t>and seek government/</w:t>
            </w:r>
            <w:r w:rsidR="00C41318" w:rsidRPr="00487B86">
              <w:rPr>
                <w:rFonts w:cstheme="minorHAnsi"/>
                <w:sz w:val="20"/>
                <w:szCs w:val="20"/>
              </w:rPr>
              <w:t>university support</w:t>
            </w:r>
            <w:r w:rsidR="001F6596" w:rsidRPr="00487B86">
              <w:rPr>
                <w:rFonts w:cstheme="minorHAnsi"/>
                <w:sz w:val="20"/>
                <w:szCs w:val="20"/>
              </w:rPr>
              <w:t xml:space="preserve"> for </w:t>
            </w:r>
            <w:r w:rsidR="008F4E9E">
              <w:rPr>
                <w:rFonts w:cstheme="minorHAnsi"/>
                <w:sz w:val="20"/>
                <w:szCs w:val="20"/>
              </w:rPr>
              <w:t xml:space="preserve">the </w:t>
            </w:r>
            <w:r w:rsidRPr="00487B86">
              <w:rPr>
                <w:rFonts w:cstheme="minorHAnsi"/>
                <w:sz w:val="20"/>
                <w:szCs w:val="20"/>
              </w:rPr>
              <w:t>new operational model</w:t>
            </w:r>
            <w:r w:rsidR="001F6596" w:rsidRPr="00487B86">
              <w:rPr>
                <w:rFonts w:cstheme="minorHAnsi"/>
                <w:sz w:val="20"/>
                <w:szCs w:val="20"/>
              </w:rPr>
              <w:t>.</w:t>
            </w:r>
          </w:p>
          <w:p w14:paraId="1DDB4434" w14:textId="77777777" w:rsidR="00DA3E6D" w:rsidRPr="00487B86" w:rsidRDefault="00DA3E6D" w:rsidP="00890569">
            <w:pPr>
              <w:rPr>
                <w:rFonts w:cstheme="minorHAnsi"/>
                <w:sz w:val="20"/>
                <w:szCs w:val="20"/>
              </w:rPr>
            </w:pPr>
          </w:p>
          <w:p w14:paraId="12A5EF7C" w14:textId="72CB6583" w:rsidR="00890569" w:rsidRPr="00487B86" w:rsidRDefault="00890569" w:rsidP="00890569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Establish new governance, including oversight through the reconstituted Research Committee, and advisory committees for individual projects.</w:t>
            </w:r>
          </w:p>
        </w:tc>
      </w:tr>
      <w:tr w:rsidR="00890569" w14:paraId="3C35BC3B" w14:textId="77777777" w:rsidTr="2CA3D172">
        <w:tc>
          <w:tcPr>
            <w:tcW w:w="1696" w:type="dxa"/>
          </w:tcPr>
          <w:p w14:paraId="11FDA8F0" w14:textId="77777777" w:rsidR="00890569" w:rsidRPr="000301CD" w:rsidRDefault="00890569" w:rsidP="00890569">
            <w:pPr>
              <w:rPr>
                <w:b/>
                <w:bCs/>
                <w:lang w:val="en-US"/>
              </w:rPr>
            </w:pPr>
            <w:r w:rsidRPr="000301CD">
              <w:rPr>
                <w:b/>
                <w:bCs/>
                <w:lang w:val="en-US"/>
              </w:rPr>
              <w:t>Descriptions of Success</w:t>
            </w:r>
          </w:p>
        </w:tc>
        <w:tc>
          <w:tcPr>
            <w:tcW w:w="3845" w:type="dxa"/>
          </w:tcPr>
          <w:p w14:paraId="0839C18D" w14:textId="5F60FF7B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Innovative, contemporary, leading-edge and inclusive programs that fulfil the ANZSOG vision by meeting the teaching and learning needs of government and public sector leaders, including First Peoples and their perspectives and contributions.</w:t>
            </w:r>
          </w:p>
          <w:p w14:paraId="4B46CC97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4BE26258" w14:textId="6C93252A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Innovative, contemporary and leading-edge programs that fulfil the ANZSOG vision by meeting the needs of government and public sector leaders.</w:t>
            </w:r>
          </w:p>
          <w:p w14:paraId="76239FAF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7937A1EE" w14:textId="75F8FFAA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7B86">
              <w:rPr>
                <w:rFonts w:cstheme="minorHAnsi"/>
                <w:sz w:val="20"/>
                <w:szCs w:val="20"/>
                <w:lang w:val="en-US"/>
              </w:rPr>
              <w:t>An EMPA that is aligned to the ANZSOG mission, fit-for-purpose and forward looking</w:t>
            </w:r>
            <w:r w:rsidR="003801F3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487B86">
              <w:rPr>
                <w:rFonts w:cstheme="minorHAnsi"/>
                <w:sz w:val="20"/>
                <w:szCs w:val="20"/>
                <w:lang w:val="en-US"/>
              </w:rPr>
              <w:t xml:space="preserve"> and recognised as such by governments, public sector commissions and participants. The completion of each subject immediately adds significant value to participants in their public sector role.</w:t>
            </w:r>
          </w:p>
          <w:p w14:paraId="4FB1ECD1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4C9AF220" w14:textId="2A4F4EFE" w:rsidR="00890569" w:rsidRPr="00487B86" w:rsidRDefault="00890569" w:rsidP="00890569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Genuine, actionable outcomes, creation of cross-jurisdictional learning communities;</w:t>
            </w:r>
          </w:p>
          <w:p w14:paraId="257A6F5F" w14:textId="4BE89D4A" w:rsidR="00890569" w:rsidRPr="00487B86" w:rsidRDefault="00890569" w:rsidP="00890569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the development of new materials on well-chosen contemporary issues that can be used by ANZSOG teaching programs and potential issues for further research;</w:t>
            </w:r>
          </w:p>
          <w:p w14:paraId="650F6275" w14:textId="596B4F58" w:rsidR="00890569" w:rsidRPr="00487B86" w:rsidRDefault="00890569" w:rsidP="00890569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Identification of potential members of the ANZSOG Faculty.</w:t>
            </w:r>
          </w:p>
          <w:p w14:paraId="77D6EBA8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45" w:type="dxa"/>
          </w:tcPr>
          <w:p w14:paraId="762803C1" w14:textId="77777777" w:rsidR="00D743D4" w:rsidRPr="00487B86" w:rsidRDefault="00D743D4" w:rsidP="00D743D4">
            <w:pPr>
              <w:rPr>
                <w:rFonts w:cstheme="minorHAnsi"/>
                <w:sz w:val="20"/>
                <w:szCs w:val="20"/>
              </w:rPr>
            </w:pPr>
            <w:r w:rsidRPr="00487B86">
              <w:rPr>
                <w:rFonts w:cstheme="minorHAnsi"/>
                <w:sz w:val="20"/>
                <w:szCs w:val="20"/>
              </w:rPr>
              <w:t>A high-impact and focussed research agenda that strengthens ANZSOG’s unique value proposition of operating at the intersection of public administration academia and practice and leverages significant levels of co-funding from partners.</w:t>
            </w:r>
          </w:p>
          <w:p w14:paraId="0B1B9527" w14:textId="77777777" w:rsidR="00890569" w:rsidRPr="00487B86" w:rsidRDefault="00890569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90569" w14:paraId="1D7B9951" w14:textId="77777777" w:rsidTr="00462FEF">
        <w:trPr>
          <w:trHeight w:val="628"/>
        </w:trPr>
        <w:tc>
          <w:tcPr>
            <w:tcW w:w="1696" w:type="dxa"/>
          </w:tcPr>
          <w:p w14:paraId="7482ECB6" w14:textId="77777777" w:rsidR="00890569" w:rsidRPr="000301CD" w:rsidRDefault="00890569" w:rsidP="00890569">
            <w:pPr>
              <w:rPr>
                <w:b/>
                <w:bCs/>
                <w:lang w:val="en-US"/>
              </w:rPr>
            </w:pPr>
            <w:r w:rsidRPr="000301CD">
              <w:rPr>
                <w:b/>
                <w:bCs/>
                <w:lang w:val="en-US"/>
              </w:rPr>
              <w:t>Measures of Success</w:t>
            </w:r>
          </w:p>
        </w:tc>
        <w:tc>
          <w:tcPr>
            <w:tcW w:w="3845" w:type="dxa"/>
          </w:tcPr>
          <w:p w14:paraId="5DBFF4AE" w14:textId="6AB423B1" w:rsidR="00890569" w:rsidRPr="00487B86" w:rsidRDefault="00656B03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Impact, Quality/Excellence</w:t>
            </w:r>
            <w:r w:rsidR="00531EC0">
              <w:rPr>
                <w:rFonts w:cstheme="minorHAnsi"/>
                <w:sz w:val="20"/>
                <w:szCs w:val="20"/>
                <w:lang w:val="en-US"/>
              </w:rPr>
              <w:t xml:space="preserve">, Organisational Stewardship (governance, financial sustainable and brand/reputation) </w:t>
            </w:r>
          </w:p>
        </w:tc>
        <w:tc>
          <w:tcPr>
            <w:tcW w:w="3845" w:type="dxa"/>
          </w:tcPr>
          <w:p w14:paraId="281AAD13" w14:textId="57E7F0DB" w:rsidR="00890569" w:rsidRPr="00487B86" w:rsidRDefault="009C247B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Impact, Quality/Excellence, Organisational Stewardship (governance, financial sustainable and brand/reputation)</w:t>
            </w:r>
          </w:p>
        </w:tc>
        <w:tc>
          <w:tcPr>
            <w:tcW w:w="3845" w:type="dxa"/>
          </w:tcPr>
          <w:p w14:paraId="226E8107" w14:textId="15D06DAA" w:rsidR="00890569" w:rsidRPr="00487B86" w:rsidRDefault="009C247B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Impact, Quality/Excellence, Organisational Stewardship (governance, financial sustainable and brand/reputation)</w:t>
            </w:r>
          </w:p>
        </w:tc>
        <w:tc>
          <w:tcPr>
            <w:tcW w:w="3845" w:type="dxa"/>
          </w:tcPr>
          <w:p w14:paraId="0458BC31" w14:textId="7AA91076" w:rsidR="00890569" w:rsidRPr="00487B86" w:rsidRDefault="009C247B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Impact, Quality/Excellence, Organisational Stewardship (governance, financial sustainable and brand/reputation)</w:t>
            </w:r>
          </w:p>
        </w:tc>
        <w:tc>
          <w:tcPr>
            <w:tcW w:w="3845" w:type="dxa"/>
          </w:tcPr>
          <w:p w14:paraId="5B3864B0" w14:textId="107DC127" w:rsidR="00890569" w:rsidRPr="00487B86" w:rsidRDefault="009C247B" w:rsidP="0089056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Impact, Quality/Excellence, Organisational Stewardship (governance, financial sustainable and brand/reputation)</w:t>
            </w:r>
          </w:p>
        </w:tc>
      </w:tr>
    </w:tbl>
    <w:p w14:paraId="0793B03E" w14:textId="77777777" w:rsidR="00035A93" w:rsidRDefault="00035A93">
      <w:pPr>
        <w:rPr>
          <w:lang w:val="en-US"/>
        </w:rPr>
      </w:pPr>
    </w:p>
    <w:p w14:paraId="6C093A3F" w14:textId="17EA44BD" w:rsidR="00035A93" w:rsidRPr="00035A93" w:rsidRDefault="00035A93" w:rsidP="00493B15">
      <w:pPr>
        <w:rPr>
          <w:lang w:val="en-US"/>
        </w:rPr>
      </w:pPr>
    </w:p>
    <w:sectPr w:rsidR="00035A93" w:rsidRPr="00035A93" w:rsidSect="00AB4103">
      <w:headerReference w:type="default" r:id="rId10"/>
      <w:footerReference w:type="default" r:id="rId11"/>
      <w:pgSz w:w="23811" w:h="16838" w:orient="landscape" w:code="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7318" w14:textId="77777777" w:rsidR="00760D38" w:rsidRDefault="00760D38" w:rsidP="00D2582C">
      <w:pPr>
        <w:spacing w:after="0" w:line="240" w:lineRule="auto"/>
      </w:pPr>
      <w:r>
        <w:separator/>
      </w:r>
    </w:p>
  </w:endnote>
  <w:endnote w:type="continuationSeparator" w:id="0">
    <w:p w14:paraId="4DA04340" w14:textId="77777777" w:rsidR="00760D38" w:rsidRDefault="00760D38" w:rsidP="00D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6107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BDEFBDB" w14:textId="5BC186D5" w:rsidR="0034476D" w:rsidRPr="0034476D" w:rsidRDefault="0034476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4476D">
          <w:rPr>
            <w:rFonts w:ascii="Arial" w:hAnsi="Arial" w:cs="Arial"/>
            <w:sz w:val="16"/>
            <w:szCs w:val="16"/>
          </w:rPr>
          <w:fldChar w:fldCharType="begin"/>
        </w:r>
        <w:r w:rsidRPr="0034476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4476D">
          <w:rPr>
            <w:rFonts w:ascii="Arial" w:hAnsi="Arial" w:cs="Arial"/>
            <w:sz w:val="16"/>
            <w:szCs w:val="16"/>
          </w:rPr>
          <w:fldChar w:fldCharType="separate"/>
        </w:r>
        <w:r w:rsidRPr="0034476D">
          <w:rPr>
            <w:rFonts w:ascii="Arial" w:hAnsi="Arial" w:cs="Arial"/>
            <w:noProof/>
            <w:sz w:val="16"/>
            <w:szCs w:val="16"/>
          </w:rPr>
          <w:t>2</w:t>
        </w:r>
        <w:r w:rsidRPr="0034476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4DB1139" w14:textId="77777777" w:rsidR="0034476D" w:rsidRDefault="0034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214B" w14:textId="77777777" w:rsidR="00760D38" w:rsidRDefault="00760D38" w:rsidP="00D2582C">
      <w:pPr>
        <w:spacing w:after="0" w:line="240" w:lineRule="auto"/>
      </w:pPr>
      <w:r>
        <w:separator/>
      </w:r>
    </w:p>
  </w:footnote>
  <w:footnote w:type="continuationSeparator" w:id="0">
    <w:p w14:paraId="4CBD1E3F" w14:textId="77777777" w:rsidR="00760D38" w:rsidRDefault="00760D38" w:rsidP="00D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5FBB" w14:textId="261EB68D" w:rsidR="00493B15" w:rsidRDefault="0008587F" w:rsidP="00493B15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0651716C" w14:textId="26087021" w:rsidR="008A0AB9" w:rsidRPr="00493B15" w:rsidRDefault="008A0AB9" w:rsidP="0049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07C"/>
    <w:multiLevelType w:val="hybridMultilevel"/>
    <w:tmpl w:val="D8048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8D0"/>
    <w:multiLevelType w:val="hybridMultilevel"/>
    <w:tmpl w:val="8672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D53"/>
    <w:multiLevelType w:val="hybridMultilevel"/>
    <w:tmpl w:val="17187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36D81"/>
    <w:multiLevelType w:val="hybridMultilevel"/>
    <w:tmpl w:val="A9E8CAEA"/>
    <w:lvl w:ilvl="0" w:tplc="67B4D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7D00"/>
    <w:multiLevelType w:val="hybridMultilevel"/>
    <w:tmpl w:val="5C78F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3524"/>
    <w:multiLevelType w:val="hybridMultilevel"/>
    <w:tmpl w:val="75BAD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62BA"/>
    <w:multiLevelType w:val="hybridMultilevel"/>
    <w:tmpl w:val="42CCE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7471"/>
    <w:multiLevelType w:val="hybridMultilevel"/>
    <w:tmpl w:val="E0E66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D26DA"/>
    <w:multiLevelType w:val="hybridMultilevel"/>
    <w:tmpl w:val="D70C7690"/>
    <w:lvl w:ilvl="0" w:tplc="86B2F8EA">
      <w:start w:val="1"/>
      <w:numFmt w:val="decimal"/>
      <w:pStyle w:val="ANZSOGNumberedTex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1EB"/>
    <w:multiLevelType w:val="hybridMultilevel"/>
    <w:tmpl w:val="EB523B6E"/>
    <w:lvl w:ilvl="0" w:tplc="8B20B2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ADFC418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715405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DE24C0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1D908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AE64F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5DCCF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901C230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AFA4DC5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BF5DC0"/>
    <w:multiLevelType w:val="hybridMultilevel"/>
    <w:tmpl w:val="B84828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C403F"/>
    <w:multiLevelType w:val="hybridMultilevel"/>
    <w:tmpl w:val="DF6E05C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81C82">
      <w:start w:val="1"/>
      <w:numFmt w:val="bullet"/>
      <w:lvlText w:val="-"/>
      <w:lvlJc w:val="left"/>
      <w:pPr>
        <w:ind w:left="2160" w:hanging="180"/>
      </w:pPr>
      <w:rPr>
        <w:rFonts w:ascii="Arial" w:eastAsiaTheme="minorHAnsi" w:hAnsi="Arial" w:cs="Arial" w:hint="default"/>
      </w:rPr>
    </w:lvl>
    <w:lvl w:ilvl="3" w:tplc="BF581C8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BB36B3D6">
      <w:numFmt w:val="bullet"/>
      <w:lvlText w:val="–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84A"/>
    <w:multiLevelType w:val="hybridMultilevel"/>
    <w:tmpl w:val="D7A8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E2611"/>
    <w:multiLevelType w:val="hybridMultilevel"/>
    <w:tmpl w:val="330C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D2A"/>
    <w:multiLevelType w:val="hybridMultilevel"/>
    <w:tmpl w:val="74FEC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3"/>
    <w:rsid w:val="00015702"/>
    <w:rsid w:val="00020707"/>
    <w:rsid w:val="000301CD"/>
    <w:rsid w:val="00035A93"/>
    <w:rsid w:val="0006138E"/>
    <w:rsid w:val="0008587F"/>
    <w:rsid w:val="00091A16"/>
    <w:rsid w:val="00095DD3"/>
    <w:rsid w:val="000A20B5"/>
    <w:rsid w:val="000A211C"/>
    <w:rsid w:val="0011473A"/>
    <w:rsid w:val="00131773"/>
    <w:rsid w:val="00143C89"/>
    <w:rsid w:val="00163B0E"/>
    <w:rsid w:val="001714CB"/>
    <w:rsid w:val="00182E0A"/>
    <w:rsid w:val="00196923"/>
    <w:rsid w:val="00197716"/>
    <w:rsid w:val="001B12E2"/>
    <w:rsid w:val="001E1539"/>
    <w:rsid w:val="001E4CAB"/>
    <w:rsid w:val="001F2CB1"/>
    <w:rsid w:val="001F6596"/>
    <w:rsid w:val="002232EB"/>
    <w:rsid w:val="002410CC"/>
    <w:rsid w:val="002433F0"/>
    <w:rsid w:val="00243A28"/>
    <w:rsid w:val="0026610E"/>
    <w:rsid w:val="002963C8"/>
    <w:rsid w:val="002A001F"/>
    <w:rsid w:val="002B5A60"/>
    <w:rsid w:val="002C2AA3"/>
    <w:rsid w:val="002D0688"/>
    <w:rsid w:val="002F048C"/>
    <w:rsid w:val="00304B66"/>
    <w:rsid w:val="00331A9B"/>
    <w:rsid w:val="0034476D"/>
    <w:rsid w:val="003633C5"/>
    <w:rsid w:val="003702D4"/>
    <w:rsid w:val="003801F3"/>
    <w:rsid w:val="00382DF1"/>
    <w:rsid w:val="00392681"/>
    <w:rsid w:val="0039755D"/>
    <w:rsid w:val="003A0B15"/>
    <w:rsid w:val="00407F5C"/>
    <w:rsid w:val="004455FF"/>
    <w:rsid w:val="004472DD"/>
    <w:rsid w:val="004544B1"/>
    <w:rsid w:val="00454A9B"/>
    <w:rsid w:val="00462FEF"/>
    <w:rsid w:val="00484DFC"/>
    <w:rsid w:val="00487B86"/>
    <w:rsid w:val="00493B15"/>
    <w:rsid w:val="004958CA"/>
    <w:rsid w:val="004B0608"/>
    <w:rsid w:val="004C08CA"/>
    <w:rsid w:val="004C270E"/>
    <w:rsid w:val="004C5533"/>
    <w:rsid w:val="004E12A7"/>
    <w:rsid w:val="004F269B"/>
    <w:rsid w:val="00531EC0"/>
    <w:rsid w:val="00540926"/>
    <w:rsid w:val="00554FAE"/>
    <w:rsid w:val="0058544B"/>
    <w:rsid w:val="005B1762"/>
    <w:rsid w:val="005C03D5"/>
    <w:rsid w:val="005F50A4"/>
    <w:rsid w:val="006124EE"/>
    <w:rsid w:val="0062025D"/>
    <w:rsid w:val="006351B1"/>
    <w:rsid w:val="006379A0"/>
    <w:rsid w:val="0064654B"/>
    <w:rsid w:val="0065210D"/>
    <w:rsid w:val="00656B03"/>
    <w:rsid w:val="00690565"/>
    <w:rsid w:val="006B78D8"/>
    <w:rsid w:val="006D70F0"/>
    <w:rsid w:val="006F3F15"/>
    <w:rsid w:val="0072122C"/>
    <w:rsid w:val="00760D38"/>
    <w:rsid w:val="00770C58"/>
    <w:rsid w:val="00775C37"/>
    <w:rsid w:val="00781126"/>
    <w:rsid w:val="007825A1"/>
    <w:rsid w:val="007863D4"/>
    <w:rsid w:val="00786B25"/>
    <w:rsid w:val="00791023"/>
    <w:rsid w:val="007B2F09"/>
    <w:rsid w:val="007D4365"/>
    <w:rsid w:val="007E0987"/>
    <w:rsid w:val="007E7287"/>
    <w:rsid w:val="00811F6C"/>
    <w:rsid w:val="008147A7"/>
    <w:rsid w:val="00832325"/>
    <w:rsid w:val="00842D0E"/>
    <w:rsid w:val="00857C64"/>
    <w:rsid w:val="00875029"/>
    <w:rsid w:val="00890569"/>
    <w:rsid w:val="008A0AB9"/>
    <w:rsid w:val="008B4965"/>
    <w:rsid w:val="008C4CAA"/>
    <w:rsid w:val="008C4E3A"/>
    <w:rsid w:val="008F4E9E"/>
    <w:rsid w:val="008F5FCC"/>
    <w:rsid w:val="00912D37"/>
    <w:rsid w:val="009249EA"/>
    <w:rsid w:val="00952622"/>
    <w:rsid w:val="00965CB9"/>
    <w:rsid w:val="009734DC"/>
    <w:rsid w:val="0099058F"/>
    <w:rsid w:val="0099603E"/>
    <w:rsid w:val="00997A6B"/>
    <w:rsid w:val="009A1E4B"/>
    <w:rsid w:val="009C247B"/>
    <w:rsid w:val="00A46E8F"/>
    <w:rsid w:val="00A55465"/>
    <w:rsid w:val="00A55FB3"/>
    <w:rsid w:val="00A6180C"/>
    <w:rsid w:val="00A63660"/>
    <w:rsid w:val="00A81440"/>
    <w:rsid w:val="00AB4103"/>
    <w:rsid w:val="00AB5E8F"/>
    <w:rsid w:val="00AB6AC5"/>
    <w:rsid w:val="00AD5663"/>
    <w:rsid w:val="00AE4E6E"/>
    <w:rsid w:val="00AE718B"/>
    <w:rsid w:val="00B5236D"/>
    <w:rsid w:val="00B52548"/>
    <w:rsid w:val="00BC0FCF"/>
    <w:rsid w:val="00BF21D0"/>
    <w:rsid w:val="00C035E3"/>
    <w:rsid w:val="00C12305"/>
    <w:rsid w:val="00C133A9"/>
    <w:rsid w:val="00C13757"/>
    <w:rsid w:val="00C2532A"/>
    <w:rsid w:val="00C363C9"/>
    <w:rsid w:val="00C41318"/>
    <w:rsid w:val="00C43930"/>
    <w:rsid w:val="00C44F67"/>
    <w:rsid w:val="00C54CF1"/>
    <w:rsid w:val="00C61D37"/>
    <w:rsid w:val="00C62A8D"/>
    <w:rsid w:val="00C631B7"/>
    <w:rsid w:val="00C633C3"/>
    <w:rsid w:val="00C74F80"/>
    <w:rsid w:val="00C92F53"/>
    <w:rsid w:val="00CA1423"/>
    <w:rsid w:val="00CA521E"/>
    <w:rsid w:val="00CC604A"/>
    <w:rsid w:val="00CE43F3"/>
    <w:rsid w:val="00D023AF"/>
    <w:rsid w:val="00D2351C"/>
    <w:rsid w:val="00D2582C"/>
    <w:rsid w:val="00D612E5"/>
    <w:rsid w:val="00D743D4"/>
    <w:rsid w:val="00D77B2F"/>
    <w:rsid w:val="00D93D21"/>
    <w:rsid w:val="00DA3E6D"/>
    <w:rsid w:val="00DA5F83"/>
    <w:rsid w:val="00DB5AAD"/>
    <w:rsid w:val="00DC1A5F"/>
    <w:rsid w:val="00DD5F15"/>
    <w:rsid w:val="00DF7C64"/>
    <w:rsid w:val="00E13285"/>
    <w:rsid w:val="00E17DDC"/>
    <w:rsid w:val="00E23CA0"/>
    <w:rsid w:val="00E46A79"/>
    <w:rsid w:val="00E46B67"/>
    <w:rsid w:val="00E53B38"/>
    <w:rsid w:val="00E61598"/>
    <w:rsid w:val="00E67FAC"/>
    <w:rsid w:val="00EB326E"/>
    <w:rsid w:val="00EC0EF7"/>
    <w:rsid w:val="00ED63D5"/>
    <w:rsid w:val="00EF0BB5"/>
    <w:rsid w:val="00F23235"/>
    <w:rsid w:val="00F449B3"/>
    <w:rsid w:val="00F523CA"/>
    <w:rsid w:val="00F556B9"/>
    <w:rsid w:val="00F703F5"/>
    <w:rsid w:val="00F714A4"/>
    <w:rsid w:val="00F72889"/>
    <w:rsid w:val="2CA3D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644D"/>
  <w15:chartTrackingRefBased/>
  <w15:docId w15:val="{A9582CB0-745A-4134-BBCE-7597AF8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11C"/>
    <w:pPr>
      <w:ind w:left="720"/>
      <w:contextualSpacing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0A211C"/>
    <w:rPr>
      <w:i/>
      <w:iCs/>
    </w:rPr>
  </w:style>
  <w:style w:type="paragraph" w:customStyle="1" w:styleId="ANZSOGNumberedText">
    <w:name w:val="ANZSOG Numbered Text"/>
    <w:qFormat/>
    <w:rsid w:val="00554FAE"/>
    <w:pPr>
      <w:numPr>
        <w:numId w:val="5"/>
      </w:numPr>
      <w:suppressAutoHyphens/>
      <w:spacing w:after="120" w:line="240" w:lineRule="auto"/>
    </w:pPr>
    <w:rPr>
      <w:rFonts w:ascii="Calibri Light" w:eastAsia="MS Mincho" w:hAnsi="Calibri Light" w:cs="Times New Roman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82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82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8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03"/>
  </w:style>
  <w:style w:type="paragraph" w:styleId="Footer">
    <w:name w:val="footer"/>
    <w:basedOn w:val="Normal"/>
    <w:link w:val="FooterChar"/>
    <w:uiPriority w:val="99"/>
    <w:unhideWhenUsed/>
    <w:rsid w:val="00AB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03"/>
  </w:style>
  <w:style w:type="paragraph" w:customStyle="1" w:styleId="ANZSOGH8">
    <w:name w:val="ANZSOG H8"/>
    <w:basedOn w:val="Normal"/>
    <w:qFormat/>
    <w:rsid w:val="008A0AB9"/>
    <w:pPr>
      <w:suppressAutoHyphens/>
      <w:spacing w:before="180" w:after="0" w:line="240" w:lineRule="auto"/>
    </w:pPr>
    <w:rPr>
      <w:rFonts w:ascii="Calibri Light" w:eastAsiaTheme="minorEastAsia" w:hAnsi="Calibri Light"/>
      <w:b/>
      <w:bCs/>
      <w:spacing w:val="4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9C2223DFDBB4FAB05C3745D564271" ma:contentTypeVersion="8" ma:contentTypeDescription="Create a new document." ma:contentTypeScope="" ma:versionID="e94c214fd6c27f3fa9deb8751c0561a9">
  <xsd:schema xmlns:xsd="http://www.w3.org/2001/XMLSchema" xmlns:xs="http://www.w3.org/2001/XMLSchema" xmlns:p="http://schemas.microsoft.com/office/2006/metadata/properties" xmlns:ns3="0d3f81cd-1800-4bef-8016-9d4bd513ff5f" xmlns:ns4="a7adfaea-d780-477c-bc86-196d3ad12b50" targetNamespace="http://schemas.microsoft.com/office/2006/metadata/properties" ma:root="true" ma:fieldsID="351dcd5f6a324d51284a0bc7f96bf8a9" ns3:_="" ns4:_="">
    <xsd:import namespace="0d3f81cd-1800-4bef-8016-9d4bd513ff5f"/>
    <xsd:import namespace="a7adfaea-d780-477c-bc86-196d3ad12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cd-1800-4bef-8016-9d4bd513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dfaea-d780-477c-bc86-196d3ad12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1BFB0-5F52-4627-A83E-1877BBD0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f81cd-1800-4bef-8016-9d4bd513ff5f"/>
    <ds:schemaRef ds:uri="a7adfaea-d780-477c-bc86-196d3ad12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F42AF-4D9F-4602-8C04-70A4F9E0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D13A-9DE3-456E-B6BD-2443786FB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Madden</dc:creator>
  <cp:keywords/>
  <dc:description/>
  <cp:lastModifiedBy>Sonal Chanana</cp:lastModifiedBy>
  <cp:revision>3</cp:revision>
  <dcterms:created xsi:type="dcterms:W3CDTF">2019-09-19T00:02:00Z</dcterms:created>
  <dcterms:modified xsi:type="dcterms:W3CDTF">2019-09-19T02:11:00Z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0x010100C949C2223DFDBB4FAB05C3745D564271</vt:lpwstr>
  </property>
</Properties>
</file>