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49FAD" w14:textId="5BE0AC01" w:rsidR="00907260" w:rsidRPr="00E91375" w:rsidRDefault="00907260" w:rsidP="00907260">
      <w:pPr>
        <w:pStyle w:val="BodyText"/>
        <w:rPr>
          <w:rFonts w:asciiTheme="majorHAnsi" w:hAnsiTheme="majorHAnsi" w:cstheme="majorHAnsi"/>
        </w:rPr>
      </w:pPr>
      <w:r w:rsidRPr="00E91375">
        <w:rPr>
          <w:rFonts w:asciiTheme="majorHAnsi" w:hAnsiTheme="majorHAnsi" w:cstheme="majorHAnsi"/>
          <w:noProof/>
        </w:rPr>
        <w:drawing>
          <wp:anchor distT="0" distB="0" distL="114300" distR="114300" simplePos="0" relativeHeight="251657216" behindDoc="1" locked="1" layoutInCell="1" allowOverlap="1" wp14:anchorId="55338318" wp14:editId="1213E3D3">
            <wp:simplePos x="538163" y="1262063"/>
            <wp:positionH relativeFrom="page">
              <wp:align>left</wp:align>
            </wp:positionH>
            <wp:positionV relativeFrom="page">
              <wp:align>top</wp:align>
            </wp:positionV>
            <wp:extent cx="7560945" cy="10694670"/>
            <wp:effectExtent l="0" t="0" r="1905" b="0"/>
            <wp:wrapNone/>
            <wp:docPr id="7" name="Picture 7" descr="ANZSOG: Australia &amp; New Zealand School of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ZSOG: Australia &amp; New Zealand School of Govern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1057" cy="10695237"/>
                    </a:xfrm>
                    <a:prstGeom prst="rect">
                      <a:avLst/>
                    </a:prstGeom>
                  </pic:spPr>
                </pic:pic>
              </a:graphicData>
            </a:graphic>
            <wp14:sizeRelH relativeFrom="margin">
              <wp14:pctWidth>0</wp14:pctWidth>
            </wp14:sizeRelH>
            <wp14:sizeRelV relativeFrom="margin">
              <wp14:pctHeight>0</wp14:pctHeight>
            </wp14:sizeRelV>
          </wp:anchor>
        </w:drawing>
      </w:r>
    </w:p>
    <w:p w14:paraId="108B4B36" w14:textId="0C22B1C6" w:rsidR="007A14CF" w:rsidRDefault="00137D24" w:rsidP="00137D24">
      <w:pPr>
        <w:pStyle w:val="TitlePageTitle"/>
        <w:ind w:right="0"/>
      </w:pPr>
      <w:r w:rsidRPr="00137D24">
        <w:t>Impact Snapshot 2019-20</w:t>
      </w:r>
    </w:p>
    <w:p w14:paraId="78DA5354" w14:textId="5D38F3CA" w:rsidR="00FF42AF" w:rsidRPr="00B3427C" w:rsidRDefault="00137D24" w:rsidP="00B3427C">
      <w:pPr>
        <w:pStyle w:val="TitlePageDetails"/>
        <w:spacing w:before="8600"/>
        <w:jc w:val="right"/>
        <w:rPr>
          <w:color w:val="FFFFFF" w:themeColor="background1"/>
          <w:sz w:val="24"/>
          <w:szCs w:val="24"/>
        </w:rPr>
      </w:pPr>
      <w:r w:rsidRPr="00B3427C">
        <w:rPr>
          <w:color w:val="FFFFFF" w:themeColor="background1"/>
          <w:sz w:val="24"/>
          <w:szCs w:val="24"/>
        </w:rPr>
        <w:t xml:space="preserve">Owned by and working for the governments </w:t>
      </w:r>
      <w:r w:rsidRPr="00B3427C">
        <w:rPr>
          <w:color w:val="FFFFFF" w:themeColor="background1"/>
          <w:sz w:val="24"/>
          <w:szCs w:val="24"/>
        </w:rPr>
        <w:br/>
        <w:t>of Australia and Aotearoa-New Zealand</w:t>
      </w:r>
      <w:r w:rsidR="00FF42AF" w:rsidRPr="00E91375">
        <w:rPr>
          <w:rFonts w:asciiTheme="majorHAnsi" w:hAnsiTheme="majorHAnsi" w:cstheme="majorHAnsi"/>
        </w:rPr>
        <w:br w:type="page"/>
      </w:r>
    </w:p>
    <w:sdt>
      <w:sdtPr>
        <w:rPr>
          <w:rFonts w:asciiTheme="minorHAnsi" w:eastAsiaTheme="minorHAnsi" w:hAnsiTheme="minorHAnsi" w:cstheme="majorHAnsi"/>
          <w:b w:val="0"/>
          <w:bCs w:val="0"/>
          <w:caps/>
          <w:color w:val="auto"/>
          <w:spacing w:val="-2"/>
          <w:sz w:val="20"/>
          <w:szCs w:val="22"/>
        </w:rPr>
        <w:id w:val="352764478"/>
        <w:docPartObj>
          <w:docPartGallery w:val="Table of Contents"/>
          <w:docPartUnique/>
        </w:docPartObj>
      </w:sdtPr>
      <w:sdtEndPr>
        <w:rPr>
          <w:caps w:val="0"/>
          <w:noProof/>
          <w:spacing w:val="0"/>
        </w:rPr>
      </w:sdtEndPr>
      <w:sdtContent>
        <w:p w14:paraId="5F8B3D17" w14:textId="77777777" w:rsidR="007774BF" w:rsidRPr="00E91375" w:rsidRDefault="007774BF" w:rsidP="002B1453">
          <w:pPr>
            <w:pStyle w:val="TOCHeading"/>
            <w:rPr>
              <w:rFonts w:cstheme="majorHAnsi"/>
            </w:rPr>
          </w:pPr>
          <w:r w:rsidRPr="00E91375">
            <w:rPr>
              <w:rFonts w:cstheme="majorHAnsi"/>
            </w:rPr>
            <w:t>Contents</w:t>
          </w:r>
        </w:p>
        <w:p w14:paraId="4220DB43" w14:textId="2BB1754E" w:rsidR="00D31493" w:rsidRDefault="00907260">
          <w:pPr>
            <w:pStyle w:val="TOC1"/>
            <w:rPr>
              <w:rFonts w:eastAsiaTheme="minorEastAsia"/>
              <w:b w:val="0"/>
              <w:noProof/>
              <w:sz w:val="22"/>
              <w:lang w:eastAsia="en-AU"/>
            </w:rPr>
          </w:pPr>
          <w:r w:rsidRPr="00E91375">
            <w:rPr>
              <w:rFonts w:asciiTheme="majorHAnsi" w:hAnsiTheme="majorHAnsi" w:cstheme="majorHAnsi"/>
              <w:b w:val="0"/>
              <w:bCs/>
              <w:noProof/>
            </w:rPr>
            <w:fldChar w:fldCharType="begin"/>
          </w:r>
          <w:r w:rsidRPr="00E91375">
            <w:rPr>
              <w:rFonts w:asciiTheme="majorHAnsi" w:hAnsiTheme="majorHAnsi" w:cstheme="majorHAnsi"/>
              <w:bCs/>
              <w:noProof/>
            </w:rPr>
            <w:instrText xml:space="preserve"> TOC \h \z \t "Heading 1,1" </w:instrText>
          </w:r>
          <w:r w:rsidRPr="00E91375">
            <w:rPr>
              <w:rFonts w:asciiTheme="majorHAnsi" w:hAnsiTheme="majorHAnsi" w:cstheme="majorHAnsi"/>
              <w:b w:val="0"/>
              <w:bCs/>
              <w:noProof/>
            </w:rPr>
            <w:fldChar w:fldCharType="separate"/>
          </w:r>
          <w:hyperlink w:anchor="_Toc55397446" w:history="1">
            <w:r w:rsidR="00D31493" w:rsidRPr="00896C26">
              <w:rPr>
                <w:rStyle w:val="Hyperlink"/>
                <w:noProof/>
              </w:rPr>
              <w:t>Message from the Dean</w:t>
            </w:r>
            <w:r w:rsidR="00D31493">
              <w:rPr>
                <w:noProof/>
                <w:webHidden/>
              </w:rPr>
              <w:tab/>
            </w:r>
            <w:r w:rsidR="00D31493">
              <w:rPr>
                <w:noProof/>
                <w:webHidden/>
              </w:rPr>
              <w:fldChar w:fldCharType="begin"/>
            </w:r>
            <w:r w:rsidR="00D31493">
              <w:rPr>
                <w:noProof/>
                <w:webHidden/>
              </w:rPr>
              <w:instrText xml:space="preserve"> PAGEREF _Toc55397446 \h </w:instrText>
            </w:r>
            <w:r w:rsidR="00D31493">
              <w:rPr>
                <w:noProof/>
                <w:webHidden/>
              </w:rPr>
            </w:r>
            <w:r w:rsidR="00D31493">
              <w:rPr>
                <w:noProof/>
                <w:webHidden/>
              </w:rPr>
              <w:fldChar w:fldCharType="separate"/>
            </w:r>
            <w:r w:rsidR="00D31493">
              <w:rPr>
                <w:noProof/>
                <w:webHidden/>
              </w:rPr>
              <w:t>3</w:t>
            </w:r>
            <w:r w:rsidR="00D31493">
              <w:rPr>
                <w:noProof/>
                <w:webHidden/>
              </w:rPr>
              <w:fldChar w:fldCharType="end"/>
            </w:r>
          </w:hyperlink>
        </w:p>
        <w:p w14:paraId="01887E0C" w14:textId="3F8D674E" w:rsidR="00D31493" w:rsidRDefault="005240B9">
          <w:pPr>
            <w:pStyle w:val="TOC1"/>
            <w:rPr>
              <w:rFonts w:eastAsiaTheme="minorEastAsia"/>
              <w:b w:val="0"/>
              <w:noProof/>
              <w:sz w:val="22"/>
              <w:lang w:eastAsia="en-AU"/>
            </w:rPr>
          </w:pPr>
          <w:hyperlink w:anchor="_Toc55397447" w:history="1">
            <w:r w:rsidR="00D31493" w:rsidRPr="00896C26">
              <w:rPr>
                <w:rStyle w:val="Hyperlink"/>
                <w:noProof/>
              </w:rPr>
              <w:t xml:space="preserve">Key achievements </w:t>
            </w:r>
            <w:r w:rsidR="00D31493" w:rsidRPr="00896C26">
              <w:rPr>
                <w:rStyle w:val="Hyperlink"/>
                <w:caps/>
                <w:noProof/>
              </w:rPr>
              <w:t>2019</w:t>
            </w:r>
            <w:r w:rsidR="00D31493" w:rsidRPr="00896C26">
              <w:rPr>
                <w:rStyle w:val="Hyperlink"/>
                <w:noProof/>
              </w:rPr>
              <w:t>-</w:t>
            </w:r>
            <w:r w:rsidR="00D31493" w:rsidRPr="00896C26">
              <w:rPr>
                <w:rStyle w:val="Hyperlink"/>
                <w:caps/>
                <w:noProof/>
              </w:rPr>
              <w:t>20</w:t>
            </w:r>
            <w:r w:rsidR="00D31493">
              <w:rPr>
                <w:noProof/>
                <w:webHidden/>
              </w:rPr>
              <w:tab/>
            </w:r>
            <w:r w:rsidR="00D31493">
              <w:rPr>
                <w:noProof/>
                <w:webHidden/>
              </w:rPr>
              <w:fldChar w:fldCharType="begin"/>
            </w:r>
            <w:r w:rsidR="00D31493">
              <w:rPr>
                <w:noProof/>
                <w:webHidden/>
              </w:rPr>
              <w:instrText xml:space="preserve"> PAGEREF _Toc55397447 \h </w:instrText>
            </w:r>
            <w:r w:rsidR="00D31493">
              <w:rPr>
                <w:noProof/>
                <w:webHidden/>
              </w:rPr>
            </w:r>
            <w:r w:rsidR="00D31493">
              <w:rPr>
                <w:noProof/>
                <w:webHidden/>
              </w:rPr>
              <w:fldChar w:fldCharType="separate"/>
            </w:r>
            <w:r w:rsidR="00D31493">
              <w:rPr>
                <w:noProof/>
                <w:webHidden/>
              </w:rPr>
              <w:t>4</w:t>
            </w:r>
            <w:r w:rsidR="00D31493">
              <w:rPr>
                <w:noProof/>
                <w:webHidden/>
              </w:rPr>
              <w:fldChar w:fldCharType="end"/>
            </w:r>
          </w:hyperlink>
        </w:p>
        <w:p w14:paraId="6C584AA1" w14:textId="465B085A" w:rsidR="00D31493" w:rsidRDefault="005240B9">
          <w:pPr>
            <w:pStyle w:val="TOC1"/>
            <w:rPr>
              <w:rFonts w:eastAsiaTheme="minorEastAsia"/>
              <w:b w:val="0"/>
              <w:noProof/>
              <w:sz w:val="22"/>
              <w:lang w:eastAsia="en-AU"/>
            </w:rPr>
          </w:pPr>
          <w:hyperlink w:anchor="_Toc55397448" w:history="1">
            <w:r w:rsidR="00D31493" w:rsidRPr="00896C26">
              <w:rPr>
                <w:rStyle w:val="Hyperlink"/>
                <w:noProof/>
              </w:rPr>
              <w:t>ANZSOG</w:t>
            </w:r>
            <w:r w:rsidR="00D31493">
              <w:rPr>
                <w:noProof/>
                <w:webHidden/>
              </w:rPr>
              <w:tab/>
            </w:r>
            <w:r w:rsidR="00D31493">
              <w:rPr>
                <w:noProof/>
                <w:webHidden/>
              </w:rPr>
              <w:fldChar w:fldCharType="begin"/>
            </w:r>
            <w:r w:rsidR="00D31493">
              <w:rPr>
                <w:noProof/>
                <w:webHidden/>
              </w:rPr>
              <w:instrText xml:space="preserve"> PAGEREF _Toc55397448 \h </w:instrText>
            </w:r>
            <w:r w:rsidR="00D31493">
              <w:rPr>
                <w:noProof/>
                <w:webHidden/>
              </w:rPr>
            </w:r>
            <w:r w:rsidR="00D31493">
              <w:rPr>
                <w:noProof/>
                <w:webHidden/>
              </w:rPr>
              <w:fldChar w:fldCharType="separate"/>
            </w:r>
            <w:r w:rsidR="00D31493">
              <w:rPr>
                <w:noProof/>
                <w:webHidden/>
              </w:rPr>
              <w:t>5</w:t>
            </w:r>
            <w:r w:rsidR="00D31493">
              <w:rPr>
                <w:noProof/>
                <w:webHidden/>
              </w:rPr>
              <w:fldChar w:fldCharType="end"/>
            </w:r>
          </w:hyperlink>
        </w:p>
        <w:p w14:paraId="1233EC24" w14:textId="74F74373" w:rsidR="00D31493" w:rsidRDefault="005240B9">
          <w:pPr>
            <w:pStyle w:val="TOC1"/>
            <w:rPr>
              <w:rFonts w:eastAsiaTheme="minorEastAsia"/>
              <w:b w:val="0"/>
              <w:noProof/>
              <w:sz w:val="22"/>
              <w:lang w:eastAsia="en-AU"/>
            </w:rPr>
          </w:pPr>
          <w:hyperlink w:anchor="_Toc55397449" w:history="1">
            <w:r w:rsidR="00D31493" w:rsidRPr="00896C26">
              <w:rPr>
                <w:rStyle w:val="Hyperlink"/>
                <w:noProof/>
              </w:rPr>
              <w:t>Educate</w:t>
            </w:r>
            <w:r w:rsidR="00D31493">
              <w:rPr>
                <w:noProof/>
                <w:webHidden/>
              </w:rPr>
              <w:tab/>
            </w:r>
            <w:r w:rsidR="00D31493">
              <w:rPr>
                <w:noProof/>
                <w:webHidden/>
              </w:rPr>
              <w:fldChar w:fldCharType="begin"/>
            </w:r>
            <w:r w:rsidR="00D31493">
              <w:rPr>
                <w:noProof/>
                <w:webHidden/>
              </w:rPr>
              <w:instrText xml:space="preserve"> PAGEREF _Toc55397449 \h </w:instrText>
            </w:r>
            <w:r w:rsidR="00D31493">
              <w:rPr>
                <w:noProof/>
                <w:webHidden/>
              </w:rPr>
            </w:r>
            <w:r w:rsidR="00D31493">
              <w:rPr>
                <w:noProof/>
                <w:webHidden/>
              </w:rPr>
              <w:fldChar w:fldCharType="separate"/>
            </w:r>
            <w:r w:rsidR="00D31493">
              <w:rPr>
                <w:noProof/>
                <w:webHidden/>
              </w:rPr>
              <w:t>6</w:t>
            </w:r>
            <w:r w:rsidR="00D31493">
              <w:rPr>
                <w:noProof/>
                <w:webHidden/>
              </w:rPr>
              <w:fldChar w:fldCharType="end"/>
            </w:r>
          </w:hyperlink>
        </w:p>
        <w:p w14:paraId="6CF6E470" w14:textId="2384AA49" w:rsidR="00D31493" w:rsidRDefault="005240B9">
          <w:pPr>
            <w:pStyle w:val="TOC1"/>
            <w:rPr>
              <w:rFonts w:eastAsiaTheme="minorEastAsia"/>
              <w:b w:val="0"/>
              <w:noProof/>
              <w:sz w:val="22"/>
              <w:lang w:eastAsia="en-AU"/>
            </w:rPr>
          </w:pPr>
          <w:hyperlink w:anchor="_Toc55397450" w:history="1">
            <w:r w:rsidR="00D31493" w:rsidRPr="00896C26">
              <w:rPr>
                <w:rStyle w:val="Hyperlink"/>
                <w:noProof/>
              </w:rPr>
              <w:t>Enrich</w:t>
            </w:r>
            <w:r w:rsidR="00D31493">
              <w:rPr>
                <w:noProof/>
                <w:webHidden/>
              </w:rPr>
              <w:tab/>
            </w:r>
            <w:r w:rsidR="00D31493">
              <w:rPr>
                <w:noProof/>
                <w:webHidden/>
              </w:rPr>
              <w:fldChar w:fldCharType="begin"/>
            </w:r>
            <w:r w:rsidR="00D31493">
              <w:rPr>
                <w:noProof/>
                <w:webHidden/>
              </w:rPr>
              <w:instrText xml:space="preserve"> PAGEREF _Toc55397450 \h </w:instrText>
            </w:r>
            <w:r w:rsidR="00D31493">
              <w:rPr>
                <w:noProof/>
                <w:webHidden/>
              </w:rPr>
            </w:r>
            <w:r w:rsidR="00D31493">
              <w:rPr>
                <w:noProof/>
                <w:webHidden/>
              </w:rPr>
              <w:fldChar w:fldCharType="separate"/>
            </w:r>
            <w:r w:rsidR="00D31493">
              <w:rPr>
                <w:noProof/>
                <w:webHidden/>
              </w:rPr>
              <w:t>7</w:t>
            </w:r>
            <w:r w:rsidR="00D31493">
              <w:rPr>
                <w:noProof/>
                <w:webHidden/>
              </w:rPr>
              <w:fldChar w:fldCharType="end"/>
            </w:r>
          </w:hyperlink>
        </w:p>
        <w:p w14:paraId="56A681D7" w14:textId="1578AF01" w:rsidR="00D31493" w:rsidRDefault="005240B9">
          <w:pPr>
            <w:pStyle w:val="TOC1"/>
            <w:rPr>
              <w:rFonts w:eastAsiaTheme="minorEastAsia"/>
              <w:b w:val="0"/>
              <w:noProof/>
              <w:sz w:val="22"/>
              <w:lang w:eastAsia="en-AU"/>
            </w:rPr>
          </w:pPr>
          <w:hyperlink w:anchor="_Toc55397451" w:history="1">
            <w:r w:rsidR="00D31493" w:rsidRPr="00896C26">
              <w:rPr>
                <w:rStyle w:val="Hyperlink"/>
                <w:noProof/>
              </w:rPr>
              <w:t>Inspire</w:t>
            </w:r>
            <w:r w:rsidR="00D31493">
              <w:rPr>
                <w:noProof/>
                <w:webHidden/>
              </w:rPr>
              <w:tab/>
            </w:r>
            <w:r w:rsidR="00D31493">
              <w:rPr>
                <w:noProof/>
                <w:webHidden/>
              </w:rPr>
              <w:fldChar w:fldCharType="begin"/>
            </w:r>
            <w:r w:rsidR="00D31493">
              <w:rPr>
                <w:noProof/>
                <w:webHidden/>
              </w:rPr>
              <w:instrText xml:space="preserve"> PAGEREF _Toc55397451 \h </w:instrText>
            </w:r>
            <w:r w:rsidR="00D31493">
              <w:rPr>
                <w:noProof/>
                <w:webHidden/>
              </w:rPr>
            </w:r>
            <w:r w:rsidR="00D31493">
              <w:rPr>
                <w:noProof/>
                <w:webHidden/>
              </w:rPr>
              <w:fldChar w:fldCharType="separate"/>
            </w:r>
            <w:r w:rsidR="00D31493">
              <w:rPr>
                <w:noProof/>
                <w:webHidden/>
              </w:rPr>
              <w:t>8</w:t>
            </w:r>
            <w:r w:rsidR="00D31493">
              <w:rPr>
                <w:noProof/>
                <w:webHidden/>
              </w:rPr>
              <w:fldChar w:fldCharType="end"/>
            </w:r>
          </w:hyperlink>
        </w:p>
        <w:p w14:paraId="4CCFF756" w14:textId="47E91CA5" w:rsidR="00D31493" w:rsidRDefault="005240B9">
          <w:pPr>
            <w:pStyle w:val="TOC1"/>
            <w:rPr>
              <w:rFonts w:eastAsiaTheme="minorEastAsia"/>
              <w:b w:val="0"/>
              <w:noProof/>
              <w:sz w:val="22"/>
              <w:lang w:eastAsia="en-AU"/>
            </w:rPr>
          </w:pPr>
          <w:hyperlink w:anchor="_Toc55397452" w:history="1">
            <w:r w:rsidR="00D31493" w:rsidRPr="00896C26">
              <w:rPr>
                <w:rStyle w:val="Hyperlink"/>
                <w:noProof/>
              </w:rPr>
              <w:t>Connect</w:t>
            </w:r>
            <w:r w:rsidR="00D31493">
              <w:rPr>
                <w:noProof/>
                <w:webHidden/>
              </w:rPr>
              <w:tab/>
            </w:r>
            <w:r w:rsidR="00D31493">
              <w:rPr>
                <w:noProof/>
                <w:webHidden/>
              </w:rPr>
              <w:fldChar w:fldCharType="begin"/>
            </w:r>
            <w:r w:rsidR="00D31493">
              <w:rPr>
                <w:noProof/>
                <w:webHidden/>
              </w:rPr>
              <w:instrText xml:space="preserve"> PAGEREF _Toc55397452 \h </w:instrText>
            </w:r>
            <w:r w:rsidR="00D31493">
              <w:rPr>
                <w:noProof/>
                <w:webHidden/>
              </w:rPr>
            </w:r>
            <w:r w:rsidR="00D31493">
              <w:rPr>
                <w:noProof/>
                <w:webHidden/>
              </w:rPr>
              <w:fldChar w:fldCharType="separate"/>
            </w:r>
            <w:r w:rsidR="00D31493">
              <w:rPr>
                <w:noProof/>
                <w:webHidden/>
              </w:rPr>
              <w:t>9</w:t>
            </w:r>
            <w:r w:rsidR="00D31493">
              <w:rPr>
                <w:noProof/>
                <w:webHidden/>
              </w:rPr>
              <w:fldChar w:fldCharType="end"/>
            </w:r>
          </w:hyperlink>
        </w:p>
        <w:p w14:paraId="61507D1A" w14:textId="26B48966" w:rsidR="00D31493" w:rsidRDefault="005240B9">
          <w:pPr>
            <w:pStyle w:val="TOC1"/>
            <w:rPr>
              <w:rFonts w:eastAsiaTheme="minorEastAsia"/>
              <w:b w:val="0"/>
              <w:noProof/>
              <w:sz w:val="22"/>
              <w:lang w:eastAsia="en-AU"/>
            </w:rPr>
          </w:pPr>
          <w:hyperlink w:anchor="_Toc55397453" w:history="1">
            <w:r w:rsidR="00D31493" w:rsidRPr="00896C26">
              <w:rPr>
                <w:rStyle w:val="Hyperlink"/>
                <w:noProof/>
              </w:rPr>
              <w:t>Finances in brief</w:t>
            </w:r>
            <w:r w:rsidR="00D31493">
              <w:rPr>
                <w:noProof/>
                <w:webHidden/>
              </w:rPr>
              <w:tab/>
            </w:r>
            <w:r w:rsidR="00D31493">
              <w:rPr>
                <w:noProof/>
                <w:webHidden/>
              </w:rPr>
              <w:fldChar w:fldCharType="begin"/>
            </w:r>
            <w:r w:rsidR="00D31493">
              <w:rPr>
                <w:noProof/>
                <w:webHidden/>
              </w:rPr>
              <w:instrText xml:space="preserve"> PAGEREF _Toc55397453 \h </w:instrText>
            </w:r>
            <w:r w:rsidR="00D31493">
              <w:rPr>
                <w:noProof/>
                <w:webHidden/>
              </w:rPr>
            </w:r>
            <w:r w:rsidR="00D31493">
              <w:rPr>
                <w:noProof/>
                <w:webHidden/>
              </w:rPr>
              <w:fldChar w:fldCharType="separate"/>
            </w:r>
            <w:r w:rsidR="00D31493">
              <w:rPr>
                <w:noProof/>
                <w:webHidden/>
              </w:rPr>
              <w:t>10</w:t>
            </w:r>
            <w:r w:rsidR="00D31493">
              <w:rPr>
                <w:noProof/>
                <w:webHidden/>
              </w:rPr>
              <w:fldChar w:fldCharType="end"/>
            </w:r>
          </w:hyperlink>
        </w:p>
        <w:p w14:paraId="67DC26A2" w14:textId="284BEA1F" w:rsidR="00D31493" w:rsidRDefault="005240B9">
          <w:pPr>
            <w:pStyle w:val="TOC1"/>
            <w:rPr>
              <w:rFonts w:eastAsiaTheme="minorEastAsia"/>
              <w:b w:val="0"/>
              <w:noProof/>
              <w:sz w:val="22"/>
              <w:lang w:eastAsia="en-AU"/>
            </w:rPr>
          </w:pPr>
          <w:hyperlink w:anchor="_Toc55397454" w:history="1">
            <w:r w:rsidR="00D31493" w:rsidRPr="00896C26">
              <w:rPr>
                <w:rStyle w:val="Hyperlink"/>
                <w:noProof/>
              </w:rPr>
              <w:t>Workforce metrics</w:t>
            </w:r>
            <w:r w:rsidR="00D31493">
              <w:rPr>
                <w:noProof/>
                <w:webHidden/>
              </w:rPr>
              <w:tab/>
            </w:r>
            <w:r w:rsidR="00D31493">
              <w:rPr>
                <w:noProof/>
                <w:webHidden/>
              </w:rPr>
              <w:fldChar w:fldCharType="begin"/>
            </w:r>
            <w:r w:rsidR="00D31493">
              <w:rPr>
                <w:noProof/>
                <w:webHidden/>
              </w:rPr>
              <w:instrText xml:space="preserve"> PAGEREF _Toc55397454 \h </w:instrText>
            </w:r>
            <w:r w:rsidR="00D31493">
              <w:rPr>
                <w:noProof/>
                <w:webHidden/>
              </w:rPr>
            </w:r>
            <w:r w:rsidR="00D31493">
              <w:rPr>
                <w:noProof/>
                <w:webHidden/>
              </w:rPr>
              <w:fldChar w:fldCharType="separate"/>
            </w:r>
            <w:r w:rsidR="00D31493">
              <w:rPr>
                <w:noProof/>
                <w:webHidden/>
              </w:rPr>
              <w:t>12</w:t>
            </w:r>
            <w:r w:rsidR="00D31493">
              <w:rPr>
                <w:noProof/>
                <w:webHidden/>
              </w:rPr>
              <w:fldChar w:fldCharType="end"/>
            </w:r>
          </w:hyperlink>
        </w:p>
        <w:p w14:paraId="03C30D0A" w14:textId="65746BBC" w:rsidR="00D31493" w:rsidRDefault="005240B9">
          <w:pPr>
            <w:pStyle w:val="TOC1"/>
            <w:rPr>
              <w:rFonts w:eastAsiaTheme="minorEastAsia"/>
              <w:b w:val="0"/>
              <w:noProof/>
              <w:sz w:val="22"/>
              <w:lang w:eastAsia="en-AU"/>
            </w:rPr>
          </w:pPr>
          <w:hyperlink w:anchor="_Toc55397455" w:history="1">
            <w:r w:rsidR="00D31493" w:rsidRPr="00896C26">
              <w:rPr>
                <w:rStyle w:val="Hyperlink"/>
                <w:noProof/>
              </w:rPr>
              <w:t>Who we are</w:t>
            </w:r>
            <w:r w:rsidR="00D31493">
              <w:rPr>
                <w:noProof/>
                <w:webHidden/>
              </w:rPr>
              <w:tab/>
            </w:r>
            <w:r w:rsidR="00D31493">
              <w:rPr>
                <w:noProof/>
                <w:webHidden/>
              </w:rPr>
              <w:fldChar w:fldCharType="begin"/>
            </w:r>
            <w:r w:rsidR="00D31493">
              <w:rPr>
                <w:noProof/>
                <w:webHidden/>
              </w:rPr>
              <w:instrText xml:space="preserve"> PAGEREF _Toc55397455 \h </w:instrText>
            </w:r>
            <w:r w:rsidR="00D31493">
              <w:rPr>
                <w:noProof/>
                <w:webHidden/>
              </w:rPr>
            </w:r>
            <w:r w:rsidR="00D31493">
              <w:rPr>
                <w:noProof/>
                <w:webHidden/>
              </w:rPr>
              <w:fldChar w:fldCharType="separate"/>
            </w:r>
            <w:r w:rsidR="00D31493">
              <w:rPr>
                <w:noProof/>
                <w:webHidden/>
              </w:rPr>
              <w:t>13</w:t>
            </w:r>
            <w:r w:rsidR="00D31493">
              <w:rPr>
                <w:noProof/>
                <w:webHidden/>
              </w:rPr>
              <w:fldChar w:fldCharType="end"/>
            </w:r>
          </w:hyperlink>
        </w:p>
        <w:p w14:paraId="6CD7F998" w14:textId="1A5A45A7" w:rsidR="00D31493" w:rsidRDefault="005240B9">
          <w:pPr>
            <w:pStyle w:val="TOC1"/>
            <w:rPr>
              <w:rFonts w:eastAsiaTheme="minorEastAsia"/>
              <w:b w:val="0"/>
              <w:noProof/>
              <w:sz w:val="22"/>
              <w:lang w:eastAsia="en-AU"/>
            </w:rPr>
          </w:pPr>
          <w:hyperlink w:anchor="_Toc55397456" w:history="1">
            <w:r w:rsidR="00D31493" w:rsidRPr="00896C26">
              <w:rPr>
                <w:rStyle w:val="Hyperlink"/>
                <w:noProof/>
              </w:rPr>
              <w:t>Follow us</w:t>
            </w:r>
            <w:r w:rsidR="00D31493">
              <w:rPr>
                <w:noProof/>
                <w:webHidden/>
              </w:rPr>
              <w:tab/>
            </w:r>
            <w:r w:rsidR="00D31493">
              <w:rPr>
                <w:noProof/>
                <w:webHidden/>
              </w:rPr>
              <w:fldChar w:fldCharType="begin"/>
            </w:r>
            <w:r w:rsidR="00D31493">
              <w:rPr>
                <w:noProof/>
                <w:webHidden/>
              </w:rPr>
              <w:instrText xml:space="preserve"> PAGEREF _Toc55397456 \h </w:instrText>
            </w:r>
            <w:r w:rsidR="00D31493">
              <w:rPr>
                <w:noProof/>
                <w:webHidden/>
              </w:rPr>
            </w:r>
            <w:r w:rsidR="00D31493">
              <w:rPr>
                <w:noProof/>
                <w:webHidden/>
              </w:rPr>
              <w:fldChar w:fldCharType="separate"/>
            </w:r>
            <w:r w:rsidR="00D31493">
              <w:rPr>
                <w:noProof/>
                <w:webHidden/>
              </w:rPr>
              <w:t>15</w:t>
            </w:r>
            <w:r w:rsidR="00D31493">
              <w:rPr>
                <w:noProof/>
                <w:webHidden/>
              </w:rPr>
              <w:fldChar w:fldCharType="end"/>
            </w:r>
          </w:hyperlink>
        </w:p>
        <w:p w14:paraId="6714682B" w14:textId="348F2891" w:rsidR="007A14CF" w:rsidRDefault="00907260" w:rsidP="00280B0E">
          <w:pPr>
            <w:pStyle w:val="BodyText"/>
            <w:rPr>
              <w:rFonts w:cstheme="majorHAnsi"/>
              <w:noProof/>
            </w:rPr>
          </w:pPr>
          <w:r w:rsidRPr="00E91375">
            <w:rPr>
              <w:rFonts w:asciiTheme="majorHAnsi" w:hAnsiTheme="majorHAnsi" w:cstheme="majorHAnsi"/>
              <w:b/>
              <w:bCs/>
              <w:noProof/>
            </w:rPr>
            <w:fldChar w:fldCharType="end"/>
          </w:r>
        </w:p>
      </w:sdtContent>
    </w:sdt>
    <w:p w14:paraId="595F340F" w14:textId="77777777" w:rsidR="00137D24" w:rsidRPr="005369D3" w:rsidRDefault="00137D24" w:rsidP="00137D24">
      <w:pPr>
        <w:pStyle w:val="BodyText12pt"/>
      </w:pPr>
      <w:r w:rsidRPr="005369D3">
        <w:t>ANZSOG works for our government owners and with our university partners to lift the quality of public sector leadership across Australia and Aotearoa-New Zealand. Our work inspires and connects people across agencies, sectors, jurisdictions and nations.</w:t>
      </w:r>
    </w:p>
    <w:p w14:paraId="188A2A3A" w14:textId="4AE8E474" w:rsidR="00E23507" w:rsidRPr="00475242" w:rsidRDefault="00E23507" w:rsidP="00280B0E">
      <w:pPr>
        <w:pStyle w:val="BodyText"/>
      </w:pPr>
      <w:r w:rsidRPr="00E91375">
        <w:rPr>
          <w:rFonts w:asciiTheme="majorHAnsi" w:hAnsiTheme="majorHAnsi" w:cstheme="majorHAnsi"/>
        </w:rPr>
        <w:br w:type="page"/>
      </w:r>
    </w:p>
    <w:p w14:paraId="096B1288" w14:textId="396FB435" w:rsidR="009E2742" w:rsidRPr="00E91375" w:rsidRDefault="009E2742" w:rsidP="002B1453">
      <w:pPr>
        <w:pStyle w:val="Heading1"/>
        <w:rPr>
          <w:rFonts w:cstheme="majorHAnsi"/>
        </w:rPr>
        <w:sectPr w:rsidR="009E2742" w:rsidRPr="00E91375" w:rsidSect="00B3427C">
          <w:headerReference w:type="default" r:id="rId12"/>
          <w:footerReference w:type="default" r:id="rId13"/>
          <w:endnotePr>
            <w:numFmt w:val="decimal"/>
          </w:endnotePr>
          <w:type w:val="continuous"/>
          <w:pgSz w:w="11906" w:h="16838" w:code="9"/>
          <w:pgMar w:top="1418" w:right="851" w:bottom="567" w:left="851" w:header="851" w:footer="284" w:gutter="0"/>
          <w:cols w:space="397"/>
          <w:titlePg/>
          <w:docGrid w:linePitch="360"/>
        </w:sectPr>
      </w:pPr>
    </w:p>
    <w:p w14:paraId="6798CD85" w14:textId="77777777" w:rsidR="00137D24" w:rsidRPr="005369D3" w:rsidRDefault="00137D24" w:rsidP="00137D24">
      <w:pPr>
        <w:pStyle w:val="Heading1"/>
      </w:pPr>
      <w:bookmarkStart w:id="0" w:name="_Toc55397446"/>
      <w:r w:rsidRPr="005369D3">
        <w:lastRenderedPageBreak/>
        <w:t>Message from the Dean</w:t>
      </w:r>
      <w:bookmarkEnd w:id="0"/>
    </w:p>
    <w:p w14:paraId="6C116771" w14:textId="77777777" w:rsidR="00137D24" w:rsidRPr="005369D3" w:rsidRDefault="00137D24" w:rsidP="00137D24">
      <w:pPr>
        <w:pStyle w:val="BodyText"/>
      </w:pPr>
      <w:r w:rsidRPr="005369D3">
        <w:t>COVID-19 has simultaneously reminded us of the necessity of good government, resulted in significant increases in trust in many of our institutions, and exposed flaws and strengths in existing systems. It has also highlighted that ANZSOG’s mission to lift the quality of public sector leadership across Australia and Aotearoa-New Zealand is more important than ever.</w:t>
      </w:r>
    </w:p>
    <w:p w14:paraId="72BA4B1D" w14:textId="77777777" w:rsidR="00137D24" w:rsidRPr="005369D3" w:rsidRDefault="00137D24" w:rsidP="00137D24">
      <w:pPr>
        <w:pStyle w:val="BodyText"/>
      </w:pPr>
      <w:r w:rsidRPr="005369D3">
        <w:t>It has been a challenging year for us all. ANZSOG was not immune, but we have continued to work closely with our owner governments, member university networks and individual agencies.</w:t>
      </w:r>
    </w:p>
    <w:p w14:paraId="6FE09B7B" w14:textId="77777777" w:rsidR="00137D24" w:rsidRPr="005369D3" w:rsidRDefault="00137D24" w:rsidP="00137D24">
      <w:pPr>
        <w:pStyle w:val="BodyText"/>
      </w:pPr>
      <w:r w:rsidRPr="005369D3">
        <w:t>We are continuing our work with the First Peoples of Australia and Aotearoa-New Zealand to ensure that Indigenous knowledge and culture inform our work with all public services.</w:t>
      </w:r>
    </w:p>
    <w:p w14:paraId="16B9B8F2" w14:textId="77777777" w:rsidR="00137D24" w:rsidRPr="005369D3" w:rsidRDefault="00137D24" w:rsidP="00137D24">
      <w:pPr>
        <w:pStyle w:val="BodyText"/>
      </w:pPr>
      <w:r w:rsidRPr="005369D3">
        <w:t>We have also continued to strengthen the link between evidence and practice, through our focus on education, research and thought leadership.</w:t>
      </w:r>
    </w:p>
    <w:p w14:paraId="6DF8C7BF" w14:textId="77777777" w:rsidR="00137D24" w:rsidRPr="005369D3" w:rsidRDefault="00137D24" w:rsidP="00137D24">
      <w:pPr>
        <w:pStyle w:val="BodyText"/>
      </w:pPr>
      <w:r w:rsidRPr="005369D3">
        <w:t>In response to the pandemic we have adapted and moved a range of education and thought leadership deliveries online, and we look forward to returning to face to face and blended learning formats when we can.</w:t>
      </w:r>
    </w:p>
    <w:p w14:paraId="7C13CE30" w14:textId="44AD187B" w:rsidR="00137D24" w:rsidRPr="005369D3" w:rsidRDefault="00137D24" w:rsidP="00137D24">
      <w:pPr>
        <w:pStyle w:val="BodyText"/>
      </w:pPr>
      <w:r w:rsidRPr="005369D3">
        <w:t xml:space="preserve">Research activities, including </w:t>
      </w:r>
      <w:hyperlink r:id="rId14" w:history="1">
        <w:r w:rsidRPr="005369D3">
          <w:rPr>
            <w:rStyle w:val="Hyperlink"/>
          </w:rPr>
          <w:t>The Bridge</w:t>
        </w:r>
      </w:hyperlink>
      <w:r w:rsidRPr="005369D3">
        <w:t xml:space="preserve"> </w:t>
      </w:r>
      <w:r w:rsidR="00974419">
        <w:t>&lt;</w:t>
      </w:r>
      <w:r w:rsidR="00974419" w:rsidRPr="00974419">
        <w:t>https://www.anzsog.edu.au/resource-library/research/the-bridge</w:t>
      </w:r>
      <w:r w:rsidR="00974419">
        <w:t xml:space="preserve">&gt;, </w:t>
      </w:r>
      <w:r w:rsidRPr="005369D3">
        <w:t>and significant advisory work with governments, have been an important part of our work, and demonstrate our ongoing impact on the practice of public administration in Australia, Aotearoa-New Zealand and internationally.</w:t>
      </w:r>
    </w:p>
    <w:p w14:paraId="1EDA058B" w14:textId="77777777" w:rsidR="00137D24" w:rsidRPr="005369D3" w:rsidRDefault="00137D24" w:rsidP="00137D24">
      <w:pPr>
        <w:pStyle w:val="BodyText"/>
      </w:pPr>
      <w:r w:rsidRPr="005369D3">
        <w:t>This report provides a snapshot of how ANZSOG has adapted to challenging circumstances, particularly in the first six months of 2020 to continue to deliver public value.</w:t>
      </w:r>
    </w:p>
    <w:p w14:paraId="2D1373F3" w14:textId="77777777" w:rsidR="00137D24" w:rsidRPr="005369D3" w:rsidRDefault="00137D24" w:rsidP="00137D24">
      <w:pPr>
        <w:pStyle w:val="BodyText"/>
      </w:pPr>
      <w:proofErr w:type="gramStart"/>
      <w:r w:rsidRPr="005369D3">
        <w:t>Finally</w:t>
      </w:r>
      <w:proofErr w:type="gramEnd"/>
      <w:r w:rsidRPr="005369D3">
        <w:t xml:space="preserve"> I would like to thank the ANZSOG staff and board for their work and support through very difficult times.</w:t>
      </w:r>
    </w:p>
    <w:p w14:paraId="5E53EB92" w14:textId="77777777" w:rsidR="00137D24" w:rsidRPr="00137D24" w:rsidRDefault="00137D24" w:rsidP="00137D24">
      <w:pPr>
        <w:pStyle w:val="BodyText"/>
        <w:rPr>
          <w:b/>
          <w:bCs/>
        </w:rPr>
      </w:pPr>
      <w:r w:rsidRPr="00137D24">
        <w:rPr>
          <w:b/>
          <w:bCs/>
        </w:rPr>
        <w:t>Professor Ken Smith, ANZSOG Dean and CEO</w:t>
      </w:r>
    </w:p>
    <w:p w14:paraId="54812604" w14:textId="77777777" w:rsidR="00137D24" w:rsidRPr="005369D3" w:rsidRDefault="00137D24" w:rsidP="00137D24">
      <w:pPr>
        <w:pStyle w:val="Heading1"/>
        <w:rPr>
          <w:sz w:val="66"/>
          <w:szCs w:val="66"/>
        </w:rPr>
      </w:pPr>
      <w:bookmarkStart w:id="1" w:name="_Toc55397447"/>
      <w:r w:rsidRPr="005369D3">
        <w:lastRenderedPageBreak/>
        <w:t xml:space="preserve">Key achievements </w:t>
      </w:r>
      <w:r w:rsidRPr="005369D3">
        <w:rPr>
          <w:caps/>
        </w:rPr>
        <w:t>2019</w:t>
      </w:r>
      <w:r w:rsidRPr="005369D3">
        <w:t>-</w:t>
      </w:r>
      <w:r w:rsidRPr="005369D3">
        <w:rPr>
          <w:caps/>
        </w:rPr>
        <w:t>20</w:t>
      </w:r>
      <w:bookmarkEnd w:id="1"/>
    </w:p>
    <w:p w14:paraId="799C4975" w14:textId="77777777" w:rsidR="00137D24" w:rsidRPr="00137D24" w:rsidRDefault="00137D24" w:rsidP="00137D24">
      <w:pPr>
        <w:pStyle w:val="ListBullet"/>
        <w:contextualSpacing w:val="0"/>
        <w:rPr>
          <w:sz w:val="24"/>
          <w:szCs w:val="24"/>
        </w:rPr>
      </w:pPr>
      <w:r w:rsidRPr="00137D24">
        <w:rPr>
          <w:b/>
          <w:bCs/>
          <w:sz w:val="24"/>
          <w:szCs w:val="24"/>
        </w:rPr>
        <w:t>14,948</w:t>
      </w:r>
      <w:r w:rsidRPr="00137D24">
        <w:rPr>
          <w:sz w:val="24"/>
          <w:szCs w:val="24"/>
        </w:rPr>
        <w:t xml:space="preserve"> participants in ANZSOG courses and events</w:t>
      </w:r>
    </w:p>
    <w:p w14:paraId="7BBAFDD1" w14:textId="77777777" w:rsidR="00137D24" w:rsidRPr="00137D24" w:rsidRDefault="00137D24" w:rsidP="00137D24">
      <w:pPr>
        <w:pStyle w:val="ListBullet"/>
        <w:contextualSpacing w:val="0"/>
        <w:rPr>
          <w:sz w:val="24"/>
          <w:szCs w:val="24"/>
        </w:rPr>
      </w:pPr>
      <w:r w:rsidRPr="00137D24">
        <w:rPr>
          <w:b/>
          <w:bCs/>
          <w:sz w:val="24"/>
          <w:szCs w:val="24"/>
        </w:rPr>
        <w:t>210,000+</w:t>
      </w:r>
      <w:r w:rsidRPr="00137D24">
        <w:rPr>
          <w:sz w:val="24"/>
          <w:szCs w:val="24"/>
        </w:rPr>
        <w:t xml:space="preserve"> total downloads of ANZSOG/ANU Press titles</w:t>
      </w:r>
    </w:p>
    <w:p w14:paraId="4FA845EB" w14:textId="77777777" w:rsidR="00137D24" w:rsidRPr="00137D24" w:rsidRDefault="00137D24" w:rsidP="00137D24">
      <w:pPr>
        <w:pStyle w:val="ListBullet"/>
        <w:contextualSpacing w:val="0"/>
        <w:rPr>
          <w:sz w:val="24"/>
          <w:szCs w:val="24"/>
        </w:rPr>
      </w:pPr>
      <w:r w:rsidRPr="00137D24">
        <w:rPr>
          <w:b/>
          <w:bCs/>
          <w:sz w:val="24"/>
          <w:szCs w:val="24"/>
        </w:rPr>
        <w:t>4.32/5</w:t>
      </w:r>
      <w:r w:rsidRPr="00137D24">
        <w:rPr>
          <w:sz w:val="24"/>
          <w:szCs w:val="24"/>
        </w:rPr>
        <w:t xml:space="preserve"> average overall evaluation score across all courses/workshops</w:t>
      </w:r>
    </w:p>
    <w:p w14:paraId="058F201E" w14:textId="77777777" w:rsidR="00137D24" w:rsidRPr="00137D24" w:rsidRDefault="00137D24" w:rsidP="00137D24">
      <w:pPr>
        <w:pStyle w:val="ListBullet"/>
        <w:contextualSpacing w:val="0"/>
        <w:rPr>
          <w:sz w:val="24"/>
          <w:szCs w:val="24"/>
        </w:rPr>
      </w:pPr>
      <w:r w:rsidRPr="00137D24">
        <w:rPr>
          <w:b/>
          <w:bCs/>
          <w:sz w:val="24"/>
          <w:szCs w:val="24"/>
        </w:rPr>
        <w:t>718,724</w:t>
      </w:r>
      <w:r w:rsidRPr="00137D24">
        <w:rPr>
          <w:sz w:val="24"/>
          <w:szCs w:val="24"/>
        </w:rPr>
        <w:t xml:space="preserve"> total page views of the ANZSOG website</w:t>
      </w:r>
    </w:p>
    <w:p w14:paraId="5ECFC6E9" w14:textId="77777777" w:rsidR="00137D24" w:rsidRPr="00137D24" w:rsidRDefault="00137D24" w:rsidP="00137D24">
      <w:pPr>
        <w:pStyle w:val="ListBullet"/>
        <w:contextualSpacing w:val="0"/>
        <w:rPr>
          <w:sz w:val="24"/>
          <w:szCs w:val="24"/>
        </w:rPr>
      </w:pPr>
      <w:r w:rsidRPr="00137D24">
        <w:rPr>
          <w:b/>
          <w:bCs/>
          <w:sz w:val="24"/>
          <w:szCs w:val="24"/>
        </w:rPr>
        <w:t>16,239</w:t>
      </w:r>
      <w:r w:rsidRPr="00137D24">
        <w:rPr>
          <w:sz w:val="24"/>
          <w:szCs w:val="24"/>
        </w:rPr>
        <w:t xml:space="preserve"> ANZSOG e-news subscribers</w:t>
      </w:r>
    </w:p>
    <w:p w14:paraId="640EB255" w14:textId="77777777" w:rsidR="00137D24" w:rsidRPr="00137D24" w:rsidRDefault="00137D24" w:rsidP="00137D24">
      <w:pPr>
        <w:pStyle w:val="ListBullet"/>
        <w:contextualSpacing w:val="0"/>
        <w:rPr>
          <w:sz w:val="24"/>
          <w:szCs w:val="24"/>
        </w:rPr>
      </w:pPr>
      <w:r w:rsidRPr="00137D24">
        <w:rPr>
          <w:b/>
          <w:bCs/>
          <w:sz w:val="24"/>
          <w:szCs w:val="24"/>
        </w:rPr>
        <w:t>163,125</w:t>
      </w:r>
      <w:r w:rsidRPr="00137D24">
        <w:rPr>
          <w:sz w:val="24"/>
          <w:szCs w:val="24"/>
        </w:rPr>
        <w:t xml:space="preserve"> social media engagements</w:t>
      </w:r>
    </w:p>
    <w:p w14:paraId="22DC50FB" w14:textId="77777777" w:rsidR="00137D24" w:rsidRPr="005369D3" w:rsidRDefault="00137D24" w:rsidP="00974419">
      <w:pPr>
        <w:pStyle w:val="BodyText12ptsmallspace"/>
      </w:pPr>
      <w:r w:rsidRPr="005369D3">
        <w:t>“Taking an opportunity to reflect on how you do things, making sure you’re connected to contemporary management techniques and leadership styles and continually learning is really important, and the difference with ANZSOG, and the value of ANZSOG, is that it’s aimed at the public sector.”</w:t>
      </w:r>
    </w:p>
    <w:p w14:paraId="791B6873" w14:textId="78ABF3F2" w:rsidR="00137D24" w:rsidRDefault="00137D24" w:rsidP="00137D24">
      <w:pPr>
        <w:pStyle w:val="BodyText"/>
      </w:pPr>
      <w:r w:rsidRPr="00B80636">
        <w:t xml:space="preserve">Ginna Webster, </w:t>
      </w:r>
      <w:r w:rsidRPr="005369D3">
        <w:t>Executive Fellows Program graduate 2016, Towards Strategic Leadership graduate 2010 and Secretary of the Department of Justice, Tasmania</w:t>
      </w:r>
    </w:p>
    <w:p w14:paraId="3FE2CADA" w14:textId="46C39BC9" w:rsidR="00B80636" w:rsidRPr="005369D3" w:rsidRDefault="005240B9" w:rsidP="00137D24">
      <w:pPr>
        <w:pStyle w:val="BodyText"/>
      </w:pPr>
      <w:hyperlink r:id="rId15" w:history="1">
        <w:r w:rsidR="00B80636" w:rsidRPr="00B80636">
          <w:rPr>
            <w:rStyle w:val="Hyperlink"/>
          </w:rPr>
          <w:t>Ginna Webster</w:t>
        </w:r>
      </w:hyperlink>
      <w:r w:rsidR="00B80636">
        <w:rPr>
          <w:rStyle w:val="Hyperlink"/>
        </w:rPr>
        <w:t xml:space="preserve"> </w:t>
      </w:r>
      <w:r w:rsidR="00B80636">
        <w:t>&lt;</w:t>
      </w:r>
      <w:r w:rsidR="00B80636" w:rsidRPr="00B80636">
        <w:t>https://www.anzsog.edu.au/resource-library/news-media/how-anzsog-helps-ginna-webster-lead-in-uncertain-times</w:t>
      </w:r>
      <w:r w:rsidR="00B80636">
        <w:t>&gt;</w:t>
      </w:r>
    </w:p>
    <w:p w14:paraId="2B82F79E" w14:textId="77777777" w:rsidR="00137D24" w:rsidRPr="005369D3" w:rsidRDefault="00137D24" w:rsidP="00137D24">
      <w:pPr>
        <w:pStyle w:val="Heading1"/>
      </w:pPr>
      <w:bookmarkStart w:id="2" w:name="_Toc55397448"/>
      <w:r w:rsidRPr="005369D3">
        <w:lastRenderedPageBreak/>
        <w:t>ANZSOG</w:t>
      </w:r>
      <w:bookmarkEnd w:id="2"/>
    </w:p>
    <w:p w14:paraId="22B4318D" w14:textId="77777777" w:rsidR="00137D24" w:rsidRDefault="00137D24" w:rsidP="00137D24">
      <w:pPr>
        <w:pStyle w:val="BodyText"/>
        <w:spacing w:before="400"/>
        <w:jc w:val="center"/>
      </w:pPr>
      <w:r>
        <w:rPr>
          <w:noProof/>
        </w:rPr>
        <w:drawing>
          <wp:inline distT="0" distB="0" distL="0" distR="0" wp14:anchorId="75DDAA16" wp14:editId="348FFD01">
            <wp:extent cx="4714875" cy="4714875"/>
            <wp:effectExtent l="0" t="0" r="9525" b="9525"/>
            <wp:docPr id="5" name="Picture 5" descr="Infographic of ANZSOG's roles: Outstanding public sector leadership - Educate, Enrich, Connect, Ins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ZSOG quadrant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15072" cy="4715072"/>
                    </a:xfrm>
                    <a:prstGeom prst="rect">
                      <a:avLst/>
                    </a:prstGeom>
                  </pic:spPr>
                </pic:pic>
              </a:graphicData>
            </a:graphic>
          </wp:inline>
        </w:drawing>
      </w:r>
    </w:p>
    <w:p w14:paraId="058B7BBC" w14:textId="77777777" w:rsidR="00137D24" w:rsidRPr="005369D3" w:rsidRDefault="00137D24" w:rsidP="00137D24">
      <w:pPr>
        <w:pStyle w:val="Heading1"/>
      </w:pPr>
      <w:bookmarkStart w:id="3" w:name="_Toc55397449"/>
      <w:r w:rsidRPr="005369D3">
        <w:lastRenderedPageBreak/>
        <w:t>Educate</w:t>
      </w:r>
      <w:bookmarkEnd w:id="3"/>
    </w:p>
    <w:p w14:paraId="592E9B52" w14:textId="77777777" w:rsidR="0018009B" w:rsidRPr="005369D3" w:rsidRDefault="0018009B" w:rsidP="0018009B">
      <w:pPr>
        <w:pStyle w:val="Heading2"/>
      </w:pPr>
      <w:r w:rsidRPr="005369D3">
        <w:t>Leading in a crisis</w:t>
      </w:r>
    </w:p>
    <w:p w14:paraId="6C098283" w14:textId="77777777" w:rsidR="0018009B" w:rsidRPr="005369D3" w:rsidRDefault="0018009B" w:rsidP="0018009B">
      <w:pPr>
        <w:pStyle w:val="BodyText"/>
        <w:rPr>
          <w:color w:val="0007BA"/>
        </w:rPr>
      </w:pPr>
      <w:r w:rsidRPr="005369D3">
        <w:t xml:space="preserve">In response to COVID-19, in early 2020 ANZSOG created and delivered the Leading in a Crisis (LIAC) series. This provided public sector leaders grappling with the crisis with the benefits of global expertise – when they needed it. A series of seven research papers synthesised the latest information on crisis management, leadership and communications, and featured contributions from academics in Sweden, the Netherlands, Australia, Aotearoa-New Zealand and the USA. In addition, LIAC included a webinar, </w:t>
      </w:r>
      <w:proofErr w:type="gramStart"/>
      <w:r w:rsidRPr="005369D3">
        <w:rPr>
          <w:rStyle w:val="BodyItalic"/>
        </w:rPr>
        <w:t>Navigating</w:t>
      </w:r>
      <w:proofErr w:type="gramEnd"/>
      <w:r w:rsidRPr="005369D3">
        <w:rPr>
          <w:rStyle w:val="BodyItalic"/>
        </w:rPr>
        <w:t xml:space="preserve"> leadership during COVID-19</w:t>
      </w:r>
      <w:r w:rsidRPr="005369D3">
        <w:t>, facilitated by LIAC curator Professor Paul ‘t Hart and a post-crisis masterclass for senior public managers and ANZSOG alumni. ANZSOG delivered the series to senior public sector executives across Australia and Aotearoa-New Zealand, and almost 20,000 unique visitors viewed the papers on the ANZSOG website in just the first three months.</w:t>
      </w:r>
    </w:p>
    <w:p w14:paraId="2F85878D" w14:textId="77777777" w:rsidR="00137D24" w:rsidRPr="005369D3" w:rsidRDefault="00137D24" w:rsidP="00137D24">
      <w:pPr>
        <w:pStyle w:val="Heading2"/>
      </w:pPr>
      <w:bookmarkStart w:id="4" w:name="_GoBack"/>
      <w:bookmarkEnd w:id="4"/>
      <w:r w:rsidRPr="005369D3">
        <w:t>Encouraging innovation</w:t>
      </w:r>
    </w:p>
    <w:p w14:paraId="30AE0816" w14:textId="0540B98E" w:rsidR="00137D24" w:rsidRPr="005369D3" w:rsidRDefault="00137D24" w:rsidP="00137D24">
      <w:pPr>
        <w:pStyle w:val="BodyText"/>
      </w:pPr>
      <w:r w:rsidRPr="005369D3">
        <w:t xml:space="preserve">Improving the public sector’s ability to innovate is an important step to improving public policy. In 2019 ANZSOG partnered with the Monash Sustainable Development Institute (MSDI) and Professor Beth Noveck’s US-based GovLab to improve innovation in the public sector. The project began with an Australia/Aotearoa-New Zealand first survey of attitudes to innovation among public servants and the publication of the </w:t>
      </w:r>
      <w:hyperlink r:id="rId17" w:history="1">
        <w:r w:rsidR="00D31493">
          <w:rPr>
            <w:rStyle w:val="Hyperlink"/>
          </w:rPr>
          <w:t>“Today’s Problems, Yesterday’s Toolkit” report</w:t>
        </w:r>
      </w:hyperlink>
      <w:r w:rsidRPr="005369D3">
        <w:t xml:space="preserve"> </w:t>
      </w:r>
      <w:r w:rsidR="00D31493">
        <w:t>&lt;</w:t>
      </w:r>
      <w:r w:rsidR="00D31493" w:rsidRPr="00D31493">
        <w:t>https://www.anzsog.edu.au/resource-library/news-media/todays-problems-yesterdays-toolkit-public-service?searchword=today%27s+problems+yesterday%27s+toolkit</w:t>
      </w:r>
      <w:r w:rsidR="00D31493">
        <w:t>&gt;</w:t>
      </w:r>
      <w:r w:rsidRPr="005369D3">
        <w:t>, which made recommendations for governments wanting to improve training in innovation. Professor Noveck facilitated workshops with public sector leaders in Melbourne and Canberra, and she and MSDI’s Professor Rod Glover are working with ANZSOG to develop a new course in public problem solving.</w:t>
      </w:r>
    </w:p>
    <w:p w14:paraId="1F7901FF" w14:textId="77777777" w:rsidR="00137D24" w:rsidRPr="005369D3" w:rsidRDefault="00137D24" w:rsidP="00974419">
      <w:pPr>
        <w:pStyle w:val="BodyText12ptsmallspace"/>
      </w:pPr>
      <w:r w:rsidRPr="005369D3">
        <w:t xml:space="preserve">“In every subject they would throw you a real-life policy issue from a government department. You start thinking far more broadly outside of your own organisation. It taught me to better empathise with people and the work of other agencies. Now whenever I’m </w:t>
      </w:r>
      <w:proofErr w:type="gramStart"/>
      <w:r w:rsidRPr="005369D3">
        <w:t>making a decision</w:t>
      </w:r>
      <w:proofErr w:type="gramEnd"/>
      <w:r w:rsidRPr="005369D3">
        <w:t xml:space="preserve"> about something, I always think about who else might be impacted.”</w:t>
      </w:r>
    </w:p>
    <w:p w14:paraId="004E4A7D" w14:textId="7060C412" w:rsidR="00137D24" w:rsidRDefault="00137D24" w:rsidP="00137D24">
      <w:pPr>
        <w:pStyle w:val="BodyText"/>
      </w:pPr>
      <w:r w:rsidRPr="00B80636">
        <w:t xml:space="preserve">Tracey Linford, </w:t>
      </w:r>
      <w:r w:rsidRPr="005369D3">
        <w:t>Executive Master of Public Administration graduate 2007, Executive Fellows Program graduate 2016 and Deputy Commissioner Queensland Police</w:t>
      </w:r>
    </w:p>
    <w:p w14:paraId="2CA8202B" w14:textId="5E103015" w:rsidR="00B80636" w:rsidRPr="005369D3" w:rsidRDefault="005240B9" w:rsidP="00137D24">
      <w:pPr>
        <w:pStyle w:val="BodyText"/>
      </w:pPr>
      <w:hyperlink r:id="rId18" w:history="1">
        <w:r w:rsidR="00B80636" w:rsidRPr="00B80636">
          <w:rPr>
            <w:rStyle w:val="Hyperlink"/>
          </w:rPr>
          <w:t>Tracey Linford</w:t>
        </w:r>
      </w:hyperlink>
      <w:r w:rsidR="00B80636">
        <w:t xml:space="preserve"> &lt;</w:t>
      </w:r>
      <w:r w:rsidR="00B80636" w:rsidRPr="00B80636">
        <w:t xml:space="preserve"> https://www.anzsog.edu.au/resource-library/news-media/public-value-and-the-covid19-response-tracy-linford?searchword=tracey+linford&amp;_content-type=Resource+Library&amp;published_date%5B%5D</w:t>
      </w:r>
      <w:r w:rsidR="00B80636">
        <w:br/>
      </w:r>
      <w:r w:rsidR="00B80636" w:rsidRPr="00B80636">
        <w:t>=&amp;published_date%5B%5D=&amp;_resource-library=News+%26+Media&amp;ordering=relevance+ASC&amp;searchmodule</w:t>
      </w:r>
      <w:r w:rsidR="00B80636">
        <w:br/>
      </w:r>
      <w:r w:rsidR="00B80636" w:rsidRPr="00B80636">
        <w:t>=131&amp;limitstart=</w:t>
      </w:r>
      <w:r w:rsidR="00B80636">
        <w:t>&gt;</w:t>
      </w:r>
    </w:p>
    <w:p w14:paraId="568C4F63" w14:textId="77777777" w:rsidR="00137D24" w:rsidRPr="005369D3" w:rsidRDefault="00137D24" w:rsidP="00137D24">
      <w:pPr>
        <w:pStyle w:val="Heading1"/>
      </w:pPr>
      <w:bookmarkStart w:id="5" w:name="_Toc55397450"/>
      <w:r w:rsidRPr="005369D3">
        <w:lastRenderedPageBreak/>
        <w:t>Enrich</w:t>
      </w:r>
      <w:bookmarkEnd w:id="5"/>
    </w:p>
    <w:p w14:paraId="3566CB26" w14:textId="77777777" w:rsidR="00137D24" w:rsidRPr="005369D3" w:rsidRDefault="00137D24" w:rsidP="00137D24">
      <w:pPr>
        <w:pStyle w:val="Heading2"/>
      </w:pPr>
      <w:r w:rsidRPr="005369D3">
        <w:t>A bridge between theory and practice</w:t>
      </w:r>
    </w:p>
    <w:p w14:paraId="438C44A6" w14:textId="77777777" w:rsidR="00137D24" w:rsidRPr="005369D3" w:rsidRDefault="00137D24" w:rsidP="00137D24">
      <w:pPr>
        <w:pStyle w:val="BodyText"/>
      </w:pPr>
      <w:r w:rsidRPr="005369D3">
        <w:t>Public managers value academic research but do not always have time to read it. To help change this, in March 2020 ANZSOG launched The Bridge, a fortnightly e-newsletter and series of research briefs, which summarises the latest research and delivers it straight to the inboxes of public servants. Tackling topics including agile government, the dark side of public innovation, and understanding prevention and early intervention in public policy. The Bridge reaches a growing subscriber base of over 15,000 and the research briefs have been viewed by almost 8,000 people (as of the end of June 2020).</w:t>
      </w:r>
    </w:p>
    <w:p w14:paraId="773277F5" w14:textId="5DD27D2F" w:rsidR="00137D24" w:rsidRPr="005369D3" w:rsidRDefault="00137D24" w:rsidP="00137D24">
      <w:pPr>
        <w:pStyle w:val="Heading2"/>
      </w:pPr>
      <w:r w:rsidRPr="005369D3">
        <w:t>Helping W</w:t>
      </w:r>
      <w:r>
        <w:t>A</w:t>
      </w:r>
      <w:r w:rsidRPr="005369D3">
        <w:t xml:space="preserve"> Government design capability reviews</w:t>
      </w:r>
    </w:p>
    <w:p w14:paraId="6630E22B" w14:textId="77777777" w:rsidR="00137D24" w:rsidRPr="005369D3" w:rsidRDefault="00137D24" w:rsidP="00137D24">
      <w:pPr>
        <w:pStyle w:val="BodyText"/>
      </w:pPr>
      <w:r w:rsidRPr="005369D3">
        <w:t>ANZSOG partnered with the Western Australia Public Sector Commission to undertake stakeholder engagement and research to design a Performance Improvement Framework for the whole of the Western Australia public sector. This project was a strong demonstration of ANZSOG’s capability in drawing together knowledge and experience globally and across jurisdictions, as well as the latest thinking and research in public administration, to have a significant impact on the Western Australia public sector’s approach to performance improvement across the sector. ANZSOG will publish a report and research findings to ensure other jurisdictions can benefit from the work.</w:t>
      </w:r>
    </w:p>
    <w:p w14:paraId="7C6188AC" w14:textId="77777777" w:rsidR="00137D24" w:rsidRPr="005369D3" w:rsidRDefault="00137D24" w:rsidP="00974419">
      <w:pPr>
        <w:pStyle w:val="BodyText12ptsmallspace"/>
      </w:pPr>
      <w:r w:rsidRPr="005369D3">
        <w:t>“I just want to thank you for the consistently high standard of relevant materials you send out in your newsletters. I’m very impressed and have been finding them useful.”</w:t>
      </w:r>
    </w:p>
    <w:p w14:paraId="44C534C2" w14:textId="77777777" w:rsidR="00137D24" w:rsidRPr="005369D3" w:rsidRDefault="00137D24" w:rsidP="00137D24">
      <w:pPr>
        <w:pStyle w:val="BodyText"/>
      </w:pPr>
      <w:r w:rsidRPr="005369D3">
        <w:t>Kellie William, Senior Project Officer Environmental Health, Brisbane City Council</w:t>
      </w:r>
    </w:p>
    <w:p w14:paraId="5C85BD22" w14:textId="77777777" w:rsidR="00137D24" w:rsidRPr="005369D3" w:rsidRDefault="00137D24" w:rsidP="00974419">
      <w:pPr>
        <w:pStyle w:val="BodyText12ptsmallspace"/>
        <w:rPr>
          <w:rStyle w:val="Bold"/>
          <w:b w:val="0"/>
          <w:bCs w:val="0"/>
        </w:rPr>
      </w:pPr>
      <w:r w:rsidRPr="005369D3">
        <w:rPr>
          <w:rStyle w:val="Bold"/>
          <w:b w:val="0"/>
          <w:bCs w:val="0"/>
        </w:rPr>
        <w:t>“ANZSOG is really good at bringing together the academic literature and people with lived experience.”</w:t>
      </w:r>
    </w:p>
    <w:p w14:paraId="11B5A635" w14:textId="77777777" w:rsidR="00137D24" w:rsidRPr="005369D3" w:rsidRDefault="00137D24" w:rsidP="00137D24">
      <w:pPr>
        <w:pStyle w:val="BodyText"/>
      </w:pPr>
      <w:r w:rsidRPr="005369D3">
        <w:t>Dan Craig, Executive Master of Public Administration student 2020 and Manager Kindergarten Reform Implementation Division, Early Childhood Education Group for the Victorian Department of Education and Training.</w:t>
      </w:r>
    </w:p>
    <w:p w14:paraId="00B60577" w14:textId="77777777" w:rsidR="00137D24" w:rsidRPr="005369D3" w:rsidRDefault="00137D24" w:rsidP="00137D24">
      <w:pPr>
        <w:pStyle w:val="Heading1"/>
        <w:rPr>
          <w:sz w:val="29"/>
          <w:szCs w:val="29"/>
        </w:rPr>
      </w:pPr>
      <w:bookmarkStart w:id="6" w:name="_Toc55397451"/>
      <w:r w:rsidRPr="005369D3">
        <w:lastRenderedPageBreak/>
        <w:t>Inspire</w:t>
      </w:r>
      <w:bookmarkEnd w:id="6"/>
    </w:p>
    <w:p w14:paraId="61FC6146" w14:textId="77777777" w:rsidR="00137D24" w:rsidRPr="005369D3" w:rsidRDefault="00137D24" w:rsidP="00974419">
      <w:pPr>
        <w:pStyle w:val="BodyText12ptsmallspace"/>
      </w:pPr>
      <w:r w:rsidRPr="005369D3">
        <w:t>“Times may be challenging but I absolutely believe politics can be a place for change, disruption, and ultimately a force for good. Good government matters because government affects everything.”</w:t>
      </w:r>
    </w:p>
    <w:p w14:paraId="2A2C995E" w14:textId="77777777" w:rsidR="00137D24" w:rsidRPr="005369D3" w:rsidRDefault="00137D24" w:rsidP="00137D24">
      <w:pPr>
        <w:pStyle w:val="BodyText"/>
      </w:pPr>
      <w:r w:rsidRPr="005369D3">
        <w:t>Prime Minister of New Zealand Jacinda Ardern</w:t>
      </w:r>
    </w:p>
    <w:p w14:paraId="0C046F69" w14:textId="77777777" w:rsidR="00137D24" w:rsidRPr="005369D3" w:rsidRDefault="00137D24" w:rsidP="00137D24">
      <w:pPr>
        <w:pStyle w:val="Heading2"/>
      </w:pPr>
      <w:r w:rsidRPr="005369D3">
        <w:t>Jacinda Ardern address</w:t>
      </w:r>
    </w:p>
    <w:p w14:paraId="2132D4D4" w14:textId="6B563F81" w:rsidR="00137D24" w:rsidRPr="005369D3" w:rsidRDefault="00137D24" w:rsidP="00137D24">
      <w:pPr>
        <w:pStyle w:val="BodyText"/>
        <w:rPr>
          <w:rStyle w:val="Bold"/>
        </w:rPr>
      </w:pPr>
      <w:r w:rsidRPr="005369D3">
        <w:t xml:space="preserve">In July 2019 ANZSOG and the City of Melbourne hosted New Zealand Prime Minister Jacinda Ardern’s address </w:t>
      </w:r>
      <w:hyperlink r:id="rId19" w:history="1">
        <w:r w:rsidRPr="005369D3">
          <w:rPr>
            <w:rStyle w:val="Hyperlink"/>
          </w:rPr>
          <w:t>“Why does good government matter?”</w:t>
        </w:r>
      </w:hyperlink>
      <w:r w:rsidRPr="005369D3">
        <w:t xml:space="preserve"> </w:t>
      </w:r>
      <w:r w:rsidR="00D31493">
        <w:t>&lt;</w:t>
      </w:r>
      <w:r w:rsidR="00D31493" w:rsidRPr="00D31493">
        <w:t>https://www.anzsog.edu.au/resource-library/news-media/new-zealand-pm-jacinda-ardern-s-anzsog-address-why-does-good-government-matter?searchword=jacinda+ardern</w:t>
      </w:r>
      <w:r w:rsidR="00D31493">
        <w:t xml:space="preserve">&gt; </w:t>
      </w:r>
      <w:r w:rsidRPr="005369D3">
        <w:t xml:space="preserve">at the Melbourne Town Hall. This ANZSOG event was held with a diverse invitation-only audience of 1700, including public sector leaders, community leaders and high school students. The event attracted 25,000 views via ANZSOG’s Facebook livestream and coverage in media outlets across Australia and Aotearoa-New Zealand. Ms Ardern thanked ANZSOG for the work it did to support public policy development in Australia and Aotearoa-New Zealand. Later in 2019, ANZSOG’s annual Alf Rattigan Address was delivered by former New Zealand Prime Minister Bill English, on </w:t>
      </w:r>
      <w:hyperlink r:id="rId20" w:history="1">
        <w:r w:rsidRPr="005369D3">
          <w:rPr>
            <w:rStyle w:val="Hyperlink"/>
          </w:rPr>
          <w:t>“The limits of universal public services”</w:t>
        </w:r>
      </w:hyperlink>
      <w:r w:rsidR="00D31493">
        <w:t xml:space="preserve"> &lt;</w:t>
      </w:r>
      <w:r w:rsidR="00D31493" w:rsidRPr="00D31493">
        <w:t>https://www.anzsog.edu.au/resource-library/news-media/alf-rattigan-lecture-bill-english-2019?searchword=bill+english&amp;_content-type=Resource+Library&amp;published</w:t>
      </w:r>
      <w:r w:rsidR="00D31493">
        <w:br/>
      </w:r>
      <w:r w:rsidR="00D31493" w:rsidRPr="00D31493">
        <w:t>_date%5B%5D=&amp;published_date%5B%5D=&amp;_resource-library=News+%26+Media&amp;ordering=relevance+ASC</w:t>
      </w:r>
      <w:r w:rsidR="00D31493">
        <w:br/>
      </w:r>
      <w:r w:rsidR="00D31493" w:rsidRPr="00D31493">
        <w:t>&amp;searchmodule=131&amp;limitstart=</w:t>
      </w:r>
      <w:r w:rsidR="00D31493">
        <w:t>&gt;.</w:t>
      </w:r>
    </w:p>
    <w:p w14:paraId="361BA002" w14:textId="77777777" w:rsidR="00137D24" w:rsidRPr="005369D3" w:rsidRDefault="00137D24" w:rsidP="00974419">
      <w:pPr>
        <w:pStyle w:val="BodyText12ptsmallspace"/>
        <w:rPr>
          <w:rStyle w:val="Bold"/>
          <w:b w:val="0"/>
          <w:bCs w:val="0"/>
        </w:rPr>
      </w:pPr>
      <w:r w:rsidRPr="005369D3">
        <w:rPr>
          <w:rStyle w:val="Bold"/>
          <w:b w:val="0"/>
          <w:bCs w:val="0"/>
        </w:rPr>
        <w:t>“Specifying results in numbers gives politicians and public servants clear direction. With data driven feedback loops, public servants have a consistent system of measurement and accountability around which to organise. Results cut through the fog of verbiage, good intentions, and useless statistics.”</w:t>
      </w:r>
    </w:p>
    <w:p w14:paraId="5CD64225" w14:textId="11CD9FB3" w:rsidR="00137D24" w:rsidRPr="005369D3" w:rsidRDefault="00137D24" w:rsidP="00137D24">
      <w:pPr>
        <w:pStyle w:val="BodyText"/>
        <w:rPr>
          <w:rFonts w:ascii="Apercu-Bold" w:hAnsi="Apercu-Bold" w:cs="Apercu-Bold"/>
          <w:sz w:val="22"/>
        </w:rPr>
      </w:pPr>
      <w:r w:rsidRPr="005369D3">
        <w:t>Bill English, Former New Zealand Prime Minister</w:t>
      </w:r>
    </w:p>
    <w:p w14:paraId="22B461FB" w14:textId="77777777" w:rsidR="00137D24" w:rsidRPr="005369D3" w:rsidRDefault="00137D24" w:rsidP="00E975AD">
      <w:pPr>
        <w:pStyle w:val="Heading2"/>
      </w:pPr>
      <w:r w:rsidRPr="005369D3">
        <w:t>Nurturing First Peoples’ leaders</w:t>
      </w:r>
    </w:p>
    <w:p w14:paraId="7D1F9A2B" w14:textId="77777777" w:rsidR="00137D24" w:rsidRPr="005369D3" w:rsidRDefault="00137D24" w:rsidP="00137D24">
      <w:pPr>
        <w:pStyle w:val="BodyText"/>
      </w:pPr>
      <w:r w:rsidRPr="005369D3">
        <w:t>ANZSOG partnered with the Winston Churchill Memorial Trust in Australia and the Churchill Trust in Aotearoa-New Zealand in 2019 to offer two Indigenous fellowships as part of our commitment to building Indigenous leadership in public services. The winners – Alphonsus Shields from the Northern Territory Police Force and Dr Clive Aspin from the Aotearoa-New Zealand Health Quality and Safety Commission – will travel overseas to research community-based crime prevention and reducing rates of suicide for Indigenous peoples.</w:t>
      </w:r>
    </w:p>
    <w:p w14:paraId="406A6878" w14:textId="77777777" w:rsidR="00137D24" w:rsidRPr="005369D3" w:rsidRDefault="00137D24" w:rsidP="00137D24">
      <w:pPr>
        <w:pStyle w:val="Heading1"/>
      </w:pPr>
      <w:bookmarkStart w:id="7" w:name="_Toc55397452"/>
      <w:r w:rsidRPr="005369D3">
        <w:lastRenderedPageBreak/>
        <w:t>Connect</w:t>
      </w:r>
      <w:bookmarkEnd w:id="7"/>
    </w:p>
    <w:p w14:paraId="438D39A2" w14:textId="77777777" w:rsidR="00137D24" w:rsidRPr="005369D3" w:rsidRDefault="00137D24" w:rsidP="00974419">
      <w:pPr>
        <w:pStyle w:val="BodyText12ptsmallspace"/>
      </w:pPr>
      <w:r w:rsidRPr="005369D3">
        <w:t>“The EMPA has helped me see the importance of building trust. Nothing we do from a policy or program perspective in government will work if we don’t invest in relationships – developing trust with community and with other critical stakeholders.”</w:t>
      </w:r>
    </w:p>
    <w:p w14:paraId="1BE8DD30" w14:textId="77777777" w:rsidR="00137D24" w:rsidRPr="005369D3" w:rsidRDefault="00137D24" w:rsidP="00E975AD">
      <w:pPr>
        <w:pStyle w:val="BodyText"/>
      </w:pPr>
      <w:r w:rsidRPr="005369D3">
        <w:t>Wendy Ah Chin, Executive Master of Public Administration graduate 2017 and Branch Manager, National Indigenous Australians Agency</w:t>
      </w:r>
    </w:p>
    <w:p w14:paraId="4F7A2C0A" w14:textId="77777777" w:rsidR="00137D24" w:rsidRPr="005369D3" w:rsidRDefault="00137D24" w:rsidP="00137D24">
      <w:pPr>
        <w:pStyle w:val="Heading2"/>
      </w:pPr>
      <w:r w:rsidRPr="005369D3">
        <w:t>Indigenising public services</w:t>
      </w:r>
    </w:p>
    <w:p w14:paraId="1CF85EEA" w14:textId="77777777" w:rsidR="00137D24" w:rsidRPr="005369D3" w:rsidRDefault="00137D24" w:rsidP="00137D24">
      <w:pPr>
        <w:pStyle w:val="BodyText"/>
      </w:pPr>
      <w:r w:rsidRPr="005369D3">
        <w:rPr>
          <w:spacing w:val="-2"/>
        </w:rPr>
        <w:t xml:space="preserve">Recognising the value of First Peoples’ </w:t>
      </w:r>
      <w:r w:rsidRPr="005369D3">
        <w:t xml:space="preserve">knowledge and culture is critical for public services if they are to work with Indigenous communities to deliver public value. Central to achieving this is employing and retaining First Nations public servants at all levels. ANZSOG’s 2019 Indigenous Public Servant Forum brought together a group of 23 senior Indigenous public servants from eight Australian jurisdictions and Aotearoa-New Zealand to discuss how to improve Indigenous representation in the public sector. The group agreed to three priorities: establishing a cross-jurisdictional community of practice; developing ways to shift the mindset of non-Indigenous public servants; and </w:t>
      </w:r>
      <w:r w:rsidRPr="005369D3">
        <w:rPr>
          <w:spacing w:val="-2"/>
        </w:rPr>
        <w:t>examining ways to support Indigenous</w:t>
      </w:r>
      <w:r w:rsidRPr="005369D3">
        <w:t xml:space="preserve"> staff to succeed in the public sector while staying on Country.</w:t>
      </w:r>
    </w:p>
    <w:p w14:paraId="7F5E0455" w14:textId="77777777" w:rsidR="00137D24" w:rsidRPr="005369D3" w:rsidRDefault="00137D24" w:rsidP="00E975AD">
      <w:pPr>
        <w:pStyle w:val="Heading2"/>
      </w:pPr>
      <w:r w:rsidRPr="005369D3">
        <w:t>Creating a regulators community</w:t>
      </w:r>
    </w:p>
    <w:p w14:paraId="54D91C1A" w14:textId="543E8770" w:rsidR="00137D24" w:rsidRPr="005369D3" w:rsidRDefault="00137D24" w:rsidP="00137D24">
      <w:pPr>
        <w:pStyle w:val="BodyText"/>
      </w:pPr>
      <w:r w:rsidRPr="005369D3">
        <w:t xml:space="preserve">The </w:t>
      </w:r>
      <w:hyperlink r:id="rId21" w:history="1">
        <w:r w:rsidRPr="00D31493">
          <w:rPr>
            <w:rStyle w:val="Hyperlink"/>
          </w:rPr>
          <w:t>ANZSOG/Nat</w:t>
        </w:r>
        <w:r w:rsidRPr="005369D3">
          <w:rPr>
            <w:rStyle w:val="Hyperlink"/>
          </w:rPr>
          <w:t>ional Regulators Community of Practice (NRCoP)</w:t>
        </w:r>
      </w:hyperlink>
      <w:r w:rsidRPr="005369D3">
        <w:t xml:space="preserve"> </w:t>
      </w:r>
      <w:r w:rsidR="00D31493">
        <w:t>&lt;</w:t>
      </w:r>
      <w:r w:rsidR="00D31493" w:rsidRPr="00D31493">
        <w:t>https://www.anzsog.edu.au/regulators/whats-the-nrcop</w:t>
      </w:r>
      <w:r w:rsidR="00D31493">
        <w:t xml:space="preserve">&gt; </w:t>
      </w:r>
      <w:r w:rsidRPr="005369D3">
        <w:t xml:space="preserve">is an active network connecting Australian public sector regulators from all levels of government and every regulatory sector, professional background, role and level of seniority. In 2019-20 regulators in four chapters in Perth, Brisbane, Sydney and Melbourne enjoyed face-to-face events plus the annual forum, </w:t>
      </w:r>
      <w:r w:rsidRPr="00D31493">
        <w:rPr>
          <w:rStyle w:val="Emphasis"/>
        </w:rPr>
        <w:t>‘The Intelligent Regulator’</w:t>
      </w:r>
      <w:r w:rsidRPr="00D31493">
        <w:t xml:space="preserve"> i</w:t>
      </w:r>
      <w:r w:rsidRPr="005369D3">
        <w:t>n Melbourne, featuring leading global thinker Bill Eggers. The onset of the pandemic in early 2020 resulted in a rapid pivot to a program of online webinars which have attracted participants from across Australia, Aotearoa-New Zealand and internationally. Speakers have included Professor Cory Coglianese and Simone Jackson.</w:t>
      </w:r>
    </w:p>
    <w:p w14:paraId="2817E897" w14:textId="77777777" w:rsidR="00137D24" w:rsidRPr="005369D3" w:rsidRDefault="00137D24" w:rsidP="00137D24">
      <w:pPr>
        <w:pStyle w:val="BodyText"/>
      </w:pPr>
      <w:r w:rsidRPr="005369D3">
        <w:t>The first annual survey of NRCoP participants found that:</w:t>
      </w:r>
    </w:p>
    <w:p w14:paraId="3842A5D9" w14:textId="77777777" w:rsidR="00137D24" w:rsidRPr="005369D3" w:rsidRDefault="00137D24" w:rsidP="00E975AD">
      <w:pPr>
        <w:pStyle w:val="ListBullet"/>
      </w:pPr>
      <w:r w:rsidRPr="005369D3">
        <w:t>86% had shared insights with others in their workplace and/or networks</w:t>
      </w:r>
    </w:p>
    <w:p w14:paraId="6FE14A20" w14:textId="77777777" w:rsidR="00137D24" w:rsidRPr="005369D3" w:rsidRDefault="00137D24" w:rsidP="00E975AD">
      <w:pPr>
        <w:pStyle w:val="ListBullet"/>
      </w:pPr>
      <w:r w:rsidRPr="005369D3">
        <w:t>72% had been able to apply insights gained from seminars to their work as a regulator.</w:t>
      </w:r>
    </w:p>
    <w:p w14:paraId="30E594BA" w14:textId="77777777" w:rsidR="00137D24" w:rsidRPr="005369D3" w:rsidRDefault="00137D24" w:rsidP="00E975AD">
      <w:pPr>
        <w:pStyle w:val="Heading2"/>
      </w:pPr>
      <w:r w:rsidRPr="005369D3">
        <w:t>Building ties with India</w:t>
      </w:r>
    </w:p>
    <w:p w14:paraId="72877B02" w14:textId="134EE2D7" w:rsidR="00137D24" w:rsidRPr="005369D3" w:rsidRDefault="00137D24" w:rsidP="00137D24">
      <w:pPr>
        <w:pStyle w:val="BodyText"/>
      </w:pPr>
      <w:r w:rsidRPr="005369D3">
        <w:t>ANZSOG is building links between Australia, Aotearoa-New Zealand and India through international programs. In</w:t>
      </w:r>
      <w:r w:rsidR="00E975AD">
        <w:t> </w:t>
      </w:r>
      <w:r w:rsidRPr="005369D3">
        <w:t xml:space="preserve">2019, 20 senior Indian officials visited Sydney, Melbourne and Wellington, as part of the India Advanced Leadership Program, to meet and learn from senior officials, with the aim of building greater understanding and productive relationships. The program was led by Dr Pradeep Philip, Dr Jeff Harmer and Jan Henderson. The Victorian </w:t>
      </w:r>
      <w:r w:rsidRPr="005369D3">
        <w:rPr>
          <w:spacing w:val="-1"/>
        </w:rPr>
        <w:t xml:space="preserve">Department of Premier and Cabinet </w:t>
      </w:r>
      <w:r w:rsidRPr="005369D3">
        <w:t xml:space="preserve">commissioned ANZSOG to deliver the three-year Victoria India Government Exchange Program to raise awareness of Victoria in India and build enduring partnerships. The first year saw six senior Victorian leaders travel to the Indian state of Karnataka for </w:t>
      </w:r>
      <w:r w:rsidRPr="005369D3">
        <w:rPr>
          <w:spacing w:val="-1"/>
        </w:rPr>
        <w:t>four-days to establish relationships</w:t>
      </w:r>
      <w:r w:rsidRPr="005369D3">
        <w:t xml:space="preserve"> with their counterparts, identify shared policy challenges and generate a constructive forward work agenda.</w:t>
      </w:r>
    </w:p>
    <w:p w14:paraId="5286FAF4" w14:textId="77777777" w:rsidR="00137D24" w:rsidRPr="005369D3" w:rsidRDefault="00137D24" w:rsidP="00137D24">
      <w:pPr>
        <w:pStyle w:val="Heading1"/>
      </w:pPr>
      <w:bookmarkStart w:id="8" w:name="_Toc55397453"/>
      <w:r w:rsidRPr="005369D3">
        <w:lastRenderedPageBreak/>
        <w:t>Finances in brief</w:t>
      </w:r>
      <w:bookmarkEnd w:id="8"/>
    </w:p>
    <w:p w14:paraId="1F564CF7" w14:textId="77777777" w:rsidR="00137D24" w:rsidRPr="005369D3" w:rsidRDefault="00137D24" w:rsidP="00137D24">
      <w:pPr>
        <w:pStyle w:val="BodyText"/>
      </w:pPr>
      <w:r w:rsidRPr="005369D3">
        <w:t>In the 2019-20 financial year ANZSOG:</w:t>
      </w:r>
    </w:p>
    <w:p w14:paraId="4CD36FE7" w14:textId="77777777" w:rsidR="00137D24" w:rsidRPr="005369D3" w:rsidRDefault="00137D24" w:rsidP="00E975AD">
      <w:pPr>
        <w:pStyle w:val="ListBullet"/>
        <w:rPr>
          <w:rStyle w:val="Bold"/>
        </w:rPr>
      </w:pPr>
      <w:r w:rsidRPr="005369D3">
        <w:t>Deferred programs in response to the impacts of COVID-19 resulting in reduced revenue of $2.17M</w:t>
      </w:r>
    </w:p>
    <w:p w14:paraId="6678D864" w14:textId="77777777" w:rsidR="00137D24" w:rsidRPr="005369D3" w:rsidRDefault="00137D24" w:rsidP="00E975AD">
      <w:pPr>
        <w:pStyle w:val="ListBullet"/>
      </w:pPr>
      <w:r w:rsidRPr="005369D3">
        <w:t>Targeted reduction in expenditure of $1.96M to mitigate revenue reduction</w:t>
      </w:r>
    </w:p>
    <w:p w14:paraId="45126E9C" w14:textId="77777777" w:rsidR="00137D24" w:rsidRPr="005369D3" w:rsidRDefault="00137D24" w:rsidP="00E975AD">
      <w:pPr>
        <w:pStyle w:val="ListBullet"/>
      </w:pPr>
      <w:r w:rsidRPr="005369D3">
        <w:t>Incurred an additional $1.19M expenditure on strategic growth initiatives</w:t>
      </w:r>
    </w:p>
    <w:p w14:paraId="6F2A414B" w14:textId="77777777" w:rsidR="00137D24" w:rsidRPr="005369D3" w:rsidRDefault="00137D24" w:rsidP="00E975AD">
      <w:pPr>
        <w:pStyle w:val="ListBullet"/>
      </w:pPr>
      <w:r w:rsidRPr="005369D3">
        <w:t>Saw a reduction of investment income of $2.59M due to adverse market conditions.</w:t>
      </w:r>
    </w:p>
    <w:p w14:paraId="3A431FF4" w14:textId="77777777" w:rsidR="009B580E" w:rsidRDefault="00137D24" w:rsidP="00E975AD">
      <w:pPr>
        <w:pStyle w:val="Heading2"/>
        <w:sectPr w:rsidR="009B580E" w:rsidSect="00241786">
          <w:pgSz w:w="11906" w:h="16838" w:code="9"/>
          <w:pgMar w:top="1985" w:right="851" w:bottom="1418" w:left="851" w:header="851" w:footer="510" w:gutter="0"/>
          <w:cols w:space="397"/>
          <w:docGrid w:linePitch="360"/>
        </w:sectPr>
      </w:pPr>
      <w:r w:rsidRPr="005369D3">
        <w:t>Income</w:t>
      </w:r>
    </w:p>
    <w:p w14:paraId="021F0264" w14:textId="3F0D86DE" w:rsidR="00137D24" w:rsidRPr="005369D3" w:rsidRDefault="003074F1" w:rsidP="00137D24">
      <w:pPr>
        <w:pStyle w:val="BodyText"/>
      </w:pPr>
      <w:r>
        <w:rPr>
          <w:noProof/>
        </w:rPr>
        <w:drawing>
          <wp:inline distT="0" distB="0" distL="0" distR="0" wp14:anchorId="04FBCE4A" wp14:editId="6544AA24">
            <wp:extent cx="2423160" cy="2349720"/>
            <wp:effectExtent l="0" t="0" r="0" b="0"/>
            <wp:docPr id="6" name="Picture 6" descr="Doughnut chart of 2019 income. Refer below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oughnut chart of 2019 income. Refer below for data."/>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23160" cy="2349720"/>
                    </a:xfrm>
                    <a:prstGeom prst="rect">
                      <a:avLst/>
                    </a:prstGeom>
                  </pic:spPr>
                </pic:pic>
              </a:graphicData>
            </a:graphic>
          </wp:inline>
        </w:drawing>
      </w:r>
    </w:p>
    <w:p w14:paraId="7AAB7351" w14:textId="4C87776F" w:rsidR="00137D24" w:rsidRPr="009B580E" w:rsidRDefault="00137D24" w:rsidP="00917EF5">
      <w:pPr>
        <w:pStyle w:val="BodyText12pt"/>
        <w:rPr>
          <w:rStyle w:val="Bold"/>
          <w:b w:val="0"/>
          <w:bCs w:val="0"/>
        </w:rPr>
      </w:pPr>
      <w:r w:rsidRPr="009B580E">
        <w:rPr>
          <w:rStyle w:val="Bold"/>
        </w:rPr>
        <w:t>2019</w:t>
      </w:r>
      <w:r w:rsidR="009B580E" w:rsidRPr="009B580E">
        <w:rPr>
          <w:rStyle w:val="Bold"/>
        </w:rPr>
        <w:t>:</w:t>
      </w:r>
      <w:r w:rsidRPr="009B580E">
        <w:rPr>
          <w:rStyle w:val="Bold"/>
          <w:b w:val="0"/>
          <w:bCs w:val="0"/>
        </w:rPr>
        <w:t xml:space="preserve"> $19,689,079</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8" w:space="0" w:color="FFFFFF" w:themeColor="background1"/>
          <w:insideV w:val="single" w:sz="4" w:space="0" w:color="FFFFFF" w:themeColor="background1"/>
        </w:tblBorders>
        <w:tblLook w:val="04A0" w:firstRow="1" w:lastRow="0" w:firstColumn="1" w:lastColumn="0" w:noHBand="0" w:noVBand="1"/>
      </w:tblPr>
      <w:tblGrid>
        <w:gridCol w:w="340"/>
        <w:gridCol w:w="4475"/>
      </w:tblGrid>
      <w:tr w:rsidR="003074F1" w:rsidRPr="003074F1" w14:paraId="4DC14694" w14:textId="77777777" w:rsidTr="009B580E">
        <w:tc>
          <w:tcPr>
            <w:tcW w:w="340" w:type="dxa"/>
            <w:shd w:val="clear" w:color="auto" w:fill="57CBF5"/>
          </w:tcPr>
          <w:p w14:paraId="6F08B4CB" w14:textId="77777777" w:rsidR="003074F1" w:rsidRPr="003074F1" w:rsidRDefault="003074F1" w:rsidP="00DE37F5">
            <w:pPr>
              <w:pStyle w:val="TableText"/>
              <w:rPr>
                <w:lang w:val="en-GB"/>
              </w:rPr>
            </w:pPr>
          </w:p>
        </w:tc>
        <w:tc>
          <w:tcPr>
            <w:tcW w:w="4475" w:type="dxa"/>
          </w:tcPr>
          <w:p w14:paraId="3C0CAFCE" w14:textId="77777777" w:rsidR="003074F1" w:rsidRPr="003074F1" w:rsidRDefault="003074F1" w:rsidP="00DE37F5">
            <w:pPr>
              <w:pStyle w:val="TableText"/>
              <w:rPr>
                <w:lang w:val="en-GB"/>
              </w:rPr>
            </w:pPr>
            <w:r w:rsidRPr="003074F1">
              <w:rPr>
                <w:lang w:val="en-GB"/>
              </w:rPr>
              <w:t>Executive Master of Public Administration 21%</w:t>
            </w:r>
          </w:p>
        </w:tc>
      </w:tr>
      <w:tr w:rsidR="003074F1" w:rsidRPr="003074F1" w14:paraId="79649030" w14:textId="77777777" w:rsidTr="009B580E">
        <w:tc>
          <w:tcPr>
            <w:tcW w:w="340" w:type="dxa"/>
            <w:shd w:val="clear" w:color="auto" w:fill="C1E8FB"/>
          </w:tcPr>
          <w:p w14:paraId="0ABD8651" w14:textId="77777777" w:rsidR="003074F1" w:rsidRPr="003074F1" w:rsidRDefault="003074F1" w:rsidP="00DE37F5">
            <w:pPr>
              <w:pStyle w:val="TableText"/>
              <w:rPr>
                <w:lang w:val="en-GB"/>
              </w:rPr>
            </w:pPr>
          </w:p>
        </w:tc>
        <w:tc>
          <w:tcPr>
            <w:tcW w:w="4475" w:type="dxa"/>
          </w:tcPr>
          <w:p w14:paraId="23D69025" w14:textId="77777777" w:rsidR="003074F1" w:rsidRPr="003074F1" w:rsidRDefault="003074F1" w:rsidP="00DE37F5">
            <w:pPr>
              <w:pStyle w:val="TableText"/>
              <w:rPr>
                <w:lang w:val="en-GB"/>
              </w:rPr>
            </w:pPr>
            <w:r w:rsidRPr="003074F1">
              <w:rPr>
                <w:lang w:val="en-GB"/>
              </w:rPr>
              <w:t>Executive Fellows Program 10%</w:t>
            </w:r>
          </w:p>
        </w:tc>
      </w:tr>
      <w:tr w:rsidR="003074F1" w:rsidRPr="003074F1" w14:paraId="4C90D182" w14:textId="77777777" w:rsidTr="009B580E">
        <w:tc>
          <w:tcPr>
            <w:tcW w:w="340" w:type="dxa"/>
            <w:shd w:val="clear" w:color="auto" w:fill="007446"/>
          </w:tcPr>
          <w:p w14:paraId="21FC7CD9" w14:textId="77777777" w:rsidR="003074F1" w:rsidRPr="003074F1" w:rsidRDefault="003074F1" w:rsidP="00DE37F5">
            <w:pPr>
              <w:pStyle w:val="TableText"/>
              <w:rPr>
                <w:lang w:val="en-GB"/>
              </w:rPr>
            </w:pPr>
          </w:p>
        </w:tc>
        <w:tc>
          <w:tcPr>
            <w:tcW w:w="4475" w:type="dxa"/>
          </w:tcPr>
          <w:p w14:paraId="6E4E4A99" w14:textId="77777777" w:rsidR="003074F1" w:rsidRPr="003074F1" w:rsidRDefault="003074F1" w:rsidP="00DE37F5">
            <w:pPr>
              <w:pStyle w:val="TableText"/>
              <w:rPr>
                <w:lang w:val="en-GB"/>
              </w:rPr>
            </w:pPr>
            <w:r w:rsidRPr="003074F1">
              <w:rPr>
                <w:lang w:val="en-GB"/>
              </w:rPr>
              <w:t>Towards Strategic Leadership 4%</w:t>
            </w:r>
          </w:p>
        </w:tc>
      </w:tr>
      <w:tr w:rsidR="003074F1" w:rsidRPr="003074F1" w14:paraId="4E695AF8" w14:textId="77777777" w:rsidTr="009B580E">
        <w:tc>
          <w:tcPr>
            <w:tcW w:w="340" w:type="dxa"/>
            <w:shd w:val="clear" w:color="auto" w:fill="8AA98E"/>
          </w:tcPr>
          <w:p w14:paraId="6AC240DD" w14:textId="77777777" w:rsidR="003074F1" w:rsidRPr="003074F1" w:rsidRDefault="003074F1" w:rsidP="00DE37F5">
            <w:pPr>
              <w:pStyle w:val="TableText"/>
              <w:rPr>
                <w:lang w:val="en-GB"/>
              </w:rPr>
            </w:pPr>
          </w:p>
        </w:tc>
        <w:tc>
          <w:tcPr>
            <w:tcW w:w="4475" w:type="dxa"/>
          </w:tcPr>
          <w:p w14:paraId="393F59EB" w14:textId="77777777" w:rsidR="003074F1" w:rsidRPr="003074F1" w:rsidRDefault="003074F1" w:rsidP="00DE37F5">
            <w:pPr>
              <w:pStyle w:val="TableText"/>
              <w:rPr>
                <w:lang w:val="en-GB"/>
              </w:rPr>
            </w:pPr>
            <w:r w:rsidRPr="003074F1">
              <w:rPr>
                <w:lang w:val="en-GB"/>
              </w:rPr>
              <w:t>Executive Education 20%</w:t>
            </w:r>
          </w:p>
        </w:tc>
      </w:tr>
      <w:tr w:rsidR="003074F1" w:rsidRPr="003074F1" w14:paraId="0DE16C3E" w14:textId="77777777" w:rsidTr="009B580E">
        <w:tc>
          <w:tcPr>
            <w:tcW w:w="340" w:type="dxa"/>
            <w:shd w:val="clear" w:color="auto" w:fill="C0CFC0"/>
          </w:tcPr>
          <w:p w14:paraId="3AD3CAB0" w14:textId="77777777" w:rsidR="003074F1" w:rsidRPr="003074F1" w:rsidRDefault="003074F1" w:rsidP="00DE37F5">
            <w:pPr>
              <w:pStyle w:val="TableText"/>
              <w:rPr>
                <w:lang w:val="en-GB"/>
              </w:rPr>
            </w:pPr>
          </w:p>
        </w:tc>
        <w:tc>
          <w:tcPr>
            <w:tcW w:w="4475" w:type="dxa"/>
          </w:tcPr>
          <w:p w14:paraId="6A139FAC" w14:textId="77777777" w:rsidR="003074F1" w:rsidRPr="003074F1" w:rsidRDefault="003074F1" w:rsidP="00DE37F5">
            <w:pPr>
              <w:pStyle w:val="TableText"/>
              <w:rPr>
                <w:lang w:val="en-GB"/>
              </w:rPr>
            </w:pPr>
            <w:r w:rsidRPr="003074F1">
              <w:rPr>
                <w:lang w:val="en-GB"/>
              </w:rPr>
              <w:t>International Programs 6%</w:t>
            </w:r>
          </w:p>
        </w:tc>
      </w:tr>
      <w:tr w:rsidR="003074F1" w:rsidRPr="003074F1" w14:paraId="7B0F4C59" w14:textId="77777777" w:rsidTr="009B580E">
        <w:tc>
          <w:tcPr>
            <w:tcW w:w="340" w:type="dxa"/>
            <w:shd w:val="clear" w:color="auto" w:fill="233C7E"/>
          </w:tcPr>
          <w:p w14:paraId="1C024970" w14:textId="77777777" w:rsidR="003074F1" w:rsidRPr="003074F1" w:rsidRDefault="003074F1" w:rsidP="00DE37F5">
            <w:pPr>
              <w:pStyle w:val="TableText"/>
              <w:rPr>
                <w:lang w:val="en-GB"/>
              </w:rPr>
            </w:pPr>
          </w:p>
        </w:tc>
        <w:tc>
          <w:tcPr>
            <w:tcW w:w="4475" w:type="dxa"/>
          </w:tcPr>
          <w:p w14:paraId="1EC80908" w14:textId="77777777" w:rsidR="003074F1" w:rsidRPr="003074F1" w:rsidRDefault="003074F1" w:rsidP="00DE37F5">
            <w:pPr>
              <w:pStyle w:val="TableText"/>
              <w:rPr>
                <w:lang w:val="en-GB"/>
              </w:rPr>
            </w:pPr>
            <w:r w:rsidRPr="003074F1">
              <w:rPr>
                <w:lang w:val="en-GB"/>
              </w:rPr>
              <w:t>Member Contributions 6%</w:t>
            </w:r>
          </w:p>
        </w:tc>
      </w:tr>
      <w:tr w:rsidR="003074F1" w:rsidRPr="003074F1" w14:paraId="1C533D7A" w14:textId="77777777" w:rsidTr="009B580E">
        <w:tc>
          <w:tcPr>
            <w:tcW w:w="340" w:type="dxa"/>
            <w:shd w:val="clear" w:color="auto" w:fill="8989B4"/>
          </w:tcPr>
          <w:p w14:paraId="14F0E75F" w14:textId="77777777" w:rsidR="003074F1" w:rsidRPr="003074F1" w:rsidRDefault="003074F1" w:rsidP="00DE37F5">
            <w:pPr>
              <w:pStyle w:val="TableText"/>
              <w:rPr>
                <w:lang w:val="en-GB"/>
              </w:rPr>
            </w:pPr>
          </w:p>
        </w:tc>
        <w:tc>
          <w:tcPr>
            <w:tcW w:w="4475" w:type="dxa"/>
          </w:tcPr>
          <w:p w14:paraId="78E8F6DC" w14:textId="77777777" w:rsidR="003074F1" w:rsidRPr="003074F1" w:rsidRDefault="003074F1" w:rsidP="00DE37F5">
            <w:pPr>
              <w:pStyle w:val="TableText"/>
              <w:rPr>
                <w:lang w:val="en-GB"/>
              </w:rPr>
            </w:pPr>
            <w:r w:rsidRPr="003074F1">
              <w:rPr>
                <w:lang w:val="en-GB"/>
              </w:rPr>
              <w:t>Investment 24%</w:t>
            </w:r>
          </w:p>
        </w:tc>
      </w:tr>
      <w:tr w:rsidR="003074F1" w:rsidRPr="003074F1" w14:paraId="1AF0AB4D" w14:textId="77777777" w:rsidTr="009B580E">
        <w:tc>
          <w:tcPr>
            <w:tcW w:w="340" w:type="dxa"/>
            <w:shd w:val="clear" w:color="auto" w:fill="BCC0D9"/>
          </w:tcPr>
          <w:p w14:paraId="406A25FF" w14:textId="77777777" w:rsidR="003074F1" w:rsidRPr="003074F1" w:rsidRDefault="003074F1" w:rsidP="00DE37F5">
            <w:pPr>
              <w:pStyle w:val="TableText"/>
              <w:rPr>
                <w:lang w:val="en-GB"/>
              </w:rPr>
            </w:pPr>
          </w:p>
        </w:tc>
        <w:tc>
          <w:tcPr>
            <w:tcW w:w="4475" w:type="dxa"/>
          </w:tcPr>
          <w:p w14:paraId="434075B6" w14:textId="77777777" w:rsidR="003074F1" w:rsidRPr="003074F1" w:rsidRDefault="003074F1" w:rsidP="00DE37F5">
            <w:pPr>
              <w:pStyle w:val="TableText"/>
              <w:rPr>
                <w:lang w:val="en-GB"/>
              </w:rPr>
            </w:pPr>
            <w:r w:rsidRPr="003074F1">
              <w:rPr>
                <w:lang w:val="en-GB"/>
              </w:rPr>
              <w:t>Other Income Sources 9%</w:t>
            </w:r>
          </w:p>
        </w:tc>
      </w:tr>
    </w:tbl>
    <w:p w14:paraId="601CD3BA" w14:textId="3C2DB14D" w:rsidR="003074F1" w:rsidRDefault="009B580E" w:rsidP="00137D24">
      <w:pPr>
        <w:pStyle w:val="BodyText"/>
        <w:rPr>
          <w:rStyle w:val="Bold"/>
          <w:rFonts w:ascii="Domus-Semibold" w:hAnsi="Domus-Semibold" w:cs="Domus-Semibold"/>
          <w:caps/>
          <w:sz w:val="30"/>
          <w:szCs w:val="30"/>
        </w:rPr>
      </w:pPr>
      <w:r>
        <w:rPr>
          <w:rStyle w:val="Bold"/>
          <w:rFonts w:ascii="Domus-Semibold" w:hAnsi="Domus-Semibold" w:cs="Domus-Semibold"/>
          <w:caps/>
          <w:sz w:val="30"/>
          <w:szCs w:val="30"/>
        </w:rPr>
        <w:br w:type="column"/>
      </w:r>
      <w:r w:rsidR="003074F1">
        <w:rPr>
          <w:rFonts w:ascii="Domus-Semibold" w:hAnsi="Domus-Semibold" w:cs="Domus-Semibold"/>
          <w:b/>
          <w:bCs/>
          <w:caps/>
          <w:noProof/>
          <w:sz w:val="30"/>
          <w:szCs w:val="30"/>
        </w:rPr>
        <w:drawing>
          <wp:inline distT="0" distB="0" distL="0" distR="0" wp14:anchorId="21729429" wp14:editId="3283D11E">
            <wp:extent cx="2423160" cy="2349720"/>
            <wp:effectExtent l="0" t="0" r="0" b="0"/>
            <wp:docPr id="8" name="Picture 8" descr="Doughnut chart of 2020 income. Refer below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ughnut chart of 2020 income. Refer below for data."/>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23160" cy="2349720"/>
                    </a:xfrm>
                    <a:prstGeom prst="rect">
                      <a:avLst/>
                    </a:prstGeom>
                  </pic:spPr>
                </pic:pic>
              </a:graphicData>
            </a:graphic>
          </wp:inline>
        </w:drawing>
      </w:r>
    </w:p>
    <w:p w14:paraId="1E73E517" w14:textId="3005381B" w:rsidR="00137D24" w:rsidRPr="009B580E" w:rsidRDefault="00137D24" w:rsidP="00917EF5">
      <w:pPr>
        <w:pStyle w:val="BodyText12pt"/>
      </w:pPr>
      <w:r w:rsidRPr="009B580E">
        <w:rPr>
          <w:b/>
          <w:bCs/>
        </w:rPr>
        <w:t>2020</w:t>
      </w:r>
      <w:r w:rsidR="009B580E" w:rsidRPr="009B580E">
        <w:rPr>
          <w:b/>
          <w:bCs/>
        </w:rPr>
        <w:t>:</w:t>
      </w:r>
      <w:r w:rsidRPr="009B580E">
        <w:t xml:space="preserve"> $14,931,629</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8" w:space="0" w:color="FFFFFF" w:themeColor="background1"/>
          <w:insideV w:val="single" w:sz="4" w:space="0" w:color="FFFFFF" w:themeColor="background1"/>
        </w:tblBorders>
        <w:tblLook w:val="04A0" w:firstRow="1" w:lastRow="0" w:firstColumn="1" w:lastColumn="0" w:noHBand="0" w:noVBand="1"/>
      </w:tblPr>
      <w:tblGrid>
        <w:gridCol w:w="340"/>
        <w:gridCol w:w="4475"/>
      </w:tblGrid>
      <w:tr w:rsidR="009B580E" w:rsidRPr="003074F1" w14:paraId="4EBCE044" w14:textId="77777777" w:rsidTr="004546D7">
        <w:tc>
          <w:tcPr>
            <w:tcW w:w="340" w:type="dxa"/>
            <w:shd w:val="clear" w:color="auto" w:fill="57CBF5"/>
          </w:tcPr>
          <w:p w14:paraId="4B9E10F3" w14:textId="77777777" w:rsidR="009B580E" w:rsidRPr="003074F1" w:rsidRDefault="009B580E" w:rsidP="009B580E">
            <w:pPr>
              <w:pStyle w:val="TableText"/>
              <w:rPr>
                <w:lang w:val="en-GB"/>
              </w:rPr>
            </w:pPr>
          </w:p>
        </w:tc>
        <w:tc>
          <w:tcPr>
            <w:tcW w:w="4475" w:type="dxa"/>
          </w:tcPr>
          <w:p w14:paraId="09FD1FE2" w14:textId="5106B57B" w:rsidR="009B580E" w:rsidRPr="003074F1" w:rsidRDefault="009B580E" w:rsidP="009B580E">
            <w:pPr>
              <w:pStyle w:val="TableText"/>
              <w:rPr>
                <w:lang w:val="en-GB"/>
              </w:rPr>
            </w:pPr>
            <w:r w:rsidRPr="009B580E">
              <w:rPr>
                <w:lang w:val="en-GB"/>
              </w:rPr>
              <w:t>Executive Master of Public Administration 25%</w:t>
            </w:r>
          </w:p>
        </w:tc>
      </w:tr>
      <w:tr w:rsidR="009B580E" w:rsidRPr="003074F1" w14:paraId="0E6DE220" w14:textId="77777777" w:rsidTr="004546D7">
        <w:tc>
          <w:tcPr>
            <w:tcW w:w="340" w:type="dxa"/>
            <w:shd w:val="clear" w:color="auto" w:fill="C1E8FB"/>
          </w:tcPr>
          <w:p w14:paraId="3EF46F43" w14:textId="77777777" w:rsidR="009B580E" w:rsidRPr="003074F1" w:rsidRDefault="009B580E" w:rsidP="009B580E">
            <w:pPr>
              <w:pStyle w:val="TableText"/>
              <w:rPr>
                <w:lang w:val="en-GB"/>
              </w:rPr>
            </w:pPr>
          </w:p>
        </w:tc>
        <w:tc>
          <w:tcPr>
            <w:tcW w:w="4475" w:type="dxa"/>
          </w:tcPr>
          <w:p w14:paraId="425D4005" w14:textId="36F0ACE8" w:rsidR="009B580E" w:rsidRPr="003074F1" w:rsidRDefault="009B580E" w:rsidP="009B580E">
            <w:pPr>
              <w:pStyle w:val="TableText"/>
              <w:rPr>
                <w:lang w:val="en-GB"/>
              </w:rPr>
            </w:pPr>
            <w:r w:rsidRPr="009B580E">
              <w:rPr>
                <w:lang w:val="en-GB"/>
              </w:rPr>
              <w:t>Executive Fellows Program 14%</w:t>
            </w:r>
          </w:p>
        </w:tc>
      </w:tr>
      <w:tr w:rsidR="009B580E" w:rsidRPr="003074F1" w14:paraId="2A8522CC" w14:textId="77777777" w:rsidTr="004546D7">
        <w:tc>
          <w:tcPr>
            <w:tcW w:w="340" w:type="dxa"/>
            <w:shd w:val="clear" w:color="auto" w:fill="007446"/>
          </w:tcPr>
          <w:p w14:paraId="2888A517" w14:textId="77777777" w:rsidR="009B580E" w:rsidRPr="003074F1" w:rsidRDefault="009B580E" w:rsidP="009B580E">
            <w:pPr>
              <w:pStyle w:val="TableText"/>
              <w:rPr>
                <w:lang w:val="en-GB"/>
              </w:rPr>
            </w:pPr>
          </w:p>
        </w:tc>
        <w:tc>
          <w:tcPr>
            <w:tcW w:w="4475" w:type="dxa"/>
          </w:tcPr>
          <w:p w14:paraId="1D32376D" w14:textId="2E9D58C9" w:rsidR="009B580E" w:rsidRPr="003074F1" w:rsidRDefault="009B580E" w:rsidP="009B580E">
            <w:pPr>
              <w:pStyle w:val="TableText"/>
              <w:rPr>
                <w:lang w:val="en-GB"/>
              </w:rPr>
            </w:pPr>
            <w:r w:rsidRPr="009B580E">
              <w:rPr>
                <w:lang w:val="en-GB"/>
              </w:rPr>
              <w:t>Towards Strategic Leadership 3%</w:t>
            </w:r>
          </w:p>
        </w:tc>
      </w:tr>
      <w:tr w:rsidR="009B580E" w:rsidRPr="003074F1" w14:paraId="1DD69B1C" w14:textId="77777777" w:rsidTr="004546D7">
        <w:tc>
          <w:tcPr>
            <w:tcW w:w="340" w:type="dxa"/>
            <w:shd w:val="clear" w:color="auto" w:fill="8AA98E"/>
          </w:tcPr>
          <w:p w14:paraId="5094A98D" w14:textId="77777777" w:rsidR="009B580E" w:rsidRPr="003074F1" w:rsidRDefault="009B580E" w:rsidP="009B580E">
            <w:pPr>
              <w:pStyle w:val="TableText"/>
              <w:rPr>
                <w:lang w:val="en-GB"/>
              </w:rPr>
            </w:pPr>
          </w:p>
        </w:tc>
        <w:tc>
          <w:tcPr>
            <w:tcW w:w="4475" w:type="dxa"/>
          </w:tcPr>
          <w:p w14:paraId="72395DF6" w14:textId="44950B2F" w:rsidR="009B580E" w:rsidRPr="003074F1" w:rsidRDefault="009B580E" w:rsidP="009B580E">
            <w:pPr>
              <w:pStyle w:val="TableText"/>
              <w:rPr>
                <w:lang w:val="en-GB"/>
              </w:rPr>
            </w:pPr>
            <w:r w:rsidRPr="009B580E">
              <w:rPr>
                <w:lang w:val="en-GB"/>
              </w:rPr>
              <w:t>Executive Education 20%</w:t>
            </w:r>
          </w:p>
        </w:tc>
      </w:tr>
      <w:tr w:rsidR="009B580E" w:rsidRPr="003074F1" w14:paraId="23C77136" w14:textId="77777777" w:rsidTr="004546D7">
        <w:tc>
          <w:tcPr>
            <w:tcW w:w="340" w:type="dxa"/>
            <w:shd w:val="clear" w:color="auto" w:fill="C0CFC0"/>
          </w:tcPr>
          <w:p w14:paraId="4D0934A6" w14:textId="77777777" w:rsidR="009B580E" w:rsidRPr="003074F1" w:rsidRDefault="009B580E" w:rsidP="009B580E">
            <w:pPr>
              <w:pStyle w:val="TableText"/>
              <w:rPr>
                <w:lang w:val="en-GB"/>
              </w:rPr>
            </w:pPr>
          </w:p>
        </w:tc>
        <w:tc>
          <w:tcPr>
            <w:tcW w:w="4475" w:type="dxa"/>
          </w:tcPr>
          <w:p w14:paraId="753595F9" w14:textId="7A163451" w:rsidR="009B580E" w:rsidRPr="003074F1" w:rsidRDefault="009B580E" w:rsidP="009B580E">
            <w:pPr>
              <w:pStyle w:val="TableText"/>
              <w:rPr>
                <w:lang w:val="en-GB"/>
              </w:rPr>
            </w:pPr>
            <w:r w:rsidRPr="009B580E">
              <w:rPr>
                <w:lang w:val="en-GB"/>
              </w:rPr>
              <w:t>International Programs 8%</w:t>
            </w:r>
          </w:p>
        </w:tc>
      </w:tr>
      <w:tr w:rsidR="009B580E" w:rsidRPr="003074F1" w14:paraId="4EA60493" w14:textId="77777777" w:rsidTr="004546D7">
        <w:tc>
          <w:tcPr>
            <w:tcW w:w="340" w:type="dxa"/>
            <w:shd w:val="clear" w:color="auto" w:fill="233C7E"/>
          </w:tcPr>
          <w:p w14:paraId="354EF2EB" w14:textId="77777777" w:rsidR="009B580E" w:rsidRPr="003074F1" w:rsidRDefault="009B580E" w:rsidP="009B580E">
            <w:pPr>
              <w:pStyle w:val="TableText"/>
              <w:rPr>
                <w:lang w:val="en-GB"/>
              </w:rPr>
            </w:pPr>
          </w:p>
        </w:tc>
        <w:tc>
          <w:tcPr>
            <w:tcW w:w="4475" w:type="dxa"/>
          </w:tcPr>
          <w:p w14:paraId="30C9F418" w14:textId="3AF7F57A" w:rsidR="009B580E" w:rsidRPr="003074F1" w:rsidRDefault="009B580E" w:rsidP="009B580E">
            <w:pPr>
              <w:pStyle w:val="TableText"/>
              <w:rPr>
                <w:lang w:val="en-GB"/>
              </w:rPr>
            </w:pPr>
            <w:r w:rsidRPr="009B580E">
              <w:rPr>
                <w:lang w:val="en-GB"/>
              </w:rPr>
              <w:t>Member Contributions 8%</w:t>
            </w:r>
          </w:p>
        </w:tc>
      </w:tr>
      <w:tr w:rsidR="009B580E" w:rsidRPr="003074F1" w14:paraId="555D33BA" w14:textId="77777777" w:rsidTr="004546D7">
        <w:tc>
          <w:tcPr>
            <w:tcW w:w="340" w:type="dxa"/>
            <w:shd w:val="clear" w:color="auto" w:fill="8989B4"/>
          </w:tcPr>
          <w:p w14:paraId="520A5CA9" w14:textId="77777777" w:rsidR="009B580E" w:rsidRPr="003074F1" w:rsidRDefault="009B580E" w:rsidP="009B580E">
            <w:pPr>
              <w:pStyle w:val="TableText"/>
              <w:rPr>
                <w:lang w:val="en-GB"/>
              </w:rPr>
            </w:pPr>
          </w:p>
        </w:tc>
        <w:tc>
          <w:tcPr>
            <w:tcW w:w="4475" w:type="dxa"/>
          </w:tcPr>
          <w:p w14:paraId="72919064" w14:textId="3A695FCD" w:rsidR="009B580E" w:rsidRPr="003074F1" w:rsidRDefault="009B580E" w:rsidP="009B580E">
            <w:pPr>
              <w:pStyle w:val="TableText"/>
              <w:rPr>
                <w:lang w:val="en-GB"/>
              </w:rPr>
            </w:pPr>
            <w:r w:rsidRPr="009B580E">
              <w:rPr>
                <w:lang w:val="en-GB"/>
              </w:rPr>
              <w:t>Investment 14%</w:t>
            </w:r>
          </w:p>
        </w:tc>
      </w:tr>
      <w:tr w:rsidR="009B580E" w:rsidRPr="003074F1" w14:paraId="1536474B" w14:textId="77777777" w:rsidTr="004546D7">
        <w:tc>
          <w:tcPr>
            <w:tcW w:w="340" w:type="dxa"/>
            <w:shd w:val="clear" w:color="auto" w:fill="BCC0D9"/>
          </w:tcPr>
          <w:p w14:paraId="739659E2" w14:textId="77777777" w:rsidR="009B580E" w:rsidRPr="003074F1" w:rsidRDefault="009B580E" w:rsidP="009B580E">
            <w:pPr>
              <w:pStyle w:val="TableText"/>
              <w:rPr>
                <w:lang w:val="en-GB"/>
              </w:rPr>
            </w:pPr>
          </w:p>
        </w:tc>
        <w:tc>
          <w:tcPr>
            <w:tcW w:w="4475" w:type="dxa"/>
          </w:tcPr>
          <w:p w14:paraId="6A0321D8" w14:textId="7B3DC6CF" w:rsidR="009B580E" w:rsidRPr="003074F1" w:rsidRDefault="009B580E" w:rsidP="009B580E">
            <w:pPr>
              <w:pStyle w:val="TableText"/>
              <w:rPr>
                <w:lang w:val="en-GB"/>
              </w:rPr>
            </w:pPr>
            <w:r w:rsidRPr="009B580E">
              <w:rPr>
                <w:lang w:val="en-GB"/>
              </w:rPr>
              <w:t>Other Income Sources 10%</w:t>
            </w:r>
          </w:p>
        </w:tc>
      </w:tr>
    </w:tbl>
    <w:p w14:paraId="4D6A6C4F" w14:textId="77777777" w:rsidR="009B580E" w:rsidRDefault="009B580E" w:rsidP="00DC454B">
      <w:pPr>
        <w:pStyle w:val="TableText"/>
        <w:rPr>
          <w:lang w:val="en-GB"/>
        </w:rPr>
        <w:sectPr w:rsidR="009B580E" w:rsidSect="009B580E">
          <w:type w:val="continuous"/>
          <w:pgSz w:w="11906" w:h="16838" w:code="9"/>
          <w:pgMar w:top="1985" w:right="851" w:bottom="1418" w:left="851" w:header="851" w:footer="510" w:gutter="0"/>
          <w:cols w:num="2" w:space="340"/>
          <w:docGrid w:linePitch="360"/>
        </w:sectPr>
      </w:pPr>
    </w:p>
    <w:p w14:paraId="3B87C2AA" w14:textId="77777777" w:rsidR="009B580E" w:rsidRDefault="00137D24" w:rsidP="00E975AD">
      <w:pPr>
        <w:pStyle w:val="Heading2"/>
      </w:pPr>
      <w:r w:rsidRPr="005369D3">
        <w:lastRenderedPageBreak/>
        <w:t>Expenses</w:t>
      </w:r>
    </w:p>
    <w:p w14:paraId="0EA357DB" w14:textId="2B6E24D5" w:rsidR="009B580E" w:rsidRPr="009B580E" w:rsidRDefault="009B580E" w:rsidP="009B580E">
      <w:pPr>
        <w:pStyle w:val="BodyText"/>
        <w:sectPr w:rsidR="009B580E" w:rsidRPr="009B580E" w:rsidSect="009B580E">
          <w:pgSz w:w="11906" w:h="16838" w:code="9"/>
          <w:pgMar w:top="1985" w:right="851" w:bottom="1418" w:left="851" w:header="851" w:footer="510" w:gutter="0"/>
          <w:cols w:space="340"/>
          <w:docGrid w:linePitch="360"/>
        </w:sectPr>
      </w:pPr>
    </w:p>
    <w:p w14:paraId="30AC6379" w14:textId="5D0D2941" w:rsidR="003074F1" w:rsidRDefault="003074F1" w:rsidP="00137D24">
      <w:pPr>
        <w:pStyle w:val="BodyText"/>
      </w:pPr>
      <w:r>
        <w:rPr>
          <w:noProof/>
        </w:rPr>
        <w:drawing>
          <wp:inline distT="0" distB="0" distL="0" distR="0" wp14:anchorId="5CF4781B" wp14:editId="6DFBCDB3">
            <wp:extent cx="2423160" cy="2349720"/>
            <wp:effectExtent l="0" t="0" r="0" b="0"/>
            <wp:docPr id="9" name="Picture 9" descr="Doughnut chart of 2019 expenses. Refer below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oughnut chart of 2019 expenses. Refer below for data."/>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23160" cy="2349720"/>
                    </a:xfrm>
                    <a:prstGeom prst="rect">
                      <a:avLst/>
                    </a:prstGeom>
                  </pic:spPr>
                </pic:pic>
              </a:graphicData>
            </a:graphic>
          </wp:inline>
        </w:drawing>
      </w:r>
    </w:p>
    <w:p w14:paraId="36D3662D" w14:textId="6243D1F1" w:rsidR="00137D24" w:rsidRPr="009B580E" w:rsidRDefault="00137D24" w:rsidP="00917EF5">
      <w:pPr>
        <w:pStyle w:val="BodyText12pt"/>
      </w:pPr>
      <w:r w:rsidRPr="009B580E">
        <w:rPr>
          <w:b/>
          <w:bCs/>
        </w:rPr>
        <w:t>2019</w:t>
      </w:r>
      <w:r w:rsidR="009B580E" w:rsidRPr="009B580E">
        <w:rPr>
          <w:b/>
          <w:bCs/>
        </w:rPr>
        <w:t>:</w:t>
      </w:r>
      <w:r w:rsidRPr="009B580E">
        <w:t xml:space="preserve"> $20,187,339</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8" w:space="0" w:color="FFFFFF" w:themeColor="background1"/>
          <w:insideV w:val="single" w:sz="4" w:space="0" w:color="FFFFFF" w:themeColor="background1"/>
        </w:tblBorders>
        <w:tblLook w:val="04A0" w:firstRow="1" w:lastRow="0" w:firstColumn="1" w:lastColumn="0" w:noHBand="0" w:noVBand="1"/>
      </w:tblPr>
      <w:tblGrid>
        <w:gridCol w:w="340"/>
        <w:gridCol w:w="4475"/>
      </w:tblGrid>
      <w:tr w:rsidR="00917EF5" w:rsidRPr="003074F1" w14:paraId="06173D1C" w14:textId="77777777" w:rsidTr="004546D7">
        <w:tc>
          <w:tcPr>
            <w:tcW w:w="340" w:type="dxa"/>
            <w:shd w:val="clear" w:color="auto" w:fill="57CBF5"/>
          </w:tcPr>
          <w:p w14:paraId="56F95DC4" w14:textId="77777777" w:rsidR="00917EF5" w:rsidRPr="003074F1" w:rsidRDefault="00917EF5" w:rsidP="00917EF5">
            <w:pPr>
              <w:pStyle w:val="TableText"/>
              <w:rPr>
                <w:lang w:val="en-GB"/>
              </w:rPr>
            </w:pPr>
          </w:p>
        </w:tc>
        <w:tc>
          <w:tcPr>
            <w:tcW w:w="4475" w:type="dxa"/>
          </w:tcPr>
          <w:p w14:paraId="378F0DF5" w14:textId="17312C50" w:rsidR="00917EF5" w:rsidRPr="003074F1" w:rsidRDefault="00917EF5" w:rsidP="00917EF5">
            <w:pPr>
              <w:pStyle w:val="TableText"/>
              <w:rPr>
                <w:lang w:val="en-GB"/>
              </w:rPr>
            </w:pPr>
            <w:r w:rsidRPr="00917EF5">
              <w:rPr>
                <w:lang w:val="en-GB"/>
              </w:rPr>
              <w:t>Executive Master of Public Administration 15%</w:t>
            </w:r>
          </w:p>
        </w:tc>
      </w:tr>
      <w:tr w:rsidR="00917EF5" w:rsidRPr="003074F1" w14:paraId="72AD2A59" w14:textId="77777777" w:rsidTr="004546D7">
        <w:tc>
          <w:tcPr>
            <w:tcW w:w="340" w:type="dxa"/>
            <w:shd w:val="clear" w:color="auto" w:fill="C1E8FB"/>
          </w:tcPr>
          <w:p w14:paraId="44900B20" w14:textId="77777777" w:rsidR="00917EF5" w:rsidRPr="003074F1" w:rsidRDefault="00917EF5" w:rsidP="00917EF5">
            <w:pPr>
              <w:pStyle w:val="TableText"/>
              <w:rPr>
                <w:lang w:val="en-GB"/>
              </w:rPr>
            </w:pPr>
          </w:p>
        </w:tc>
        <w:tc>
          <w:tcPr>
            <w:tcW w:w="4475" w:type="dxa"/>
          </w:tcPr>
          <w:p w14:paraId="6507AE0E" w14:textId="77FA11A4" w:rsidR="00917EF5" w:rsidRPr="003074F1" w:rsidRDefault="00917EF5" w:rsidP="00917EF5">
            <w:pPr>
              <w:pStyle w:val="TableText"/>
              <w:rPr>
                <w:lang w:val="en-GB"/>
              </w:rPr>
            </w:pPr>
            <w:r w:rsidRPr="00917EF5">
              <w:rPr>
                <w:lang w:val="en-GB"/>
              </w:rPr>
              <w:t>Executive Fellows Program 7%</w:t>
            </w:r>
          </w:p>
        </w:tc>
      </w:tr>
      <w:tr w:rsidR="00917EF5" w:rsidRPr="003074F1" w14:paraId="718C0406" w14:textId="77777777" w:rsidTr="004546D7">
        <w:tc>
          <w:tcPr>
            <w:tcW w:w="340" w:type="dxa"/>
            <w:shd w:val="clear" w:color="auto" w:fill="007446"/>
          </w:tcPr>
          <w:p w14:paraId="783E7B4F" w14:textId="77777777" w:rsidR="00917EF5" w:rsidRPr="003074F1" w:rsidRDefault="00917EF5" w:rsidP="00917EF5">
            <w:pPr>
              <w:pStyle w:val="TableText"/>
              <w:rPr>
                <w:lang w:val="en-GB"/>
              </w:rPr>
            </w:pPr>
          </w:p>
        </w:tc>
        <w:tc>
          <w:tcPr>
            <w:tcW w:w="4475" w:type="dxa"/>
          </w:tcPr>
          <w:p w14:paraId="100D83F5" w14:textId="0C598C7A" w:rsidR="00917EF5" w:rsidRPr="003074F1" w:rsidRDefault="00917EF5" w:rsidP="00917EF5">
            <w:pPr>
              <w:pStyle w:val="TableText"/>
              <w:rPr>
                <w:lang w:val="en-GB"/>
              </w:rPr>
            </w:pPr>
            <w:r w:rsidRPr="00917EF5">
              <w:rPr>
                <w:lang w:val="en-GB"/>
              </w:rPr>
              <w:t>Towards Strategic Leadership 3%</w:t>
            </w:r>
          </w:p>
        </w:tc>
      </w:tr>
      <w:tr w:rsidR="00917EF5" w:rsidRPr="003074F1" w14:paraId="5B9501E5" w14:textId="77777777" w:rsidTr="004546D7">
        <w:tc>
          <w:tcPr>
            <w:tcW w:w="340" w:type="dxa"/>
            <w:shd w:val="clear" w:color="auto" w:fill="8AA98E"/>
          </w:tcPr>
          <w:p w14:paraId="238358F6" w14:textId="77777777" w:rsidR="00917EF5" w:rsidRPr="003074F1" w:rsidRDefault="00917EF5" w:rsidP="00917EF5">
            <w:pPr>
              <w:pStyle w:val="TableText"/>
              <w:rPr>
                <w:lang w:val="en-GB"/>
              </w:rPr>
            </w:pPr>
          </w:p>
        </w:tc>
        <w:tc>
          <w:tcPr>
            <w:tcW w:w="4475" w:type="dxa"/>
          </w:tcPr>
          <w:p w14:paraId="00F895BC" w14:textId="50B5A627" w:rsidR="00917EF5" w:rsidRPr="003074F1" w:rsidRDefault="00917EF5" w:rsidP="00917EF5">
            <w:pPr>
              <w:pStyle w:val="TableText"/>
              <w:rPr>
                <w:lang w:val="en-GB"/>
              </w:rPr>
            </w:pPr>
            <w:r w:rsidRPr="00917EF5">
              <w:rPr>
                <w:lang w:val="en-GB"/>
              </w:rPr>
              <w:t>Executive Education 15%</w:t>
            </w:r>
          </w:p>
        </w:tc>
      </w:tr>
      <w:tr w:rsidR="00917EF5" w:rsidRPr="003074F1" w14:paraId="27136ECC" w14:textId="77777777" w:rsidTr="004546D7">
        <w:tc>
          <w:tcPr>
            <w:tcW w:w="340" w:type="dxa"/>
            <w:shd w:val="clear" w:color="auto" w:fill="C0CFC0"/>
          </w:tcPr>
          <w:p w14:paraId="7E769BA9" w14:textId="77777777" w:rsidR="00917EF5" w:rsidRPr="003074F1" w:rsidRDefault="00917EF5" w:rsidP="00917EF5">
            <w:pPr>
              <w:pStyle w:val="TableText"/>
              <w:rPr>
                <w:lang w:val="en-GB"/>
              </w:rPr>
            </w:pPr>
          </w:p>
        </w:tc>
        <w:tc>
          <w:tcPr>
            <w:tcW w:w="4475" w:type="dxa"/>
          </w:tcPr>
          <w:p w14:paraId="273E9629" w14:textId="0C14F708" w:rsidR="00917EF5" w:rsidRPr="003074F1" w:rsidRDefault="00917EF5" w:rsidP="00917EF5">
            <w:pPr>
              <w:pStyle w:val="TableText"/>
              <w:rPr>
                <w:lang w:val="en-GB"/>
              </w:rPr>
            </w:pPr>
            <w:r w:rsidRPr="00917EF5">
              <w:rPr>
                <w:lang w:val="en-GB"/>
              </w:rPr>
              <w:t>International Programs 5%</w:t>
            </w:r>
          </w:p>
        </w:tc>
      </w:tr>
      <w:tr w:rsidR="00917EF5" w:rsidRPr="003074F1" w14:paraId="0C834590" w14:textId="77777777" w:rsidTr="004546D7">
        <w:tc>
          <w:tcPr>
            <w:tcW w:w="340" w:type="dxa"/>
            <w:shd w:val="clear" w:color="auto" w:fill="233C7E"/>
          </w:tcPr>
          <w:p w14:paraId="2F8E6206" w14:textId="77777777" w:rsidR="00917EF5" w:rsidRPr="003074F1" w:rsidRDefault="00917EF5" w:rsidP="00917EF5">
            <w:pPr>
              <w:pStyle w:val="TableText"/>
              <w:rPr>
                <w:lang w:val="en-GB"/>
              </w:rPr>
            </w:pPr>
          </w:p>
        </w:tc>
        <w:tc>
          <w:tcPr>
            <w:tcW w:w="4475" w:type="dxa"/>
          </w:tcPr>
          <w:p w14:paraId="045358D3" w14:textId="3E56A733" w:rsidR="00917EF5" w:rsidRPr="003074F1" w:rsidRDefault="00917EF5" w:rsidP="00917EF5">
            <w:pPr>
              <w:pStyle w:val="TableText"/>
              <w:rPr>
                <w:lang w:val="en-GB"/>
              </w:rPr>
            </w:pPr>
            <w:r w:rsidRPr="00917EF5">
              <w:rPr>
                <w:lang w:val="en-GB"/>
              </w:rPr>
              <w:t>Research and Case Program 5%</w:t>
            </w:r>
          </w:p>
        </w:tc>
      </w:tr>
      <w:tr w:rsidR="00917EF5" w:rsidRPr="003074F1" w14:paraId="02AB59E1" w14:textId="77777777" w:rsidTr="004546D7">
        <w:tc>
          <w:tcPr>
            <w:tcW w:w="340" w:type="dxa"/>
            <w:shd w:val="clear" w:color="auto" w:fill="8989B4"/>
          </w:tcPr>
          <w:p w14:paraId="23104D8D" w14:textId="77777777" w:rsidR="00917EF5" w:rsidRPr="003074F1" w:rsidRDefault="00917EF5" w:rsidP="00917EF5">
            <w:pPr>
              <w:pStyle w:val="TableText"/>
              <w:rPr>
                <w:lang w:val="en-GB"/>
              </w:rPr>
            </w:pPr>
          </w:p>
        </w:tc>
        <w:tc>
          <w:tcPr>
            <w:tcW w:w="4475" w:type="dxa"/>
          </w:tcPr>
          <w:p w14:paraId="437BE274" w14:textId="7D225485" w:rsidR="00917EF5" w:rsidRPr="003074F1" w:rsidRDefault="00917EF5" w:rsidP="00917EF5">
            <w:pPr>
              <w:pStyle w:val="TableText"/>
              <w:rPr>
                <w:lang w:val="en-GB"/>
              </w:rPr>
            </w:pPr>
            <w:r w:rsidRPr="00917EF5">
              <w:rPr>
                <w:lang w:val="en-GB"/>
              </w:rPr>
              <w:t>Admin, Board, &amp; Governance 11%</w:t>
            </w:r>
          </w:p>
        </w:tc>
      </w:tr>
      <w:tr w:rsidR="00917EF5" w:rsidRPr="003074F1" w14:paraId="0C13630C" w14:textId="77777777" w:rsidTr="004546D7">
        <w:tc>
          <w:tcPr>
            <w:tcW w:w="340" w:type="dxa"/>
            <w:shd w:val="clear" w:color="auto" w:fill="BCC0D9"/>
          </w:tcPr>
          <w:p w14:paraId="02A3C922" w14:textId="77777777" w:rsidR="00917EF5" w:rsidRPr="003074F1" w:rsidRDefault="00917EF5" w:rsidP="00917EF5">
            <w:pPr>
              <w:pStyle w:val="TableText"/>
              <w:rPr>
                <w:lang w:val="en-GB"/>
              </w:rPr>
            </w:pPr>
          </w:p>
        </w:tc>
        <w:tc>
          <w:tcPr>
            <w:tcW w:w="4475" w:type="dxa"/>
          </w:tcPr>
          <w:p w14:paraId="6067E043" w14:textId="1D324C57" w:rsidR="00917EF5" w:rsidRPr="003074F1" w:rsidRDefault="00917EF5" w:rsidP="00917EF5">
            <w:pPr>
              <w:pStyle w:val="TableText"/>
              <w:rPr>
                <w:lang w:val="en-GB"/>
              </w:rPr>
            </w:pPr>
            <w:r w:rsidRPr="00917EF5">
              <w:rPr>
                <w:lang w:val="en-GB"/>
              </w:rPr>
              <w:t>Marketing and Business Development 8%</w:t>
            </w:r>
          </w:p>
        </w:tc>
      </w:tr>
      <w:tr w:rsidR="00917EF5" w:rsidRPr="003074F1" w14:paraId="4BAA9B2C" w14:textId="77777777" w:rsidTr="004546D7">
        <w:tc>
          <w:tcPr>
            <w:tcW w:w="340" w:type="dxa"/>
            <w:shd w:val="clear" w:color="auto" w:fill="322F31"/>
          </w:tcPr>
          <w:p w14:paraId="5ECB8718" w14:textId="77777777" w:rsidR="00917EF5" w:rsidRPr="003074F1" w:rsidRDefault="00917EF5" w:rsidP="00917EF5">
            <w:pPr>
              <w:pStyle w:val="TableText"/>
              <w:rPr>
                <w:lang w:val="en-GB"/>
              </w:rPr>
            </w:pPr>
          </w:p>
        </w:tc>
        <w:tc>
          <w:tcPr>
            <w:tcW w:w="4475" w:type="dxa"/>
          </w:tcPr>
          <w:p w14:paraId="410A855A" w14:textId="2DA75FE7" w:rsidR="00917EF5" w:rsidRPr="003074F1" w:rsidRDefault="00917EF5" w:rsidP="00917EF5">
            <w:pPr>
              <w:pStyle w:val="TableText"/>
              <w:rPr>
                <w:lang w:val="en-GB"/>
              </w:rPr>
            </w:pPr>
            <w:r w:rsidRPr="00917EF5">
              <w:rPr>
                <w:lang w:val="en-GB"/>
              </w:rPr>
              <w:t>Other Expenditures 25%</w:t>
            </w:r>
          </w:p>
        </w:tc>
      </w:tr>
      <w:tr w:rsidR="00917EF5" w:rsidRPr="003074F1" w14:paraId="0520D7D3" w14:textId="77777777" w:rsidTr="004546D7">
        <w:tc>
          <w:tcPr>
            <w:tcW w:w="340" w:type="dxa"/>
            <w:shd w:val="clear" w:color="auto" w:fill="BCBDC0"/>
          </w:tcPr>
          <w:p w14:paraId="6B0FB9C7" w14:textId="77777777" w:rsidR="00917EF5" w:rsidRPr="003074F1" w:rsidRDefault="00917EF5" w:rsidP="00917EF5">
            <w:pPr>
              <w:pStyle w:val="TableText"/>
              <w:rPr>
                <w:lang w:val="en-GB"/>
              </w:rPr>
            </w:pPr>
          </w:p>
        </w:tc>
        <w:tc>
          <w:tcPr>
            <w:tcW w:w="4475" w:type="dxa"/>
          </w:tcPr>
          <w:p w14:paraId="5556FC7B" w14:textId="0916E089" w:rsidR="00917EF5" w:rsidRPr="003074F1" w:rsidRDefault="00917EF5" w:rsidP="00917EF5">
            <w:pPr>
              <w:pStyle w:val="TableText"/>
              <w:rPr>
                <w:lang w:val="en-GB"/>
              </w:rPr>
            </w:pPr>
            <w:r w:rsidRPr="00917EF5">
              <w:rPr>
                <w:lang w:val="en-GB"/>
              </w:rPr>
              <w:t>Strategy Expenditure 6%</w:t>
            </w:r>
          </w:p>
        </w:tc>
      </w:tr>
    </w:tbl>
    <w:p w14:paraId="25CC3ABB" w14:textId="52067251" w:rsidR="003074F1" w:rsidRDefault="009B580E" w:rsidP="00137D24">
      <w:pPr>
        <w:pStyle w:val="BodyText"/>
        <w:rPr>
          <w:rStyle w:val="Bold"/>
          <w:rFonts w:ascii="Domus-Semibold" w:hAnsi="Domus-Semibold" w:cs="Domus-Semibold"/>
          <w:caps/>
          <w:sz w:val="30"/>
          <w:szCs w:val="30"/>
        </w:rPr>
      </w:pPr>
      <w:r>
        <w:rPr>
          <w:rStyle w:val="Bold"/>
          <w:rFonts w:ascii="Domus-Semibold" w:hAnsi="Domus-Semibold" w:cs="Domus-Semibold"/>
          <w:caps/>
          <w:sz w:val="30"/>
          <w:szCs w:val="30"/>
        </w:rPr>
        <w:br w:type="column"/>
      </w:r>
      <w:r w:rsidR="003074F1">
        <w:rPr>
          <w:rFonts w:ascii="Domus-Semibold" w:hAnsi="Domus-Semibold" w:cs="Domus-Semibold"/>
          <w:b/>
          <w:bCs/>
          <w:caps/>
          <w:noProof/>
          <w:sz w:val="30"/>
          <w:szCs w:val="30"/>
        </w:rPr>
        <w:drawing>
          <wp:inline distT="0" distB="0" distL="0" distR="0" wp14:anchorId="76F19A44" wp14:editId="13E9BC42">
            <wp:extent cx="2423160" cy="2349720"/>
            <wp:effectExtent l="0" t="0" r="0" b="0"/>
            <wp:docPr id="10" name="Picture 10" descr="Doughnut chart of 2020 expenses. Refer below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oughnut chart of 2020 expenses. Refer below for data."/>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23160" cy="2349720"/>
                    </a:xfrm>
                    <a:prstGeom prst="rect">
                      <a:avLst/>
                    </a:prstGeom>
                  </pic:spPr>
                </pic:pic>
              </a:graphicData>
            </a:graphic>
          </wp:inline>
        </w:drawing>
      </w:r>
    </w:p>
    <w:p w14:paraId="67039015" w14:textId="5ED9F0C0" w:rsidR="00137D24" w:rsidRPr="009B580E" w:rsidRDefault="00137D24" w:rsidP="00917EF5">
      <w:pPr>
        <w:pStyle w:val="BodyText12pt"/>
        <w:rPr>
          <w:rStyle w:val="Bold"/>
          <w:b w:val="0"/>
          <w:bCs w:val="0"/>
        </w:rPr>
      </w:pPr>
      <w:r w:rsidRPr="009B580E">
        <w:rPr>
          <w:rStyle w:val="Bold"/>
        </w:rPr>
        <w:t>2020</w:t>
      </w:r>
      <w:r w:rsidR="009B580E" w:rsidRPr="009B580E">
        <w:rPr>
          <w:rStyle w:val="Bold"/>
        </w:rPr>
        <w:t>:</w:t>
      </w:r>
      <w:r w:rsidRPr="009B580E">
        <w:rPr>
          <w:rStyle w:val="Bold"/>
          <w:b w:val="0"/>
          <w:bCs w:val="0"/>
        </w:rPr>
        <w:t xml:space="preserve"> $19,415,498</w:t>
      </w:r>
    </w:p>
    <w:tbl>
      <w:tblPr>
        <w:tblStyle w:val="TableGrid"/>
        <w:tblW w:w="48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8" w:space="0" w:color="FFFFFF" w:themeColor="background1"/>
          <w:insideV w:val="single" w:sz="4" w:space="0" w:color="FFFFFF" w:themeColor="background1"/>
        </w:tblBorders>
        <w:tblLook w:val="04A0" w:firstRow="1" w:lastRow="0" w:firstColumn="1" w:lastColumn="0" w:noHBand="0" w:noVBand="1"/>
      </w:tblPr>
      <w:tblGrid>
        <w:gridCol w:w="340"/>
        <w:gridCol w:w="4475"/>
      </w:tblGrid>
      <w:tr w:rsidR="00917EF5" w:rsidRPr="003074F1" w14:paraId="110348A1" w14:textId="77777777" w:rsidTr="00917EF5">
        <w:tc>
          <w:tcPr>
            <w:tcW w:w="340" w:type="dxa"/>
            <w:shd w:val="clear" w:color="auto" w:fill="57CBF5"/>
          </w:tcPr>
          <w:p w14:paraId="42B963E3" w14:textId="77777777" w:rsidR="00917EF5" w:rsidRPr="003074F1" w:rsidRDefault="00917EF5" w:rsidP="00917EF5">
            <w:pPr>
              <w:pStyle w:val="TableText"/>
              <w:rPr>
                <w:lang w:val="en-GB"/>
              </w:rPr>
            </w:pPr>
          </w:p>
        </w:tc>
        <w:tc>
          <w:tcPr>
            <w:tcW w:w="4475" w:type="dxa"/>
          </w:tcPr>
          <w:p w14:paraId="5C323323" w14:textId="39B57FDE" w:rsidR="00917EF5" w:rsidRPr="003074F1" w:rsidRDefault="00917EF5" w:rsidP="00917EF5">
            <w:pPr>
              <w:pStyle w:val="TableText"/>
              <w:rPr>
                <w:lang w:val="en-GB"/>
              </w:rPr>
            </w:pPr>
            <w:r w:rsidRPr="00917EF5">
              <w:rPr>
                <w:lang w:val="en-GB"/>
              </w:rPr>
              <w:t>Executive Master of Public Administration 16%</w:t>
            </w:r>
          </w:p>
        </w:tc>
      </w:tr>
      <w:tr w:rsidR="00917EF5" w:rsidRPr="003074F1" w14:paraId="6A4974A6" w14:textId="77777777" w:rsidTr="00917EF5">
        <w:tc>
          <w:tcPr>
            <w:tcW w:w="340" w:type="dxa"/>
            <w:shd w:val="clear" w:color="auto" w:fill="C1E8FB"/>
          </w:tcPr>
          <w:p w14:paraId="4605FED0" w14:textId="77777777" w:rsidR="00917EF5" w:rsidRPr="003074F1" w:rsidRDefault="00917EF5" w:rsidP="00917EF5">
            <w:pPr>
              <w:pStyle w:val="TableText"/>
              <w:rPr>
                <w:lang w:val="en-GB"/>
              </w:rPr>
            </w:pPr>
          </w:p>
        </w:tc>
        <w:tc>
          <w:tcPr>
            <w:tcW w:w="4475" w:type="dxa"/>
          </w:tcPr>
          <w:p w14:paraId="226104B9" w14:textId="02F74B28" w:rsidR="00917EF5" w:rsidRPr="003074F1" w:rsidRDefault="00917EF5" w:rsidP="00917EF5">
            <w:pPr>
              <w:pStyle w:val="TableText"/>
              <w:rPr>
                <w:lang w:val="en-GB"/>
              </w:rPr>
            </w:pPr>
            <w:r w:rsidRPr="00917EF5">
              <w:rPr>
                <w:lang w:val="en-GB"/>
              </w:rPr>
              <w:t>Executive Fellows Program 8%</w:t>
            </w:r>
          </w:p>
        </w:tc>
      </w:tr>
      <w:tr w:rsidR="00917EF5" w:rsidRPr="003074F1" w14:paraId="3C45F502" w14:textId="77777777" w:rsidTr="00917EF5">
        <w:tc>
          <w:tcPr>
            <w:tcW w:w="340" w:type="dxa"/>
            <w:shd w:val="clear" w:color="auto" w:fill="007446"/>
          </w:tcPr>
          <w:p w14:paraId="1F0D0735" w14:textId="77777777" w:rsidR="00917EF5" w:rsidRPr="003074F1" w:rsidRDefault="00917EF5" w:rsidP="00917EF5">
            <w:pPr>
              <w:pStyle w:val="TableText"/>
              <w:rPr>
                <w:lang w:val="en-GB"/>
              </w:rPr>
            </w:pPr>
          </w:p>
        </w:tc>
        <w:tc>
          <w:tcPr>
            <w:tcW w:w="4475" w:type="dxa"/>
          </w:tcPr>
          <w:p w14:paraId="15824E48" w14:textId="640AF966" w:rsidR="00917EF5" w:rsidRPr="003074F1" w:rsidRDefault="00917EF5" w:rsidP="00917EF5">
            <w:pPr>
              <w:pStyle w:val="TableText"/>
              <w:rPr>
                <w:lang w:val="en-GB"/>
              </w:rPr>
            </w:pPr>
            <w:r w:rsidRPr="00917EF5">
              <w:rPr>
                <w:lang w:val="en-GB"/>
              </w:rPr>
              <w:t>Towards Strategic Leadership 2%</w:t>
            </w:r>
          </w:p>
        </w:tc>
      </w:tr>
      <w:tr w:rsidR="00917EF5" w:rsidRPr="003074F1" w14:paraId="6C7601FC" w14:textId="77777777" w:rsidTr="00917EF5">
        <w:tc>
          <w:tcPr>
            <w:tcW w:w="340" w:type="dxa"/>
            <w:shd w:val="clear" w:color="auto" w:fill="8AA98E"/>
          </w:tcPr>
          <w:p w14:paraId="62D52970" w14:textId="77777777" w:rsidR="00917EF5" w:rsidRPr="003074F1" w:rsidRDefault="00917EF5" w:rsidP="00917EF5">
            <w:pPr>
              <w:pStyle w:val="TableText"/>
              <w:rPr>
                <w:lang w:val="en-GB"/>
              </w:rPr>
            </w:pPr>
          </w:p>
        </w:tc>
        <w:tc>
          <w:tcPr>
            <w:tcW w:w="4475" w:type="dxa"/>
          </w:tcPr>
          <w:p w14:paraId="37B9442E" w14:textId="140E9CEB" w:rsidR="00917EF5" w:rsidRPr="003074F1" w:rsidRDefault="00917EF5" w:rsidP="00917EF5">
            <w:pPr>
              <w:pStyle w:val="TableText"/>
              <w:rPr>
                <w:lang w:val="en-GB"/>
              </w:rPr>
            </w:pPr>
            <w:r w:rsidRPr="00917EF5">
              <w:rPr>
                <w:lang w:val="en-GB"/>
              </w:rPr>
              <w:t>Executive Education 19%</w:t>
            </w:r>
          </w:p>
        </w:tc>
      </w:tr>
      <w:tr w:rsidR="00917EF5" w:rsidRPr="003074F1" w14:paraId="2D4D7AC7" w14:textId="77777777" w:rsidTr="00917EF5">
        <w:tc>
          <w:tcPr>
            <w:tcW w:w="340" w:type="dxa"/>
            <w:shd w:val="clear" w:color="auto" w:fill="C0CFC0"/>
          </w:tcPr>
          <w:p w14:paraId="06371E81" w14:textId="77777777" w:rsidR="00917EF5" w:rsidRPr="003074F1" w:rsidRDefault="00917EF5" w:rsidP="00917EF5">
            <w:pPr>
              <w:pStyle w:val="TableText"/>
              <w:rPr>
                <w:lang w:val="en-GB"/>
              </w:rPr>
            </w:pPr>
          </w:p>
        </w:tc>
        <w:tc>
          <w:tcPr>
            <w:tcW w:w="4475" w:type="dxa"/>
          </w:tcPr>
          <w:p w14:paraId="2257A677" w14:textId="0FA6AC34" w:rsidR="00917EF5" w:rsidRPr="003074F1" w:rsidRDefault="00917EF5" w:rsidP="00917EF5">
            <w:pPr>
              <w:pStyle w:val="TableText"/>
              <w:rPr>
                <w:lang w:val="en-GB"/>
              </w:rPr>
            </w:pPr>
            <w:r w:rsidRPr="00917EF5">
              <w:rPr>
                <w:lang w:val="en-GB"/>
              </w:rPr>
              <w:t>International Programs 5%</w:t>
            </w:r>
          </w:p>
        </w:tc>
      </w:tr>
      <w:tr w:rsidR="00917EF5" w:rsidRPr="003074F1" w14:paraId="279746EF" w14:textId="77777777" w:rsidTr="00917EF5">
        <w:tc>
          <w:tcPr>
            <w:tcW w:w="340" w:type="dxa"/>
            <w:shd w:val="clear" w:color="auto" w:fill="233C7E"/>
          </w:tcPr>
          <w:p w14:paraId="106BE329" w14:textId="77777777" w:rsidR="00917EF5" w:rsidRPr="003074F1" w:rsidRDefault="00917EF5" w:rsidP="00917EF5">
            <w:pPr>
              <w:pStyle w:val="TableText"/>
              <w:rPr>
                <w:lang w:val="en-GB"/>
              </w:rPr>
            </w:pPr>
          </w:p>
        </w:tc>
        <w:tc>
          <w:tcPr>
            <w:tcW w:w="4475" w:type="dxa"/>
          </w:tcPr>
          <w:p w14:paraId="0932715A" w14:textId="08290FA6" w:rsidR="00917EF5" w:rsidRPr="003074F1" w:rsidRDefault="00917EF5" w:rsidP="00917EF5">
            <w:pPr>
              <w:pStyle w:val="TableText"/>
              <w:rPr>
                <w:lang w:val="en-GB"/>
              </w:rPr>
            </w:pPr>
            <w:r w:rsidRPr="00917EF5">
              <w:rPr>
                <w:lang w:val="en-GB"/>
              </w:rPr>
              <w:t>Research and Case Program 7%</w:t>
            </w:r>
          </w:p>
        </w:tc>
      </w:tr>
      <w:tr w:rsidR="00917EF5" w:rsidRPr="003074F1" w14:paraId="6D451C3C" w14:textId="77777777" w:rsidTr="00917EF5">
        <w:tc>
          <w:tcPr>
            <w:tcW w:w="340" w:type="dxa"/>
            <w:shd w:val="clear" w:color="auto" w:fill="8989B4"/>
          </w:tcPr>
          <w:p w14:paraId="7188F944" w14:textId="77777777" w:rsidR="00917EF5" w:rsidRPr="003074F1" w:rsidRDefault="00917EF5" w:rsidP="00917EF5">
            <w:pPr>
              <w:pStyle w:val="TableText"/>
              <w:rPr>
                <w:lang w:val="en-GB"/>
              </w:rPr>
            </w:pPr>
          </w:p>
        </w:tc>
        <w:tc>
          <w:tcPr>
            <w:tcW w:w="4475" w:type="dxa"/>
          </w:tcPr>
          <w:p w14:paraId="1E313677" w14:textId="2A4A1518" w:rsidR="00917EF5" w:rsidRPr="003074F1" w:rsidRDefault="00917EF5" w:rsidP="00917EF5">
            <w:pPr>
              <w:pStyle w:val="TableText"/>
              <w:rPr>
                <w:lang w:val="en-GB"/>
              </w:rPr>
            </w:pPr>
            <w:r w:rsidRPr="00917EF5">
              <w:rPr>
                <w:lang w:val="en-GB"/>
              </w:rPr>
              <w:t>Admin, Board, &amp; Governance 10%</w:t>
            </w:r>
          </w:p>
        </w:tc>
      </w:tr>
      <w:tr w:rsidR="00917EF5" w:rsidRPr="003074F1" w14:paraId="18E33089" w14:textId="77777777" w:rsidTr="00917EF5">
        <w:tc>
          <w:tcPr>
            <w:tcW w:w="340" w:type="dxa"/>
            <w:shd w:val="clear" w:color="auto" w:fill="BCC0D9"/>
          </w:tcPr>
          <w:p w14:paraId="0F5921D6" w14:textId="77777777" w:rsidR="00917EF5" w:rsidRPr="003074F1" w:rsidRDefault="00917EF5" w:rsidP="00917EF5">
            <w:pPr>
              <w:pStyle w:val="TableText"/>
              <w:rPr>
                <w:lang w:val="en-GB"/>
              </w:rPr>
            </w:pPr>
          </w:p>
        </w:tc>
        <w:tc>
          <w:tcPr>
            <w:tcW w:w="4475" w:type="dxa"/>
          </w:tcPr>
          <w:p w14:paraId="543819A9" w14:textId="7717FFA0" w:rsidR="00917EF5" w:rsidRPr="003074F1" w:rsidRDefault="00917EF5" w:rsidP="00917EF5">
            <w:pPr>
              <w:pStyle w:val="TableText"/>
              <w:rPr>
                <w:lang w:val="en-GB"/>
              </w:rPr>
            </w:pPr>
            <w:r w:rsidRPr="00917EF5">
              <w:rPr>
                <w:lang w:val="en-GB"/>
              </w:rPr>
              <w:t>Marketing and Business Development 6%</w:t>
            </w:r>
          </w:p>
        </w:tc>
      </w:tr>
      <w:tr w:rsidR="00917EF5" w:rsidRPr="003074F1" w14:paraId="537708F1" w14:textId="77777777" w:rsidTr="00917EF5">
        <w:tc>
          <w:tcPr>
            <w:tcW w:w="340" w:type="dxa"/>
            <w:shd w:val="clear" w:color="auto" w:fill="322F31"/>
          </w:tcPr>
          <w:p w14:paraId="5EC9BB47" w14:textId="77777777" w:rsidR="00917EF5" w:rsidRPr="003074F1" w:rsidRDefault="00917EF5" w:rsidP="00917EF5">
            <w:pPr>
              <w:pStyle w:val="TableText"/>
              <w:rPr>
                <w:lang w:val="en-GB"/>
              </w:rPr>
            </w:pPr>
          </w:p>
        </w:tc>
        <w:tc>
          <w:tcPr>
            <w:tcW w:w="4475" w:type="dxa"/>
          </w:tcPr>
          <w:p w14:paraId="57B4E058" w14:textId="6EB68905" w:rsidR="00917EF5" w:rsidRPr="003074F1" w:rsidRDefault="00917EF5" w:rsidP="00917EF5">
            <w:pPr>
              <w:pStyle w:val="TableText"/>
              <w:rPr>
                <w:lang w:val="en-GB"/>
              </w:rPr>
            </w:pPr>
            <w:r w:rsidRPr="00917EF5">
              <w:rPr>
                <w:lang w:val="en-GB"/>
              </w:rPr>
              <w:t>Other Expenditures 15%</w:t>
            </w:r>
          </w:p>
        </w:tc>
      </w:tr>
      <w:tr w:rsidR="00917EF5" w:rsidRPr="003074F1" w14:paraId="0F661A33" w14:textId="77777777" w:rsidTr="00917EF5">
        <w:tc>
          <w:tcPr>
            <w:tcW w:w="340" w:type="dxa"/>
            <w:shd w:val="clear" w:color="auto" w:fill="BCBDC0"/>
          </w:tcPr>
          <w:p w14:paraId="189ED74D" w14:textId="77777777" w:rsidR="00917EF5" w:rsidRPr="003074F1" w:rsidRDefault="00917EF5" w:rsidP="00917EF5">
            <w:pPr>
              <w:pStyle w:val="TableText"/>
              <w:rPr>
                <w:lang w:val="en-GB"/>
              </w:rPr>
            </w:pPr>
          </w:p>
        </w:tc>
        <w:tc>
          <w:tcPr>
            <w:tcW w:w="4475" w:type="dxa"/>
          </w:tcPr>
          <w:p w14:paraId="565E0740" w14:textId="6BB3743C" w:rsidR="00917EF5" w:rsidRPr="003074F1" w:rsidRDefault="00917EF5" w:rsidP="00917EF5">
            <w:pPr>
              <w:pStyle w:val="TableText"/>
              <w:rPr>
                <w:lang w:val="en-GB"/>
              </w:rPr>
            </w:pPr>
            <w:r w:rsidRPr="00917EF5">
              <w:rPr>
                <w:lang w:val="en-GB"/>
              </w:rPr>
              <w:t>Strategy Expenditure 12%</w:t>
            </w:r>
          </w:p>
        </w:tc>
      </w:tr>
    </w:tbl>
    <w:p w14:paraId="3D1B7669" w14:textId="77777777" w:rsidR="00917EF5" w:rsidRDefault="00917EF5" w:rsidP="00DC454B">
      <w:pPr>
        <w:pStyle w:val="TableText"/>
        <w:rPr>
          <w:lang w:val="en-GB"/>
        </w:rPr>
      </w:pPr>
    </w:p>
    <w:p w14:paraId="5F5A143A" w14:textId="52A57ABF" w:rsidR="00917EF5" w:rsidRDefault="00917EF5" w:rsidP="00DC454B">
      <w:pPr>
        <w:pStyle w:val="TableText"/>
        <w:rPr>
          <w:lang w:val="en-GB"/>
        </w:rPr>
        <w:sectPr w:rsidR="00917EF5" w:rsidSect="009B580E">
          <w:type w:val="continuous"/>
          <w:pgSz w:w="11906" w:h="16838" w:code="9"/>
          <w:pgMar w:top="1985" w:right="851" w:bottom="1418" w:left="851" w:header="851" w:footer="510" w:gutter="0"/>
          <w:cols w:num="2" w:space="340"/>
          <w:docGrid w:linePitch="360"/>
        </w:sectPr>
      </w:pPr>
    </w:p>
    <w:p w14:paraId="0EBB5744" w14:textId="77777777" w:rsidR="00137D24" w:rsidRPr="005369D3" w:rsidRDefault="00137D24" w:rsidP="00137D24">
      <w:pPr>
        <w:pStyle w:val="Heading1"/>
      </w:pPr>
      <w:bookmarkStart w:id="9" w:name="_Toc55397454"/>
      <w:r w:rsidRPr="005369D3">
        <w:lastRenderedPageBreak/>
        <w:t>Workforce metrics</w:t>
      </w:r>
      <w:bookmarkEnd w:id="9"/>
    </w:p>
    <w:p w14:paraId="440F72D1" w14:textId="77777777" w:rsidR="00137D24" w:rsidRPr="005369D3" w:rsidRDefault="00137D24" w:rsidP="00E975AD">
      <w:pPr>
        <w:pStyle w:val="Heading2"/>
        <w:rPr>
          <w:rStyle w:val="Bold"/>
        </w:rPr>
      </w:pPr>
      <w:r w:rsidRPr="005369D3">
        <w:t>Workforce composition (professional staff)</w:t>
      </w:r>
    </w:p>
    <w:p w14:paraId="194A2350" w14:textId="77777777" w:rsidR="009B580E" w:rsidRDefault="009B580E" w:rsidP="00E975AD">
      <w:pPr>
        <w:pStyle w:val="Heading3"/>
        <w:sectPr w:rsidR="009B580E" w:rsidSect="009B580E">
          <w:pgSz w:w="11906" w:h="16838" w:code="9"/>
          <w:pgMar w:top="1985" w:right="851" w:bottom="1418" w:left="851" w:header="851" w:footer="510" w:gutter="0"/>
          <w:cols w:space="340"/>
          <w:docGrid w:linePitch="360"/>
        </w:sectPr>
      </w:pPr>
    </w:p>
    <w:p w14:paraId="1FB48EB9" w14:textId="49B0A8D7" w:rsidR="00137D24" w:rsidRPr="00E975AD" w:rsidRDefault="00137D24" w:rsidP="00E975AD">
      <w:pPr>
        <w:pStyle w:val="Heading3"/>
      </w:pPr>
      <w:r w:rsidRPr="00E975AD">
        <w:t>Gender</w:t>
      </w:r>
    </w:p>
    <w:p w14:paraId="6CD41E07" w14:textId="585BE87F" w:rsidR="00137D24" w:rsidRDefault="003074F1" w:rsidP="00917EF5">
      <w:pPr>
        <w:pStyle w:val="BodyText"/>
        <w:spacing w:after="240"/>
      </w:pPr>
      <w:r>
        <w:rPr>
          <w:noProof/>
        </w:rPr>
        <w:drawing>
          <wp:inline distT="0" distB="0" distL="0" distR="0" wp14:anchorId="66F27828" wp14:editId="61E63A6A">
            <wp:extent cx="2628720" cy="2245320"/>
            <wp:effectExtent l="0" t="0" r="635" b="3175"/>
            <wp:docPr id="11" name="Picture 11" descr="Doughnut chart of professional staff by gender. Refer below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oughnut chart of professional staff by gender. Refer below for data."/>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28720" cy="2245320"/>
                    </a:xfrm>
                    <a:prstGeom prst="rect">
                      <a:avLst/>
                    </a:prstGeom>
                  </pic:spPr>
                </pic:pic>
              </a:graphicData>
            </a:graphic>
          </wp:inline>
        </w:drawing>
      </w:r>
    </w:p>
    <w:p w14:paraId="58F330DE" w14:textId="2AE577AC" w:rsidR="00917EF5" w:rsidRDefault="00917EF5" w:rsidP="00137D24">
      <w:pPr>
        <w:pStyle w:val="BodyText"/>
      </w:pPr>
      <w:r>
        <w:t>62 staff:</w:t>
      </w:r>
    </w:p>
    <w:p w14:paraId="402CC3CC" w14:textId="0B3E348A" w:rsidR="00917EF5" w:rsidRDefault="00917EF5" w:rsidP="00917EF5">
      <w:pPr>
        <w:pStyle w:val="ListBullet"/>
      </w:pPr>
      <w:r>
        <w:t>Female 69%</w:t>
      </w:r>
    </w:p>
    <w:p w14:paraId="6C724D19" w14:textId="740D28F3" w:rsidR="00917EF5" w:rsidRPr="005369D3" w:rsidRDefault="00917EF5" w:rsidP="00917EF5">
      <w:pPr>
        <w:pStyle w:val="ListBullet"/>
      </w:pPr>
      <w:r>
        <w:t>Male 31%</w:t>
      </w:r>
    </w:p>
    <w:p w14:paraId="2090F60B" w14:textId="77777777" w:rsidR="00137D24" w:rsidRPr="00E975AD" w:rsidRDefault="00137D24" w:rsidP="00E975AD">
      <w:pPr>
        <w:pStyle w:val="Heading3"/>
      </w:pPr>
      <w:r w:rsidRPr="00E975AD">
        <w:t>Age</w:t>
      </w:r>
    </w:p>
    <w:p w14:paraId="743BD571" w14:textId="37E8F960" w:rsidR="00137D24" w:rsidRDefault="003074F1" w:rsidP="00917EF5">
      <w:pPr>
        <w:pStyle w:val="BodyText"/>
        <w:spacing w:after="240"/>
      </w:pPr>
      <w:r>
        <w:rPr>
          <w:noProof/>
        </w:rPr>
        <w:drawing>
          <wp:inline distT="0" distB="0" distL="0" distR="0" wp14:anchorId="0586F136" wp14:editId="06B67AB6">
            <wp:extent cx="2937240" cy="2324160"/>
            <wp:effectExtent l="0" t="0" r="0" b="0"/>
            <wp:docPr id="12" name="Picture 12" descr="Doughnut chart of professional staff by age. Refer below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oughnut chart of professional staff by age. Refer below for data."/>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37240" cy="2324160"/>
                    </a:xfrm>
                    <a:prstGeom prst="rect">
                      <a:avLst/>
                    </a:prstGeom>
                  </pic:spPr>
                </pic:pic>
              </a:graphicData>
            </a:graphic>
          </wp:inline>
        </w:drawing>
      </w:r>
    </w:p>
    <w:p w14:paraId="381E113D" w14:textId="49ECFEC3" w:rsidR="00917EF5" w:rsidRDefault="00917EF5" w:rsidP="00F72A30">
      <w:pPr>
        <w:pStyle w:val="ListBullet"/>
      </w:pPr>
      <w:r>
        <w:t>Age 21-30: 11%</w:t>
      </w:r>
    </w:p>
    <w:p w14:paraId="7FB39E87" w14:textId="49063080" w:rsidR="00917EF5" w:rsidRDefault="00917EF5" w:rsidP="00F72A30">
      <w:pPr>
        <w:pStyle w:val="ListBullet"/>
      </w:pPr>
      <w:r>
        <w:t>Age 31-40: 34%</w:t>
      </w:r>
    </w:p>
    <w:p w14:paraId="0D7F7E09" w14:textId="3751D493" w:rsidR="00F72A30" w:rsidRDefault="00F72A30" w:rsidP="00F72A30">
      <w:pPr>
        <w:pStyle w:val="ListBullet"/>
      </w:pPr>
      <w:r>
        <w:t>Age 41-50: 26%</w:t>
      </w:r>
    </w:p>
    <w:p w14:paraId="5954DF9F" w14:textId="252CD643" w:rsidR="00F72A30" w:rsidRPr="005369D3" w:rsidRDefault="00F72A30" w:rsidP="00F72A30">
      <w:pPr>
        <w:pStyle w:val="ListBullet"/>
      </w:pPr>
      <w:r>
        <w:t>Age 50+: 29%</w:t>
      </w:r>
    </w:p>
    <w:p w14:paraId="36783AE6" w14:textId="0F9DF6AD" w:rsidR="00137D24" w:rsidRPr="00E975AD" w:rsidRDefault="009B580E" w:rsidP="00E975AD">
      <w:pPr>
        <w:pStyle w:val="Heading3"/>
      </w:pPr>
      <w:r>
        <w:br w:type="column"/>
      </w:r>
      <w:r w:rsidR="00137D24" w:rsidRPr="00E975AD">
        <w:t>Years of service</w:t>
      </w:r>
    </w:p>
    <w:p w14:paraId="3D78644B" w14:textId="0F15165F" w:rsidR="00137D24" w:rsidRDefault="003074F1" w:rsidP="00917EF5">
      <w:pPr>
        <w:pStyle w:val="BodyText"/>
        <w:spacing w:after="240"/>
      </w:pPr>
      <w:r>
        <w:rPr>
          <w:noProof/>
        </w:rPr>
        <w:drawing>
          <wp:inline distT="0" distB="0" distL="0" distR="0" wp14:anchorId="1343FD1C" wp14:editId="47FEE5FF">
            <wp:extent cx="3011040" cy="2397960"/>
            <wp:effectExtent l="0" t="0" r="0" b="2540"/>
            <wp:docPr id="13" name="Picture 13" descr="Doughnut chart of professional staff by years of service. Refer below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oughnut chart of professional staff by years of service. Refer below for data."/>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11040" cy="2397960"/>
                    </a:xfrm>
                    <a:prstGeom prst="rect">
                      <a:avLst/>
                    </a:prstGeom>
                  </pic:spPr>
                </pic:pic>
              </a:graphicData>
            </a:graphic>
          </wp:inline>
        </w:drawing>
      </w:r>
    </w:p>
    <w:p w14:paraId="3707E286" w14:textId="0C2C2DB5" w:rsidR="00D31493" w:rsidRDefault="00D31493" w:rsidP="00D31493">
      <w:pPr>
        <w:pStyle w:val="ListBullet"/>
      </w:pPr>
      <w:r>
        <w:t>0-3 years: 74%</w:t>
      </w:r>
    </w:p>
    <w:p w14:paraId="15E23DB1" w14:textId="57A26DCE" w:rsidR="00D31493" w:rsidRDefault="00D31493" w:rsidP="00D31493">
      <w:pPr>
        <w:pStyle w:val="ListBullet"/>
      </w:pPr>
      <w:r>
        <w:t>3-7 years: 14%</w:t>
      </w:r>
    </w:p>
    <w:p w14:paraId="0D5B4C6F" w14:textId="124D760E" w:rsidR="00D31493" w:rsidRPr="005369D3" w:rsidRDefault="00D31493" w:rsidP="00D31493">
      <w:pPr>
        <w:pStyle w:val="ListBullet"/>
      </w:pPr>
      <w:r>
        <w:t>7+ years: 10%</w:t>
      </w:r>
    </w:p>
    <w:p w14:paraId="4EAC69D0" w14:textId="77777777" w:rsidR="00137D24" w:rsidRPr="00E975AD" w:rsidRDefault="00137D24" w:rsidP="00D31493">
      <w:pPr>
        <w:pStyle w:val="Heading3"/>
        <w:spacing w:after="240"/>
      </w:pPr>
      <w:r w:rsidRPr="00E975AD">
        <w:t>Salary band by gender</w:t>
      </w:r>
    </w:p>
    <w:p w14:paraId="7C708326" w14:textId="74881724" w:rsidR="009B580E" w:rsidRDefault="003074F1" w:rsidP="00917EF5">
      <w:pPr>
        <w:pStyle w:val="BodyText"/>
        <w:spacing w:after="240"/>
      </w:pPr>
      <w:r>
        <w:rPr>
          <w:noProof/>
        </w:rPr>
        <w:drawing>
          <wp:inline distT="0" distB="0" distL="0" distR="0" wp14:anchorId="1ED1AB28" wp14:editId="7FD90580">
            <wp:extent cx="2886120" cy="1937880"/>
            <wp:effectExtent l="0" t="0" r="0" b="5715"/>
            <wp:docPr id="14" name="Picture 14" descr="Bar chart of salary bands of professional staff by gender. Refer below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r chart of salary bands of professional staff by gender. Refer below for data."/>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86120" cy="1937880"/>
                    </a:xfrm>
                    <a:prstGeom prst="rect">
                      <a:avLst/>
                    </a:prstGeom>
                  </pic:spPr>
                </pic:pic>
              </a:graphicData>
            </a:graphic>
          </wp:inline>
        </w:drawing>
      </w:r>
    </w:p>
    <w:p w14:paraId="23ECB2F2" w14:textId="05C3C819" w:rsidR="00917EF5" w:rsidRDefault="00D31493" w:rsidP="00D31493">
      <w:pPr>
        <w:pStyle w:val="ListBullet"/>
      </w:pPr>
      <w:r>
        <w:t>Band 1: Male 2%; Female 19%</w:t>
      </w:r>
    </w:p>
    <w:p w14:paraId="2964FD43" w14:textId="6C480E7B" w:rsidR="00D31493" w:rsidRDefault="00D31493" w:rsidP="00D31493">
      <w:pPr>
        <w:pStyle w:val="ListBullet"/>
      </w:pPr>
      <w:r>
        <w:t>Band 2: Male 6%; Female 23%</w:t>
      </w:r>
    </w:p>
    <w:p w14:paraId="2254BFFE" w14:textId="022F0A62" w:rsidR="00D31493" w:rsidRDefault="00D31493" w:rsidP="00D31493">
      <w:pPr>
        <w:pStyle w:val="ListBullet"/>
      </w:pPr>
      <w:r>
        <w:t>Band 3: Male 13%; Female 10%</w:t>
      </w:r>
    </w:p>
    <w:p w14:paraId="42E013D0" w14:textId="07D90DA0" w:rsidR="00D31493" w:rsidRDefault="00D31493" w:rsidP="00D31493">
      <w:pPr>
        <w:pStyle w:val="ListBullet"/>
      </w:pPr>
      <w:r>
        <w:t>Band 4: Male 10%; Female 18%</w:t>
      </w:r>
    </w:p>
    <w:p w14:paraId="1CC197E5" w14:textId="77777777" w:rsidR="00917EF5" w:rsidRDefault="00917EF5" w:rsidP="00917EF5">
      <w:pPr>
        <w:pStyle w:val="BodyText"/>
        <w:spacing w:after="240"/>
      </w:pPr>
    </w:p>
    <w:p w14:paraId="541A4A37" w14:textId="77777777" w:rsidR="00917EF5" w:rsidRDefault="00917EF5" w:rsidP="00917EF5">
      <w:pPr>
        <w:pStyle w:val="BodyText"/>
        <w:spacing w:after="240"/>
        <w:sectPr w:rsidR="00917EF5" w:rsidSect="009B580E">
          <w:type w:val="continuous"/>
          <w:pgSz w:w="11906" w:h="16838" w:code="9"/>
          <w:pgMar w:top="1985" w:right="851" w:bottom="1418" w:left="851" w:header="851" w:footer="510" w:gutter="0"/>
          <w:cols w:num="2" w:space="340"/>
          <w:docGrid w:linePitch="360"/>
        </w:sectPr>
      </w:pPr>
    </w:p>
    <w:p w14:paraId="6700D701" w14:textId="77777777" w:rsidR="00137D24" w:rsidRPr="005369D3" w:rsidRDefault="00137D24" w:rsidP="00137D24">
      <w:pPr>
        <w:pStyle w:val="Heading1"/>
      </w:pPr>
      <w:bookmarkStart w:id="10" w:name="_Toc55397455"/>
      <w:r w:rsidRPr="005369D3">
        <w:lastRenderedPageBreak/>
        <w:t>Who we are</w:t>
      </w:r>
      <w:bookmarkEnd w:id="10"/>
    </w:p>
    <w:p w14:paraId="26452F96" w14:textId="77777777" w:rsidR="00137D24" w:rsidRPr="005369D3" w:rsidRDefault="00137D24" w:rsidP="004219E0">
      <w:pPr>
        <w:pStyle w:val="BodyText12ptsmallspace"/>
      </w:pPr>
      <w:r w:rsidRPr="005369D3">
        <w:t>Created by government for government, ANZSOG works with our owner governments and partner universities to strengthen the quality of public sector leadership in Australia and Aotearoa-New Zealand. We provide unique education programs, thought leadership and government-focused research that meet the contemporary challenges faced by public services. Our work inspires and connects people across agencies, sectors and jurisdictions.</w:t>
      </w:r>
    </w:p>
    <w:p w14:paraId="473F4863" w14:textId="77777777" w:rsidR="00137D24" w:rsidRPr="005369D3" w:rsidRDefault="00137D24" w:rsidP="004219E0">
      <w:pPr>
        <w:pStyle w:val="BodyText12pt"/>
        <w:spacing w:before="120"/>
        <w:rPr>
          <w:rFonts w:ascii="Apercu-Bold" w:hAnsi="Apercu-Bold" w:cs="Apercu-Bold"/>
          <w:b/>
          <w:bCs/>
          <w:sz w:val="22"/>
          <w:szCs w:val="22"/>
        </w:rPr>
      </w:pPr>
      <w:r w:rsidRPr="005369D3">
        <w:t>Everything we do is designed to deliver better government and better outcomes for the public.</w:t>
      </w:r>
    </w:p>
    <w:p w14:paraId="61C8CEF6" w14:textId="77777777" w:rsidR="00137D24" w:rsidRPr="005369D3" w:rsidRDefault="00137D24" w:rsidP="00137D24">
      <w:pPr>
        <w:pStyle w:val="Heading2"/>
      </w:pPr>
      <w:r w:rsidRPr="005369D3">
        <w:t>On 30 June 2020, the Board of Directors comprise:</w:t>
      </w:r>
    </w:p>
    <w:p w14:paraId="6FB89AC4" w14:textId="77777777" w:rsidR="00137D24" w:rsidRPr="005369D3" w:rsidRDefault="00137D24" w:rsidP="00E975AD">
      <w:pPr>
        <w:pStyle w:val="ListBullet"/>
      </w:pPr>
      <w:r w:rsidRPr="005369D3">
        <w:t>Mr Peter Hughes CNZM (Chair): Public Service Commissioner and Head of Service, Te Tumu Whakarae mō Te Kawa Mataaho</w:t>
      </w:r>
    </w:p>
    <w:p w14:paraId="18164485" w14:textId="77777777" w:rsidR="00137D24" w:rsidRPr="005369D3" w:rsidRDefault="00137D24" w:rsidP="00E975AD">
      <w:pPr>
        <w:pStyle w:val="ListBullet"/>
      </w:pPr>
      <w:r w:rsidRPr="005369D3">
        <w:t>Professor Ken Smith: CEO, ANZSOG</w:t>
      </w:r>
    </w:p>
    <w:p w14:paraId="294F6AC6" w14:textId="77777777" w:rsidR="00137D24" w:rsidRPr="005369D3" w:rsidRDefault="00137D24" w:rsidP="00E975AD">
      <w:pPr>
        <w:pStyle w:val="ListBullet"/>
      </w:pPr>
      <w:r w:rsidRPr="005369D3">
        <w:t>Mr Chris Eccles AO: Secretary, Department of Premier and Cabinet (VIC)</w:t>
      </w:r>
    </w:p>
    <w:p w14:paraId="66BFFA34" w14:textId="77777777" w:rsidR="00137D24" w:rsidRPr="005369D3" w:rsidRDefault="00137D24" w:rsidP="00E975AD">
      <w:pPr>
        <w:pStyle w:val="ListBullet"/>
      </w:pPr>
      <w:r w:rsidRPr="005369D3">
        <w:t>Professor Margaret Gardner AC: President and Vice-Chancellor, Monash University</w:t>
      </w:r>
    </w:p>
    <w:p w14:paraId="6DEE99A5" w14:textId="77777777" w:rsidR="00137D24" w:rsidRPr="005369D3" w:rsidRDefault="00137D24" w:rsidP="00E975AD">
      <w:pPr>
        <w:pStyle w:val="ListBullet"/>
      </w:pPr>
      <w:r w:rsidRPr="005369D3">
        <w:t>Ms Kathrina Lo: NSW Public Service Commissioner</w:t>
      </w:r>
    </w:p>
    <w:p w14:paraId="75893956" w14:textId="77777777" w:rsidR="00137D24" w:rsidRPr="005369D3" w:rsidRDefault="00137D24" w:rsidP="00E975AD">
      <w:pPr>
        <w:pStyle w:val="ListBullet"/>
      </w:pPr>
      <w:r w:rsidRPr="005369D3">
        <w:t>Dr Girol Karacaoglu: Head of School of Government, Victoria University of Wellington</w:t>
      </w:r>
    </w:p>
    <w:p w14:paraId="2C6995C0" w14:textId="77777777" w:rsidR="00137D24" w:rsidRPr="005369D3" w:rsidRDefault="00137D24" w:rsidP="00E975AD">
      <w:pPr>
        <w:pStyle w:val="ListBullet"/>
      </w:pPr>
      <w:r w:rsidRPr="005369D3">
        <w:t>Ms Robyn Kruk AO: Board member, ANZSOG</w:t>
      </w:r>
    </w:p>
    <w:p w14:paraId="69A2A3D0" w14:textId="77777777" w:rsidR="00137D24" w:rsidRPr="005369D3" w:rsidRDefault="00137D24" w:rsidP="00E975AD">
      <w:pPr>
        <w:pStyle w:val="ListBullet"/>
      </w:pPr>
      <w:r w:rsidRPr="005369D3">
        <w:t>Ms Jodie Ryan: CEO, Department of the Chief Minister (NT)</w:t>
      </w:r>
    </w:p>
    <w:p w14:paraId="1F736431" w14:textId="77777777" w:rsidR="00137D24" w:rsidRPr="005369D3" w:rsidRDefault="00137D24" w:rsidP="00E975AD">
      <w:pPr>
        <w:pStyle w:val="ListBullet"/>
      </w:pPr>
      <w:r w:rsidRPr="005369D3">
        <w:t>Mr Robert Setter: Commission Chief Executive, Queensland Public Service Commission</w:t>
      </w:r>
    </w:p>
    <w:p w14:paraId="28D7686B" w14:textId="77777777" w:rsidR="00137D24" w:rsidRPr="005369D3" w:rsidRDefault="00137D24" w:rsidP="00E975AD">
      <w:pPr>
        <w:pStyle w:val="ListBullet"/>
      </w:pPr>
      <w:r w:rsidRPr="005369D3">
        <w:t>Dame Karen Sewell DNZM, QSO: Board member and consultant, ANZSOG</w:t>
      </w:r>
    </w:p>
    <w:p w14:paraId="6ACDA8AF" w14:textId="77777777" w:rsidR="00137D24" w:rsidRPr="005369D3" w:rsidRDefault="00137D24" w:rsidP="00E975AD">
      <w:pPr>
        <w:pStyle w:val="ListBullet"/>
      </w:pPr>
      <w:r w:rsidRPr="005369D3">
        <w:t>Professor Deborah Terry AO: Vice-Chancellor and President, The University of Queensland</w:t>
      </w:r>
    </w:p>
    <w:p w14:paraId="6ECD3D47" w14:textId="77777777" w:rsidR="00137D24" w:rsidRPr="005369D3" w:rsidRDefault="00137D24" w:rsidP="00E975AD">
      <w:pPr>
        <w:pStyle w:val="ListBullet"/>
      </w:pPr>
      <w:r w:rsidRPr="005369D3">
        <w:t>Mr Peter Woolcott AO: Australian Public Service Commissioner.</w:t>
      </w:r>
    </w:p>
    <w:p w14:paraId="52B4C8CC" w14:textId="4BE8A118" w:rsidR="00137D24" w:rsidRDefault="00137D24" w:rsidP="00137D24">
      <w:pPr>
        <w:pStyle w:val="Heading2"/>
      </w:pPr>
      <w:r w:rsidRPr="005369D3">
        <w:t>Government owners</w:t>
      </w:r>
    </w:p>
    <w:p w14:paraId="3678EE6F" w14:textId="336ED90A" w:rsidR="004219E0" w:rsidRDefault="004219E0" w:rsidP="004219E0">
      <w:pPr>
        <w:pStyle w:val="ListBullet"/>
      </w:pPr>
      <w:r>
        <w:t>Australian Government</w:t>
      </w:r>
    </w:p>
    <w:p w14:paraId="3E8913A6" w14:textId="0A2A8E74" w:rsidR="004219E0" w:rsidRDefault="004219E0" w:rsidP="004219E0">
      <w:pPr>
        <w:pStyle w:val="ListBullet"/>
      </w:pPr>
      <w:r>
        <w:t>Aotearoa-New Zealand Government</w:t>
      </w:r>
    </w:p>
    <w:p w14:paraId="09E9A11D" w14:textId="3BD6F1D1" w:rsidR="004219E0" w:rsidRDefault="004219E0" w:rsidP="004219E0">
      <w:pPr>
        <w:pStyle w:val="ListBullet"/>
      </w:pPr>
      <w:r>
        <w:t>Australian Capital Territory Government</w:t>
      </w:r>
    </w:p>
    <w:p w14:paraId="4007B086" w14:textId="1DA7BE20" w:rsidR="004219E0" w:rsidRDefault="004219E0" w:rsidP="004219E0">
      <w:pPr>
        <w:pStyle w:val="ListBullet"/>
      </w:pPr>
      <w:r>
        <w:t>Northern Territory Government</w:t>
      </w:r>
    </w:p>
    <w:p w14:paraId="47359E20" w14:textId="30566115" w:rsidR="004219E0" w:rsidRDefault="004219E0" w:rsidP="004219E0">
      <w:pPr>
        <w:pStyle w:val="ListBullet"/>
      </w:pPr>
      <w:r>
        <w:t>New South Wales Government</w:t>
      </w:r>
    </w:p>
    <w:p w14:paraId="7CD73A71" w14:textId="681C18BB" w:rsidR="004219E0" w:rsidRDefault="004219E0" w:rsidP="004219E0">
      <w:pPr>
        <w:pStyle w:val="ListBullet"/>
      </w:pPr>
      <w:r>
        <w:t>Queensland Government</w:t>
      </w:r>
    </w:p>
    <w:p w14:paraId="18EDBE4A" w14:textId="0B81BA04" w:rsidR="004219E0" w:rsidRDefault="004219E0" w:rsidP="004219E0">
      <w:pPr>
        <w:pStyle w:val="ListBullet"/>
      </w:pPr>
      <w:r>
        <w:t>Government of South Australia</w:t>
      </w:r>
    </w:p>
    <w:p w14:paraId="0AC9E4A1" w14:textId="058A2CB2" w:rsidR="004219E0" w:rsidRDefault="004219E0" w:rsidP="004219E0">
      <w:pPr>
        <w:pStyle w:val="ListBullet"/>
      </w:pPr>
      <w:r>
        <w:t>Tasmanian Government</w:t>
      </w:r>
    </w:p>
    <w:p w14:paraId="20E1679B" w14:textId="445C5E6C" w:rsidR="004219E0" w:rsidRDefault="004219E0" w:rsidP="004219E0">
      <w:pPr>
        <w:pStyle w:val="ListBullet"/>
      </w:pPr>
      <w:r>
        <w:t>Victoria State Government</w:t>
      </w:r>
    </w:p>
    <w:p w14:paraId="269F378B" w14:textId="21CF7B24" w:rsidR="004219E0" w:rsidRPr="004219E0" w:rsidRDefault="004219E0" w:rsidP="004219E0">
      <w:pPr>
        <w:pStyle w:val="ListBullet"/>
      </w:pPr>
      <w:r>
        <w:t>Government of Western Australia</w:t>
      </w:r>
    </w:p>
    <w:p w14:paraId="1FDB9A2C" w14:textId="77777777" w:rsidR="004219E0" w:rsidRPr="004219E0" w:rsidRDefault="004219E0" w:rsidP="004219E0">
      <w:pPr>
        <w:pStyle w:val="BodyText"/>
      </w:pPr>
      <w:r w:rsidRPr="004219E0">
        <w:br w:type="page"/>
      </w:r>
    </w:p>
    <w:p w14:paraId="0EFE7A16" w14:textId="2FB3CD66" w:rsidR="00137D24" w:rsidRPr="005369D3" w:rsidRDefault="00137D24" w:rsidP="00137D24">
      <w:pPr>
        <w:pStyle w:val="Heading2"/>
      </w:pPr>
      <w:r w:rsidRPr="005369D3">
        <w:lastRenderedPageBreak/>
        <w:t>Member universities</w:t>
      </w:r>
    </w:p>
    <w:p w14:paraId="539E5344" w14:textId="77777777" w:rsidR="00137D24" w:rsidRPr="005369D3" w:rsidRDefault="00137D24" w:rsidP="00E975AD">
      <w:pPr>
        <w:pStyle w:val="ListBullet"/>
      </w:pPr>
      <w:r w:rsidRPr="005369D3">
        <w:t>Australian National University</w:t>
      </w:r>
    </w:p>
    <w:p w14:paraId="7BED3729" w14:textId="77777777" w:rsidR="00137D24" w:rsidRPr="005369D3" w:rsidRDefault="00137D24" w:rsidP="00E975AD">
      <w:pPr>
        <w:pStyle w:val="ListBullet"/>
      </w:pPr>
      <w:r w:rsidRPr="005369D3">
        <w:t>Carnegie Mellon University, Australia</w:t>
      </w:r>
    </w:p>
    <w:p w14:paraId="566A0978" w14:textId="77777777" w:rsidR="00137D24" w:rsidRPr="005369D3" w:rsidRDefault="00137D24" w:rsidP="00E975AD">
      <w:pPr>
        <w:pStyle w:val="ListBullet"/>
      </w:pPr>
      <w:r w:rsidRPr="005369D3">
        <w:t>Charles Darwin University</w:t>
      </w:r>
    </w:p>
    <w:p w14:paraId="3CFA17E3" w14:textId="77777777" w:rsidR="00137D24" w:rsidRPr="005369D3" w:rsidRDefault="00137D24" w:rsidP="00E975AD">
      <w:pPr>
        <w:pStyle w:val="ListBullet"/>
      </w:pPr>
      <w:r w:rsidRPr="005369D3">
        <w:t>Curtin University</w:t>
      </w:r>
    </w:p>
    <w:p w14:paraId="61732A64" w14:textId="77777777" w:rsidR="00137D24" w:rsidRPr="005369D3" w:rsidRDefault="00137D24" w:rsidP="00E975AD">
      <w:pPr>
        <w:pStyle w:val="ListBullet"/>
      </w:pPr>
      <w:r w:rsidRPr="005369D3">
        <w:t>Flinders University</w:t>
      </w:r>
    </w:p>
    <w:p w14:paraId="1A2E30BF" w14:textId="77777777" w:rsidR="00137D24" w:rsidRPr="005369D3" w:rsidRDefault="00137D24" w:rsidP="00E975AD">
      <w:pPr>
        <w:pStyle w:val="ListBullet"/>
      </w:pPr>
      <w:r w:rsidRPr="005369D3">
        <w:t>Griffith University</w:t>
      </w:r>
    </w:p>
    <w:p w14:paraId="7910D0DF" w14:textId="77777777" w:rsidR="00137D24" w:rsidRPr="005369D3" w:rsidRDefault="00137D24" w:rsidP="00E975AD">
      <w:pPr>
        <w:pStyle w:val="ListBullet"/>
      </w:pPr>
      <w:r w:rsidRPr="005369D3">
        <w:t>Melbourne Business School</w:t>
      </w:r>
    </w:p>
    <w:p w14:paraId="1529F1C7" w14:textId="77777777" w:rsidR="00137D24" w:rsidRPr="005369D3" w:rsidRDefault="00137D24" w:rsidP="00E975AD">
      <w:pPr>
        <w:pStyle w:val="ListBullet"/>
      </w:pPr>
      <w:r w:rsidRPr="005369D3">
        <w:t>Monash University</w:t>
      </w:r>
    </w:p>
    <w:p w14:paraId="052D0F07" w14:textId="77777777" w:rsidR="00137D24" w:rsidRPr="005369D3" w:rsidRDefault="00137D24" w:rsidP="00E975AD">
      <w:pPr>
        <w:pStyle w:val="ListBullet"/>
      </w:pPr>
      <w:r w:rsidRPr="005369D3">
        <w:t>University of Melbourne</w:t>
      </w:r>
    </w:p>
    <w:p w14:paraId="2CA627B5" w14:textId="77777777" w:rsidR="00137D24" w:rsidRPr="005369D3" w:rsidRDefault="00137D24" w:rsidP="00E975AD">
      <w:pPr>
        <w:pStyle w:val="ListBullet"/>
      </w:pPr>
      <w:r w:rsidRPr="005369D3">
        <w:t>University of New South Wales</w:t>
      </w:r>
    </w:p>
    <w:p w14:paraId="7D4E0C03" w14:textId="77777777" w:rsidR="00137D24" w:rsidRPr="005369D3" w:rsidRDefault="00137D24" w:rsidP="00E975AD">
      <w:pPr>
        <w:pStyle w:val="ListBullet"/>
      </w:pPr>
      <w:r w:rsidRPr="005369D3">
        <w:t>University of Queensland</w:t>
      </w:r>
    </w:p>
    <w:p w14:paraId="362FD74F" w14:textId="77777777" w:rsidR="00137D24" w:rsidRPr="005369D3" w:rsidRDefault="00137D24" w:rsidP="00E975AD">
      <w:pPr>
        <w:pStyle w:val="ListBullet"/>
      </w:pPr>
      <w:r w:rsidRPr="005369D3">
        <w:t>University of Sydney</w:t>
      </w:r>
    </w:p>
    <w:p w14:paraId="6463D43A" w14:textId="77777777" w:rsidR="00137D24" w:rsidRPr="005369D3" w:rsidRDefault="00137D24" w:rsidP="00E975AD">
      <w:pPr>
        <w:pStyle w:val="ListBullet"/>
      </w:pPr>
      <w:r w:rsidRPr="005369D3">
        <w:t>University of Canberra</w:t>
      </w:r>
    </w:p>
    <w:p w14:paraId="64D1AFCD" w14:textId="77777777" w:rsidR="00137D24" w:rsidRPr="005369D3" w:rsidRDefault="00137D24" w:rsidP="00E975AD">
      <w:pPr>
        <w:pStyle w:val="ListBullet"/>
      </w:pPr>
      <w:r w:rsidRPr="005369D3">
        <w:t>University of Tasmania</w:t>
      </w:r>
    </w:p>
    <w:p w14:paraId="5B52398A" w14:textId="77777777" w:rsidR="00137D24" w:rsidRPr="005369D3" w:rsidRDefault="00137D24" w:rsidP="00E975AD">
      <w:pPr>
        <w:pStyle w:val="ListBullet"/>
      </w:pPr>
      <w:r w:rsidRPr="005369D3">
        <w:t>Victoria University of Wellington</w:t>
      </w:r>
    </w:p>
    <w:p w14:paraId="7C765CD0" w14:textId="77777777" w:rsidR="00137D24" w:rsidRPr="005369D3" w:rsidRDefault="00137D24" w:rsidP="00137D24">
      <w:pPr>
        <w:pStyle w:val="Heading2"/>
      </w:pPr>
      <w:r w:rsidRPr="005369D3">
        <w:t>Affiliate partners</w:t>
      </w:r>
    </w:p>
    <w:p w14:paraId="63D3972A" w14:textId="77777777" w:rsidR="00137D24" w:rsidRPr="005369D3" w:rsidRDefault="00137D24" w:rsidP="00E975AD">
      <w:pPr>
        <w:pStyle w:val="ListBullet"/>
      </w:pPr>
      <w:r w:rsidRPr="005369D3">
        <w:t>Analysis &amp; Policy Observatory (APO)</w:t>
      </w:r>
    </w:p>
    <w:p w14:paraId="475B0CFC" w14:textId="77777777" w:rsidR="00137D24" w:rsidRPr="005369D3" w:rsidRDefault="00137D24" w:rsidP="00E975AD">
      <w:pPr>
        <w:pStyle w:val="ListBullet"/>
      </w:pPr>
      <w:r w:rsidRPr="005369D3">
        <w:t>China Executive Leadership Academy Pudong (CELAP)</w:t>
      </w:r>
    </w:p>
    <w:p w14:paraId="0B0DFA83" w14:textId="77777777" w:rsidR="00137D24" w:rsidRPr="005369D3" w:rsidRDefault="00137D24" w:rsidP="00E975AD">
      <w:pPr>
        <w:pStyle w:val="ListBullet"/>
      </w:pPr>
      <w:r w:rsidRPr="005369D3">
        <w:t>Department of Personnel and Training, Government of India</w:t>
      </w:r>
    </w:p>
    <w:p w14:paraId="32503AB3" w14:textId="77777777" w:rsidR="00137D24" w:rsidRPr="005369D3" w:rsidRDefault="00137D24" w:rsidP="00E975AD">
      <w:pPr>
        <w:pStyle w:val="ListBullet"/>
      </w:pPr>
      <w:r w:rsidRPr="005369D3">
        <w:t>Organisation for Economic Co-operation and Development (OECD)</w:t>
      </w:r>
    </w:p>
    <w:p w14:paraId="4AE8A6F7" w14:textId="77777777" w:rsidR="00137D24" w:rsidRPr="005369D3" w:rsidRDefault="00137D24" w:rsidP="00E975AD">
      <w:pPr>
        <w:pStyle w:val="ListBullet"/>
      </w:pPr>
      <w:r w:rsidRPr="005369D3">
        <w:t>Singapore Civil Service College</w:t>
      </w:r>
    </w:p>
    <w:p w14:paraId="5A5A2593" w14:textId="77777777" w:rsidR="00137D24" w:rsidRPr="005369D3" w:rsidRDefault="00137D24" w:rsidP="00E975AD">
      <w:pPr>
        <w:pStyle w:val="ListBullet"/>
      </w:pPr>
      <w:r w:rsidRPr="005369D3">
        <w:t>Lee Kuan Yew School of Public Policy</w:t>
      </w:r>
    </w:p>
    <w:p w14:paraId="4F605C0E" w14:textId="77777777" w:rsidR="00137D24" w:rsidRPr="005369D3" w:rsidRDefault="00137D24" w:rsidP="00E975AD">
      <w:pPr>
        <w:pStyle w:val="ListBullet"/>
      </w:pPr>
      <w:r w:rsidRPr="005369D3">
        <w:t>Razak School of Government</w:t>
      </w:r>
    </w:p>
    <w:p w14:paraId="3E117433" w14:textId="77777777" w:rsidR="00B80636" w:rsidRPr="005369D3" w:rsidRDefault="00B80636" w:rsidP="00B80636">
      <w:pPr>
        <w:pStyle w:val="ListBullet"/>
        <w:rPr>
          <w:sz w:val="26"/>
          <w:szCs w:val="26"/>
        </w:rPr>
      </w:pPr>
      <w:bookmarkStart w:id="11" w:name="_Toc55397456"/>
      <w:r w:rsidRPr="005369D3">
        <w:t>We acknowledge the Aboriginal and Torres Strait Islander peoples as First Peoples of Australia, and Māori as tangata whenua and Treaty of Waitangi partners in Aotearoa-New Zealand.</w:t>
      </w:r>
    </w:p>
    <w:p w14:paraId="68570A4D" w14:textId="77777777" w:rsidR="00B80636" w:rsidRPr="005369D3" w:rsidRDefault="00B80636" w:rsidP="00B80636">
      <w:pPr>
        <w:pStyle w:val="BodyText12pt"/>
        <w:pageBreakBefore/>
        <w:rPr>
          <w:sz w:val="26"/>
          <w:szCs w:val="26"/>
        </w:rPr>
      </w:pPr>
      <w:r w:rsidRPr="005369D3">
        <w:lastRenderedPageBreak/>
        <w:t>We acknowledge the Aboriginal and Torres Strait Islander peoples as First Peoples of Australia, and Māori as tangata whenua and Treaty of Waitangi partners in Aotearoa-New Zealand.</w:t>
      </w:r>
    </w:p>
    <w:p w14:paraId="3B16CA6F" w14:textId="2C057987" w:rsidR="00137D24" w:rsidRDefault="00137D24" w:rsidP="00B80636">
      <w:pPr>
        <w:pStyle w:val="Heading1"/>
        <w:pageBreakBefore w:val="0"/>
        <w:spacing w:before="600"/>
      </w:pPr>
      <w:r>
        <w:t>Follow us</w:t>
      </w:r>
      <w:bookmarkEnd w:id="11"/>
    </w:p>
    <w:p w14:paraId="59234682" w14:textId="3284565C" w:rsidR="007A14CF" w:rsidRDefault="005240B9" w:rsidP="00137D24">
      <w:pPr>
        <w:pStyle w:val="BodyText12pt"/>
      </w:pPr>
      <w:hyperlink r:id="rId30" w:history="1">
        <w:r w:rsidR="008E670F" w:rsidRPr="008E670F">
          <w:rPr>
            <w:rStyle w:val="Hyperlink"/>
          </w:rPr>
          <w:t>ANZSOG website</w:t>
        </w:r>
      </w:hyperlink>
      <w:r w:rsidR="008E670F">
        <w:t xml:space="preserve"> &lt;https://www.anzsog.edu.au&gt;</w:t>
      </w:r>
    </w:p>
    <w:p w14:paraId="41577B73" w14:textId="77777777" w:rsidR="001E3F9F" w:rsidRDefault="001E3F9F" w:rsidP="00137D24">
      <w:pPr>
        <w:pStyle w:val="BodyText12pt"/>
      </w:pPr>
      <w:r>
        <w:rPr>
          <w:noProof/>
        </w:rPr>
        <w:drawing>
          <wp:inline distT="0" distB="0" distL="0" distR="0" wp14:anchorId="34D5FBB4" wp14:editId="1025FC2A">
            <wp:extent cx="109728" cy="182880"/>
            <wp:effectExtent l="0" t="0" r="5080" b="7620"/>
            <wp:docPr id="2" name="Picture 2"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icon.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9728" cy="182880"/>
                    </a:xfrm>
                    <a:prstGeom prst="rect">
                      <a:avLst/>
                    </a:prstGeom>
                  </pic:spPr>
                </pic:pic>
              </a:graphicData>
            </a:graphic>
          </wp:inline>
        </w:drawing>
      </w:r>
      <w:r>
        <w:tab/>
      </w:r>
      <w:hyperlink r:id="rId32" w:history="1">
        <w:r w:rsidRPr="00190974">
          <w:rPr>
            <w:rStyle w:val="Hyperlink"/>
            <w:position w:val="6"/>
          </w:rPr>
          <w:t>ANZSOG Facebook page</w:t>
        </w:r>
      </w:hyperlink>
      <w:r>
        <w:t xml:space="preserve"> &lt;</w:t>
      </w:r>
      <w:r w:rsidRPr="00190974">
        <w:t>https://www.facebook.com/ANZSOG</w:t>
      </w:r>
      <w:r>
        <w:t>&gt;</w:t>
      </w:r>
    </w:p>
    <w:p w14:paraId="5427B661" w14:textId="77777777" w:rsidR="001E3F9F" w:rsidRDefault="001E3F9F" w:rsidP="00137D24">
      <w:pPr>
        <w:pStyle w:val="BodyText12pt"/>
      </w:pPr>
      <w:r>
        <w:rPr>
          <w:noProof/>
        </w:rPr>
        <w:drawing>
          <wp:inline distT="0" distB="0" distL="0" distR="0" wp14:anchorId="1C478D95" wp14:editId="000F5B0F">
            <wp:extent cx="225552" cy="182880"/>
            <wp:effectExtent l="0" t="0" r="3175" b="7620"/>
            <wp:docPr id="4" name="Picture 4"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 ico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5552" cy="182880"/>
                    </a:xfrm>
                    <a:prstGeom prst="rect">
                      <a:avLst/>
                    </a:prstGeom>
                  </pic:spPr>
                </pic:pic>
              </a:graphicData>
            </a:graphic>
          </wp:inline>
        </w:drawing>
      </w:r>
      <w:r>
        <w:tab/>
      </w:r>
      <w:hyperlink r:id="rId34" w:history="1">
        <w:r w:rsidRPr="00190974">
          <w:rPr>
            <w:rStyle w:val="Hyperlink"/>
            <w:position w:val="6"/>
          </w:rPr>
          <w:t>ANZSOG Twitter page</w:t>
        </w:r>
      </w:hyperlink>
      <w:r>
        <w:t xml:space="preserve"> &lt;</w:t>
      </w:r>
      <w:r w:rsidRPr="00190974">
        <w:t>https://twitter.com/ANZSOG</w:t>
      </w:r>
      <w:r>
        <w:t>&gt;</w:t>
      </w:r>
    </w:p>
    <w:p w14:paraId="71D20C8E" w14:textId="3CD22AD8" w:rsidR="00A577AC" w:rsidRPr="001E3F9F" w:rsidRDefault="001E3F9F" w:rsidP="00137D24">
      <w:pPr>
        <w:pStyle w:val="BodyText12pt"/>
        <w:rPr>
          <w:sz w:val="20"/>
          <w:szCs w:val="22"/>
        </w:rPr>
      </w:pPr>
      <w:r>
        <w:rPr>
          <w:noProof/>
        </w:rPr>
        <w:drawing>
          <wp:inline distT="0" distB="0" distL="0" distR="0" wp14:anchorId="6824FE54" wp14:editId="6E3DB8FA">
            <wp:extent cx="185928" cy="182880"/>
            <wp:effectExtent l="0" t="0" r="5080" b="7620"/>
            <wp:docPr id="3" name="Picture 3"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 In icon.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5928" cy="182880"/>
                    </a:xfrm>
                    <a:prstGeom prst="rect">
                      <a:avLst/>
                    </a:prstGeom>
                  </pic:spPr>
                </pic:pic>
              </a:graphicData>
            </a:graphic>
          </wp:inline>
        </w:drawing>
      </w:r>
      <w:r>
        <w:tab/>
      </w:r>
      <w:hyperlink r:id="rId36" w:history="1">
        <w:r w:rsidRPr="00190974">
          <w:rPr>
            <w:rStyle w:val="Hyperlink"/>
            <w:position w:val="6"/>
          </w:rPr>
          <w:t>ANZSOG LinkedIn page</w:t>
        </w:r>
      </w:hyperlink>
      <w:r>
        <w:t xml:space="preserve"> &lt;</w:t>
      </w:r>
      <w:r w:rsidRPr="00190974">
        <w:t>https://www.linkedin.com/school/anzsog</w:t>
      </w:r>
      <w:r>
        <w:t>&gt;</w:t>
      </w:r>
    </w:p>
    <w:sectPr w:rsidR="00A577AC" w:rsidRPr="001E3F9F" w:rsidSect="009B580E">
      <w:pgSz w:w="11906" w:h="16838" w:code="9"/>
      <w:pgMar w:top="1985" w:right="851" w:bottom="1418" w:left="851" w:header="851"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945F" w14:textId="77777777" w:rsidR="005240B9" w:rsidRPr="00FF4A25" w:rsidRDefault="005240B9" w:rsidP="00C37A29">
      <w:pPr>
        <w:spacing w:after="0"/>
        <w:rPr>
          <w:color w:val="FFFFFF" w:themeColor="background1"/>
        </w:rPr>
      </w:pPr>
      <w:r w:rsidRPr="00FF4A25">
        <w:rPr>
          <w:color w:val="FFFFFF" w:themeColor="background1"/>
        </w:rPr>
        <w:separator/>
      </w:r>
    </w:p>
  </w:endnote>
  <w:endnote w:type="continuationSeparator" w:id="0">
    <w:p w14:paraId="7A695E1C" w14:textId="77777777" w:rsidR="005240B9" w:rsidRPr="00FF4A25" w:rsidRDefault="005240B9"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percu-Bold">
    <w:altName w:val="Calibri"/>
    <w:panose1 w:val="020B0803050601040103"/>
    <w:charset w:val="00"/>
    <w:family w:val="swiss"/>
    <w:notTrueType/>
    <w:pitch w:val="variable"/>
    <w:sig w:usb0="00000043" w:usb1="00000000" w:usb2="00000000" w:usb3="00000000" w:csb0="00000013" w:csb1="00000000"/>
  </w:font>
  <w:font w:name="Apercu-Light">
    <w:altName w:val="Calibri"/>
    <w:panose1 w:val="020B0303050601040103"/>
    <w:charset w:val="4D"/>
    <w:family w:val="auto"/>
    <w:notTrueType/>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Domus-Semibold">
    <w:altName w:val="Calibri"/>
    <w:panose1 w:val="00000600000000000000"/>
    <w:charset w:val="4D"/>
    <w:family w:val="auto"/>
    <w:notTrueType/>
    <w:pitch w:val="default"/>
    <w:sig w:usb0="00000003" w:usb1="00000000" w:usb2="00000000" w:usb3="00000000" w:csb0="00000001" w:csb1="00000000"/>
  </w:font>
  <w:font w:name="Domus-Bold">
    <w:altName w:val="Calibri"/>
    <w:panose1 w:val="00000800000000000000"/>
    <w:charset w:val="4D"/>
    <w:family w:val="auto"/>
    <w:notTrueType/>
    <w:pitch w:val="default"/>
    <w:sig w:usb0="00000003" w:usb1="00000000" w:usb2="00000000" w:usb3="00000000" w:csb0="00000001" w:csb1="00000000"/>
  </w:font>
  <w:font w:name="Apercu-LightItalic">
    <w:altName w:val="Calibri"/>
    <w:panose1 w:val="020005060400000900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4DDB" w14:textId="2FDA1683" w:rsidR="0088410E" w:rsidRDefault="005240B9" w:rsidP="001F08C8">
    <w:pPr>
      <w:pStyle w:val="Footer"/>
    </w:pPr>
    <w:sdt>
      <w:sdtPr>
        <w:alias w:val="Title"/>
        <w:tag w:val=""/>
        <w:id w:val="-1335600051"/>
        <w:dataBinding w:prefixMappings="xmlns:ns0='http://purl.org/dc/elements/1.1/' xmlns:ns1='http://schemas.openxmlformats.org/package/2006/metadata/core-properties' " w:xpath="/ns1:coreProperties[1]/ns0:title[1]" w:storeItemID="{6C3C8BC8-F283-45AE-878A-BAB7291924A1}"/>
        <w:text w:multiLine="1"/>
      </w:sdtPr>
      <w:sdtEndPr/>
      <w:sdtContent>
        <w:r w:rsidR="004219E0">
          <w:t>ANZSOG Impact Snapshot 2019-20</w:t>
        </w:r>
      </w:sdtContent>
    </w:sdt>
    <w:r w:rsidR="0088410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769D3" w14:textId="77777777" w:rsidR="005240B9" w:rsidRDefault="005240B9" w:rsidP="00C37A29">
      <w:pPr>
        <w:spacing w:after="0"/>
      </w:pPr>
      <w:r>
        <w:separator/>
      </w:r>
    </w:p>
  </w:footnote>
  <w:footnote w:type="continuationSeparator" w:id="0">
    <w:p w14:paraId="4AB52D63" w14:textId="77777777" w:rsidR="005240B9" w:rsidRDefault="005240B9"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693" w14:textId="7D072C93" w:rsidR="0088410E" w:rsidRPr="00C82F7E" w:rsidRDefault="0088410E" w:rsidP="00C82F7E">
    <w:pPr>
      <w:pStyle w:val="Header"/>
    </w:pPr>
    <w:r w:rsidRPr="00620518">
      <w:rPr>
        <w:noProof/>
        <w:lang w:eastAsia="en-AU"/>
      </w:rPr>
      <w:drawing>
        <wp:anchor distT="0" distB="0" distL="114300" distR="114300" simplePos="0" relativeHeight="251657728" behindDoc="1" locked="1" layoutInCell="1" allowOverlap="1" wp14:anchorId="0E1C86D6" wp14:editId="1745F958">
          <wp:simplePos x="0" y="0"/>
          <wp:positionH relativeFrom="column">
            <wp:posOffset>-635</wp:posOffset>
          </wp:positionH>
          <wp:positionV relativeFrom="page">
            <wp:posOffset>540385</wp:posOffset>
          </wp:positionV>
          <wp:extent cx="6480000" cy="421200"/>
          <wp:effectExtent l="0" t="0" r="0" b="0"/>
          <wp:wrapNone/>
          <wp:docPr id="1"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77777777" w:rsidR="0088410E" w:rsidRDefault="0088410E" w:rsidP="00C82F7E">
    <w:pPr>
      <w:pStyle w:val="PageNo"/>
      <w:framePr w:wrap="around"/>
    </w:pPr>
    <w:r>
      <w:fldChar w:fldCharType="begin"/>
    </w:r>
    <w:r>
      <w:instrText xml:space="preserve"> PAGE   \* MERGEFORMAT </w:instrText>
    </w:r>
    <w:r>
      <w:fldChar w:fldCharType="separate"/>
    </w:r>
    <w:r>
      <w:rPr>
        <w:noProof/>
      </w:rPr>
      <w:t>33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5A5E93"/>
    <w:multiLevelType w:val="multilevel"/>
    <w:tmpl w:val="1646C884"/>
    <w:numStyleLink w:val="Bullets"/>
  </w:abstractNum>
  <w:abstractNum w:abstractNumId="6" w15:restartNumberingAfterBreak="0">
    <w:nsid w:val="0EBD1F80"/>
    <w:multiLevelType w:val="multilevel"/>
    <w:tmpl w:val="595446B4"/>
    <w:styleLink w:val="ZZNumberedheadings"/>
    <w:lvl w:ilvl="0">
      <w:start w:val="1"/>
      <w:numFmt w:val="decimal"/>
      <w:suff w:val="space"/>
      <w:lvlText w:val="Section %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7" w15:restartNumberingAfterBreak="0">
    <w:nsid w:val="0F6F37EA"/>
    <w:multiLevelType w:val="multilevel"/>
    <w:tmpl w:val="925A2F8A"/>
    <w:styleLink w:val="Numbering"/>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88207B"/>
    <w:multiLevelType w:val="multilevel"/>
    <w:tmpl w:val="7E82D464"/>
    <w:styleLink w:val="ZZListNumberAlphaL2"/>
    <w:lvl w:ilvl="0">
      <w:start w:val="1"/>
      <w:numFmt w:val="decimal"/>
      <w:pStyle w:val="ListNumber"/>
      <w:lvlText w:val="%1."/>
      <w:lvlJc w:val="left"/>
      <w:pPr>
        <w:tabs>
          <w:tab w:val="num" w:pos="284"/>
        </w:tabs>
        <w:ind w:left="284" w:hanging="284"/>
      </w:pPr>
      <w:rPr>
        <w:rFonts w:hint="default"/>
      </w:rPr>
    </w:lvl>
    <w:lvl w:ilvl="1">
      <w:start w:val="1"/>
      <w:numFmt w:val="lowerLetter"/>
      <w:pStyle w:val="ListNumberAlphaL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E45AB"/>
    <w:multiLevelType w:val="multilevel"/>
    <w:tmpl w:val="EBDE4502"/>
    <w:styleLink w:val="ZZListNumberAlphaL1"/>
    <w:lvl w:ilvl="0">
      <w:start w:val="1"/>
      <w:numFmt w:val="lowerLetter"/>
      <w:pStyle w:val="ListNumberAlphaL1"/>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7A5200BE"/>
    <w:multiLevelType w:val="multilevel"/>
    <w:tmpl w:val="2E502B24"/>
    <w:styleLink w:val="Style1"/>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7"/>
  </w:num>
  <w:num w:numId="3">
    <w:abstractNumId w:val="4"/>
  </w:num>
  <w:num w:numId="4">
    <w:abstractNumId w:val="5"/>
  </w:num>
  <w:num w:numId="5">
    <w:abstractNumId w:val="20"/>
  </w:num>
  <w:num w:numId="6">
    <w:abstractNumId w:val="22"/>
  </w:num>
  <w:num w:numId="7">
    <w:abstractNumId w:val="14"/>
  </w:num>
  <w:num w:numId="8">
    <w:abstractNumId w:val="9"/>
  </w:num>
  <w:num w:numId="9">
    <w:abstractNumId w:val="16"/>
  </w:num>
  <w:num w:numId="10">
    <w:abstractNumId w:val="1"/>
  </w:num>
  <w:num w:numId="11">
    <w:abstractNumId w:val="21"/>
  </w:num>
  <w:num w:numId="12">
    <w:abstractNumId w:val="11"/>
  </w:num>
  <w:num w:numId="13">
    <w:abstractNumId w:val="2"/>
  </w:num>
  <w:num w:numId="14">
    <w:abstractNumId w:val="23"/>
  </w:num>
  <w:num w:numId="15">
    <w:abstractNumId w:val="3"/>
  </w:num>
  <w:num w:numId="16">
    <w:abstractNumId w:val="18"/>
  </w:num>
  <w:num w:numId="17">
    <w:abstractNumId w:val="10"/>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8"/>
  </w:num>
  <w:num w:numId="28">
    <w:abstractNumId w:val="17"/>
  </w:num>
  <w:num w:numId="29">
    <w:abstractNumId w:val="13"/>
  </w:num>
  <w:num w:numId="30">
    <w:abstractNumId w:val="1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stylePaneSortMethod w:val="000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4227"/>
    <w:rsid w:val="00005E07"/>
    <w:rsid w:val="000078C2"/>
    <w:rsid w:val="00010E56"/>
    <w:rsid w:val="00016680"/>
    <w:rsid w:val="00016A70"/>
    <w:rsid w:val="00016C14"/>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93E"/>
    <w:rsid w:val="000A41D2"/>
    <w:rsid w:val="000A7E9A"/>
    <w:rsid w:val="000B0422"/>
    <w:rsid w:val="000B18DD"/>
    <w:rsid w:val="000B4277"/>
    <w:rsid w:val="000D30D6"/>
    <w:rsid w:val="000D4AB5"/>
    <w:rsid w:val="000D54BC"/>
    <w:rsid w:val="000D5C27"/>
    <w:rsid w:val="000D6419"/>
    <w:rsid w:val="000E0637"/>
    <w:rsid w:val="000E44D3"/>
    <w:rsid w:val="000E6C5D"/>
    <w:rsid w:val="000E789D"/>
    <w:rsid w:val="000F0D29"/>
    <w:rsid w:val="000F2816"/>
    <w:rsid w:val="000F5765"/>
    <w:rsid w:val="000F5CE7"/>
    <w:rsid w:val="000F6E9C"/>
    <w:rsid w:val="001030DC"/>
    <w:rsid w:val="00103E88"/>
    <w:rsid w:val="00103F7B"/>
    <w:rsid w:val="001137A9"/>
    <w:rsid w:val="00123FA3"/>
    <w:rsid w:val="00125BEF"/>
    <w:rsid w:val="001268BC"/>
    <w:rsid w:val="00126C40"/>
    <w:rsid w:val="00126D34"/>
    <w:rsid w:val="00130B64"/>
    <w:rsid w:val="00137D24"/>
    <w:rsid w:val="001434A4"/>
    <w:rsid w:val="001469C6"/>
    <w:rsid w:val="00154DF2"/>
    <w:rsid w:val="00157A11"/>
    <w:rsid w:val="00160645"/>
    <w:rsid w:val="00170434"/>
    <w:rsid w:val="00175E79"/>
    <w:rsid w:val="001779E7"/>
    <w:rsid w:val="0018009B"/>
    <w:rsid w:val="00186E21"/>
    <w:rsid w:val="00190F1D"/>
    <w:rsid w:val="001A0D77"/>
    <w:rsid w:val="001A0F1B"/>
    <w:rsid w:val="001A476B"/>
    <w:rsid w:val="001B0B99"/>
    <w:rsid w:val="001C1849"/>
    <w:rsid w:val="001C486A"/>
    <w:rsid w:val="001C5795"/>
    <w:rsid w:val="001D432F"/>
    <w:rsid w:val="001D7CF7"/>
    <w:rsid w:val="001E3F9F"/>
    <w:rsid w:val="001E5577"/>
    <w:rsid w:val="001E5E2A"/>
    <w:rsid w:val="001E7A79"/>
    <w:rsid w:val="001F08C8"/>
    <w:rsid w:val="001F13C1"/>
    <w:rsid w:val="001F446D"/>
    <w:rsid w:val="00201A4E"/>
    <w:rsid w:val="00202085"/>
    <w:rsid w:val="00203CA6"/>
    <w:rsid w:val="002101C1"/>
    <w:rsid w:val="00211402"/>
    <w:rsid w:val="002230D1"/>
    <w:rsid w:val="002341B5"/>
    <w:rsid w:val="00246435"/>
    <w:rsid w:val="00246BCF"/>
    <w:rsid w:val="00254FFA"/>
    <w:rsid w:val="002561B8"/>
    <w:rsid w:val="00260D19"/>
    <w:rsid w:val="00262312"/>
    <w:rsid w:val="002632C8"/>
    <w:rsid w:val="00265974"/>
    <w:rsid w:val="00274C59"/>
    <w:rsid w:val="00280B0E"/>
    <w:rsid w:val="00283F9C"/>
    <w:rsid w:val="0028575F"/>
    <w:rsid w:val="00291020"/>
    <w:rsid w:val="0029104B"/>
    <w:rsid w:val="00291BF1"/>
    <w:rsid w:val="002A4008"/>
    <w:rsid w:val="002B0124"/>
    <w:rsid w:val="002B1453"/>
    <w:rsid w:val="002B268B"/>
    <w:rsid w:val="002B6D65"/>
    <w:rsid w:val="002C3F78"/>
    <w:rsid w:val="002C5DC0"/>
    <w:rsid w:val="002D3A85"/>
    <w:rsid w:val="002D3F2B"/>
    <w:rsid w:val="002F75CC"/>
    <w:rsid w:val="00305171"/>
    <w:rsid w:val="003054BB"/>
    <w:rsid w:val="00305C19"/>
    <w:rsid w:val="003074F1"/>
    <w:rsid w:val="00313915"/>
    <w:rsid w:val="00313F40"/>
    <w:rsid w:val="00321807"/>
    <w:rsid w:val="003228FF"/>
    <w:rsid w:val="00322E72"/>
    <w:rsid w:val="0032394B"/>
    <w:rsid w:val="003273B5"/>
    <w:rsid w:val="00327676"/>
    <w:rsid w:val="00333730"/>
    <w:rsid w:val="00334E17"/>
    <w:rsid w:val="00345932"/>
    <w:rsid w:val="0034680A"/>
    <w:rsid w:val="00347955"/>
    <w:rsid w:val="00352EF2"/>
    <w:rsid w:val="003564B0"/>
    <w:rsid w:val="003609B0"/>
    <w:rsid w:val="00363FF8"/>
    <w:rsid w:val="00370213"/>
    <w:rsid w:val="00371C1D"/>
    <w:rsid w:val="00373C51"/>
    <w:rsid w:val="00376198"/>
    <w:rsid w:val="00376E1F"/>
    <w:rsid w:val="0037721D"/>
    <w:rsid w:val="003826C5"/>
    <w:rsid w:val="003850A3"/>
    <w:rsid w:val="00386414"/>
    <w:rsid w:val="00391D6D"/>
    <w:rsid w:val="00392B19"/>
    <w:rsid w:val="003A23C8"/>
    <w:rsid w:val="003A39A5"/>
    <w:rsid w:val="003B2CD6"/>
    <w:rsid w:val="003B3AD3"/>
    <w:rsid w:val="003B3BC7"/>
    <w:rsid w:val="003C04A1"/>
    <w:rsid w:val="003C60B0"/>
    <w:rsid w:val="003D0010"/>
    <w:rsid w:val="003D23A3"/>
    <w:rsid w:val="003D5856"/>
    <w:rsid w:val="003D70EC"/>
    <w:rsid w:val="003F6CEE"/>
    <w:rsid w:val="003F6DEF"/>
    <w:rsid w:val="0040126C"/>
    <w:rsid w:val="00401BEB"/>
    <w:rsid w:val="00404E4F"/>
    <w:rsid w:val="00421467"/>
    <w:rsid w:val="004219E0"/>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69C6"/>
    <w:rsid w:val="00457111"/>
    <w:rsid w:val="00462B68"/>
    <w:rsid w:val="004635FD"/>
    <w:rsid w:val="00475242"/>
    <w:rsid w:val="00487FF5"/>
    <w:rsid w:val="004A36E8"/>
    <w:rsid w:val="004A37E9"/>
    <w:rsid w:val="004A7074"/>
    <w:rsid w:val="004B6A7E"/>
    <w:rsid w:val="004C1FC2"/>
    <w:rsid w:val="004C3224"/>
    <w:rsid w:val="004C4CED"/>
    <w:rsid w:val="004D0938"/>
    <w:rsid w:val="004D2C2D"/>
    <w:rsid w:val="004E0CDC"/>
    <w:rsid w:val="004E28C6"/>
    <w:rsid w:val="004E49A8"/>
    <w:rsid w:val="004E6CF8"/>
    <w:rsid w:val="004E771B"/>
    <w:rsid w:val="004F0903"/>
    <w:rsid w:val="004F138F"/>
    <w:rsid w:val="004F13A7"/>
    <w:rsid w:val="004F742F"/>
    <w:rsid w:val="00511A5A"/>
    <w:rsid w:val="00511CC0"/>
    <w:rsid w:val="00511D8E"/>
    <w:rsid w:val="00513B31"/>
    <w:rsid w:val="005141E8"/>
    <w:rsid w:val="00522ACC"/>
    <w:rsid w:val="005240B9"/>
    <w:rsid w:val="0052784F"/>
    <w:rsid w:val="005333DB"/>
    <w:rsid w:val="00534C38"/>
    <w:rsid w:val="00545509"/>
    <w:rsid w:val="0054624C"/>
    <w:rsid w:val="005505D3"/>
    <w:rsid w:val="00553413"/>
    <w:rsid w:val="00556B04"/>
    <w:rsid w:val="00566CE8"/>
    <w:rsid w:val="005676FE"/>
    <w:rsid w:val="00571390"/>
    <w:rsid w:val="0057291C"/>
    <w:rsid w:val="00575A7B"/>
    <w:rsid w:val="00576621"/>
    <w:rsid w:val="005826E2"/>
    <w:rsid w:val="005831DB"/>
    <w:rsid w:val="0058369E"/>
    <w:rsid w:val="005845B2"/>
    <w:rsid w:val="00594496"/>
    <w:rsid w:val="00595C46"/>
    <w:rsid w:val="005A25E6"/>
    <w:rsid w:val="005B597D"/>
    <w:rsid w:val="005C01BA"/>
    <w:rsid w:val="005D0F7A"/>
    <w:rsid w:val="005D2756"/>
    <w:rsid w:val="005E0EEB"/>
    <w:rsid w:val="005E2369"/>
    <w:rsid w:val="005E2EE1"/>
    <w:rsid w:val="005E34D9"/>
    <w:rsid w:val="00603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462CC"/>
    <w:rsid w:val="006515B0"/>
    <w:rsid w:val="00661FE8"/>
    <w:rsid w:val="00662001"/>
    <w:rsid w:val="00670E1A"/>
    <w:rsid w:val="00674799"/>
    <w:rsid w:val="006770FC"/>
    <w:rsid w:val="006B3946"/>
    <w:rsid w:val="006B5468"/>
    <w:rsid w:val="006C2993"/>
    <w:rsid w:val="006C4AF4"/>
    <w:rsid w:val="006D22E2"/>
    <w:rsid w:val="006D3F2F"/>
    <w:rsid w:val="006D6932"/>
    <w:rsid w:val="006D7D54"/>
    <w:rsid w:val="006E050F"/>
    <w:rsid w:val="006E11CF"/>
    <w:rsid w:val="006E3536"/>
    <w:rsid w:val="006E5213"/>
    <w:rsid w:val="006F15F5"/>
    <w:rsid w:val="006F2D94"/>
    <w:rsid w:val="006F30D1"/>
    <w:rsid w:val="006F5C62"/>
    <w:rsid w:val="0070078F"/>
    <w:rsid w:val="0070247E"/>
    <w:rsid w:val="00704C6F"/>
    <w:rsid w:val="00712E12"/>
    <w:rsid w:val="00714488"/>
    <w:rsid w:val="00722B65"/>
    <w:rsid w:val="00725AD6"/>
    <w:rsid w:val="007328C6"/>
    <w:rsid w:val="007335A5"/>
    <w:rsid w:val="00734682"/>
    <w:rsid w:val="007430A5"/>
    <w:rsid w:val="00743D01"/>
    <w:rsid w:val="0075234F"/>
    <w:rsid w:val="007655D4"/>
    <w:rsid w:val="00776133"/>
    <w:rsid w:val="007774BF"/>
    <w:rsid w:val="00784978"/>
    <w:rsid w:val="007A0246"/>
    <w:rsid w:val="007A0363"/>
    <w:rsid w:val="007A14CF"/>
    <w:rsid w:val="007A16B3"/>
    <w:rsid w:val="007A68EA"/>
    <w:rsid w:val="007B6EB4"/>
    <w:rsid w:val="007B7324"/>
    <w:rsid w:val="007C19B4"/>
    <w:rsid w:val="007D11F9"/>
    <w:rsid w:val="007D26EE"/>
    <w:rsid w:val="007D45C8"/>
    <w:rsid w:val="007D626A"/>
    <w:rsid w:val="007D79FA"/>
    <w:rsid w:val="007E1238"/>
    <w:rsid w:val="007E5256"/>
    <w:rsid w:val="007E5F0E"/>
    <w:rsid w:val="007F0082"/>
    <w:rsid w:val="007F34C7"/>
    <w:rsid w:val="008040C5"/>
    <w:rsid w:val="008045E8"/>
    <w:rsid w:val="008054C3"/>
    <w:rsid w:val="00805688"/>
    <w:rsid w:val="0080611F"/>
    <w:rsid w:val="00812287"/>
    <w:rsid w:val="008161C6"/>
    <w:rsid w:val="00823044"/>
    <w:rsid w:val="0082387D"/>
    <w:rsid w:val="00833518"/>
    <w:rsid w:val="00834578"/>
    <w:rsid w:val="00852830"/>
    <w:rsid w:val="0085439B"/>
    <w:rsid w:val="0085667C"/>
    <w:rsid w:val="0086061C"/>
    <w:rsid w:val="00864499"/>
    <w:rsid w:val="00865183"/>
    <w:rsid w:val="00871C20"/>
    <w:rsid w:val="00875B00"/>
    <w:rsid w:val="00883522"/>
    <w:rsid w:val="0088410E"/>
    <w:rsid w:val="00891E1F"/>
    <w:rsid w:val="008961A3"/>
    <w:rsid w:val="008A4B5C"/>
    <w:rsid w:val="008A6E42"/>
    <w:rsid w:val="008B034C"/>
    <w:rsid w:val="008B20FF"/>
    <w:rsid w:val="008B4965"/>
    <w:rsid w:val="008B6DD3"/>
    <w:rsid w:val="008D00BC"/>
    <w:rsid w:val="008D1ABD"/>
    <w:rsid w:val="008D5926"/>
    <w:rsid w:val="008D7815"/>
    <w:rsid w:val="008E2AE9"/>
    <w:rsid w:val="008E670F"/>
    <w:rsid w:val="008F5E60"/>
    <w:rsid w:val="008F6CAE"/>
    <w:rsid w:val="00907260"/>
    <w:rsid w:val="0091115E"/>
    <w:rsid w:val="00914F99"/>
    <w:rsid w:val="0091692E"/>
    <w:rsid w:val="00917EF5"/>
    <w:rsid w:val="00920776"/>
    <w:rsid w:val="009255FA"/>
    <w:rsid w:val="009260D4"/>
    <w:rsid w:val="009277F3"/>
    <w:rsid w:val="0093529D"/>
    <w:rsid w:val="0093583B"/>
    <w:rsid w:val="00936068"/>
    <w:rsid w:val="0093755E"/>
    <w:rsid w:val="00941F7D"/>
    <w:rsid w:val="009479CF"/>
    <w:rsid w:val="00950F3D"/>
    <w:rsid w:val="009615D4"/>
    <w:rsid w:val="009707EB"/>
    <w:rsid w:val="00973EC0"/>
    <w:rsid w:val="00974419"/>
    <w:rsid w:val="00974677"/>
    <w:rsid w:val="00975983"/>
    <w:rsid w:val="009839A1"/>
    <w:rsid w:val="00987839"/>
    <w:rsid w:val="00991C27"/>
    <w:rsid w:val="00992166"/>
    <w:rsid w:val="009947F9"/>
    <w:rsid w:val="009A1895"/>
    <w:rsid w:val="009A2F17"/>
    <w:rsid w:val="009A468A"/>
    <w:rsid w:val="009A79D7"/>
    <w:rsid w:val="009B0D6D"/>
    <w:rsid w:val="009B3789"/>
    <w:rsid w:val="009B580E"/>
    <w:rsid w:val="009B6A3A"/>
    <w:rsid w:val="009C1908"/>
    <w:rsid w:val="009C6E10"/>
    <w:rsid w:val="009D2458"/>
    <w:rsid w:val="009D7353"/>
    <w:rsid w:val="009E2742"/>
    <w:rsid w:val="009E6997"/>
    <w:rsid w:val="009E69B7"/>
    <w:rsid w:val="009E6E88"/>
    <w:rsid w:val="00A0101E"/>
    <w:rsid w:val="00A0134B"/>
    <w:rsid w:val="00A01F4B"/>
    <w:rsid w:val="00A046C7"/>
    <w:rsid w:val="00A06D2B"/>
    <w:rsid w:val="00A07DB4"/>
    <w:rsid w:val="00A10C44"/>
    <w:rsid w:val="00A111DB"/>
    <w:rsid w:val="00A13664"/>
    <w:rsid w:val="00A143CB"/>
    <w:rsid w:val="00A16745"/>
    <w:rsid w:val="00A25288"/>
    <w:rsid w:val="00A26569"/>
    <w:rsid w:val="00A3360A"/>
    <w:rsid w:val="00A3492A"/>
    <w:rsid w:val="00A40B9C"/>
    <w:rsid w:val="00A40D4E"/>
    <w:rsid w:val="00A43B49"/>
    <w:rsid w:val="00A45A58"/>
    <w:rsid w:val="00A45BBC"/>
    <w:rsid w:val="00A45C55"/>
    <w:rsid w:val="00A47240"/>
    <w:rsid w:val="00A47636"/>
    <w:rsid w:val="00A50820"/>
    <w:rsid w:val="00A550A4"/>
    <w:rsid w:val="00A577AC"/>
    <w:rsid w:val="00A57B17"/>
    <w:rsid w:val="00A62110"/>
    <w:rsid w:val="00A644B2"/>
    <w:rsid w:val="00A73709"/>
    <w:rsid w:val="00A77577"/>
    <w:rsid w:val="00A77B6A"/>
    <w:rsid w:val="00A81D80"/>
    <w:rsid w:val="00A83A2A"/>
    <w:rsid w:val="00A847DA"/>
    <w:rsid w:val="00A877ED"/>
    <w:rsid w:val="00A90151"/>
    <w:rsid w:val="00A91251"/>
    <w:rsid w:val="00A9359B"/>
    <w:rsid w:val="00A94C9A"/>
    <w:rsid w:val="00A96E2C"/>
    <w:rsid w:val="00AA1037"/>
    <w:rsid w:val="00AA6FA2"/>
    <w:rsid w:val="00AA779D"/>
    <w:rsid w:val="00AB41BC"/>
    <w:rsid w:val="00AB6635"/>
    <w:rsid w:val="00AB66B2"/>
    <w:rsid w:val="00AC115B"/>
    <w:rsid w:val="00AC2816"/>
    <w:rsid w:val="00AC37F1"/>
    <w:rsid w:val="00AC67E2"/>
    <w:rsid w:val="00AD7769"/>
    <w:rsid w:val="00AD7B01"/>
    <w:rsid w:val="00AE0347"/>
    <w:rsid w:val="00AE2B9A"/>
    <w:rsid w:val="00AE7400"/>
    <w:rsid w:val="00AF4B10"/>
    <w:rsid w:val="00B02093"/>
    <w:rsid w:val="00B04E42"/>
    <w:rsid w:val="00B179FB"/>
    <w:rsid w:val="00B17A32"/>
    <w:rsid w:val="00B23603"/>
    <w:rsid w:val="00B24517"/>
    <w:rsid w:val="00B25901"/>
    <w:rsid w:val="00B32DC8"/>
    <w:rsid w:val="00B3307A"/>
    <w:rsid w:val="00B3427C"/>
    <w:rsid w:val="00B348DB"/>
    <w:rsid w:val="00B3749D"/>
    <w:rsid w:val="00B45B98"/>
    <w:rsid w:val="00B47547"/>
    <w:rsid w:val="00B500D3"/>
    <w:rsid w:val="00B65DAA"/>
    <w:rsid w:val="00B66B2F"/>
    <w:rsid w:val="00B66ED2"/>
    <w:rsid w:val="00B67EFE"/>
    <w:rsid w:val="00B80636"/>
    <w:rsid w:val="00B82226"/>
    <w:rsid w:val="00B85AFF"/>
    <w:rsid w:val="00B87859"/>
    <w:rsid w:val="00B906F7"/>
    <w:rsid w:val="00B91D47"/>
    <w:rsid w:val="00B9241D"/>
    <w:rsid w:val="00B961EE"/>
    <w:rsid w:val="00BA586E"/>
    <w:rsid w:val="00BA5F1A"/>
    <w:rsid w:val="00BA7623"/>
    <w:rsid w:val="00BB3230"/>
    <w:rsid w:val="00BB7551"/>
    <w:rsid w:val="00BC1347"/>
    <w:rsid w:val="00BC55CB"/>
    <w:rsid w:val="00BC5B4E"/>
    <w:rsid w:val="00BC6D05"/>
    <w:rsid w:val="00BD1090"/>
    <w:rsid w:val="00BD21E9"/>
    <w:rsid w:val="00BD6419"/>
    <w:rsid w:val="00BE0C82"/>
    <w:rsid w:val="00BE7716"/>
    <w:rsid w:val="00BF26A4"/>
    <w:rsid w:val="00BF5441"/>
    <w:rsid w:val="00BF68C8"/>
    <w:rsid w:val="00C01E68"/>
    <w:rsid w:val="00C034A9"/>
    <w:rsid w:val="00C11924"/>
    <w:rsid w:val="00C179E3"/>
    <w:rsid w:val="00C2011F"/>
    <w:rsid w:val="00C2162A"/>
    <w:rsid w:val="00C2223C"/>
    <w:rsid w:val="00C22A75"/>
    <w:rsid w:val="00C23116"/>
    <w:rsid w:val="00C23F20"/>
    <w:rsid w:val="00C2712C"/>
    <w:rsid w:val="00C324C6"/>
    <w:rsid w:val="00C326F9"/>
    <w:rsid w:val="00C36D42"/>
    <w:rsid w:val="00C37A29"/>
    <w:rsid w:val="00C44DD8"/>
    <w:rsid w:val="00C60987"/>
    <w:rsid w:val="00C6108E"/>
    <w:rsid w:val="00C620F9"/>
    <w:rsid w:val="00C74012"/>
    <w:rsid w:val="00C74432"/>
    <w:rsid w:val="00C80A49"/>
    <w:rsid w:val="00C82F7E"/>
    <w:rsid w:val="00C90D59"/>
    <w:rsid w:val="00C932F5"/>
    <w:rsid w:val="00CA29C1"/>
    <w:rsid w:val="00CA3925"/>
    <w:rsid w:val="00CA3C34"/>
    <w:rsid w:val="00CA5A55"/>
    <w:rsid w:val="00CA7395"/>
    <w:rsid w:val="00CB54CA"/>
    <w:rsid w:val="00CB64AD"/>
    <w:rsid w:val="00CC0776"/>
    <w:rsid w:val="00CC1191"/>
    <w:rsid w:val="00CC2A30"/>
    <w:rsid w:val="00CD1EDD"/>
    <w:rsid w:val="00CD55F7"/>
    <w:rsid w:val="00CD5C1F"/>
    <w:rsid w:val="00CD61EB"/>
    <w:rsid w:val="00CD6818"/>
    <w:rsid w:val="00CE39EE"/>
    <w:rsid w:val="00CE6E15"/>
    <w:rsid w:val="00CF02F0"/>
    <w:rsid w:val="00D16F7D"/>
    <w:rsid w:val="00D22681"/>
    <w:rsid w:val="00D22CCF"/>
    <w:rsid w:val="00D31493"/>
    <w:rsid w:val="00D34030"/>
    <w:rsid w:val="00D35639"/>
    <w:rsid w:val="00D36C48"/>
    <w:rsid w:val="00D4593A"/>
    <w:rsid w:val="00D471A6"/>
    <w:rsid w:val="00D50361"/>
    <w:rsid w:val="00D5261E"/>
    <w:rsid w:val="00D60649"/>
    <w:rsid w:val="00D62247"/>
    <w:rsid w:val="00D7530D"/>
    <w:rsid w:val="00D83923"/>
    <w:rsid w:val="00D83A20"/>
    <w:rsid w:val="00D85B5C"/>
    <w:rsid w:val="00D8767A"/>
    <w:rsid w:val="00D9419D"/>
    <w:rsid w:val="00D96C3F"/>
    <w:rsid w:val="00DA18CD"/>
    <w:rsid w:val="00DA42EA"/>
    <w:rsid w:val="00DB19B5"/>
    <w:rsid w:val="00DB4DBB"/>
    <w:rsid w:val="00DC3571"/>
    <w:rsid w:val="00DC454B"/>
    <w:rsid w:val="00DD0494"/>
    <w:rsid w:val="00DD28D3"/>
    <w:rsid w:val="00DE0753"/>
    <w:rsid w:val="00DE07CA"/>
    <w:rsid w:val="00DE6407"/>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41553"/>
    <w:rsid w:val="00E4228C"/>
    <w:rsid w:val="00E423A7"/>
    <w:rsid w:val="00E50812"/>
    <w:rsid w:val="00E53CA1"/>
    <w:rsid w:val="00E54B2B"/>
    <w:rsid w:val="00E61EFA"/>
    <w:rsid w:val="00E63231"/>
    <w:rsid w:val="00E664B3"/>
    <w:rsid w:val="00E74042"/>
    <w:rsid w:val="00E75329"/>
    <w:rsid w:val="00E81D42"/>
    <w:rsid w:val="00E8546F"/>
    <w:rsid w:val="00E85EEA"/>
    <w:rsid w:val="00E86041"/>
    <w:rsid w:val="00E91375"/>
    <w:rsid w:val="00E939A4"/>
    <w:rsid w:val="00E975AD"/>
    <w:rsid w:val="00EA5315"/>
    <w:rsid w:val="00EA678D"/>
    <w:rsid w:val="00ED2422"/>
    <w:rsid w:val="00ED4DCD"/>
    <w:rsid w:val="00ED5081"/>
    <w:rsid w:val="00EE073A"/>
    <w:rsid w:val="00EE35E0"/>
    <w:rsid w:val="00EE6F14"/>
    <w:rsid w:val="00EF4D37"/>
    <w:rsid w:val="00F10987"/>
    <w:rsid w:val="00F13491"/>
    <w:rsid w:val="00F162D4"/>
    <w:rsid w:val="00F21A95"/>
    <w:rsid w:val="00F2251F"/>
    <w:rsid w:val="00F22E47"/>
    <w:rsid w:val="00F23F80"/>
    <w:rsid w:val="00F36EE4"/>
    <w:rsid w:val="00F371FF"/>
    <w:rsid w:val="00F40CA8"/>
    <w:rsid w:val="00F4378E"/>
    <w:rsid w:val="00F46FF6"/>
    <w:rsid w:val="00F4702C"/>
    <w:rsid w:val="00F505B8"/>
    <w:rsid w:val="00F5680B"/>
    <w:rsid w:val="00F61B8A"/>
    <w:rsid w:val="00F6747B"/>
    <w:rsid w:val="00F67D42"/>
    <w:rsid w:val="00F727C5"/>
    <w:rsid w:val="00F72A30"/>
    <w:rsid w:val="00F72E37"/>
    <w:rsid w:val="00F86A87"/>
    <w:rsid w:val="00F87B07"/>
    <w:rsid w:val="00F90F8F"/>
    <w:rsid w:val="00F96882"/>
    <w:rsid w:val="00F96B34"/>
    <w:rsid w:val="00FA273E"/>
    <w:rsid w:val="00FA6092"/>
    <w:rsid w:val="00FB06FF"/>
    <w:rsid w:val="00FB3319"/>
    <w:rsid w:val="00FB3C3D"/>
    <w:rsid w:val="00FB5626"/>
    <w:rsid w:val="00FC0083"/>
    <w:rsid w:val="00FC2D8B"/>
    <w:rsid w:val="00FC4951"/>
    <w:rsid w:val="00FC54F5"/>
    <w:rsid w:val="00FD54B4"/>
    <w:rsid w:val="00FD7AFE"/>
    <w:rsid w:val="00FE7A21"/>
    <w:rsid w:val="00FF4252"/>
    <w:rsid w:val="00FF42AF"/>
    <w:rsid w:val="00FF4A25"/>
    <w:rsid w:val="00FF6A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4BC"/>
    <w:pPr>
      <w:spacing w:line="288" w:lineRule="auto"/>
    </w:pPr>
    <w:rPr>
      <w:sz w:val="20"/>
    </w:rPr>
  </w:style>
  <w:style w:type="paragraph" w:styleId="Heading1">
    <w:name w:val="heading 1"/>
    <w:basedOn w:val="Normal"/>
    <w:next w:val="Normal"/>
    <w:link w:val="Heading1Char"/>
    <w:uiPriority w:val="9"/>
    <w:qFormat/>
    <w:rsid w:val="007E5F0E"/>
    <w:pPr>
      <w:keepNext/>
      <w:keepLines/>
      <w:pageBreakBefore/>
      <w:spacing w:after="400" w:line="216" w:lineRule="auto"/>
      <w:contextualSpacing/>
      <w:outlineLvl w:val="0"/>
    </w:pPr>
    <w:rPr>
      <w:rFonts w:asciiTheme="majorHAnsi" w:eastAsiaTheme="majorEastAsia" w:hAnsiTheme="majorHAnsi" w:cstheme="majorBidi"/>
      <w:b/>
      <w:bCs/>
      <w:color w:val="253B7D"/>
      <w:spacing w:val="-4"/>
      <w:sz w:val="48"/>
      <w:szCs w:val="48"/>
    </w:rPr>
  </w:style>
  <w:style w:type="paragraph" w:styleId="Heading2">
    <w:name w:val="heading 2"/>
    <w:basedOn w:val="Normal"/>
    <w:next w:val="BodyText"/>
    <w:link w:val="Heading2Char"/>
    <w:uiPriority w:val="9"/>
    <w:unhideWhenUsed/>
    <w:qFormat/>
    <w:rsid w:val="008E670F"/>
    <w:pPr>
      <w:keepNext/>
      <w:keepLines/>
      <w:spacing w:before="320" w:after="200" w:line="264" w:lineRule="auto"/>
      <w:contextualSpacing/>
      <w:outlineLvl w:val="1"/>
    </w:pPr>
    <w:rPr>
      <w:rFonts w:asciiTheme="majorHAnsi" w:eastAsiaTheme="majorEastAsia" w:hAnsiTheme="majorHAnsi" w:cstheme="majorBidi"/>
      <w:bCs/>
      <w:spacing w:val="-4"/>
      <w:sz w:val="36"/>
      <w:szCs w:val="36"/>
    </w:rPr>
  </w:style>
  <w:style w:type="paragraph" w:styleId="Heading3">
    <w:name w:val="heading 3"/>
    <w:basedOn w:val="Normal"/>
    <w:next w:val="Normal"/>
    <w:link w:val="Heading3Char"/>
    <w:uiPriority w:val="9"/>
    <w:unhideWhenUsed/>
    <w:qFormat/>
    <w:rsid w:val="007E5F0E"/>
    <w:pPr>
      <w:keepNext/>
      <w:keepLines/>
      <w:spacing w:before="280" w:after="120" w:line="240"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7F0082"/>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CA29C1"/>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7E5F0E"/>
    <w:pPr>
      <w:numPr>
        <w:numId w:val="4"/>
      </w:numPr>
      <w:spacing w:after="100"/>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812287"/>
    <w:pPr>
      <w:numPr>
        <w:numId w:val="8"/>
      </w:numPr>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7E5F0E"/>
    <w:rPr>
      <w:rFonts w:asciiTheme="majorHAnsi" w:eastAsiaTheme="majorEastAsia" w:hAnsiTheme="majorHAnsi" w:cstheme="majorBidi"/>
      <w:b/>
      <w:bCs/>
      <w:color w:val="253B7D"/>
      <w:spacing w:val="-4"/>
      <w:sz w:val="48"/>
      <w:szCs w:val="48"/>
    </w:rPr>
  </w:style>
  <w:style w:type="paragraph" w:styleId="ListNumber2">
    <w:name w:val="List Number 2"/>
    <w:basedOn w:val="Normal"/>
    <w:uiPriority w:val="99"/>
    <w:unhideWhenUsed/>
    <w:qFormat/>
    <w:rsid w:val="00734682"/>
    <w:pPr>
      <w:numPr>
        <w:ilvl w:val="1"/>
        <w:numId w:val="7"/>
      </w:numPr>
      <w:spacing w:after="80"/>
    </w:pPr>
  </w:style>
  <w:style w:type="character" w:customStyle="1" w:styleId="Heading2Char">
    <w:name w:val="Heading 2 Char"/>
    <w:basedOn w:val="DefaultParagraphFont"/>
    <w:link w:val="Heading2"/>
    <w:uiPriority w:val="9"/>
    <w:rsid w:val="008E670F"/>
    <w:rPr>
      <w:rFonts w:asciiTheme="majorHAnsi" w:eastAsiaTheme="majorEastAsia" w:hAnsiTheme="majorHAnsi" w:cstheme="majorBidi"/>
      <w:bCs/>
      <w:spacing w:val="-4"/>
      <w:sz w:val="36"/>
      <w:szCs w:val="3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1F08C8"/>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1F08C8"/>
    <w:rPr>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contextualSpacing/>
    </w:pPr>
  </w:style>
  <w:style w:type="paragraph" w:styleId="ListNumber4">
    <w:name w:val="List Number 4"/>
    <w:basedOn w:val="Normal"/>
    <w:uiPriority w:val="99"/>
    <w:unhideWhenUsed/>
    <w:rsid w:val="00A046C7"/>
    <w:pPr>
      <w:contextualSpacing/>
    </w:pPr>
  </w:style>
  <w:style w:type="paragraph" w:styleId="ListNumber5">
    <w:name w:val="List Number 5"/>
    <w:basedOn w:val="Normal"/>
    <w:uiPriority w:val="99"/>
    <w:unhideWhenUsed/>
    <w:rsid w:val="00F505B8"/>
    <w:p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7E5F0E"/>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7F0082"/>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CA29C1"/>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907260"/>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370213"/>
    <w:pPr>
      <w:tabs>
        <w:tab w:val="right" w:leader="dot" w:pos="10206"/>
      </w:tabs>
      <w:spacing w:before="160" w:after="60"/>
      <w:ind w:left="227" w:hanging="227"/>
    </w:pPr>
    <w:rPr>
      <w:b/>
    </w:rPr>
  </w:style>
  <w:style w:type="paragraph" w:styleId="TOC2">
    <w:name w:val="toc 2"/>
    <w:basedOn w:val="Normal"/>
    <w:next w:val="Normal"/>
    <w:uiPriority w:val="39"/>
    <w:unhideWhenUsed/>
    <w:rsid w:val="00E74042"/>
    <w:pPr>
      <w:tabs>
        <w:tab w:val="right" w:leader="dot" w:pos="10206"/>
      </w:tabs>
      <w:spacing w:after="60"/>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CA29C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A0134B"/>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0D4AB5"/>
    <w:pPr>
      <w:spacing w:after="100" w:line="288" w:lineRule="auto"/>
    </w:pPr>
    <w:rPr>
      <w:sz w:val="20"/>
    </w:rPr>
  </w:style>
  <w:style w:type="character" w:customStyle="1" w:styleId="BodyTextChar">
    <w:name w:val="Body Text Char"/>
    <w:basedOn w:val="DefaultParagraphFont"/>
    <w:link w:val="BodyText"/>
    <w:uiPriority w:val="99"/>
    <w:rsid w:val="000D4AB5"/>
    <w:rPr>
      <w:sz w:val="20"/>
    </w:rPr>
  </w:style>
  <w:style w:type="paragraph" w:customStyle="1" w:styleId="TitlePageTitle">
    <w:name w:val="Title Page Title"/>
    <w:qFormat/>
    <w:rsid w:val="00C2712C"/>
    <w:pPr>
      <w:spacing w:before="4500" w:after="400" w:line="240" w:lineRule="auto"/>
      <w:ind w:left="851" w:right="2268"/>
    </w:pPr>
    <w:rPr>
      <w:rFonts w:asciiTheme="majorHAnsi" w:hAnsiTheme="majorHAnsi" w:cstheme="majorHAnsi"/>
      <w:b/>
      <w:color w:val="FFFFFF" w:themeColor="background1"/>
      <w:sz w:val="60"/>
      <w:szCs w:val="60"/>
    </w:rPr>
  </w:style>
  <w:style w:type="paragraph" w:customStyle="1" w:styleId="TitlePageSubtitle">
    <w:name w:val="Title Page Subtitle"/>
    <w:qFormat/>
    <w:rsid w:val="00C2712C"/>
    <w:pPr>
      <w:spacing w:after="400" w:line="240" w:lineRule="auto"/>
      <w:ind w:left="851"/>
    </w:pPr>
    <w:rPr>
      <w:rFonts w:asciiTheme="majorHAnsi" w:hAnsiTheme="majorHAnsi" w:cstheme="majorHAnsi"/>
      <w:bCs/>
      <w:color w:val="FFFFFF" w:themeColor="background1"/>
      <w:sz w:val="40"/>
      <w:szCs w:val="40"/>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99"/>
    <w:qFormat/>
    <w:rsid w:val="00E8546F"/>
    <w:pPr>
      <w:ind w:left="567"/>
    </w:pPr>
    <w:rPr>
      <w:i/>
      <w:iCs/>
      <w:color w:val="000000" w:themeColor="text1"/>
    </w:rPr>
  </w:style>
  <w:style w:type="character" w:customStyle="1" w:styleId="QuoteChar">
    <w:name w:val="Quote Char"/>
    <w:basedOn w:val="DefaultParagraphFont"/>
    <w:link w:val="Quote"/>
    <w:uiPriority w:val="29"/>
    <w:rsid w:val="00E8546F"/>
    <w:rPr>
      <w:i/>
      <w:iCs/>
      <w:color w:val="000000" w:themeColor="text1"/>
      <w:sz w:val="20"/>
    </w:rPr>
  </w:style>
  <w:style w:type="character" w:styleId="SubtleEmphasis">
    <w:name w:val="Subtle Emphasis"/>
    <w:basedOn w:val="DefaultParagraphFont"/>
    <w:uiPriority w:val="19"/>
    <w:qFormat/>
    <w:rsid w:val="00F4378E"/>
    <w:rPr>
      <w:i/>
      <w:iCs/>
      <w:color w:val="404040"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character" w:customStyle="1" w:styleId="Underline">
    <w:name w:val="Underline"/>
    <w:basedOn w:val="DefaultParagraphFont"/>
    <w:uiPriority w:val="1"/>
    <w:qFormat/>
    <w:rsid w:val="00401BEB"/>
    <w:rPr>
      <w:sz w:val="20"/>
      <w:szCs w:val="22"/>
      <w:u w:val="single"/>
    </w:rPr>
  </w:style>
  <w:style w:type="numbering" w:customStyle="1" w:styleId="Style1">
    <w:name w:val="Style1"/>
    <w:basedOn w:val="NoList"/>
    <w:uiPriority w:val="99"/>
    <w:rsid w:val="004C1FC2"/>
    <w:pPr>
      <w:numPr>
        <w:numId w:val="6"/>
      </w:numPr>
    </w:pPr>
  </w:style>
  <w:style w:type="paragraph" w:customStyle="1" w:styleId="ListNumberAlphaL1">
    <w:name w:val="List Number Alpha L1"/>
    <w:basedOn w:val="BodyText"/>
    <w:qFormat/>
    <w:rsid w:val="000D54BC"/>
    <w:pPr>
      <w:numPr>
        <w:numId w:val="7"/>
      </w:numPr>
    </w:pPr>
  </w:style>
  <w:style w:type="paragraph" w:customStyle="1" w:styleId="ListNumberAlphaL2">
    <w:name w:val="List Number Alpha L2"/>
    <w:basedOn w:val="BodyText"/>
    <w:qFormat/>
    <w:rsid w:val="00203CA6"/>
    <w:pPr>
      <w:numPr>
        <w:ilvl w:val="1"/>
        <w:numId w:val="8"/>
      </w:numPr>
    </w:pPr>
  </w:style>
  <w:style w:type="numbering" w:customStyle="1" w:styleId="ZZListNumberAlphaL1">
    <w:name w:val="ZZ List Number Alpha L1"/>
    <w:basedOn w:val="Numbering"/>
    <w:uiPriority w:val="99"/>
    <w:rsid w:val="000D54BC"/>
    <w:pPr>
      <w:numPr>
        <w:numId w:val="7"/>
      </w:numPr>
    </w:pPr>
  </w:style>
  <w:style w:type="numbering" w:customStyle="1" w:styleId="ZZListNumberAlphaL2">
    <w:name w:val="ZZ List Number + Alpha L2"/>
    <w:basedOn w:val="NoList"/>
    <w:uiPriority w:val="99"/>
    <w:rsid w:val="00203CA6"/>
    <w:pPr>
      <w:numPr>
        <w:numId w:val="8"/>
      </w:numPr>
    </w:pPr>
  </w:style>
  <w:style w:type="paragraph" w:styleId="EndnoteText">
    <w:name w:val="endnote text"/>
    <w:basedOn w:val="Normal"/>
    <w:link w:val="EndnoteTextChar"/>
    <w:uiPriority w:val="99"/>
    <w:unhideWhenUsed/>
    <w:rsid w:val="00674799"/>
    <w:pPr>
      <w:spacing w:after="40"/>
      <w:ind w:left="397" w:hanging="397"/>
    </w:pPr>
    <w:rPr>
      <w:sz w:val="18"/>
      <w:szCs w:val="20"/>
    </w:rPr>
  </w:style>
  <w:style w:type="character" w:customStyle="1" w:styleId="EndnoteTextChar">
    <w:name w:val="Endnote Text Char"/>
    <w:basedOn w:val="DefaultParagraphFont"/>
    <w:link w:val="EndnoteText"/>
    <w:uiPriority w:val="99"/>
    <w:rsid w:val="00674799"/>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semiHidden/>
    <w:unhideWhenUsed/>
    <w:rsid w:val="008040C5"/>
    <w:rPr>
      <w:color w:val="000000" w:themeColor="followedHyperlink"/>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unhideWhenUsed/>
    <w:qFormat/>
    <w:rsid w:val="007430A5"/>
    <w:pPr>
      <w:keepNext/>
      <w:keepLines/>
      <w:suppressAutoHyphens/>
      <w:spacing w:before="320" w:line="240" w:lineRule="auto"/>
    </w:pPr>
    <w:rPr>
      <w:rFonts w:eastAsiaTheme="minorEastAsia"/>
      <w:b/>
      <w:bCs/>
      <w:color w:val="253B7D" w:themeColor="text2"/>
      <w:sz w:val="22"/>
    </w:rPr>
  </w:style>
  <w:style w:type="paragraph" w:styleId="IntenseQuote">
    <w:name w:val="Intense Quote"/>
    <w:basedOn w:val="Normal"/>
    <w:next w:val="Normal"/>
    <w:link w:val="IntenseQuoteChar"/>
    <w:uiPriority w:val="30"/>
    <w:qFormat/>
    <w:rsid w:val="008040C5"/>
    <w:pPr>
      <w:spacing w:before="280" w:after="280" w:line="240" w:lineRule="auto"/>
      <w:ind w:left="1080" w:right="1080"/>
      <w:jc w:val="center"/>
    </w:pPr>
    <w:rPr>
      <w:rFonts w:eastAsiaTheme="minorEastAsia"/>
      <w:color w:val="404040" w:themeColor="text1" w:themeTint="BF"/>
      <w:sz w:val="32"/>
      <w:szCs w:val="32"/>
      <w:lang w:val="en-US"/>
    </w:rPr>
  </w:style>
  <w:style w:type="character" w:customStyle="1" w:styleId="IntenseQuoteChar">
    <w:name w:val="Intense Quote Char"/>
    <w:basedOn w:val="DefaultParagraphFont"/>
    <w:link w:val="IntenseQuote"/>
    <w:uiPriority w:val="30"/>
    <w:rsid w:val="008040C5"/>
    <w:rPr>
      <w:rFonts w:eastAsiaTheme="minorEastAsia"/>
      <w:color w:val="404040" w:themeColor="text1" w:themeTint="BF"/>
      <w:sz w:val="32"/>
      <w:szCs w:val="32"/>
      <w:lang w:val="en-US"/>
    </w:rPr>
  </w:style>
  <w:style w:type="character" w:styleId="IntenseEmphasis">
    <w:name w:val="Intense Emphasis"/>
    <w:basedOn w:val="DefaultParagraphFont"/>
    <w:uiPriority w:val="21"/>
    <w:qFormat/>
    <w:rsid w:val="008040C5"/>
    <w:rPr>
      <w:b/>
      <w:bCs/>
      <w:i/>
      <w:iCs/>
    </w:rPr>
  </w:style>
  <w:style w:type="character" w:styleId="SubtleReference">
    <w:name w:val="Subtle Reference"/>
    <w:basedOn w:val="DefaultParagraphFont"/>
    <w:uiPriority w:val="31"/>
    <w:qFormat/>
    <w:rsid w:val="008040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040C5"/>
    <w:rPr>
      <w:b/>
      <w:bCs/>
      <w:caps w:val="0"/>
      <w:smallCaps/>
      <w:color w:val="auto"/>
      <w:spacing w:val="3"/>
      <w:u w:val="single"/>
    </w:rPr>
  </w:style>
  <w:style w:type="character" w:styleId="BookTitle">
    <w:name w:val="Book Title"/>
    <w:basedOn w:val="DefaultParagraphFont"/>
    <w:uiPriority w:val="33"/>
    <w:qFormat/>
    <w:rsid w:val="008040C5"/>
    <w:rPr>
      <w:b/>
      <w:bCs/>
      <w:smallCaps/>
      <w:spacing w:val="7"/>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numbering" w:customStyle="1" w:styleId="ZZNumberedheadings">
    <w:name w:val="ZZ Numbered headings"/>
    <w:basedOn w:val="Style1"/>
    <w:uiPriority w:val="99"/>
    <w:rsid w:val="00F727C5"/>
    <w:pPr>
      <w:numPr>
        <w:numId w:val="20"/>
      </w:numPr>
    </w:pPr>
  </w:style>
  <w:style w:type="paragraph" w:customStyle="1" w:styleId="TableColumnHead">
    <w:name w:val="Table Column Head"/>
    <w:basedOn w:val="Normal"/>
    <w:rsid w:val="008161C6"/>
    <w:pPr>
      <w:spacing w:before="60" w:after="60" w:line="264" w:lineRule="auto"/>
    </w:pPr>
    <w:rPr>
      <w:rFonts w:ascii="Arial" w:eastAsia="Times New Roman" w:hAnsi="Arial" w:cs="Arial"/>
      <w:b/>
      <w:szCs w:val="20"/>
      <w:lang w:eastAsia="en-AU"/>
    </w:rPr>
  </w:style>
  <w:style w:type="paragraph" w:customStyle="1" w:styleId="TableText">
    <w:name w:val="Table Text"/>
    <w:basedOn w:val="Normal"/>
    <w:rsid w:val="008161C6"/>
    <w:pPr>
      <w:spacing w:before="60" w:after="60" w:line="264" w:lineRule="auto"/>
    </w:pPr>
    <w:rPr>
      <w:rFonts w:ascii="Arial" w:eastAsia="Times New Roman" w:hAnsi="Arial" w:cs="Arial"/>
      <w:iCs/>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character" w:customStyle="1" w:styleId="FootnoteReferenceBold">
    <w:name w:val="Footnote Reference Bold"/>
    <w:basedOn w:val="FootnoteReference"/>
    <w:uiPriority w:val="1"/>
    <w:qFormat/>
    <w:rsid w:val="00891E1F"/>
    <w:rPr>
      <w:vertAlign w:val="superscript"/>
    </w:rPr>
  </w:style>
  <w:style w:type="paragraph" w:customStyle="1" w:styleId="PhotoInline">
    <w:name w:val="Photo Inline"/>
    <w:basedOn w:val="BodyText"/>
    <w:qFormat/>
    <w:rsid w:val="00B961EE"/>
    <w:pPr>
      <w:spacing w:after="320"/>
    </w:pPr>
  </w:style>
  <w:style w:type="character" w:customStyle="1" w:styleId="Redbullet">
    <w:name w:val="Red bullet"/>
    <w:uiPriority w:val="99"/>
    <w:rsid w:val="00545509"/>
    <w:rPr>
      <w:rFonts w:ascii="Apercu-Bold" w:hAnsi="Apercu-Bold" w:cs="Apercu-Bold"/>
      <w:b/>
      <w:bCs/>
      <w:color w:val="ED1C24"/>
      <w:sz w:val="18"/>
      <w:szCs w:val="18"/>
    </w:rPr>
  </w:style>
  <w:style w:type="paragraph" w:customStyle="1" w:styleId="BodyTextNoSpace">
    <w:name w:val="Body Text No Space"/>
    <w:basedOn w:val="BodyText"/>
    <w:qFormat/>
    <w:rsid w:val="003826C5"/>
    <w:pPr>
      <w:spacing w:after="0"/>
    </w:pPr>
  </w:style>
  <w:style w:type="paragraph" w:customStyle="1" w:styleId="BodyTextSmallSpace">
    <w:name w:val="Body Text Small Space"/>
    <w:basedOn w:val="BodyText"/>
    <w:qFormat/>
    <w:rsid w:val="000F5765"/>
    <w:pPr>
      <w:spacing w:after="80"/>
    </w:pPr>
  </w:style>
  <w:style w:type="paragraph" w:customStyle="1" w:styleId="BodyTextEmail">
    <w:name w:val="Body Text Email"/>
    <w:basedOn w:val="BodyTextSmallSpace"/>
    <w:qFormat/>
    <w:rsid w:val="000F5765"/>
  </w:style>
  <w:style w:type="paragraph" w:styleId="TOC5">
    <w:name w:val="toc 5"/>
    <w:basedOn w:val="Normal"/>
    <w:next w:val="Normal"/>
    <w:autoRedefine/>
    <w:uiPriority w:val="39"/>
    <w:unhideWhenUsed/>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Price">
    <w:name w:val="Price"/>
    <w:basedOn w:val="BodyText"/>
    <w:uiPriority w:val="99"/>
    <w:rsid w:val="002B1453"/>
    <w:pPr>
      <w:widowControl w:val="0"/>
      <w:suppressAutoHyphens/>
      <w:autoSpaceDE w:val="0"/>
      <w:autoSpaceDN w:val="0"/>
      <w:adjustRightInd w:val="0"/>
      <w:spacing w:after="0" w:line="180" w:lineRule="atLeast"/>
      <w:textAlignment w:val="center"/>
    </w:pPr>
    <w:rPr>
      <w:rFonts w:ascii="Arial" w:eastAsiaTheme="minorEastAsia" w:hAnsi="Arial" w:cs="Arial"/>
      <w:color w:val="000000"/>
      <w:szCs w:val="20"/>
      <w:lang w:val="en-US" w:eastAsia="en-AU"/>
    </w:rPr>
  </w:style>
  <w:style w:type="paragraph" w:customStyle="1" w:styleId="Smallnotes">
    <w:name w:val="Small notes"/>
    <w:basedOn w:val="Normal"/>
    <w:uiPriority w:val="99"/>
    <w:rsid w:val="002B1453"/>
    <w:pPr>
      <w:widowControl w:val="0"/>
      <w:suppressAutoHyphens/>
      <w:autoSpaceDE w:val="0"/>
      <w:autoSpaceDN w:val="0"/>
      <w:adjustRightInd w:val="0"/>
      <w:spacing w:after="57" w:line="140" w:lineRule="atLeast"/>
      <w:textAlignment w:val="center"/>
    </w:pPr>
    <w:rPr>
      <w:rFonts w:ascii="Apercu-Light" w:eastAsiaTheme="minorEastAsia" w:hAnsi="Apercu-Light" w:cs="Apercu-Light"/>
      <w:color w:val="000000"/>
      <w:sz w:val="12"/>
      <w:szCs w:val="12"/>
      <w:lang w:val="en-US" w:eastAsia="en-AU"/>
    </w:rPr>
  </w:style>
  <w:style w:type="character" w:customStyle="1" w:styleId="Smallnote">
    <w:name w:val="Small note"/>
    <w:uiPriority w:val="99"/>
    <w:rsid w:val="002B1453"/>
    <w:rPr>
      <w:rFonts w:ascii="Apercu-Light" w:hAnsi="Apercu-Light" w:cs="Apercu-Light"/>
      <w:sz w:val="12"/>
      <w:szCs w:val="12"/>
    </w:rPr>
  </w:style>
  <w:style w:type="paragraph" w:customStyle="1" w:styleId="BodyTextLargeSpaceBefore">
    <w:name w:val="Body Text Large Space Before"/>
    <w:basedOn w:val="BodyText"/>
    <w:qFormat/>
    <w:rsid w:val="007E5F0E"/>
    <w:pPr>
      <w:spacing w:before="300"/>
    </w:pPr>
  </w:style>
  <w:style w:type="paragraph" w:customStyle="1" w:styleId="Heading2small">
    <w:name w:val="Heading 2 small"/>
    <w:basedOn w:val="Heading3"/>
    <w:qFormat/>
    <w:rsid w:val="00475242"/>
    <w:pPr>
      <w:outlineLvl w:val="1"/>
    </w:pPr>
  </w:style>
  <w:style w:type="paragraph" w:customStyle="1" w:styleId="BodyText12pt">
    <w:name w:val="Body Text 12pt"/>
    <w:basedOn w:val="BodyText"/>
    <w:qFormat/>
    <w:rsid w:val="00137D24"/>
    <w:pPr>
      <w:spacing w:before="240" w:after="240"/>
    </w:pPr>
    <w:rPr>
      <w:sz w:val="24"/>
      <w:szCs w:val="24"/>
    </w:rPr>
  </w:style>
  <w:style w:type="paragraph" w:customStyle="1" w:styleId="NoParagraphStyle">
    <w:name w:val="[No Paragraph Style]"/>
    <w:rsid w:val="00137D2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en-AU"/>
    </w:rPr>
  </w:style>
  <w:style w:type="paragraph" w:customStyle="1" w:styleId="HeadB">
    <w:name w:val="Head B"/>
    <w:basedOn w:val="NoParagraphStyle"/>
    <w:uiPriority w:val="99"/>
    <w:rsid w:val="00137D24"/>
    <w:pPr>
      <w:suppressAutoHyphens/>
      <w:spacing w:line="340" w:lineRule="atLeast"/>
    </w:pPr>
    <w:rPr>
      <w:rFonts w:ascii="Domus-Semibold" w:hAnsi="Domus-Semibold" w:cs="Domus-Semibold"/>
      <w:sz w:val="28"/>
      <w:szCs w:val="28"/>
    </w:rPr>
  </w:style>
  <w:style w:type="paragraph" w:customStyle="1" w:styleId="Bodycopy">
    <w:name w:val="Bodycopy"/>
    <w:basedOn w:val="NoParagraphStyle"/>
    <w:uiPriority w:val="99"/>
    <w:rsid w:val="00137D24"/>
    <w:pPr>
      <w:suppressAutoHyphens/>
      <w:spacing w:after="85" w:line="220" w:lineRule="atLeast"/>
    </w:pPr>
    <w:rPr>
      <w:rFonts w:ascii="Apercu-Light" w:hAnsi="Apercu-Light" w:cs="Apercu-Light"/>
      <w:sz w:val="18"/>
      <w:szCs w:val="18"/>
      <w:lang w:val="en-GB"/>
    </w:rPr>
  </w:style>
  <w:style w:type="paragraph" w:customStyle="1" w:styleId="HeadA">
    <w:name w:val="Head A"/>
    <w:basedOn w:val="NoParagraphStyle"/>
    <w:uiPriority w:val="99"/>
    <w:rsid w:val="00137D24"/>
    <w:pPr>
      <w:suppressAutoHyphens/>
      <w:spacing w:line="760" w:lineRule="atLeast"/>
    </w:pPr>
    <w:rPr>
      <w:rFonts w:ascii="Domus-Semibold" w:hAnsi="Domus-Semibold" w:cs="Domus-Semibold"/>
      <w:sz w:val="72"/>
      <w:szCs w:val="72"/>
    </w:rPr>
  </w:style>
  <w:style w:type="paragraph" w:customStyle="1" w:styleId="Infographiclargenumber">
    <w:name w:val="Infographic large number"/>
    <w:basedOn w:val="NoParagraphStyle"/>
    <w:uiPriority w:val="99"/>
    <w:rsid w:val="00137D24"/>
    <w:pPr>
      <w:suppressAutoHyphens/>
      <w:spacing w:after="28" w:line="761" w:lineRule="atLeast"/>
    </w:pPr>
    <w:rPr>
      <w:rFonts w:ascii="Domus-Bold" w:hAnsi="Domus-Bold" w:cs="Domus-Bold"/>
      <w:b/>
      <w:bCs/>
      <w:caps/>
      <w:sz w:val="57"/>
      <w:szCs w:val="57"/>
    </w:rPr>
  </w:style>
  <w:style w:type="paragraph" w:customStyle="1" w:styleId="Quote-name">
    <w:name w:val="Quote - name"/>
    <w:basedOn w:val="NoParagraphStyle"/>
    <w:uiPriority w:val="99"/>
    <w:rsid w:val="00137D24"/>
    <w:pPr>
      <w:suppressAutoHyphens/>
      <w:spacing w:after="217" w:line="200" w:lineRule="atLeast"/>
    </w:pPr>
    <w:rPr>
      <w:rFonts w:ascii="Domus-Semibold" w:hAnsi="Domus-Semibold" w:cs="Domus-Semibold"/>
      <w:sz w:val="18"/>
      <w:szCs w:val="18"/>
      <w:lang w:val="en-GB"/>
    </w:rPr>
  </w:style>
  <w:style w:type="paragraph" w:customStyle="1" w:styleId="HeadC">
    <w:name w:val="Head C"/>
    <w:basedOn w:val="NoParagraphStyle"/>
    <w:uiPriority w:val="99"/>
    <w:rsid w:val="00137D24"/>
    <w:pPr>
      <w:suppressAutoHyphens/>
      <w:spacing w:after="85" w:line="240" w:lineRule="atLeast"/>
    </w:pPr>
    <w:rPr>
      <w:rFonts w:ascii="Apercu-Bold" w:hAnsi="Apercu-Bold" w:cs="Apercu-Bold"/>
      <w:b/>
      <w:bCs/>
      <w:sz w:val="22"/>
      <w:szCs w:val="22"/>
      <w:lang w:val="en-GB"/>
    </w:rPr>
  </w:style>
  <w:style w:type="paragraph" w:customStyle="1" w:styleId="Quoteinbodycopy-blue">
    <w:name w:val="Quote in bodycopy - blue"/>
    <w:basedOn w:val="NoParagraphStyle"/>
    <w:uiPriority w:val="99"/>
    <w:rsid w:val="00137D24"/>
    <w:pPr>
      <w:suppressAutoHyphens/>
      <w:spacing w:after="43" w:line="220" w:lineRule="atLeast"/>
    </w:pPr>
    <w:rPr>
      <w:rFonts w:ascii="Apercu-Bold" w:hAnsi="Apercu-Bold" w:cs="Apercu-Bold"/>
      <w:b/>
      <w:bCs/>
      <w:color w:val="0007BA"/>
      <w:sz w:val="18"/>
      <w:szCs w:val="18"/>
      <w:lang w:val="en-GB"/>
    </w:rPr>
  </w:style>
  <w:style w:type="paragraph" w:customStyle="1" w:styleId="Quotenameinbodycopy-blue">
    <w:name w:val="Quote name in bodycopy - blue"/>
    <w:basedOn w:val="Quoteinbodycopy-blue"/>
    <w:uiPriority w:val="99"/>
    <w:rsid w:val="00137D24"/>
    <w:rPr>
      <w:rFonts w:ascii="Apercu-Light" w:hAnsi="Apercu-Light" w:cs="Apercu-Light"/>
    </w:rPr>
  </w:style>
  <w:style w:type="character" w:customStyle="1" w:styleId="Bold">
    <w:name w:val="Bold"/>
    <w:uiPriority w:val="99"/>
    <w:rsid w:val="00137D24"/>
    <w:rPr>
      <w:b/>
      <w:bCs/>
    </w:rPr>
  </w:style>
  <w:style w:type="character" w:customStyle="1" w:styleId="BodyItalic">
    <w:name w:val="Body Italic"/>
    <w:uiPriority w:val="99"/>
    <w:rsid w:val="00137D24"/>
    <w:rPr>
      <w:rFonts w:ascii="Apercu-LightItalic" w:hAnsi="Apercu-LightItalic" w:cs="Apercu-LightItalic"/>
      <w:i/>
      <w:iCs/>
    </w:rPr>
  </w:style>
  <w:style w:type="paragraph" w:customStyle="1" w:styleId="BodyText12ptsmallspace">
    <w:name w:val="Body Text 12pt small space"/>
    <w:basedOn w:val="BodyText12pt"/>
    <w:qFormat/>
    <w:rsid w:val="0097441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nzsog.edu.au/resource-library/news-media/public-value-and-the-covid19-response-tracy-linford?searchword=tracey+linford&amp;_content-type=Resource+Library&amp;published_date%5B%5D=&amp;published_date%5B%5D=&amp;_resource-library=News+%26+Media&amp;ordering=relevance+ASC&amp;searchmodule=131&amp;limitstart=" TargetMode="External"/><Relationship Id="rId26" Type="http://schemas.openxmlformats.org/officeDocument/2006/relationships/image" Target="media/image8.png"/><Relationship Id="rId21" Type="http://schemas.openxmlformats.org/officeDocument/2006/relationships/hyperlink" Target="https://www.anzsog.edu.au/regulators/whats-the-nrcop" TargetMode="External"/><Relationship Id="rId34" Type="http://schemas.openxmlformats.org/officeDocument/2006/relationships/hyperlink" Target="https://twitter.com/ANZSO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nzsog.edu.au/resource-library/news-media/todays-problems-yesterdays-toolkit-public-service?searchword=today%27s+problems+yesterday%27s+toolkit" TargetMode="Externa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anzsog.edu.au/resource-library/news-media/alf-rattigan-lecture-bill-english-2019?searchword=bill+english&amp;_content-type=Resource+Library&amp;published_date%5B%5D=&amp;published_date%5B%5D=&amp;_resource-library=News+%26+Media&amp;ordering=relevance+ASC&amp;searchmodule=131&amp;limitstart="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www.facebook.com/ANZSO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nzsog.edu.au/resource-library/news-media/how-anzsog-helps-ginna-webster-lead-in-uncertain-times"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s://www.linkedin.com/school/anzsog" TargetMode="External"/><Relationship Id="rId10" Type="http://schemas.openxmlformats.org/officeDocument/2006/relationships/endnotes" Target="endnotes.xml"/><Relationship Id="rId19" Type="http://schemas.openxmlformats.org/officeDocument/2006/relationships/hyperlink" Target="https://www.anzsog.edu.au/resource-library/news-media/new-zealand-pm-jacinda-ardern-s-anzsog-address-why-does-good-government-matter?searchword=jacinda+ardern"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zsog.edu.au/resource-library/research/the-bridge"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mailto:https://www.anzsog.edu.au" TargetMode="External"/><Relationship Id="rId35" Type="http://schemas.openxmlformats.org/officeDocument/2006/relationships/image" Target="media/image14.pn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4" ma:contentTypeDescription="Create a new document." ma:contentTypeScope="" ma:versionID="1dec24bc160e7b0ee8814810ec43aa4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22dfb0d1190646018b03b0828d03809a"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3.xml><?xml version="1.0" encoding="utf-8"?>
<ds:datastoreItem xmlns:ds="http://schemas.openxmlformats.org/officeDocument/2006/customXml" ds:itemID="{218E2EE9-7523-484D-94C8-C32F920263C8}"/>
</file>

<file path=customXml/itemProps4.xml><?xml version="1.0" encoding="utf-8"?>
<ds:datastoreItem xmlns:ds="http://schemas.openxmlformats.org/officeDocument/2006/customXml" ds:itemID="{C7606C11-677F-D648-879C-EA0B2A37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15</Pages>
  <Words>2970</Words>
  <Characters>17405</Characters>
  <Application>Microsoft Office Word</Application>
  <DocSecurity>0</DocSecurity>
  <Lines>300</Lines>
  <Paragraphs>188</Paragraphs>
  <ScaleCrop>false</ScaleCrop>
  <HeadingPairs>
    <vt:vector size="2" baseType="variant">
      <vt:variant>
        <vt:lpstr>Title</vt:lpstr>
      </vt:variant>
      <vt:variant>
        <vt:i4>1</vt:i4>
      </vt:variant>
    </vt:vector>
  </HeadingPairs>
  <TitlesOfParts>
    <vt:vector size="1" baseType="lpstr">
      <vt:lpstr>ANZSOG Impact Snapshot 2019-20</vt:lpstr>
    </vt:vector>
  </TitlesOfParts>
  <Company>The Australia and New Zealand School of Government (ANZSOG)</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ANZSOG Impact Snapshot 2019-20</dc:title>
  <dc:creator>The Australia and New Zealand School of Government (ANZSOG)</dc:creator>
  <cp:keywords>ANZSOG, Impact Snapshot, public sector, key achievements, finances, workforce metrics</cp:keywords>
  <cp:lastModifiedBy>Microsoft Office User</cp:lastModifiedBy>
  <cp:revision>35</cp:revision>
  <cp:lastPrinted>2018-10-23T03:55:00Z</cp:lastPrinted>
  <dcterms:created xsi:type="dcterms:W3CDTF">2020-03-05T07:28:00Z</dcterms:created>
  <dcterms:modified xsi:type="dcterms:W3CDTF">2020-11-05T21:55:00Z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0x0101004E8F180B4C198844BF045B7BC2D5DE4A</vt:lpwstr>
  </property>
</Properties>
</file>