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82" w:lineRule="auto" w:before="305"/>
        <w:ind w:left="260" w:right="8986" w:firstLine="0"/>
        <w:jc w:val="left"/>
        <w:rPr>
          <w:rFonts w:ascii="Domus Semibold"/>
          <w:b w:val="0"/>
          <w:sz w:val="46"/>
        </w:rPr>
      </w:pPr>
      <w:r>
        <w:rPr>
          <w:rFonts w:ascii="Domus Semibold"/>
          <w:b w:val="0"/>
          <w:color w:val="FFFFFF"/>
          <w:sz w:val="46"/>
        </w:rPr>
        <w:t>EXECUTIVE</w:t>
      </w:r>
      <w:r>
        <w:rPr>
          <w:rFonts w:ascii="Domus Semibold"/>
          <w:b w:val="0"/>
          <w:color w:val="FFFFFF"/>
          <w:spacing w:val="-90"/>
          <w:sz w:val="46"/>
        </w:rPr>
        <w:t> </w:t>
      </w:r>
      <w:r>
        <w:rPr>
          <w:rFonts w:ascii="Domus Semibold"/>
          <w:b w:val="0"/>
          <w:color w:val="FFFFFF"/>
          <w:sz w:val="46"/>
        </w:rPr>
        <w:t>MASTER</w:t>
      </w:r>
      <w:r>
        <w:rPr>
          <w:rFonts w:ascii="Domus Semibold"/>
          <w:b w:val="0"/>
          <w:color w:val="FFFFFF"/>
          <w:spacing w:val="1"/>
          <w:sz w:val="46"/>
        </w:rPr>
        <w:t> </w:t>
      </w:r>
      <w:r>
        <w:rPr>
          <w:rFonts w:ascii="Domus Semibold"/>
          <w:b w:val="0"/>
          <w:color w:val="FFFFFF"/>
          <w:sz w:val="46"/>
        </w:rPr>
        <w:t>OF</w:t>
      </w:r>
      <w:r>
        <w:rPr>
          <w:rFonts w:ascii="Domus Semibold"/>
          <w:b w:val="0"/>
          <w:color w:val="FFFFFF"/>
          <w:spacing w:val="8"/>
          <w:sz w:val="46"/>
        </w:rPr>
        <w:t> </w:t>
      </w:r>
      <w:r>
        <w:rPr>
          <w:rFonts w:ascii="Domus Semibold"/>
          <w:b w:val="0"/>
          <w:color w:val="FFFFFF"/>
          <w:sz w:val="46"/>
        </w:rPr>
        <w:t>PUBLIC</w:t>
      </w:r>
    </w:p>
    <w:p>
      <w:pPr>
        <w:spacing w:line="435" w:lineRule="exact" w:before="0"/>
        <w:ind w:left="260" w:right="0" w:firstLine="0"/>
        <w:jc w:val="left"/>
        <w:rPr>
          <w:rFonts w:ascii="Domus Semibold"/>
          <w:b w:val="0"/>
          <w:sz w:val="46"/>
        </w:rPr>
      </w:pPr>
      <w:r>
        <w:rPr>
          <w:rFonts w:ascii="Domus Semibold"/>
          <w:b w:val="0"/>
          <w:color w:val="FFFFFF"/>
          <w:sz w:val="46"/>
        </w:rPr>
        <w:t>ADMINISTRATION</w:t>
      </w:r>
    </w:p>
    <w:p>
      <w:pPr>
        <w:pStyle w:val="Title"/>
        <w:spacing w:line="180" w:lineRule="auto"/>
        <w:rPr>
          <w:b w:val="0"/>
        </w:rPr>
      </w:pPr>
      <w:r>
        <w:rPr>
          <w:b w:val="0"/>
          <w:color w:val="FFFFFF"/>
        </w:rPr>
        <w:t>Annual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Academic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w w:val="95"/>
        </w:rPr>
        <w:t>Governance</w:t>
      </w:r>
      <w:r>
        <w:rPr>
          <w:b w:val="0"/>
          <w:color w:val="FFFFFF"/>
          <w:spacing w:val="1"/>
          <w:w w:val="95"/>
        </w:rPr>
        <w:t> </w:t>
      </w:r>
      <w:r>
        <w:rPr>
          <w:b w:val="0"/>
          <w:color w:val="FFFFFF"/>
        </w:rPr>
        <w:t>Report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3"/>
        <w:rPr>
          <w:rFonts w:ascii="Domus Semibold"/>
          <w:b w:val="0"/>
          <w:sz w:val="15"/>
        </w:rPr>
      </w:pPr>
    </w:p>
    <w:p>
      <w:pPr>
        <w:spacing w:after="0"/>
        <w:rPr>
          <w:rFonts w:ascii="Domus Semibold"/>
          <w:sz w:val="15"/>
        </w:rPr>
        <w:sectPr>
          <w:type w:val="continuous"/>
          <w:pgSz w:w="11910" w:h="16840"/>
          <w:pgMar w:top="1580" w:bottom="280" w:left="460" w:right="0"/>
        </w:sectPr>
      </w:pPr>
    </w:p>
    <w:p>
      <w:pPr>
        <w:spacing w:line="177" w:lineRule="auto" w:before="151"/>
        <w:ind w:left="242" w:right="31" w:firstLine="0"/>
        <w:jc w:val="left"/>
        <w:rPr>
          <w:rFonts w:ascii="Domus Semibold"/>
          <w:b w:val="0"/>
          <w:sz w:val="37"/>
        </w:rPr>
      </w:pPr>
      <w:r>
        <w:rPr/>
        <w:pict>
          <v:group style="position:absolute;margin-left:0pt;margin-top:.000015pt;width:595.3pt;height:841.9pt;mso-position-horizontal-relative:page;mso-position-vertical-relative:page;z-index:-19481600" id="docshapegroup1" coordorigin="0,0" coordsize="11906,16838">
            <v:shape style="position:absolute;left:0;top:0;width:11906;height:16838" type="#_x0000_t75" id="docshape2" stroked="false">
              <v:imagedata r:id="rId5" o:title=""/>
            </v:shape>
            <v:shape style="position:absolute;left:720;top:727;width:3156;height:483" id="docshape3" coordorigin="720,728" coordsize="3156,483" path="m1133,1175l1129,1163,1126,1156,983,773,974,754,963,742,948,735,927,733,907,735,892,742,881,754,872,773,724,1163,720,1175,720,1183,722,1192,728,1199,739,1203,756,1205,773,1203,785,1198,794,1189,799,1177,925,829,1050,1177,1056,1189,1064,1198,1077,1203,1096,1205,1113,1203,1125,1199,1131,1192,1133,1183,1133,1175xm1696,764l1694,751,1687,741,1676,735,1659,733,1643,735,1631,741,1624,751,1621,764,1621,1092,1429,771,1419,756,1405,744,1386,736,1362,733,1339,735,1324,743,1314,756,1311,775,1311,1173,1313,1187,1320,1197,1332,1203,1348,1205,1364,1203,1376,1197,1383,1187,1385,1173,1385,838,1587,1165,1598,1182,1611,1194,1628,1202,1650,1205,1670,1202,1684,1194,1693,1181,1696,1163,1696,764xm2208,1166l2206,1151,2200,1140,2190,1134,2176,1132,1973,1132,2182,820,2190,807,2197,795,2201,782,2203,768,2200,754,2194,744,2182,738,2166,736,1912,736,1899,738,1889,745,1883,756,1881,771,1883,786,1889,797,1899,804,1912,806,2107,806,1898,1118,1890,1130,1883,1143,1879,1155,1877,1169,1880,1183,1886,1193,1898,1199,1914,1201,2176,1201,2190,1199,2200,1193,2206,1182,2208,1166xm2698,1072l2682,1009,2640,967,2586,938,2532,914,2490,888,2474,853,2479,830,2494,813,2518,801,2550,796,2571,798,2590,803,2608,810,2627,819,2641,827,2648,831,2655,831,2668,828,2679,818,2686,805,2688,792,2687,783,2682,775,2674,767,2663,759,2636,745,2607,735,2579,730,2550,728,2488,738,2439,764,2407,804,2396,857,2412,917,2454,957,2508,985,2562,1010,2604,1037,2620,1077,2614,1103,2597,1124,2570,1137,2537,1141,2513,1139,2491,1133,2472,1124,2453,1113,2439,1103,2432,1098,2423,1098,2410,1102,2399,1111,2392,1124,2389,1138,2390,1147,2395,1156,2403,1164,2414,1173,2438,1188,2467,1199,2500,1206,2536,1209,2600,1200,2652,1173,2686,1130,2698,1072xm3319,969l3309,887,3279,820,3256,796,3239,777,3239,969,3228,1041,3199,1096,3153,1130,3093,1142,3034,1130,2988,1096,2959,1041,2948,969,2959,896,2988,842,3034,808,3093,796,3153,808,3199,842,3228,896,3239,969,3239,777,3232,770,3169,739,3093,728,3017,739,2955,770,2908,820,2878,887,2867,969,2878,1050,2908,1117,2955,1167,3017,1199,3093,1210,3169,1199,3232,1167,3256,1142,3279,1117,3309,1050,3319,969xm3876,1000l3874,982,3866,970,3854,963,3836,960,3731,960,3717,962,3707,969,3701,980,3699,995,3701,1011,3707,1022,3717,1028,3731,1030,3799,1030,3799,1127,3783,1132,3764,1136,3744,1139,3724,1140,3661,1128,3612,1095,3581,1040,3570,967,3580,895,3611,842,3658,810,3719,799,3742,800,3764,804,3784,811,3803,820,3819,829,3827,836,3837,836,3850,833,3861,824,3869,812,3872,799,3870,789,3863,780,3853,770,3838,760,3811,747,3783,737,3751,732,3719,730,3644,740,3580,770,3531,819,3500,885,3489,969,3500,1053,3532,1119,3581,1168,3646,1198,3721,1208,3755,1206,3787,1202,3815,1195,3839,1186,3857,1177,3868,1166,3874,1153,3876,1137,3876,100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Domus Semibold"/>
          <w:b w:val="0"/>
          <w:color w:val="FFFFFF"/>
          <w:spacing w:val="-6"/>
          <w:sz w:val="37"/>
        </w:rPr>
        <w:t>Australia </w:t>
      </w:r>
      <w:r>
        <w:rPr>
          <w:rFonts w:ascii="Domus Semibold"/>
          <w:b w:val="0"/>
          <w:color w:val="FFFFFF"/>
          <w:spacing w:val="-5"/>
          <w:sz w:val="37"/>
        </w:rPr>
        <w:t>&amp;</w:t>
      </w:r>
      <w:r>
        <w:rPr>
          <w:rFonts w:ascii="Domus Semibold"/>
          <w:b w:val="0"/>
          <w:color w:val="FFFFFF"/>
          <w:spacing w:val="-4"/>
          <w:sz w:val="37"/>
        </w:rPr>
        <w:t> </w:t>
      </w:r>
      <w:r>
        <w:rPr>
          <w:rFonts w:ascii="Domus Semibold"/>
          <w:b w:val="0"/>
          <w:color w:val="FFFFFF"/>
          <w:spacing w:val="-7"/>
          <w:sz w:val="37"/>
        </w:rPr>
        <w:t>New Zealand</w:t>
      </w:r>
      <w:r>
        <w:rPr>
          <w:rFonts w:ascii="Domus Semibold"/>
          <w:b w:val="0"/>
          <w:color w:val="FFFFFF"/>
          <w:spacing w:val="-72"/>
          <w:sz w:val="37"/>
        </w:rPr>
        <w:t> </w:t>
      </w:r>
      <w:r>
        <w:rPr>
          <w:rFonts w:ascii="Domus Semibold"/>
          <w:b w:val="0"/>
          <w:color w:val="FFFFFF"/>
          <w:sz w:val="37"/>
        </w:rPr>
        <w:t>School of</w:t>
      </w:r>
      <w:r>
        <w:rPr>
          <w:rFonts w:ascii="Domus Semibold"/>
          <w:b w:val="0"/>
          <w:color w:val="FFFFFF"/>
          <w:spacing w:val="1"/>
          <w:sz w:val="37"/>
        </w:rPr>
        <w:t> </w:t>
      </w:r>
      <w:r>
        <w:rPr>
          <w:rFonts w:ascii="Domus Semibold"/>
          <w:b w:val="0"/>
          <w:color w:val="FFFFFF"/>
          <w:spacing w:val="-5"/>
          <w:sz w:val="37"/>
        </w:rPr>
        <w:t>Government</w:t>
      </w:r>
    </w:p>
    <w:p>
      <w:pPr>
        <w:spacing w:before="51"/>
        <w:ind w:left="242" w:right="0" w:firstLine="0"/>
        <w:jc w:val="left"/>
        <w:rPr>
          <w:rFonts w:ascii="Domus Semibold"/>
          <w:b w:val="0"/>
          <w:sz w:val="37"/>
        </w:rPr>
      </w:pPr>
      <w:r>
        <w:rPr/>
        <w:br w:type="column"/>
      </w:r>
      <w:r>
        <w:rPr>
          <w:rFonts w:ascii="Domus Semibold"/>
          <w:b w:val="0"/>
          <w:color w:val="FFFFFF"/>
          <w:sz w:val="37"/>
        </w:rPr>
        <w:t>May</w:t>
      </w:r>
      <w:r>
        <w:rPr>
          <w:rFonts w:ascii="Domus Semibold"/>
          <w:b w:val="0"/>
          <w:color w:val="FFFFFF"/>
          <w:spacing w:val="-9"/>
          <w:sz w:val="37"/>
        </w:rPr>
        <w:t> </w:t>
      </w:r>
      <w:r>
        <w:rPr>
          <w:rFonts w:ascii="Domus Semibold"/>
          <w:b w:val="0"/>
          <w:color w:val="FFFFFF"/>
          <w:sz w:val="37"/>
        </w:rPr>
        <w:t>2021</w:t>
      </w:r>
    </w:p>
    <w:p>
      <w:pPr>
        <w:spacing w:after="0"/>
        <w:jc w:val="left"/>
        <w:rPr>
          <w:rFonts w:ascii="Domus Semibold"/>
          <w:sz w:val="37"/>
        </w:rPr>
        <w:sectPr>
          <w:type w:val="continuous"/>
          <w:pgSz w:w="11910" w:h="16840"/>
          <w:pgMar w:top="1580" w:bottom="280" w:left="460" w:right="0"/>
          <w:cols w:num="2" w:equalWidth="0">
            <w:col w:w="2166" w:space="652"/>
            <w:col w:w="8632"/>
          </w:cols>
        </w:sectPr>
      </w:pPr>
    </w:p>
    <w:p>
      <w:pPr>
        <w:spacing w:before="18"/>
        <w:ind w:left="673" w:right="0" w:firstLine="0"/>
        <w:jc w:val="left"/>
        <w:rPr>
          <w:rFonts w:ascii="Domus Semibold"/>
          <w:b w:val="0"/>
          <w:sz w:val="54"/>
        </w:rPr>
      </w:pPr>
      <w:bookmarkStart w:name="CONTENTS" w:id="1"/>
      <w:bookmarkEnd w:id="1"/>
      <w:r>
        <w:rPr/>
      </w:r>
      <w:r>
        <w:rPr>
          <w:rFonts w:ascii="Domus Semibold"/>
          <w:b w:val="0"/>
          <w:color w:val="231F20"/>
          <w:sz w:val="54"/>
        </w:rPr>
        <w:t>CONTENTS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2"/>
        <w:rPr>
          <w:rFonts w:ascii="Domus Semibold"/>
          <w:b w:val="0"/>
          <w:sz w:val="27"/>
        </w:rPr>
      </w:pPr>
    </w:p>
    <w:p>
      <w:pPr>
        <w:pStyle w:val="BodyText"/>
        <w:spacing w:before="97"/>
        <w:ind w:left="3661" w:right="5768"/>
        <w:jc w:val="center"/>
        <w:rPr>
          <w:rFonts w:ascii="Apercu Medium"/>
          <w:b w:val="0"/>
        </w:rPr>
      </w:pPr>
      <w:r>
        <w:rPr>
          <w:rFonts w:ascii="Apercu Medium"/>
          <w:b w:val="0"/>
          <w:color w:val="231F20"/>
        </w:rPr>
        <w:t>PAGE</w:t>
      </w:r>
    </w:p>
    <w:p>
      <w:pPr>
        <w:tabs>
          <w:tab w:pos="4893" w:val="right" w:leader="none"/>
        </w:tabs>
        <w:spacing w:before="63"/>
        <w:ind w:left="673" w:right="0" w:firstLine="0"/>
        <w:jc w:val="left"/>
        <w:rPr>
          <w:rFonts w:ascii="Apercu Medium"/>
          <w:b w:val="0"/>
          <w:sz w:val="22"/>
        </w:rPr>
      </w:pPr>
      <w:hyperlink w:history="true" w:anchor="_TOC_250036">
        <w:r>
          <w:rPr>
            <w:rFonts w:ascii="Apercu Medium"/>
            <w:b w:val="0"/>
            <w:color w:val="231F20"/>
            <w:sz w:val="22"/>
          </w:rPr>
          <w:t>Welcome</w:t>
        </w:r>
        <w:r>
          <w:rPr>
            <w:rFonts w:ascii="Apercu Medium"/>
            <w:b w:val="0"/>
            <w:color w:val="231F20"/>
            <w:spacing w:val="-4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and</w:t>
        </w:r>
        <w:r>
          <w:rPr>
            <w:rFonts w:ascii="Apercu Medium"/>
            <w:b w:val="0"/>
            <w:color w:val="231F20"/>
            <w:spacing w:val="-3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Acknowledgement</w:t>
          <w:tab/>
          <w:t>03</w:t>
        </w:r>
      </w:hyperlink>
    </w:p>
    <w:p>
      <w:pPr>
        <w:pStyle w:val="ListParagraph"/>
        <w:numPr>
          <w:ilvl w:val="0"/>
          <w:numId w:val="1"/>
        </w:numPr>
        <w:tabs>
          <w:tab w:pos="934" w:val="left" w:leader="none"/>
          <w:tab w:pos="4893" w:val="right" w:leader="none"/>
        </w:tabs>
        <w:spacing w:line="240" w:lineRule="auto" w:before="54" w:after="0"/>
        <w:ind w:left="933" w:right="0" w:hanging="261"/>
        <w:jc w:val="left"/>
        <w:rPr>
          <w:rFonts w:ascii="Apercu Medium"/>
          <w:b w:val="0"/>
          <w:sz w:val="22"/>
        </w:rPr>
      </w:pPr>
      <w:hyperlink w:history="true" w:anchor="_TOC_250035">
        <w:r>
          <w:rPr>
            <w:rFonts w:ascii="Apercu Medium"/>
            <w:b w:val="0"/>
            <w:color w:val="231F20"/>
            <w:sz w:val="22"/>
          </w:rPr>
          <w:t>Opening</w:t>
        </w:r>
        <w:r>
          <w:rPr>
            <w:rFonts w:ascii="Apercu Medium"/>
            <w:b w:val="0"/>
            <w:color w:val="231F20"/>
            <w:spacing w:val="-2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Statements</w:t>
          <w:tab/>
          <w:t>04</w:t>
        </w:r>
      </w:hyperlink>
    </w:p>
    <w:p>
      <w:pPr>
        <w:pStyle w:val="ListParagraph"/>
        <w:numPr>
          <w:ilvl w:val="0"/>
          <w:numId w:val="1"/>
        </w:numPr>
        <w:tabs>
          <w:tab w:pos="934" w:val="left" w:leader="none"/>
          <w:tab w:pos="4893" w:val="right" w:leader="none"/>
        </w:tabs>
        <w:spacing w:line="240" w:lineRule="auto" w:before="54" w:after="0"/>
        <w:ind w:left="933" w:right="0" w:hanging="261"/>
        <w:jc w:val="left"/>
        <w:rPr>
          <w:rFonts w:ascii="Apercu Medium"/>
          <w:b w:val="0"/>
          <w:sz w:val="22"/>
        </w:rPr>
      </w:pPr>
      <w:hyperlink w:history="true" w:anchor="_TOC_250034">
        <w:r>
          <w:rPr>
            <w:rFonts w:ascii="Apercu Medium"/>
            <w:b w:val="0"/>
            <w:color w:val="231F20"/>
            <w:sz w:val="22"/>
          </w:rPr>
          <w:t>Executive</w:t>
        </w:r>
        <w:r>
          <w:rPr>
            <w:rFonts w:ascii="Apercu Medium"/>
            <w:b w:val="0"/>
            <w:color w:val="231F20"/>
            <w:spacing w:val="-2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Summary</w:t>
          <w:tab/>
          <w:t>08</w:t>
        </w:r>
      </w:hyperlink>
    </w:p>
    <w:p>
      <w:pPr>
        <w:pStyle w:val="ListParagraph"/>
        <w:numPr>
          <w:ilvl w:val="0"/>
          <w:numId w:val="1"/>
        </w:numPr>
        <w:tabs>
          <w:tab w:pos="934" w:val="left" w:leader="none"/>
          <w:tab w:pos="4893" w:val="right" w:leader="none"/>
        </w:tabs>
        <w:spacing w:line="240" w:lineRule="auto" w:before="54" w:after="0"/>
        <w:ind w:left="933" w:right="0" w:hanging="261"/>
        <w:jc w:val="left"/>
        <w:rPr>
          <w:rFonts w:ascii="Apercu Medium"/>
          <w:b w:val="0"/>
          <w:sz w:val="22"/>
        </w:rPr>
      </w:pPr>
      <w:hyperlink w:history="true" w:anchor="_TOC_250033">
        <w:r>
          <w:rPr>
            <w:rFonts w:ascii="Apercu Medium"/>
            <w:b w:val="0"/>
            <w:color w:val="231F20"/>
            <w:sz w:val="22"/>
          </w:rPr>
          <w:t>2020</w:t>
        </w:r>
        <w:r>
          <w:rPr>
            <w:rFonts w:ascii="Apercu Medium"/>
            <w:b w:val="0"/>
            <w:color w:val="231F20"/>
            <w:spacing w:val="-3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Activities</w:t>
        </w:r>
        <w:r>
          <w:rPr>
            <w:rFonts w:ascii="Apercu Medium"/>
            <w:b w:val="0"/>
            <w:color w:val="231F20"/>
            <w:spacing w:val="-3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and</w:t>
        </w:r>
        <w:r>
          <w:rPr>
            <w:rFonts w:ascii="Apercu Medium"/>
            <w:b w:val="0"/>
            <w:color w:val="231F20"/>
            <w:spacing w:val="-2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Outcomes</w:t>
          <w:tab/>
          <w:t>09</w:t>
        </w:r>
      </w:hyperlink>
    </w:p>
    <w:p>
      <w:pPr>
        <w:pStyle w:val="ListParagraph"/>
        <w:numPr>
          <w:ilvl w:val="0"/>
          <w:numId w:val="1"/>
        </w:numPr>
        <w:tabs>
          <w:tab w:pos="934" w:val="left" w:leader="none"/>
          <w:tab w:pos="4893" w:val="right" w:leader="none"/>
        </w:tabs>
        <w:spacing w:line="240" w:lineRule="auto" w:before="54" w:after="0"/>
        <w:ind w:left="933" w:right="0" w:hanging="261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color w:val="231F20"/>
          <w:sz w:val="22"/>
        </w:rPr>
        <w:t>EMPA</w:t>
      </w:r>
      <w:r>
        <w:rPr>
          <w:rFonts w:ascii="Apercu Medium"/>
          <w:b w:val="0"/>
          <w:color w:val="231F20"/>
          <w:spacing w:val="-8"/>
          <w:sz w:val="22"/>
        </w:rPr>
        <w:t> </w:t>
      </w:r>
      <w:r>
        <w:rPr>
          <w:rFonts w:ascii="Apercu Medium"/>
          <w:b w:val="0"/>
          <w:color w:val="231F20"/>
          <w:sz w:val="22"/>
        </w:rPr>
        <w:t>Program</w:t>
      </w:r>
      <w:r>
        <w:rPr>
          <w:rFonts w:ascii="Apercu Medium"/>
          <w:b w:val="0"/>
          <w:color w:val="231F20"/>
          <w:spacing w:val="-8"/>
          <w:sz w:val="22"/>
        </w:rPr>
        <w:t> </w:t>
      </w:r>
      <w:r>
        <w:rPr>
          <w:rFonts w:ascii="Apercu Medium"/>
          <w:b w:val="0"/>
          <w:color w:val="231F20"/>
          <w:sz w:val="22"/>
        </w:rPr>
        <w:t>Design</w:t>
      </w:r>
      <w:r>
        <w:rPr>
          <w:rFonts w:ascii="Apercu Medium"/>
          <w:b w:val="0"/>
          <w:color w:val="231F20"/>
          <w:spacing w:val="-7"/>
          <w:sz w:val="22"/>
        </w:rPr>
        <w:t> </w:t>
      </w:r>
      <w:r>
        <w:rPr>
          <w:rFonts w:ascii="Apercu Medium"/>
          <w:b w:val="0"/>
          <w:color w:val="231F20"/>
          <w:sz w:val="22"/>
        </w:rPr>
        <w:t>&amp;</w:t>
      </w:r>
      <w:r>
        <w:rPr>
          <w:rFonts w:ascii="Apercu Medium"/>
          <w:b w:val="0"/>
          <w:color w:val="231F20"/>
          <w:spacing w:val="-8"/>
          <w:sz w:val="22"/>
        </w:rPr>
        <w:t> </w:t>
      </w:r>
      <w:r>
        <w:rPr>
          <w:rFonts w:ascii="Apercu Medium"/>
          <w:b w:val="0"/>
          <w:color w:val="231F20"/>
          <w:sz w:val="22"/>
        </w:rPr>
        <w:t>Leadership</w:t>
        <w:tab/>
        <w:t>18</w:t>
      </w:r>
    </w:p>
    <w:p>
      <w:pPr>
        <w:pStyle w:val="ListParagraph"/>
        <w:numPr>
          <w:ilvl w:val="0"/>
          <w:numId w:val="1"/>
        </w:numPr>
        <w:tabs>
          <w:tab w:pos="934" w:val="left" w:leader="none"/>
          <w:tab w:pos="4893" w:val="right" w:leader="none"/>
        </w:tabs>
        <w:spacing w:line="240" w:lineRule="auto" w:before="53" w:after="0"/>
        <w:ind w:left="933" w:right="0" w:hanging="261"/>
        <w:jc w:val="left"/>
        <w:rPr>
          <w:rFonts w:ascii="Apercu Medium"/>
          <w:b w:val="0"/>
          <w:sz w:val="22"/>
        </w:rPr>
      </w:pPr>
      <w:hyperlink w:history="true" w:anchor="_TOC_250032">
        <w:r>
          <w:rPr>
            <w:rFonts w:ascii="Apercu Medium"/>
            <w:b w:val="0"/>
            <w:color w:val="231F20"/>
            <w:sz w:val="22"/>
          </w:rPr>
          <w:t>2020</w:t>
        </w:r>
        <w:r>
          <w:rPr>
            <w:rFonts w:ascii="Apercu Medium"/>
            <w:b w:val="0"/>
            <w:color w:val="231F20"/>
            <w:spacing w:val="-4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Student</w:t>
        </w:r>
        <w:r>
          <w:rPr>
            <w:rFonts w:ascii="Apercu Medium"/>
            <w:b w:val="0"/>
            <w:color w:val="231F20"/>
            <w:spacing w:val="-3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Cohort</w:t>
        </w:r>
        <w:r>
          <w:rPr>
            <w:rFonts w:ascii="Apercu Medium"/>
            <w:b w:val="0"/>
            <w:color w:val="231F20"/>
            <w:spacing w:val="-3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and</w:t>
        </w:r>
        <w:r>
          <w:rPr>
            <w:rFonts w:ascii="Apercu Medium"/>
            <w:b w:val="0"/>
            <w:color w:val="231F20"/>
            <w:spacing w:val="-3"/>
            <w:sz w:val="22"/>
          </w:rPr>
          <w:t> </w:t>
        </w:r>
        <w:r>
          <w:rPr>
            <w:rFonts w:ascii="Apercu Medium"/>
            <w:b w:val="0"/>
            <w:color w:val="231F20"/>
            <w:sz w:val="22"/>
          </w:rPr>
          <w:t>Success</w:t>
          <w:tab/>
          <w:t>48</w:t>
        </w:r>
      </w:hyperlink>
    </w:p>
    <w:p>
      <w:pPr>
        <w:pStyle w:val="ListParagraph"/>
        <w:numPr>
          <w:ilvl w:val="0"/>
          <w:numId w:val="1"/>
        </w:numPr>
        <w:tabs>
          <w:tab w:pos="934" w:val="left" w:leader="none"/>
          <w:tab w:pos="4893" w:val="right" w:leader="none"/>
        </w:tabs>
        <w:spacing w:line="240" w:lineRule="auto" w:before="54" w:after="0"/>
        <w:ind w:left="933" w:right="0" w:hanging="261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color w:val="231F20"/>
          <w:sz w:val="22"/>
        </w:rPr>
        <w:t>Governance</w:t>
      </w:r>
      <w:r>
        <w:rPr>
          <w:rFonts w:ascii="Apercu Medium"/>
          <w:b w:val="0"/>
          <w:color w:val="231F20"/>
          <w:spacing w:val="-4"/>
          <w:sz w:val="22"/>
        </w:rPr>
        <w:t> </w:t>
      </w:r>
      <w:r>
        <w:rPr>
          <w:rFonts w:ascii="Apercu Medium"/>
          <w:b w:val="0"/>
          <w:color w:val="231F20"/>
          <w:sz w:val="22"/>
        </w:rPr>
        <w:t>&amp;</w:t>
      </w:r>
      <w:r>
        <w:rPr>
          <w:rFonts w:ascii="Apercu Medium"/>
          <w:b w:val="0"/>
          <w:color w:val="231F20"/>
          <w:spacing w:val="-3"/>
          <w:sz w:val="22"/>
        </w:rPr>
        <w:t> </w:t>
      </w:r>
      <w:r>
        <w:rPr>
          <w:rFonts w:ascii="Apercu Medium"/>
          <w:b w:val="0"/>
          <w:color w:val="231F20"/>
          <w:sz w:val="22"/>
        </w:rPr>
        <w:t>Quality</w:t>
      </w:r>
      <w:r>
        <w:rPr>
          <w:rFonts w:ascii="Apercu Medium"/>
          <w:b w:val="0"/>
          <w:color w:val="231F20"/>
          <w:spacing w:val="-4"/>
          <w:sz w:val="22"/>
        </w:rPr>
        <w:t> </w:t>
      </w:r>
      <w:r>
        <w:rPr>
          <w:rFonts w:ascii="Apercu Medium"/>
          <w:b w:val="0"/>
          <w:color w:val="231F20"/>
          <w:sz w:val="22"/>
        </w:rPr>
        <w:t>Assurance</w:t>
        <w:tab/>
        <w:t>52</w:t>
      </w:r>
    </w:p>
    <w:p>
      <w:pPr>
        <w:pStyle w:val="ListParagraph"/>
        <w:numPr>
          <w:ilvl w:val="0"/>
          <w:numId w:val="1"/>
        </w:numPr>
        <w:tabs>
          <w:tab w:pos="934" w:val="left" w:leader="none"/>
          <w:tab w:pos="4893" w:val="right" w:leader="none"/>
        </w:tabs>
        <w:spacing w:line="240" w:lineRule="auto" w:before="54" w:after="0"/>
        <w:ind w:left="933" w:right="0" w:hanging="261"/>
        <w:jc w:val="left"/>
        <w:rPr>
          <w:rFonts w:ascii="Apercu Medium"/>
          <w:b w:val="0"/>
          <w:sz w:val="22"/>
        </w:rPr>
      </w:pPr>
      <w:hyperlink w:history="true" w:anchor="_TOC_250031">
        <w:r>
          <w:rPr>
            <w:rFonts w:ascii="Apercu Medium"/>
            <w:b w:val="0"/>
            <w:color w:val="231F20"/>
            <w:sz w:val="22"/>
          </w:rPr>
          <w:t>Appendices</w:t>
          <w:tab/>
          <w:t>62</w:t>
        </w:r>
      </w:hyperlink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spacing w:before="6"/>
        <w:rPr>
          <w:rFonts w:ascii="Apercu Medium"/>
          <w:b w:val="0"/>
        </w:rPr>
      </w:pPr>
    </w:p>
    <w:p>
      <w:pPr>
        <w:spacing w:line="199" w:lineRule="exact" w:before="0"/>
        <w:ind w:left="654" w:right="0" w:firstLine="0"/>
        <w:jc w:val="left"/>
        <w:rPr>
          <w:b w:val="0"/>
          <w:sz w:val="15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2123998</wp:posOffset>
            </wp:positionH>
            <wp:positionV relativeFrom="paragraph">
              <wp:posOffset>-4466382</wp:posOffset>
            </wp:positionV>
            <wp:extent cx="5435993" cy="3672001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993" cy="367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  <w:sz w:val="15"/>
        </w:rPr>
        <w:t>Front</w:t>
      </w:r>
      <w:r>
        <w:rPr>
          <w:b w:val="0"/>
          <w:color w:val="231F20"/>
          <w:spacing w:val="-4"/>
          <w:sz w:val="15"/>
        </w:rPr>
        <w:t> </w:t>
      </w:r>
      <w:r>
        <w:rPr>
          <w:b w:val="0"/>
          <w:color w:val="231F20"/>
          <w:sz w:val="15"/>
        </w:rPr>
        <w:t>cover:</w:t>
      </w:r>
      <w:r>
        <w:rPr>
          <w:b w:val="0"/>
          <w:color w:val="231F20"/>
          <w:spacing w:val="-3"/>
          <w:sz w:val="15"/>
        </w:rPr>
        <w:t> </w:t>
      </w:r>
      <w:r>
        <w:rPr>
          <w:b w:val="0"/>
          <w:color w:val="231F20"/>
          <w:sz w:val="15"/>
        </w:rPr>
        <w:t>Dr</w:t>
      </w:r>
      <w:r>
        <w:rPr>
          <w:b w:val="0"/>
          <w:color w:val="231F20"/>
          <w:spacing w:val="-4"/>
          <w:sz w:val="15"/>
        </w:rPr>
        <w:t> </w:t>
      </w:r>
      <w:r>
        <w:rPr>
          <w:b w:val="0"/>
          <w:color w:val="231F20"/>
          <w:sz w:val="15"/>
        </w:rPr>
        <w:t>Bridie</w:t>
      </w:r>
      <w:r>
        <w:rPr>
          <w:b w:val="0"/>
          <w:color w:val="231F20"/>
          <w:spacing w:val="-3"/>
          <w:sz w:val="15"/>
        </w:rPr>
        <w:t> </w:t>
      </w:r>
      <w:r>
        <w:rPr>
          <w:b w:val="0"/>
          <w:color w:val="231F20"/>
          <w:sz w:val="15"/>
        </w:rPr>
        <w:t>O’Donnell</w:t>
      </w:r>
    </w:p>
    <w:p>
      <w:pPr>
        <w:spacing w:line="199" w:lineRule="exact" w:before="0"/>
        <w:ind w:left="654" w:right="0" w:firstLine="0"/>
        <w:jc w:val="left"/>
        <w:rPr>
          <w:b w:val="0"/>
          <w:sz w:val="15"/>
        </w:rPr>
      </w:pPr>
      <w:r>
        <w:rPr>
          <w:b w:val="0"/>
          <w:color w:val="231F20"/>
          <w:sz w:val="15"/>
        </w:rPr>
        <w:t>–</w:t>
      </w:r>
      <w:r>
        <w:rPr>
          <w:b w:val="0"/>
          <w:color w:val="231F20"/>
          <w:spacing w:val="31"/>
          <w:sz w:val="15"/>
        </w:rPr>
        <w:t> </w:t>
      </w:r>
      <w:r>
        <w:rPr>
          <w:b w:val="0"/>
          <w:color w:val="231F20"/>
          <w:sz w:val="15"/>
        </w:rPr>
        <w:t>ANZSOG</w:t>
      </w:r>
      <w:r>
        <w:rPr>
          <w:b w:val="0"/>
          <w:color w:val="231F20"/>
          <w:spacing w:val="-4"/>
          <w:sz w:val="15"/>
        </w:rPr>
        <w:t> </w:t>
      </w:r>
      <w:r>
        <w:rPr>
          <w:b w:val="0"/>
          <w:color w:val="231F20"/>
          <w:sz w:val="15"/>
        </w:rPr>
        <w:t>EMPA</w:t>
      </w:r>
      <w:r>
        <w:rPr>
          <w:b w:val="0"/>
          <w:color w:val="231F20"/>
          <w:spacing w:val="-3"/>
          <w:sz w:val="15"/>
        </w:rPr>
        <w:t> </w:t>
      </w:r>
      <w:r>
        <w:rPr>
          <w:b w:val="0"/>
          <w:color w:val="231F20"/>
          <w:sz w:val="15"/>
        </w:rPr>
        <w:t>alum</w:t>
      </w:r>
    </w:p>
    <w:p>
      <w:pPr>
        <w:spacing w:after="0" w:line="199" w:lineRule="exact"/>
        <w:jc w:val="left"/>
        <w:rPr>
          <w:sz w:val="15"/>
        </w:rPr>
        <w:sectPr>
          <w:footerReference w:type="default" r:id="rId6"/>
          <w:pgSz w:w="11910" w:h="16840"/>
          <w:pgMar w:footer="555" w:header="0" w:top="920" w:bottom="740" w:left="460" w:right="0"/>
        </w:sectPr>
      </w:pPr>
    </w:p>
    <w:p>
      <w:pPr>
        <w:pStyle w:val="Heading1"/>
        <w:rPr>
          <w:b w:val="0"/>
        </w:rPr>
      </w:pPr>
      <w:bookmarkStart w:name="_TOC_250036" w:id="2"/>
      <w:bookmarkStart w:name="Welcome and Acknowledgement" w:id="3"/>
      <w:r>
        <w:rPr/>
      </w:r>
      <w:r>
        <w:rPr>
          <w:b w:val="0"/>
          <w:color w:val="243B7D"/>
          <w:spacing w:val="-7"/>
        </w:rPr>
        <w:t>Welcome</w:t>
      </w:r>
      <w:r>
        <w:rPr>
          <w:b w:val="0"/>
          <w:color w:val="243B7D"/>
          <w:spacing w:val="-21"/>
        </w:rPr>
        <w:t> </w:t>
      </w:r>
      <w:r>
        <w:rPr>
          <w:b w:val="0"/>
          <w:color w:val="243B7D"/>
          <w:spacing w:val="-7"/>
        </w:rPr>
        <w:t>and</w:t>
      </w:r>
      <w:r>
        <w:rPr>
          <w:b w:val="0"/>
          <w:color w:val="243B7D"/>
          <w:spacing w:val="-20"/>
        </w:rPr>
        <w:t> </w:t>
      </w:r>
      <w:bookmarkEnd w:id="2"/>
      <w:r>
        <w:rPr>
          <w:b w:val="0"/>
          <w:color w:val="243B7D"/>
          <w:spacing w:val="-6"/>
        </w:rPr>
        <w:t>Acknowledgement</w:t>
      </w:r>
    </w:p>
    <w:p>
      <w:pPr>
        <w:pStyle w:val="BodyText"/>
        <w:spacing w:before="1"/>
        <w:rPr>
          <w:rFonts w:ascii="Domus Semibold"/>
          <w:b w:val="0"/>
          <w:sz w:val="72"/>
        </w:rPr>
      </w:pPr>
    </w:p>
    <w:p>
      <w:pPr>
        <w:spacing w:before="0"/>
        <w:ind w:left="673" w:right="0" w:firstLine="0"/>
        <w:jc w:val="left"/>
        <w:rPr>
          <w:b w:val="0"/>
          <w:i/>
          <w:sz w:val="19"/>
        </w:rPr>
      </w:pPr>
      <w:r>
        <w:rPr>
          <w:b w:val="0"/>
          <w:i/>
          <w:color w:val="231F20"/>
          <w:w w:val="95"/>
          <w:sz w:val="19"/>
        </w:rPr>
        <w:t>Teena Koutou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Katoa,</w:t>
      </w:r>
    </w:p>
    <w:p>
      <w:pPr>
        <w:spacing w:line="192" w:lineRule="auto" w:before="215"/>
        <w:ind w:left="673" w:right="4326" w:firstLine="0"/>
        <w:jc w:val="left"/>
        <w:rPr>
          <w:b w:val="0"/>
          <w:i/>
          <w:sz w:val="19"/>
        </w:rPr>
      </w:pPr>
      <w:r>
        <w:rPr>
          <w:b w:val="0"/>
          <w:i/>
          <w:color w:val="231F20"/>
          <w:spacing w:val="-2"/>
          <w:sz w:val="19"/>
        </w:rPr>
        <w:t>Tuatahi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2"/>
          <w:sz w:val="19"/>
        </w:rPr>
        <w:t>he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2"/>
          <w:sz w:val="19"/>
        </w:rPr>
        <w:t>mihi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2"/>
          <w:sz w:val="19"/>
        </w:rPr>
        <w:t>atu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2"/>
          <w:sz w:val="19"/>
        </w:rPr>
        <w:t>ki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2"/>
          <w:sz w:val="19"/>
        </w:rPr>
        <w:t>a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raatou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maa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kua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wehe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atu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ki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te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poo.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Moe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mai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raa</w:t>
      </w:r>
      <w:r>
        <w:rPr>
          <w:b w:val="0"/>
          <w:i/>
          <w:color w:val="231F20"/>
          <w:spacing w:val="-9"/>
          <w:sz w:val="19"/>
        </w:rPr>
        <w:t> </w:t>
      </w:r>
      <w:r>
        <w:rPr>
          <w:b w:val="0"/>
          <w:i/>
          <w:color w:val="231F20"/>
          <w:spacing w:val="-1"/>
          <w:sz w:val="19"/>
        </w:rPr>
        <w:t>koutou.</w:t>
      </w:r>
      <w:r>
        <w:rPr>
          <w:b w:val="0"/>
          <w:i/>
          <w:color w:val="231F20"/>
          <w:spacing w:val="-45"/>
          <w:sz w:val="19"/>
        </w:rPr>
        <w:t> </w:t>
      </w:r>
      <w:r>
        <w:rPr>
          <w:b w:val="0"/>
          <w:i/>
          <w:color w:val="231F20"/>
          <w:sz w:val="19"/>
        </w:rPr>
        <w:t>Tuarua</w:t>
      </w:r>
      <w:r>
        <w:rPr>
          <w:b w:val="0"/>
          <w:i/>
          <w:color w:val="231F20"/>
          <w:spacing w:val="-12"/>
          <w:sz w:val="19"/>
        </w:rPr>
        <w:t> </w:t>
      </w:r>
      <w:r>
        <w:rPr>
          <w:b w:val="0"/>
          <w:i/>
          <w:color w:val="231F20"/>
          <w:sz w:val="19"/>
        </w:rPr>
        <w:t>he</w:t>
      </w:r>
      <w:r>
        <w:rPr>
          <w:b w:val="0"/>
          <w:i/>
          <w:color w:val="231F20"/>
          <w:spacing w:val="-11"/>
          <w:sz w:val="19"/>
        </w:rPr>
        <w:t> </w:t>
      </w:r>
      <w:r>
        <w:rPr>
          <w:b w:val="0"/>
          <w:i/>
          <w:color w:val="231F20"/>
          <w:sz w:val="19"/>
        </w:rPr>
        <w:t>mihi</w:t>
      </w:r>
      <w:r>
        <w:rPr>
          <w:b w:val="0"/>
          <w:i/>
          <w:color w:val="231F20"/>
          <w:spacing w:val="-12"/>
          <w:sz w:val="19"/>
        </w:rPr>
        <w:t> </w:t>
      </w:r>
      <w:r>
        <w:rPr>
          <w:b w:val="0"/>
          <w:i/>
          <w:color w:val="231F20"/>
          <w:sz w:val="19"/>
        </w:rPr>
        <w:t>ki</w:t>
      </w:r>
      <w:r>
        <w:rPr>
          <w:b w:val="0"/>
          <w:i/>
          <w:color w:val="231F20"/>
          <w:spacing w:val="-11"/>
          <w:sz w:val="19"/>
        </w:rPr>
        <w:t> </w:t>
      </w:r>
      <w:r>
        <w:rPr>
          <w:b w:val="0"/>
          <w:i/>
          <w:color w:val="231F20"/>
          <w:sz w:val="19"/>
        </w:rPr>
        <w:t>te</w:t>
      </w:r>
      <w:r>
        <w:rPr>
          <w:b w:val="0"/>
          <w:i/>
          <w:color w:val="231F20"/>
          <w:spacing w:val="-11"/>
          <w:sz w:val="19"/>
        </w:rPr>
        <w:t> </w:t>
      </w:r>
      <w:r>
        <w:rPr>
          <w:b w:val="0"/>
          <w:i/>
          <w:color w:val="231F20"/>
          <w:sz w:val="19"/>
        </w:rPr>
        <w:t>Kingi</w:t>
      </w:r>
      <w:r>
        <w:rPr>
          <w:b w:val="0"/>
          <w:i/>
          <w:color w:val="231F20"/>
          <w:spacing w:val="-12"/>
          <w:sz w:val="19"/>
        </w:rPr>
        <w:t> </w:t>
      </w:r>
      <w:r>
        <w:rPr>
          <w:b w:val="0"/>
          <w:i/>
          <w:color w:val="231F20"/>
          <w:sz w:val="19"/>
        </w:rPr>
        <w:t>Tuheitia</w:t>
      </w:r>
      <w:r>
        <w:rPr>
          <w:b w:val="0"/>
          <w:i/>
          <w:color w:val="231F20"/>
          <w:spacing w:val="-11"/>
          <w:sz w:val="19"/>
        </w:rPr>
        <w:t> </w:t>
      </w:r>
      <w:r>
        <w:rPr>
          <w:b w:val="0"/>
          <w:i/>
          <w:color w:val="231F20"/>
          <w:sz w:val="19"/>
        </w:rPr>
        <w:t>me</w:t>
      </w:r>
      <w:r>
        <w:rPr>
          <w:b w:val="0"/>
          <w:i/>
          <w:color w:val="231F20"/>
          <w:spacing w:val="-12"/>
          <w:sz w:val="19"/>
        </w:rPr>
        <w:t> </w:t>
      </w:r>
      <w:r>
        <w:rPr>
          <w:b w:val="0"/>
          <w:i/>
          <w:color w:val="231F20"/>
          <w:sz w:val="19"/>
        </w:rPr>
        <w:t>te</w:t>
      </w:r>
      <w:r>
        <w:rPr>
          <w:b w:val="0"/>
          <w:i/>
          <w:color w:val="231F20"/>
          <w:spacing w:val="-11"/>
          <w:sz w:val="19"/>
        </w:rPr>
        <w:t> </w:t>
      </w:r>
      <w:r>
        <w:rPr>
          <w:b w:val="0"/>
          <w:i/>
          <w:color w:val="231F20"/>
          <w:sz w:val="19"/>
        </w:rPr>
        <w:t>kahui</w:t>
      </w:r>
      <w:r>
        <w:rPr>
          <w:b w:val="0"/>
          <w:i/>
          <w:color w:val="231F20"/>
          <w:spacing w:val="-11"/>
          <w:sz w:val="19"/>
        </w:rPr>
        <w:t> </w:t>
      </w:r>
      <w:r>
        <w:rPr>
          <w:b w:val="0"/>
          <w:i/>
          <w:color w:val="231F20"/>
          <w:sz w:val="19"/>
        </w:rPr>
        <w:t>ariki</w:t>
      </w:r>
      <w:r>
        <w:rPr>
          <w:b w:val="0"/>
          <w:i/>
          <w:color w:val="231F20"/>
          <w:spacing w:val="-12"/>
          <w:sz w:val="19"/>
        </w:rPr>
        <w:t> </w:t>
      </w:r>
      <w:r>
        <w:rPr>
          <w:b w:val="0"/>
          <w:i/>
          <w:color w:val="231F20"/>
          <w:sz w:val="19"/>
        </w:rPr>
        <w:t>hoki.</w:t>
      </w:r>
      <w:r>
        <w:rPr>
          <w:b w:val="0"/>
          <w:i/>
          <w:color w:val="231F20"/>
          <w:spacing w:val="-11"/>
          <w:sz w:val="19"/>
        </w:rPr>
        <w:t> </w:t>
      </w:r>
      <w:r>
        <w:rPr>
          <w:b w:val="0"/>
          <w:i/>
          <w:color w:val="231F20"/>
          <w:sz w:val="19"/>
        </w:rPr>
        <w:t>Pai</w:t>
      </w:r>
      <w:r>
        <w:rPr>
          <w:b w:val="0"/>
          <w:i/>
          <w:color w:val="231F20"/>
          <w:spacing w:val="-11"/>
          <w:sz w:val="19"/>
        </w:rPr>
        <w:t> </w:t>
      </w:r>
      <w:r>
        <w:rPr>
          <w:b w:val="0"/>
          <w:i/>
          <w:color w:val="231F20"/>
          <w:sz w:val="19"/>
        </w:rPr>
        <w:t>Marire</w:t>
      </w:r>
      <w:r>
        <w:rPr>
          <w:b w:val="0"/>
          <w:i/>
          <w:color w:val="231F20"/>
          <w:spacing w:val="-12"/>
          <w:sz w:val="19"/>
        </w:rPr>
        <w:t> </w:t>
      </w:r>
      <w:r>
        <w:rPr>
          <w:b w:val="0"/>
          <w:i/>
          <w:color w:val="231F20"/>
          <w:sz w:val="19"/>
        </w:rPr>
        <w:t>ki</w:t>
      </w:r>
      <w:r>
        <w:rPr>
          <w:b w:val="0"/>
          <w:i/>
          <w:color w:val="231F20"/>
          <w:spacing w:val="-11"/>
          <w:sz w:val="19"/>
        </w:rPr>
        <w:t> </w:t>
      </w:r>
      <w:r>
        <w:rPr>
          <w:b w:val="0"/>
          <w:i/>
          <w:color w:val="231F20"/>
          <w:sz w:val="19"/>
        </w:rPr>
        <w:t>a</w:t>
      </w:r>
      <w:r>
        <w:rPr>
          <w:b w:val="0"/>
          <w:i/>
          <w:color w:val="231F20"/>
          <w:spacing w:val="-12"/>
          <w:sz w:val="19"/>
        </w:rPr>
        <w:t> </w:t>
      </w:r>
      <w:r>
        <w:rPr>
          <w:b w:val="0"/>
          <w:i/>
          <w:color w:val="231F20"/>
          <w:sz w:val="19"/>
        </w:rPr>
        <w:t>raatou.</w:t>
      </w:r>
      <w:r>
        <w:rPr>
          <w:b w:val="0"/>
          <w:i/>
          <w:color w:val="231F20"/>
          <w:spacing w:val="1"/>
          <w:sz w:val="19"/>
        </w:rPr>
        <w:t> </w:t>
      </w:r>
      <w:r>
        <w:rPr>
          <w:b w:val="0"/>
          <w:i/>
          <w:color w:val="231F20"/>
          <w:w w:val="95"/>
          <w:sz w:val="19"/>
        </w:rPr>
        <w:t>Tae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noa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ki</w:t>
      </w:r>
      <w:r>
        <w:rPr>
          <w:b w:val="0"/>
          <w:i/>
          <w:color w:val="231F20"/>
          <w:spacing w:val="2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a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taatou</w:t>
      </w:r>
      <w:r>
        <w:rPr>
          <w:b w:val="0"/>
          <w:i/>
          <w:color w:val="231F20"/>
          <w:spacing w:val="2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te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hunga</w:t>
      </w:r>
      <w:r>
        <w:rPr>
          <w:b w:val="0"/>
          <w:i/>
          <w:color w:val="231F20"/>
          <w:spacing w:val="2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ora,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ngaa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iwi</w:t>
      </w:r>
      <w:r>
        <w:rPr>
          <w:b w:val="0"/>
          <w:i/>
          <w:color w:val="231F20"/>
          <w:spacing w:val="2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Taketake,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ngaa</w:t>
      </w:r>
      <w:r>
        <w:rPr>
          <w:b w:val="0"/>
          <w:i/>
          <w:color w:val="231F20"/>
          <w:spacing w:val="2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tāngata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Aboriginal</w:t>
      </w:r>
      <w:r>
        <w:rPr>
          <w:b w:val="0"/>
          <w:i/>
          <w:color w:val="231F20"/>
          <w:spacing w:val="2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me</w:t>
      </w:r>
      <w:r>
        <w:rPr>
          <w:b w:val="0"/>
          <w:i/>
          <w:color w:val="231F20"/>
          <w:spacing w:val="1"/>
          <w:w w:val="95"/>
          <w:sz w:val="19"/>
        </w:rPr>
        <w:t> </w:t>
      </w:r>
      <w:r>
        <w:rPr>
          <w:b w:val="0"/>
          <w:i/>
          <w:color w:val="231F20"/>
          <w:sz w:val="19"/>
        </w:rPr>
        <w:t>ngaa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Torres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Strait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Islander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me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ngaa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iwi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Māori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o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Aotearoa.</w:t>
      </w:r>
    </w:p>
    <w:p>
      <w:pPr>
        <w:spacing w:line="232" w:lineRule="exact" w:before="0"/>
        <w:ind w:left="673" w:right="0" w:firstLine="0"/>
        <w:jc w:val="left"/>
        <w:rPr>
          <w:b w:val="0"/>
          <w:i/>
          <w:sz w:val="19"/>
        </w:rPr>
      </w:pPr>
      <w:r>
        <w:rPr>
          <w:b w:val="0"/>
          <w:i/>
          <w:color w:val="231F20"/>
          <w:w w:val="95"/>
          <w:sz w:val="19"/>
        </w:rPr>
        <w:t>Teenaa</w:t>
      </w:r>
      <w:r>
        <w:rPr>
          <w:b w:val="0"/>
          <w:i/>
          <w:color w:val="231F20"/>
          <w:spacing w:val="-2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Koutou</w:t>
      </w:r>
      <w:r>
        <w:rPr>
          <w:b w:val="0"/>
          <w:i/>
          <w:color w:val="231F20"/>
          <w:spacing w:val="-2"/>
          <w:w w:val="95"/>
          <w:sz w:val="19"/>
        </w:rPr>
        <w:t> </w:t>
      </w:r>
      <w:r>
        <w:rPr>
          <w:b w:val="0"/>
          <w:i/>
          <w:color w:val="231F20"/>
          <w:w w:val="95"/>
          <w:sz w:val="19"/>
        </w:rPr>
        <w:t>Katoa.</w:t>
      </w:r>
    </w:p>
    <w:p>
      <w:pPr>
        <w:pStyle w:val="BodyText"/>
        <w:spacing w:before="13"/>
        <w:rPr>
          <w:b w:val="0"/>
          <w:i/>
          <w:sz w:val="34"/>
        </w:rPr>
      </w:pPr>
    </w:p>
    <w:p>
      <w:pPr>
        <w:pStyle w:val="BodyText"/>
        <w:spacing w:line="290" w:lineRule="auto"/>
        <w:ind w:left="673" w:right="9056"/>
        <w:rPr>
          <w:b w:val="0"/>
        </w:rPr>
      </w:pPr>
      <w:r>
        <w:rPr>
          <w:b w:val="0"/>
          <w:color w:val="231F20"/>
        </w:rPr>
        <w:t>Ngaa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Mihi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(Greetings)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Greetings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all.</w:t>
      </w:r>
    </w:p>
    <w:p>
      <w:pPr>
        <w:pStyle w:val="BodyText"/>
        <w:spacing w:line="192" w:lineRule="auto" w:before="45"/>
        <w:ind w:left="673" w:right="2793"/>
        <w:rPr>
          <w:b w:val="0"/>
        </w:rPr>
      </w:pPr>
      <w:r>
        <w:rPr>
          <w:b w:val="0"/>
          <w:color w:val="231F20"/>
        </w:rPr>
        <w:t>First,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greetings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those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loved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passed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sleep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well.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Second,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greetings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 the Māori King, Tuheitia and the royal household, goodness and peace to them. Finally, to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living,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First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Peoples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Aboriginal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Torres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Strait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Island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peoples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Māori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tangatawhenua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Aotearoa,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greetings 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us all.</w:t>
      </w:r>
    </w:p>
    <w:p>
      <w:pPr>
        <w:pStyle w:val="BodyText"/>
        <w:spacing w:line="192" w:lineRule="auto" w:before="114"/>
        <w:ind w:left="673" w:right="2793"/>
        <w:rPr>
          <w:b w:val="0"/>
        </w:rPr>
      </w:pPr>
      <w:r>
        <w:rPr>
          <w:b w:val="0"/>
          <w:color w:val="231F20"/>
        </w:rPr>
        <w:t>Welcome to the 2021 ANZSOG Annual Academic Governance Report on the Executive Master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(EMPA)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committed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communities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promote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prioritise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perspectives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contributions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 First Peoples. This is the second annual governance report presented by ANZSOG, as a key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commitment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enhanced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EMPA.</w:t>
      </w:r>
    </w:p>
    <w:p>
      <w:pPr>
        <w:pStyle w:val="BodyText"/>
        <w:spacing w:line="192" w:lineRule="auto" w:before="114"/>
        <w:ind w:left="673" w:right="328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purpose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stakeholders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annual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update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highlights,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developments,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outcomes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EMPA’s delivery in the preceding academic year. The report serves as a public record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ANZSOG’s governance and quality assurance approach to managing and delivering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internationally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recognised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degree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emerging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Aotearoa-New Zealand.</w:t>
      </w:r>
    </w:p>
    <w:p>
      <w:pPr>
        <w:spacing w:line="247" w:lineRule="exact" w:before="70"/>
        <w:ind w:left="673" w:right="0" w:firstLine="0"/>
        <w:jc w:val="left"/>
        <w:rPr>
          <w:b w:val="0"/>
          <w:i/>
          <w:sz w:val="19"/>
        </w:rPr>
      </w:pPr>
      <w:r>
        <w:rPr>
          <w:b w:val="0"/>
          <w:i/>
          <w:color w:val="231F20"/>
          <w:sz w:val="19"/>
        </w:rPr>
        <w:t>He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uri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au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o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ngaa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iwi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o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Ngaati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Paoa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me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Te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Whaanau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aa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Apanui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hoki,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Ko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Millie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Berryman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ahau.</w:t>
      </w:r>
    </w:p>
    <w:p>
      <w:pPr>
        <w:pStyle w:val="BodyText"/>
        <w:spacing w:line="192" w:lineRule="auto" w:before="16"/>
        <w:ind w:left="673" w:right="2818"/>
        <w:rPr>
          <w:b w:val="0"/>
        </w:rPr>
      </w:pPr>
      <w:r>
        <w:rPr>
          <w:b w:val="0"/>
          <w:color w:val="231F20"/>
        </w:rPr>
        <w:t>I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descendant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iwi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(tribe)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Ngaati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Paoa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(Hauraki)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Whaanau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Apanu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Tairawhiti),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name is Millie Berryman.</w:t>
      </w:r>
    </w:p>
    <w:p>
      <w:pPr>
        <w:pStyle w:val="BodyText"/>
        <w:spacing w:line="192" w:lineRule="auto" w:before="113"/>
        <w:ind w:left="673" w:right="2914"/>
        <w:rPr>
          <w:b w:val="0"/>
        </w:rPr>
      </w:pP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graduate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honour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privilege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amongst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so many leaders from across the Public Service sector. The program provided a wide scope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learning from leaders in the field, a variety of venues and opportunities to build relationships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networks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servants.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māori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cultural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worldview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challenged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times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during the program but in a good way. The ANZSOG EMPA program, promotes the knowledge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capabilities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apply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creating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programs</w:t>
      </w:r>
    </w:p>
    <w:p>
      <w:pPr>
        <w:pStyle w:val="BodyText"/>
        <w:spacing w:line="192" w:lineRule="auto" w:before="1"/>
        <w:ind w:left="673" w:right="3108"/>
        <w:jc w:val="both"/>
        <w:rPr>
          <w:b w:val="0"/>
        </w:rPr>
      </w:pPr>
      <w:r>
        <w:rPr>
          <w:b w:val="0"/>
          <w:color w:val="231F20"/>
        </w:rPr>
        <w:t>and services they manage. I welcome the 2021 ANZSOG report on how the EMPA continues to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add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leaders,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especially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light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many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challenges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disruptions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year.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encourage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First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Peoples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Māori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servants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participate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enrich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your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life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many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levels.</w:t>
      </w:r>
    </w:p>
    <w:p>
      <w:pPr>
        <w:pStyle w:val="BodyText"/>
        <w:spacing w:before="12"/>
        <w:rPr>
          <w:b w:val="0"/>
          <w:sz w:val="27"/>
        </w:rPr>
      </w:pPr>
    </w:p>
    <w:p>
      <w:pPr>
        <w:spacing w:before="1"/>
        <w:ind w:left="2488" w:right="0" w:firstLine="0"/>
        <w:jc w:val="left"/>
        <w:rPr>
          <w:rFonts w:ascii="Apercu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720001</wp:posOffset>
            </wp:positionH>
            <wp:positionV relativeFrom="paragraph">
              <wp:posOffset>-85272</wp:posOffset>
            </wp:positionV>
            <wp:extent cx="947038" cy="975906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038" cy="97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ercu"/>
          <w:b/>
          <w:color w:val="231F20"/>
          <w:sz w:val="19"/>
        </w:rPr>
        <w:t>Millie</w:t>
      </w:r>
      <w:r>
        <w:rPr>
          <w:rFonts w:ascii="Apercu"/>
          <w:b/>
          <w:color w:val="231F20"/>
          <w:spacing w:val="-1"/>
          <w:sz w:val="19"/>
        </w:rPr>
        <w:t> </w:t>
      </w:r>
      <w:r>
        <w:rPr>
          <w:rFonts w:ascii="Apercu"/>
          <w:b/>
          <w:color w:val="231F20"/>
          <w:sz w:val="19"/>
        </w:rPr>
        <w:t>Berryman</w:t>
      </w:r>
    </w:p>
    <w:p>
      <w:pPr>
        <w:pStyle w:val="BodyText"/>
        <w:spacing w:line="247" w:lineRule="exact" w:before="58"/>
        <w:ind w:left="2488"/>
        <w:rPr>
          <w:b w:val="0"/>
        </w:rPr>
      </w:pPr>
      <w:r>
        <w:rPr>
          <w:b w:val="0"/>
          <w:color w:val="231F20"/>
        </w:rPr>
        <w:t>Manager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Kaitakawaenga</w:t>
      </w:r>
    </w:p>
    <w:p>
      <w:pPr>
        <w:pStyle w:val="BodyText"/>
        <w:spacing w:line="220" w:lineRule="exact"/>
        <w:ind w:left="2488"/>
        <w:rPr>
          <w:b w:val="0"/>
        </w:rPr>
      </w:pPr>
      <w:r>
        <w:rPr>
          <w:b w:val="0"/>
          <w:color w:val="231F20"/>
        </w:rPr>
        <w:t>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Puna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Ora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Oranga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Māori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Service</w:t>
      </w:r>
    </w:p>
    <w:p>
      <w:pPr>
        <w:pStyle w:val="BodyText"/>
        <w:spacing w:line="247" w:lineRule="exact"/>
        <w:ind w:left="2488"/>
        <w:rPr>
          <w:b w:val="0"/>
        </w:rPr>
      </w:pPr>
      <w:r>
        <w:rPr>
          <w:b w:val="0"/>
          <w:color w:val="231F20"/>
        </w:rPr>
        <w:t>Waikato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District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Board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Zealand</w:t>
      </w:r>
    </w:p>
    <w:p>
      <w:pPr>
        <w:spacing w:after="0" w:line="247" w:lineRule="exact"/>
        <w:sectPr>
          <w:footerReference w:type="default" r:id="rId8"/>
          <w:pgSz w:w="11910" w:h="16840"/>
          <w:pgMar w:footer="555" w:header="0" w:top="920" w:bottom="740" w:left="460" w:right="0"/>
        </w:sectPr>
      </w:pPr>
    </w:p>
    <w:p>
      <w:pPr>
        <w:pStyle w:val="Heading1"/>
        <w:numPr>
          <w:ilvl w:val="0"/>
          <w:numId w:val="2"/>
        </w:numPr>
        <w:tabs>
          <w:tab w:pos="1090" w:val="left" w:leader="none"/>
        </w:tabs>
        <w:spacing w:line="240" w:lineRule="auto" w:before="9" w:after="0"/>
        <w:ind w:left="1089" w:right="0" w:hanging="417"/>
        <w:jc w:val="left"/>
        <w:rPr>
          <w:b w:val="0"/>
        </w:rPr>
      </w:pPr>
      <w:bookmarkStart w:name="_TOC_250035" w:id="4"/>
      <w:bookmarkStart w:name="1. Opening Statements" w:id="5"/>
      <w:r>
        <w:rPr/>
      </w:r>
      <w:bookmarkEnd w:id="5"/>
      <w:bookmarkStart w:name="1. Opening Statements" w:id="6"/>
      <w:r>
        <w:rPr>
          <w:b w:val="0"/>
          <w:color w:val="243B7D"/>
          <w:spacing w:val="-6"/>
        </w:rPr>
        <w:t>O</w:t>
      </w:r>
      <w:r>
        <w:rPr>
          <w:b w:val="0"/>
          <w:color w:val="243B7D"/>
          <w:spacing w:val="-6"/>
        </w:rPr>
        <w:t>pening</w:t>
      </w:r>
      <w:r>
        <w:rPr>
          <w:b w:val="0"/>
          <w:color w:val="243B7D"/>
          <w:spacing w:val="-18"/>
        </w:rPr>
        <w:t> </w:t>
      </w:r>
      <w:bookmarkEnd w:id="4"/>
      <w:r>
        <w:rPr>
          <w:b w:val="0"/>
          <w:color w:val="243B7D"/>
          <w:spacing w:val="-6"/>
        </w:rPr>
        <w:t>Statements</w:t>
      </w:r>
    </w:p>
    <w:p>
      <w:pPr>
        <w:pStyle w:val="BodyText"/>
        <w:spacing w:before="7"/>
        <w:rPr>
          <w:rFonts w:ascii="Domus Semibold"/>
          <w:b w:val="0"/>
          <w:sz w:val="66"/>
        </w:rPr>
      </w:pPr>
    </w:p>
    <w:p>
      <w:pPr>
        <w:spacing w:before="0"/>
        <w:ind w:left="673" w:right="0" w:firstLine="0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Dean</w:t>
      </w:r>
      <w:r>
        <w:rPr>
          <w:rFonts w:ascii="Domus Semibold"/>
          <w:b w:val="0"/>
          <w:color w:val="243B7D"/>
          <w:spacing w:val="-18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and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Chief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Executive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Officer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2"/>
          <w:sz w:val="40"/>
        </w:rPr>
        <w:t>ANZSOG</w:t>
      </w:r>
    </w:p>
    <w:p>
      <w:pPr>
        <w:pStyle w:val="BodyText"/>
        <w:spacing w:before="153"/>
        <w:ind w:left="673"/>
        <w:rPr>
          <w:b w:val="0"/>
        </w:rPr>
      </w:pPr>
      <w:r>
        <w:rPr>
          <w:b w:val="0"/>
          <w:color w:val="231F20"/>
        </w:rPr>
        <w:t>Dear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Vice-Chancellors,</w:t>
      </w:r>
    </w:p>
    <w:p>
      <w:pPr>
        <w:pStyle w:val="BodyText"/>
        <w:spacing w:line="192" w:lineRule="auto" w:before="102"/>
        <w:ind w:left="673" w:right="2793"/>
        <w:rPr>
          <w:b w:val="0"/>
        </w:rPr>
      </w:pPr>
      <w:r>
        <w:rPr>
          <w:b w:val="0"/>
          <w:color w:val="231F20"/>
        </w:rPr>
        <w:t>In accordance with ANZSOG’s quality assurance framework and commitment to support 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partners’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reporting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requirements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(HESF 2015) and the Aotearoa-New Zealand Qualifications Framework (NZQF), I am happy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present our Executive Master of Public Administration (EMPA) Annual Academic Governance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2021.</w:t>
      </w:r>
    </w:p>
    <w:p>
      <w:pPr>
        <w:pStyle w:val="BodyText"/>
        <w:spacing w:line="192" w:lineRule="auto" w:before="114"/>
        <w:ind w:left="673" w:right="3110"/>
        <w:jc w:val="both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continues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cornerstone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educational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collaboration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partners.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closely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together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offer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class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degree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substantially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raises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capabilities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receiving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increased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recognition.</w:t>
      </w:r>
    </w:p>
    <w:p>
      <w:pPr>
        <w:pStyle w:val="BodyText"/>
        <w:spacing w:line="192" w:lineRule="auto" w:before="114"/>
        <w:ind w:left="673" w:right="3095"/>
        <w:rPr>
          <w:b w:val="0"/>
        </w:rPr>
      </w:pP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commenced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significant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agenda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renew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co-delivery relationships and implement enhanced governance and reporting arrangements.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This work was driven by a recognition that our partner’s compliance requirements had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increased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NZQF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since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previous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review.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motivated by ANZSOG’s goal to assure partners of our continuous commitment to quality 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reduce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partners’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reporting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burden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given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unique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multi-institutional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nature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degree.</w:t>
      </w:r>
    </w:p>
    <w:p>
      <w:pPr>
        <w:pStyle w:val="BodyText"/>
        <w:spacing w:line="192" w:lineRule="auto" w:before="113"/>
        <w:ind w:left="673" w:right="3392"/>
        <w:rPr>
          <w:b w:val="0"/>
        </w:rPr>
      </w:pPr>
      <w:r>
        <w:rPr>
          <w:b w:val="0"/>
          <w:color w:val="231F20"/>
        </w:rPr>
        <w:t>Despite the unprecedented challenges and upheaval wrought across our government 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Covid-19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pandemic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subsequent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rapidly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transition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EMPA subject delivery to online, ANZSOG was able to sustain enrolled student numbers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meet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expectations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partners,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TEQSA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NZQA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program’s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standards.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reported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letter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23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March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2021,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result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</w:p>
    <w:p>
      <w:pPr>
        <w:pStyle w:val="BodyText"/>
        <w:spacing w:line="192" w:lineRule="auto" w:before="1"/>
        <w:ind w:left="673" w:right="3103"/>
        <w:jc w:val="both"/>
        <w:rPr>
          <w:b w:val="0"/>
        </w:rPr>
      </w:pPr>
      <w:r>
        <w:rPr>
          <w:b w:val="0"/>
          <w:color w:val="231F20"/>
        </w:rPr>
        <w:t>work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updating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supporting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procedures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aligned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domains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qualifications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standards,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enhanced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guide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template,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introduction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annual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reports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partners,</w:t>
      </w:r>
    </w:p>
    <w:p>
      <w:pPr>
        <w:pStyle w:val="BodyText"/>
        <w:spacing w:line="192" w:lineRule="auto"/>
        <w:ind w:left="673" w:right="3115"/>
        <w:rPr>
          <w:b w:val="0"/>
        </w:rPr>
      </w:pPr>
      <w:r>
        <w:rPr>
          <w:b w:val="0"/>
          <w:color w:val="231F20"/>
        </w:rPr>
        <w:t>the creation of a university partner portal on the ANZSOG LMS enabling timely access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institution specific student data, and the establishment of the EMPA Academic Advisory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consisting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representatives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our alumni.</w:t>
      </w:r>
    </w:p>
    <w:p>
      <w:pPr>
        <w:pStyle w:val="BodyText"/>
        <w:spacing w:line="192" w:lineRule="auto" w:before="113"/>
        <w:ind w:left="673" w:right="3412"/>
        <w:rPr>
          <w:b w:val="0"/>
        </w:rPr>
      </w:pPr>
      <w:r>
        <w:rPr>
          <w:b w:val="0"/>
          <w:color w:val="231F20"/>
        </w:rPr>
        <w:t>The recent independent compliance review of the new EMPA governance framework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undertaken by Dr Michael Tomlinson and Emeritus Professor Valerie Braithwaite found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fit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purpose,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enjoys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high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standing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stakeholders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engages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exceptionally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well-qualified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academics.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continue</w:t>
      </w:r>
    </w:p>
    <w:p>
      <w:pPr>
        <w:pStyle w:val="BodyText"/>
        <w:spacing w:line="192" w:lineRule="auto" w:before="1"/>
        <w:ind w:left="673" w:right="3283"/>
        <w:rPr>
          <w:b w:val="0"/>
        </w:rPr>
      </w:pP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consider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compliance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review’s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recommendations for continued improvement to EMPA program standards and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upcoming academic program review recommendations are best conducted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implemented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 achieve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our shared goals.</w:t>
      </w:r>
    </w:p>
    <w:p>
      <w:pPr>
        <w:pStyle w:val="BodyText"/>
        <w:spacing w:before="12"/>
        <w:rPr>
          <w:b w:val="0"/>
          <w:sz w:val="27"/>
        </w:rPr>
      </w:pPr>
    </w:p>
    <w:p>
      <w:pPr>
        <w:spacing w:before="1"/>
        <w:ind w:left="2488" w:right="0" w:firstLine="0"/>
        <w:jc w:val="left"/>
        <w:rPr>
          <w:rFonts w:ascii="Apercu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720001</wp:posOffset>
            </wp:positionH>
            <wp:positionV relativeFrom="paragraph">
              <wp:posOffset>-95457</wp:posOffset>
            </wp:positionV>
            <wp:extent cx="964247" cy="981456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247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ercu"/>
          <w:b/>
          <w:color w:val="231F20"/>
          <w:sz w:val="19"/>
        </w:rPr>
        <w:t>Professor</w:t>
      </w:r>
      <w:r>
        <w:rPr>
          <w:rFonts w:ascii="Apercu"/>
          <w:b/>
          <w:color w:val="231F20"/>
          <w:spacing w:val="-12"/>
          <w:sz w:val="19"/>
        </w:rPr>
        <w:t> </w:t>
      </w:r>
      <w:r>
        <w:rPr>
          <w:rFonts w:ascii="Apercu"/>
          <w:b/>
          <w:color w:val="231F20"/>
          <w:sz w:val="19"/>
        </w:rPr>
        <w:t>Ken</w:t>
      </w:r>
      <w:r>
        <w:rPr>
          <w:rFonts w:ascii="Apercu"/>
          <w:b/>
          <w:color w:val="231F20"/>
          <w:spacing w:val="-12"/>
          <w:sz w:val="19"/>
        </w:rPr>
        <w:t> </w:t>
      </w:r>
      <w:r>
        <w:rPr>
          <w:rFonts w:ascii="Apercu"/>
          <w:b/>
          <w:color w:val="231F20"/>
          <w:sz w:val="19"/>
        </w:rPr>
        <w:t>Smith</w:t>
      </w:r>
    </w:p>
    <w:p>
      <w:pPr>
        <w:pStyle w:val="BodyText"/>
        <w:spacing w:before="58"/>
        <w:ind w:left="2488"/>
        <w:rPr>
          <w:b w:val="0"/>
        </w:rPr>
      </w:pPr>
      <w:r>
        <w:rPr>
          <w:b w:val="0"/>
          <w:color w:val="231F20"/>
        </w:rPr>
        <w:t>ANZSOG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Dean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CEO</w:t>
      </w:r>
    </w:p>
    <w:p>
      <w:pPr>
        <w:spacing w:after="0"/>
        <w:sectPr>
          <w:footerReference w:type="default" r:id="rId10"/>
          <w:pgSz w:w="11910" w:h="16840"/>
          <w:pgMar w:footer="555" w:header="0" w:top="92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spacing w:before="47"/>
        <w:ind w:left="673" w:right="0" w:firstLine="0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6"/>
          <w:sz w:val="40"/>
        </w:rPr>
        <w:t>Academic</w:t>
      </w:r>
      <w:r>
        <w:rPr>
          <w:rFonts w:ascii="Domus Semibold"/>
          <w:b w:val="0"/>
          <w:color w:val="243B7D"/>
          <w:spacing w:val="-11"/>
          <w:sz w:val="40"/>
        </w:rPr>
        <w:t> </w:t>
      </w:r>
      <w:r>
        <w:rPr>
          <w:rFonts w:ascii="Domus Semibold"/>
          <w:b w:val="0"/>
          <w:color w:val="243B7D"/>
          <w:spacing w:val="-6"/>
          <w:sz w:val="40"/>
        </w:rPr>
        <w:t>Director,</w:t>
      </w:r>
      <w:r>
        <w:rPr>
          <w:rFonts w:ascii="Domus Semibold"/>
          <w:b w:val="0"/>
          <w:color w:val="243B7D"/>
          <w:spacing w:val="-14"/>
          <w:sz w:val="40"/>
        </w:rPr>
        <w:t> </w:t>
      </w:r>
      <w:r>
        <w:rPr>
          <w:rFonts w:ascii="Domus Semibold"/>
          <w:b w:val="0"/>
          <w:color w:val="243B7D"/>
          <w:spacing w:val="-5"/>
          <w:sz w:val="40"/>
        </w:rPr>
        <w:t>EMPA</w:t>
      </w:r>
    </w:p>
    <w:p>
      <w:pPr>
        <w:pStyle w:val="BodyText"/>
        <w:spacing w:line="192" w:lineRule="auto" w:before="197"/>
        <w:ind w:left="673" w:right="1997"/>
        <w:rPr>
          <w:b w:val="0"/>
        </w:rPr>
      </w:pPr>
      <w:r>
        <w:rPr>
          <w:b w:val="0"/>
          <w:color w:val="231F20"/>
        </w:rPr>
        <w:t>The impact of the global COVID pandemic has forced unprecedented change and innovation across all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universities and government agencies. Widespread uncertainty arising from lockdowns, working from home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requirements, rolling border closures and limited travel options have had significant implications on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EMPA delivery model and our capacity to sustain the continuity of the program in its traditional form. 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model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being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delivered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four-day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intensive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face-to-face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sessions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engaging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between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75 and 100 students in various locations around Australia and Aotearoa-New Zealand was not viable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throughout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2020.</w:t>
      </w:r>
    </w:p>
    <w:p>
      <w:pPr>
        <w:pStyle w:val="BodyText"/>
        <w:spacing w:line="192" w:lineRule="auto" w:before="114"/>
        <w:ind w:left="673" w:right="1997"/>
        <w:rPr>
          <w:b w:val="0"/>
        </w:rPr>
      </w:pPr>
      <w:r>
        <w:rPr>
          <w:b w:val="0"/>
          <w:color w:val="231F20"/>
        </w:rPr>
        <w:t>During early 2020, over a period of 12 weeks, ANZSOG mobilised significant resources and drawing on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commitment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creativity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staff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achieved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successful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pivot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last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face-to-face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EMPA,</w:t>
      </w:r>
      <w:r>
        <w:rPr>
          <w:b w:val="0"/>
          <w:color w:val="231F20"/>
          <w:spacing w:val="-7"/>
        </w:rPr>
        <w:t> </w:t>
      </w:r>
      <w:r>
        <w:rPr>
          <w:b w:val="0"/>
          <w:i/>
          <w:color w:val="231F20"/>
        </w:rPr>
        <w:t>Governing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by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the</w:t>
      </w:r>
      <w:r>
        <w:rPr>
          <w:b w:val="0"/>
          <w:i/>
          <w:color w:val="231F20"/>
          <w:spacing w:val="-12"/>
        </w:rPr>
        <w:t> </w:t>
      </w:r>
      <w:r>
        <w:rPr>
          <w:b w:val="0"/>
          <w:i/>
          <w:color w:val="231F20"/>
        </w:rPr>
        <w:t>Rules</w:t>
      </w:r>
      <w:r>
        <w:rPr>
          <w:b w:val="0"/>
          <w:i/>
          <w:color w:val="231F20"/>
          <w:spacing w:val="1"/>
        </w:rPr>
        <w:t> </w:t>
      </w:r>
      <w:r>
        <w:rPr>
          <w:b w:val="0"/>
          <w:color w:val="231F20"/>
        </w:rPr>
        <w:t>was delivered by Professor Arie Freiberg in March 2020 and our first fully online subject, </w:t>
      </w:r>
      <w:r>
        <w:rPr>
          <w:b w:val="0"/>
          <w:i/>
          <w:color w:val="231F20"/>
        </w:rPr>
        <w:t>Leading Public</w:t>
      </w:r>
      <w:r>
        <w:rPr>
          <w:b w:val="0"/>
          <w:i/>
          <w:color w:val="231F20"/>
          <w:spacing w:val="1"/>
        </w:rPr>
        <w:t> </w:t>
      </w:r>
      <w:r>
        <w:rPr>
          <w:b w:val="0"/>
          <w:i/>
          <w:color w:val="231F20"/>
        </w:rPr>
        <w:t>Sector Change </w:t>
      </w:r>
      <w:r>
        <w:rPr>
          <w:b w:val="0"/>
          <w:color w:val="231F20"/>
        </w:rPr>
        <w:t>was delivered by Professor Paul 't Hart in June 2020. Details of the transformation process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responses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outlined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four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report.</w:t>
      </w:r>
    </w:p>
    <w:p>
      <w:pPr>
        <w:pStyle w:val="BodyText"/>
        <w:spacing w:line="192" w:lineRule="auto" w:before="113"/>
        <w:ind w:left="673" w:right="2009"/>
        <w:rPr>
          <w:b w:val="0"/>
        </w:rPr>
      </w:pPr>
      <w:r>
        <w:rPr>
          <w:b w:val="0"/>
          <w:color w:val="231F20"/>
        </w:rPr>
        <w:t>Throughout the transformation process ANZSOG has maintained its commitment to student engagement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learning. A key concern was how shifts in delivery mode might be managed effectively without losing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strong sense of community and engagement among the student cohort that characterises the EMPA.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Regular contact was maintained with all students advising them of changes to delivery, revisions to study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plans and new subject delivery schedules. Faculty and program staff were mindful of the emotional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physical challenges our EMPA students faced having to adapt their work, study and family lives to the new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reality.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While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some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adjusted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intensity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pleasing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remained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enrolled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program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adapted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delivery model.</w:t>
      </w:r>
    </w:p>
    <w:p>
      <w:pPr>
        <w:pStyle w:val="BodyText"/>
        <w:spacing w:line="192" w:lineRule="auto" w:before="114"/>
        <w:ind w:left="673" w:right="2004"/>
        <w:rPr>
          <w:b w:val="0"/>
        </w:rPr>
      </w:pPr>
      <w:r>
        <w:rPr>
          <w:b w:val="0"/>
          <w:color w:val="231F20"/>
        </w:rPr>
        <w:t>Alongside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transitioning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delivery,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strengthened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quality assurance framework of the EMPA. The focus here has been to increase transparency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availability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demonstrable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alignment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requirements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(HESF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NZQF). These actions have been well received by our university partners and the opening statements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from ANZSOG Dean and CEO Professor Ken Smith and the Chair of the new EMPA Academic Advisory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Council,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John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Phillimore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speak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arrangements.</w:t>
      </w:r>
    </w:p>
    <w:p>
      <w:pPr>
        <w:pStyle w:val="BodyText"/>
        <w:spacing w:line="192" w:lineRule="auto" w:before="114"/>
        <w:ind w:left="673" w:right="2009"/>
        <w:rPr>
          <w:b w:val="0"/>
        </w:rPr>
      </w:pPr>
      <w:r>
        <w:rPr>
          <w:b w:val="0"/>
          <w:color w:val="231F20"/>
        </w:rPr>
        <w:t>A strong feature of EMPA delivery has been ANZSOG’s capacity to attract leading government practitioner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scholar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contributions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topics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emergence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enhanced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access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diversity of senior officials. During the 2020 program students were provided extensive opportunities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directly engage, discuss and question the experiences of a range of leading national and international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figures.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Prominent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speakers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contributed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included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26th</w:t>
      </w:r>
    </w:p>
    <w:p>
      <w:pPr>
        <w:pStyle w:val="BodyText"/>
        <w:spacing w:line="192" w:lineRule="auto"/>
        <w:ind w:left="673" w:right="1997"/>
        <w:rPr>
          <w:b w:val="0"/>
        </w:rPr>
      </w:pPr>
      <w:r>
        <w:rPr>
          <w:b w:val="0"/>
          <w:color w:val="231F20"/>
          <w:spacing w:val="-2"/>
        </w:rPr>
        <w:t>Prime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Minister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Hon.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Kevin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Rudd,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Dr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Chris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Sarra,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Director-General,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Aboriginal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Torres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Strait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Partnership,</w:t>
      </w:r>
      <w:r>
        <w:rPr>
          <w:b w:val="0"/>
          <w:color w:val="231F20"/>
        </w:rPr>
        <w:t> QLD, Andrew Greaves and Margret Crawford, Auditors-General, Victoria and NSW respectively, Randall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Brugeaud CEO, Digital Transformation Agency, Australia, Richard Wynne MP, Minister for Planning, Victoria,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Professor Marilyn Warren: Ex Chief Justice of Victoria, Brandi Hudson, CEO, Independent Māori Statutory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Board, Aotearoa-New Zealand, Sonja Stewart, Chair, GO Foundation, Dr Craig Jones, Deputy Government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Statistician, Aotearoa-New Zealand, Barry Sandison, CEO, Australian Institute of Health and Welfare,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Loes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Mulder,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Secretary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Department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Affairs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Employment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Netherlands.</w:t>
      </w:r>
    </w:p>
    <w:p>
      <w:pPr>
        <w:pStyle w:val="BodyText"/>
        <w:spacing w:line="192" w:lineRule="auto" w:before="114"/>
        <w:ind w:left="673" w:right="2172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presented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throughout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places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needs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students and the changing skill needs of the Australian and Aotearoa-New Zealand public sector at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centre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design.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confident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find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Annual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2021 demonstrates that, despite a year of significant upheaval, ANZSOG was able to rapidly adapt 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without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diminishing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rigour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students.</w:t>
      </w:r>
    </w:p>
    <w:p>
      <w:pPr>
        <w:pStyle w:val="BodyText"/>
        <w:spacing w:before="13"/>
        <w:rPr>
          <w:b w:val="0"/>
          <w:sz w:val="27"/>
        </w:rPr>
      </w:pPr>
    </w:p>
    <w:p>
      <w:pPr>
        <w:spacing w:before="0"/>
        <w:ind w:left="2488" w:right="0" w:firstLine="0"/>
        <w:jc w:val="left"/>
        <w:rPr>
          <w:rFonts w:ascii="Apercu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720001</wp:posOffset>
            </wp:positionH>
            <wp:positionV relativeFrom="paragraph">
              <wp:posOffset>-88243</wp:posOffset>
            </wp:positionV>
            <wp:extent cx="964247" cy="981468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247" cy="98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ercu"/>
          <w:b/>
          <w:color w:val="231F20"/>
          <w:sz w:val="19"/>
        </w:rPr>
        <w:t>Dr.</w:t>
      </w:r>
      <w:r>
        <w:rPr>
          <w:rFonts w:ascii="Apercu"/>
          <w:b/>
          <w:color w:val="231F20"/>
          <w:spacing w:val="-9"/>
          <w:sz w:val="19"/>
        </w:rPr>
        <w:t> </w:t>
      </w:r>
      <w:r>
        <w:rPr>
          <w:rFonts w:ascii="Apercu"/>
          <w:b/>
          <w:color w:val="231F20"/>
          <w:sz w:val="19"/>
        </w:rPr>
        <w:t>Christopher</w:t>
      </w:r>
      <w:r>
        <w:rPr>
          <w:rFonts w:ascii="Apercu"/>
          <w:b/>
          <w:color w:val="231F20"/>
          <w:spacing w:val="-9"/>
          <w:sz w:val="19"/>
        </w:rPr>
        <w:t> </w:t>
      </w:r>
      <w:r>
        <w:rPr>
          <w:rFonts w:ascii="Apercu"/>
          <w:b/>
          <w:color w:val="231F20"/>
          <w:sz w:val="19"/>
        </w:rPr>
        <w:t>Walker</w:t>
      </w:r>
    </w:p>
    <w:p>
      <w:pPr>
        <w:pStyle w:val="BodyText"/>
        <w:spacing w:line="192" w:lineRule="auto" w:before="102"/>
        <w:ind w:left="2488" w:right="7418"/>
        <w:rPr>
          <w:b w:val="0"/>
        </w:rPr>
      </w:pPr>
      <w:r>
        <w:rPr>
          <w:b w:val="0"/>
          <w:color w:val="231F20"/>
          <w:spacing w:val="-1"/>
        </w:rPr>
        <w:t>Academic Director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EMPA</w:t>
      </w:r>
    </w:p>
    <w:p>
      <w:pPr>
        <w:spacing w:after="0" w:line="192" w:lineRule="auto"/>
        <w:sectPr>
          <w:footerReference w:type="default" r:id="rId12"/>
          <w:pgSz w:w="11910" w:h="16840"/>
          <w:pgMar w:footer="555" w:header="0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spacing w:before="47"/>
        <w:ind w:left="673" w:right="0" w:firstLine="0"/>
        <w:jc w:val="both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Academic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Advisory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2"/>
          <w:sz w:val="40"/>
        </w:rPr>
        <w:t>Council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2"/>
          <w:sz w:val="40"/>
        </w:rPr>
        <w:t>Chair</w:t>
      </w:r>
    </w:p>
    <w:p>
      <w:pPr>
        <w:pStyle w:val="BodyText"/>
        <w:spacing w:line="192" w:lineRule="auto" w:before="197"/>
        <w:ind w:left="673" w:right="3365"/>
        <w:jc w:val="both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inaugural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meeting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(AAC)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convened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December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2020 signing off on the year’s collaborative work between ANZSOG and university partners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update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enhance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reporting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arrangements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program.</w:t>
      </w:r>
    </w:p>
    <w:p>
      <w:pPr>
        <w:pStyle w:val="BodyText"/>
        <w:spacing w:line="247" w:lineRule="exact" w:before="70"/>
        <w:ind w:left="673"/>
        <w:jc w:val="both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integral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part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framework.</w:t>
      </w:r>
    </w:p>
    <w:p>
      <w:pPr>
        <w:pStyle w:val="BodyText"/>
        <w:spacing w:line="192" w:lineRule="auto" w:before="16"/>
        <w:ind w:left="673" w:right="3497"/>
        <w:rPr>
          <w:b w:val="0"/>
        </w:rPr>
      </w:pPr>
      <w:r>
        <w:rPr>
          <w:b w:val="0"/>
          <w:color w:val="231F20"/>
        </w:rPr>
        <w:t>It functions as the principal advisory committee to ANZSOG’s academic leadership team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matters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degree,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micro-credentials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future accredited programs that might be developed on a bilateral or multi-lateral basis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 partners.</w:t>
      </w:r>
    </w:p>
    <w:p>
      <w:pPr>
        <w:pStyle w:val="BodyText"/>
        <w:spacing w:line="192" w:lineRule="auto" w:before="114"/>
        <w:ind w:left="673" w:right="3283"/>
        <w:rPr>
          <w:b w:val="0"/>
        </w:rPr>
      </w:pPr>
      <w:r>
        <w:rPr>
          <w:b w:val="0"/>
          <w:color w:val="231F20"/>
        </w:rPr>
        <w:t>Council membership consists of senior academic and quality assurance representatives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representative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alumni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network: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3"/>
          <w:sz w:val="18"/>
        </w:rPr>
        <w:t> </w:t>
      </w:r>
      <w:r>
        <w:rPr>
          <w:b w:val="0"/>
          <w:color w:val="231F20"/>
        </w:rPr>
        <w:t>Mr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David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Carvalho,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Alumnus,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CEO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ACARA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Sector)</w:t>
      </w:r>
    </w:p>
    <w:p>
      <w:pPr>
        <w:pStyle w:val="BodyText"/>
        <w:spacing w:before="2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39"/>
          <w:sz w:val="18"/>
        </w:rPr>
        <w:t> </w:t>
      </w:r>
      <w:r>
        <w:rPr>
          <w:b w:val="0"/>
          <w:color w:val="231F20"/>
        </w:rPr>
        <w:t>Dr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Samantha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Young,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Monash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(Director,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Quality),</w:t>
      </w:r>
    </w:p>
    <w:p>
      <w:pPr>
        <w:pStyle w:val="BodyText"/>
        <w:spacing w:before="1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1"/>
          <w:sz w:val="18"/>
        </w:rPr>
        <w:t> </w:t>
      </w:r>
      <w:r>
        <w:rPr>
          <w:b w:val="0"/>
          <w:color w:val="231F20"/>
        </w:rPr>
        <w:t>Prof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Carolyn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Hendriks,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ANU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(Academic)</w:t>
      </w:r>
    </w:p>
    <w:p>
      <w:pPr>
        <w:pStyle w:val="BodyText"/>
        <w:spacing w:before="2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44"/>
          <w:sz w:val="18"/>
        </w:rPr>
        <w:t> </w:t>
      </w:r>
      <w:r>
        <w:rPr>
          <w:b w:val="0"/>
          <w:color w:val="231F20"/>
        </w:rPr>
        <w:t>Prof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Richard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James,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Melbourne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(Academic)</w:t>
      </w:r>
    </w:p>
    <w:p>
      <w:pPr>
        <w:pStyle w:val="BodyText"/>
        <w:spacing w:before="2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38"/>
          <w:sz w:val="18"/>
        </w:rPr>
        <w:t> </w:t>
      </w:r>
      <w:r>
        <w:rPr>
          <w:b w:val="0"/>
          <w:color w:val="231F20"/>
        </w:rPr>
        <w:t>Assoc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Karl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Lofgren,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Victoria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Wellington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(Academic)</w:t>
      </w:r>
    </w:p>
    <w:p>
      <w:pPr>
        <w:pStyle w:val="BodyText"/>
        <w:spacing w:before="2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43"/>
          <w:sz w:val="18"/>
        </w:rPr>
        <w:t> </w:t>
      </w:r>
      <w:r>
        <w:rPr>
          <w:b w:val="0"/>
          <w:color w:val="231F20"/>
        </w:rPr>
        <w:t>Prof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Juliet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Pietsch,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(Academic)</w:t>
      </w:r>
    </w:p>
    <w:p>
      <w:pPr>
        <w:pStyle w:val="BodyText"/>
        <w:spacing w:before="1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43"/>
          <w:sz w:val="18"/>
        </w:rPr>
        <w:t> </w:t>
      </w:r>
      <w:r>
        <w:rPr>
          <w:b w:val="0"/>
          <w:color w:val="231F20"/>
        </w:rPr>
        <w:t>Ms.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Rachel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Weiss,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Sydney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(QA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Lead)</w:t>
      </w:r>
    </w:p>
    <w:p>
      <w:pPr>
        <w:pStyle w:val="BodyText"/>
        <w:spacing w:line="192" w:lineRule="auto" w:before="102"/>
        <w:ind w:left="673" w:right="3638"/>
        <w:rPr>
          <w:b w:val="0"/>
        </w:rPr>
      </w:pPr>
      <w:r>
        <w:rPr>
          <w:b w:val="0"/>
          <w:color w:val="231F20"/>
        </w:rPr>
        <w:t>The first Council meeting concluded with a strategic discussion on issues raised at last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year’s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OECD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Network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seminar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“The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Future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 Service”. Council members discussed the implications of these trends and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challenges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opportunities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arising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disruptive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impact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COVID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pandemic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higher education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sector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academic programs.</w:t>
      </w:r>
    </w:p>
    <w:p>
      <w:pPr>
        <w:pStyle w:val="BodyText"/>
        <w:spacing w:line="192" w:lineRule="auto" w:before="114"/>
        <w:ind w:left="673" w:right="3318"/>
        <w:rPr>
          <w:b w:val="0"/>
        </w:rPr>
      </w:pP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welcomed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establishment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important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forum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for providing quality oversight of the EMPA and taking a network approach to engaging with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matters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ongoing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basis.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convene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twice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annually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as part of its role will review the EMPA annual governance reports before tabling 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universities.</w:t>
      </w:r>
    </w:p>
    <w:p>
      <w:pPr>
        <w:pStyle w:val="BodyText"/>
        <w:spacing w:before="13"/>
        <w:rPr>
          <w:b w:val="0"/>
          <w:sz w:val="27"/>
        </w:rPr>
      </w:pPr>
    </w:p>
    <w:p>
      <w:pPr>
        <w:spacing w:before="0"/>
        <w:ind w:left="2488" w:right="0" w:firstLine="0"/>
        <w:jc w:val="left"/>
        <w:rPr>
          <w:rFonts w:ascii="Apercu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720001</wp:posOffset>
            </wp:positionH>
            <wp:positionV relativeFrom="paragraph">
              <wp:posOffset>-125350</wp:posOffset>
            </wp:positionV>
            <wp:extent cx="973582" cy="990968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582" cy="99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ercu"/>
          <w:b/>
          <w:color w:val="231F20"/>
          <w:sz w:val="19"/>
        </w:rPr>
        <w:t>Professor</w:t>
      </w:r>
      <w:r>
        <w:rPr>
          <w:rFonts w:ascii="Apercu"/>
          <w:b/>
          <w:color w:val="231F20"/>
          <w:spacing w:val="-10"/>
          <w:sz w:val="19"/>
        </w:rPr>
        <w:t> </w:t>
      </w:r>
      <w:r>
        <w:rPr>
          <w:rFonts w:ascii="Apercu"/>
          <w:b/>
          <w:color w:val="231F20"/>
          <w:sz w:val="19"/>
        </w:rPr>
        <w:t>John</w:t>
      </w:r>
      <w:r>
        <w:rPr>
          <w:rFonts w:ascii="Apercu"/>
          <w:b/>
          <w:color w:val="231F20"/>
          <w:spacing w:val="-9"/>
          <w:sz w:val="19"/>
        </w:rPr>
        <w:t> </w:t>
      </w:r>
      <w:r>
        <w:rPr>
          <w:rFonts w:ascii="Apercu"/>
          <w:b/>
          <w:color w:val="231F20"/>
          <w:sz w:val="19"/>
        </w:rPr>
        <w:t>Phillimore</w:t>
      </w:r>
    </w:p>
    <w:p>
      <w:pPr>
        <w:pStyle w:val="BodyText"/>
        <w:spacing w:line="192" w:lineRule="auto" w:before="102"/>
        <w:ind w:left="2488" w:right="5377"/>
        <w:rPr>
          <w:b w:val="0"/>
        </w:rPr>
      </w:pPr>
      <w:r>
        <w:rPr>
          <w:b w:val="0"/>
          <w:color w:val="231F20"/>
        </w:rPr>
        <w:t>EMPA Academic Advisory Council Chair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John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Curtin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Curtin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</w:t>
      </w:r>
    </w:p>
    <w:p>
      <w:pPr>
        <w:spacing w:after="0" w:line="192" w:lineRule="auto"/>
        <w:sectPr>
          <w:footerReference w:type="default" r:id="rId14"/>
          <w:pgSz w:w="11910" w:h="16840"/>
          <w:pgMar w:footer="555" w:header="0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spacing w:before="47"/>
        <w:ind w:left="673" w:right="0" w:firstLine="0"/>
        <w:jc w:val="left"/>
        <w:rPr>
          <w:rFonts w:ascii="Domus Semibold" w:hAnsi="Domus Semibold"/>
          <w:b w:val="0"/>
          <w:sz w:val="40"/>
        </w:rPr>
      </w:pPr>
      <w:r>
        <w:rPr>
          <w:rFonts w:ascii="Domus Semibold" w:hAnsi="Domus Semibold"/>
          <w:b w:val="0"/>
          <w:color w:val="243B7D"/>
          <w:spacing w:val="-4"/>
          <w:sz w:val="40"/>
        </w:rPr>
        <w:t>2020</w:t>
      </w:r>
      <w:r>
        <w:rPr>
          <w:rFonts w:ascii="Domus Semibold" w:hAnsi="Domus Semibold"/>
          <w:b w:val="0"/>
          <w:color w:val="243B7D"/>
          <w:spacing w:val="-17"/>
          <w:sz w:val="40"/>
        </w:rPr>
        <w:t> </w:t>
      </w:r>
      <w:r>
        <w:rPr>
          <w:rFonts w:ascii="Domus Semibold" w:hAnsi="Domus Semibold"/>
          <w:b w:val="0"/>
          <w:color w:val="243B7D"/>
          <w:spacing w:val="-4"/>
          <w:sz w:val="40"/>
        </w:rPr>
        <w:t>Dean’s</w:t>
      </w:r>
      <w:r>
        <w:rPr>
          <w:rFonts w:ascii="Domus Semibold" w:hAnsi="Domus Semibold"/>
          <w:b w:val="0"/>
          <w:color w:val="243B7D"/>
          <w:spacing w:val="-16"/>
          <w:sz w:val="40"/>
        </w:rPr>
        <w:t> </w:t>
      </w:r>
      <w:r>
        <w:rPr>
          <w:rFonts w:ascii="Domus Semibold" w:hAnsi="Domus Semibold"/>
          <w:b w:val="0"/>
          <w:color w:val="243B7D"/>
          <w:spacing w:val="-4"/>
          <w:sz w:val="40"/>
        </w:rPr>
        <w:t>Prize</w:t>
      </w:r>
      <w:r>
        <w:rPr>
          <w:rFonts w:ascii="Domus Semibold" w:hAnsi="Domus Semibold"/>
          <w:b w:val="0"/>
          <w:color w:val="243B7D"/>
          <w:spacing w:val="-16"/>
          <w:sz w:val="40"/>
        </w:rPr>
        <w:t> </w:t>
      </w:r>
      <w:r>
        <w:rPr>
          <w:rFonts w:ascii="Domus Semibold" w:hAnsi="Domus Semibold"/>
          <w:b w:val="0"/>
          <w:color w:val="243B7D"/>
          <w:spacing w:val="-3"/>
          <w:sz w:val="40"/>
        </w:rPr>
        <w:t>Winner</w:t>
      </w:r>
    </w:p>
    <w:p>
      <w:pPr>
        <w:pStyle w:val="BodyText"/>
        <w:spacing w:before="154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cohort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out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journey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goals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including: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44"/>
          <w:sz w:val="18"/>
        </w:rPr>
        <w:t> </w:t>
      </w:r>
      <w:r>
        <w:rPr>
          <w:b w:val="0"/>
          <w:color w:val="231F20"/>
        </w:rPr>
        <w:t>broadening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understanding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administration</w:t>
      </w:r>
    </w:p>
    <w:p>
      <w:pPr>
        <w:pStyle w:val="BodyText"/>
        <w:spacing w:before="2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42"/>
          <w:sz w:val="18"/>
        </w:rPr>
        <w:t> </w:t>
      </w:r>
      <w:r>
        <w:rPr>
          <w:b w:val="0"/>
          <w:color w:val="231F20"/>
        </w:rPr>
        <w:t>improving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current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roles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better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prepared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positions</w:t>
      </w:r>
    </w:p>
    <w:p>
      <w:pPr>
        <w:pStyle w:val="BodyText"/>
        <w:spacing w:before="2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4"/>
          <w:sz w:val="18"/>
        </w:rPr>
        <w:t> </w:t>
      </w:r>
      <w:r>
        <w:rPr>
          <w:b w:val="0"/>
          <w:color w:val="231F20"/>
        </w:rPr>
        <w:t>connecting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network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sectors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leaders;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</w:p>
    <w:p>
      <w:pPr>
        <w:pStyle w:val="BodyText"/>
        <w:spacing w:before="1"/>
        <w:ind w:left="673"/>
        <w:rPr>
          <w:b w:val="0"/>
        </w:rPr>
      </w:pPr>
      <w:r>
        <w:rPr>
          <w:rFonts w:ascii="Apercu" w:hAnsi="Apercu"/>
          <w:b/>
          <w:color w:val="243B7D"/>
          <w:sz w:val="18"/>
        </w:rPr>
        <w:t>›</w:t>
      </w:r>
      <w:r>
        <w:rPr>
          <w:rFonts w:ascii="Apercu" w:hAnsi="Apercu"/>
          <w:b/>
          <w:color w:val="243B7D"/>
          <w:spacing w:val="41"/>
          <w:sz w:val="18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inspired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by,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other.</w:t>
      </w:r>
    </w:p>
    <w:p>
      <w:pPr>
        <w:pStyle w:val="BodyText"/>
        <w:spacing w:line="192" w:lineRule="auto" w:before="102"/>
        <w:ind w:left="673" w:right="3294"/>
        <w:rPr>
          <w:b w:val="0"/>
        </w:rPr>
      </w:pPr>
      <w:r>
        <w:rPr>
          <w:b w:val="0"/>
          <w:color w:val="231F20"/>
        </w:rPr>
        <w:t>By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2019,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most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had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completed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five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some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cases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elective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well.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benefited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staff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impressive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matter knowledge and who were passionate about delivering the material in a way that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engaged and challenged us. Many guest presenters had generously shared their thoughts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ideas with us and provided unique insights into public administration from executive,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policy,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political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perspectives.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learnt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much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other!</w:t>
      </w:r>
    </w:p>
    <w:p>
      <w:pPr>
        <w:pStyle w:val="BodyText"/>
        <w:spacing w:line="192" w:lineRule="auto" w:before="114"/>
        <w:ind w:left="673" w:right="3282"/>
        <w:rPr>
          <w:b w:val="0"/>
        </w:rPr>
      </w:pPr>
      <w:r>
        <w:rPr>
          <w:b w:val="0"/>
          <w:color w:val="231F20"/>
        </w:rPr>
        <w:t>Then in 2020, the world changed, and effective public administration became even more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critical. COVID transformed the work demands of our cohort in many ways, including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frontline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responses,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developing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additional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community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redesigning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already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learnt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doubt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helped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navigate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these</w:t>
      </w:r>
    </w:p>
    <w:p>
      <w:pPr>
        <w:pStyle w:val="BodyText"/>
        <w:spacing w:line="192" w:lineRule="auto"/>
        <w:ind w:left="673" w:right="2914"/>
        <w:rPr>
          <w:b w:val="0"/>
        </w:rPr>
      </w:pPr>
      <w:r>
        <w:rPr>
          <w:b w:val="0"/>
          <w:color w:val="231F20"/>
        </w:rPr>
        <w:t>unexpected circumstances. COVID also required changes to the EMPA, with our cohort’s last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needing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reimagined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remarkable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were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effective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were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given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quickly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change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mode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made.</w:t>
      </w:r>
    </w:p>
    <w:p>
      <w:pPr>
        <w:pStyle w:val="BodyText"/>
        <w:spacing w:line="192" w:lineRule="auto" w:before="114"/>
        <w:ind w:left="673" w:right="3374"/>
        <w:rPr>
          <w:b w:val="0"/>
        </w:rPr>
      </w:pPr>
      <w:r>
        <w:rPr>
          <w:b w:val="0"/>
          <w:color w:val="231F20"/>
        </w:rPr>
        <w:t>The EMPA has undoubtedly been tough for our cohort, with COVID compounding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difficulties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balancing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work,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whatever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else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came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up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lives.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incredibly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rewarding.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much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course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itself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peers.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feel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much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more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comfortable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role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–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aspects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delivering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better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public value – because of the EMPA. It will also help in any future changes I may seek in my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work role or public sector organisation. I have absolutely achieved my goals for the course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 know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this 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case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across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2019 cohort.</w:t>
      </w:r>
    </w:p>
    <w:p>
      <w:pPr>
        <w:pStyle w:val="BodyText"/>
        <w:spacing w:line="192" w:lineRule="auto" w:before="113"/>
        <w:ind w:left="673" w:right="3464"/>
        <w:rPr>
          <w:b w:val="0"/>
        </w:rPr>
      </w:pPr>
      <w:r>
        <w:rPr>
          <w:b w:val="0"/>
          <w:color w:val="231F20"/>
        </w:rPr>
        <w:t>Our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cohort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truly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remarkable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time.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success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Aotearoa-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New Zealand and Australia of our COVID responses shows what the public sector can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achieve.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But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challenges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collectively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face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bigger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than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ever.</w:t>
      </w:r>
    </w:p>
    <w:p>
      <w:pPr>
        <w:pStyle w:val="BodyText"/>
        <w:spacing w:line="204" w:lineRule="exact"/>
        <w:ind w:left="673"/>
        <w:rPr>
          <w:b w:val="0"/>
        </w:rPr>
      </w:pPr>
      <w:r>
        <w:rPr>
          <w:b w:val="0"/>
          <w:color w:val="231F20"/>
        </w:rPr>
        <w:t>Whether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it’s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climate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change,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economic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recovery,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geo-political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uncertainty,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gender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equity</w:t>
      </w:r>
    </w:p>
    <w:p>
      <w:pPr>
        <w:pStyle w:val="BodyText"/>
        <w:spacing w:line="192" w:lineRule="auto" w:before="16"/>
        <w:ind w:left="673" w:right="3246"/>
        <w:rPr>
          <w:b w:val="0"/>
        </w:rPr>
      </w:pPr>
      <w:r>
        <w:rPr>
          <w:b w:val="0"/>
          <w:color w:val="231F20"/>
        </w:rPr>
        <w:t>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Indigenous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disadvantage,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citizens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depending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effective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tackle these challenges.</w:t>
      </w:r>
    </w:p>
    <w:p>
      <w:pPr>
        <w:pStyle w:val="BodyText"/>
        <w:spacing w:line="192" w:lineRule="auto" w:before="114"/>
        <w:ind w:left="673" w:right="3346"/>
        <w:rPr>
          <w:b w:val="0"/>
        </w:rPr>
      </w:pPr>
      <w:r>
        <w:rPr>
          <w:b w:val="0"/>
          <w:color w:val="231F20"/>
        </w:rPr>
        <w:t>I am optimistic that the public sector is up to the task because of the inspirational current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future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during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course.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privilege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share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journey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with the 2019 cohort.</w:t>
      </w:r>
    </w:p>
    <w:p>
      <w:pPr>
        <w:pStyle w:val="BodyText"/>
        <w:spacing w:before="12"/>
        <w:rPr>
          <w:b w:val="0"/>
          <w:sz w:val="27"/>
        </w:rPr>
      </w:pPr>
    </w:p>
    <w:p>
      <w:pPr>
        <w:spacing w:before="1"/>
        <w:ind w:left="2488" w:right="0" w:firstLine="0"/>
        <w:jc w:val="left"/>
        <w:rPr>
          <w:rFonts w:ascii="Apercu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720001</wp:posOffset>
            </wp:positionH>
            <wp:positionV relativeFrom="paragraph">
              <wp:posOffset>-82605</wp:posOffset>
            </wp:positionV>
            <wp:extent cx="960247" cy="977391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247" cy="97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ercu"/>
          <w:b/>
          <w:color w:val="231F20"/>
          <w:sz w:val="19"/>
        </w:rPr>
        <w:t>James</w:t>
      </w:r>
      <w:r>
        <w:rPr>
          <w:rFonts w:ascii="Apercu"/>
          <w:b/>
          <w:color w:val="231F20"/>
          <w:spacing w:val="-3"/>
          <w:sz w:val="19"/>
        </w:rPr>
        <w:t> </w:t>
      </w:r>
      <w:r>
        <w:rPr>
          <w:rFonts w:ascii="Apercu"/>
          <w:b/>
          <w:color w:val="231F20"/>
          <w:sz w:val="19"/>
        </w:rPr>
        <w:t>Goodwin</w:t>
      </w:r>
    </w:p>
    <w:p>
      <w:pPr>
        <w:pStyle w:val="BodyText"/>
        <w:spacing w:line="247" w:lineRule="exact" w:before="58"/>
        <w:ind w:left="2488"/>
        <w:rPr>
          <w:b w:val="0"/>
        </w:rPr>
      </w:pPr>
      <w:r>
        <w:rPr>
          <w:b w:val="0"/>
          <w:color w:val="231F20"/>
        </w:rPr>
        <w:t>Director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Regulatory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Operations</w:t>
      </w:r>
    </w:p>
    <w:p>
      <w:pPr>
        <w:pStyle w:val="BodyText"/>
        <w:spacing w:line="247" w:lineRule="exact"/>
        <w:ind w:left="2488"/>
        <w:rPr>
          <w:b w:val="0"/>
        </w:rPr>
      </w:pPr>
      <w:r>
        <w:rPr>
          <w:b w:val="0"/>
          <w:color w:val="231F20"/>
        </w:rPr>
        <w:t>Operations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Division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NSW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Environment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Protection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Authority</w:t>
      </w:r>
    </w:p>
    <w:p>
      <w:pPr>
        <w:spacing w:after="0" w:line="247" w:lineRule="exact"/>
        <w:sectPr>
          <w:footerReference w:type="default" r:id="rId16"/>
          <w:pgSz w:w="11910" w:h="16840"/>
          <w:pgMar w:footer="555" w:header="0" w:top="1580" w:bottom="740" w:left="460" w:right="0"/>
        </w:sectPr>
      </w:pPr>
    </w:p>
    <w:p>
      <w:pPr>
        <w:pStyle w:val="Heading1"/>
        <w:numPr>
          <w:ilvl w:val="0"/>
          <w:numId w:val="2"/>
        </w:numPr>
        <w:tabs>
          <w:tab w:pos="1145" w:val="left" w:leader="none"/>
        </w:tabs>
        <w:spacing w:line="240" w:lineRule="auto" w:before="9" w:after="0"/>
        <w:ind w:left="1144" w:right="0" w:hanging="472"/>
        <w:jc w:val="left"/>
        <w:rPr>
          <w:b w:val="0"/>
        </w:rPr>
      </w:pPr>
      <w:bookmarkStart w:name="_TOC_250034" w:id="7"/>
      <w:bookmarkStart w:name="2. Executive Summary" w:id="8"/>
      <w:r>
        <w:rPr/>
      </w:r>
      <w:bookmarkEnd w:id="8"/>
      <w:bookmarkStart w:name="2. Executive Summary" w:id="9"/>
      <w:r>
        <w:rPr>
          <w:b w:val="0"/>
          <w:color w:val="243B7D"/>
          <w:spacing w:val="-6"/>
        </w:rPr>
        <w:t>E</w:t>
      </w:r>
      <w:r>
        <w:rPr>
          <w:b w:val="0"/>
          <w:color w:val="243B7D"/>
          <w:spacing w:val="-6"/>
        </w:rPr>
        <w:t>xecutive</w:t>
      </w:r>
      <w:r>
        <w:rPr>
          <w:b w:val="0"/>
          <w:color w:val="243B7D"/>
          <w:spacing w:val="-19"/>
        </w:rPr>
        <w:t> </w:t>
      </w:r>
      <w:bookmarkEnd w:id="7"/>
      <w:r>
        <w:rPr>
          <w:b w:val="0"/>
          <w:color w:val="243B7D"/>
          <w:spacing w:val="-5"/>
        </w:rPr>
        <w:t>Summary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2"/>
        <w:rPr>
          <w:rFonts w:ascii="Domus Semibold"/>
          <w:b w:val="0"/>
          <w:sz w:val="24"/>
        </w:rPr>
      </w:pPr>
    </w:p>
    <w:p>
      <w:pPr>
        <w:pStyle w:val="BodyText"/>
        <w:spacing w:line="192" w:lineRule="auto" w:before="138"/>
        <w:ind w:left="673" w:right="3180"/>
        <w:rPr>
          <w:b w:val="0"/>
        </w:rPr>
      </w:pPr>
      <w:r>
        <w:rPr>
          <w:b w:val="0"/>
          <w:color w:val="231F20"/>
        </w:rPr>
        <w:t>This report summarises the key activities and outcomes of ANZSOG’s EMPA program for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year.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fulfils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commitment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transparency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reporting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quality assurance data and information relevant to the compliance requirements of 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 partners.</w:t>
      </w:r>
    </w:p>
    <w:p>
      <w:pPr>
        <w:pStyle w:val="BodyText"/>
        <w:spacing w:line="192" w:lineRule="auto" w:before="114"/>
        <w:ind w:left="673" w:right="3450"/>
        <w:rPr>
          <w:b w:val="0"/>
        </w:rPr>
      </w:pPr>
      <w:r>
        <w:rPr>
          <w:b w:val="0"/>
          <w:color w:val="231F20"/>
        </w:rPr>
        <w:t>Two notable achievements of the past year have been ANZSOG’s success in ensuring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continuity in delivery of the EMPA including sustaining enrolment numbers during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Covid-19 pandemic, and embedding the program’s enhanced governance and quality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developed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throughout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consultation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partners.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Other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covered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include:</w:t>
      </w:r>
    </w:p>
    <w:p>
      <w:pPr>
        <w:pStyle w:val="BodyText"/>
        <w:spacing w:line="192" w:lineRule="auto" w:before="102"/>
        <w:ind w:left="843" w:right="3795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transitioning 4 first-year subjects and 3 second-year subjects to online delivery 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evaluating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options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future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blended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(section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3.1)</w:t>
      </w:r>
    </w:p>
    <w:p>
      <w:pPr>
        <w:pStyle w:val="BodyText"/>
        <w:spacing w:line="192" w:lineRule="auto" w:before="114"/>
        <w:ind w:left="843" w:right="3902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contributions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workshop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sessions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current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(Academic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Director’s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opening statement)</w:t>
      </w:r>
    </w:p>
    <w:p>
      <w:pPr>
        <w:pStyle w:val="BodyText"/>
        <w:spacing w:line="192" w:lineRule="auto" w:before="113"/>
        <w:ind w:left="843" w:right="3958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developing a new comprehensive online orientation module for program entrants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(section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3.2)</w:t>
      </w:r>
    </w:p>
    <w:p>
      <w:pPr>
        <w:pStyle w:val="BodyText"/>
        <w:spacing w:line="192" w:lineRule="auto" w:before="114"/>
        <w:ind w:left="843" w:right="3279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confirming program compliance with higher education standards through an independent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expert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review (section 3.3)</w:t>
      </w:r>
    </w:p>
    <w:p>
      <w:pPr>
        <w:pStyle w:val="BodyText"/>
        <w:spacing w:line="192" w:lineRule="auto" w:before="113"/>
        <w:ind w:left="843" w:right="3758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convening a new EMPA Academic Advisory Council with senior academic and quality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representatives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(section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6.4)</w:t>
      </w:r>
    </w:p>
    <w:p>
      <w:pPr>
        <w:pStyle w:val="BodyText"/>
        <w:spacing w:line="192" w:lineRule="auto" w:before="114"/>
        <w:ind w:left="673" w:right="3381"/>
        <w:rPr>
          <w:b w:val="0"/>
        </w:rPr>
      </w:pPr>
      <w:r>
        <w:rPr>
          <w:b w:val="0"/>
          <w:color w:val="231F20"/>
        </w:rPr>
        <w:t>There were 96 students enrolled in the EMPA program across jurisdictions in Australia 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Aotearoa-New Zealand with an increase in the proportion of female students making up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58% of the cohort. Approximately 74 per cent of the students have more than 10 years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professional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average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age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42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years.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Most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admitted to the program had a minimum prior education level of a bachelor’s degree with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19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holding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master’s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degree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doctorate.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continued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</w:t>
      </w:r>
    </w:p>
    <w:p>
      <w:pPr>
        <w:pStyle w:val="BodyText"/>
        <w:spacing w:line="192" w:lineRule="auto"/>
        <w:ind w:left="673" w:right="3166"/>
        <w:rPr>
          <w:b w:val="0"/>
        </w:rPr>
      </w:pPr>
      <w:r>
        <w:rPr>
          <w:b w:val="0"/>
          <w:color w:val="231F20"/>
        </w:rPr>
        <w:t>overall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high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performance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weighted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average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mark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(WAM)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first-year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79.8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per cent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71.7 per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 second-year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students.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(section 5)</w:t>
      </w:r>
    </w:p>
    <w:p>
      <w:pPr>
        <w:pStyle w:val="BodyText"/>
        <w:spacing w:line="192" w:lineRule="auto" w:before="113"/>
        <w:ind w:left="673" w:right="3129"/>
        <w:rPr>
          <w:b w:val="0"/>
        </w:rPr>
      </w:pPr>
      <w:r>
        <w:rPr>
          <w:b w:val="0"/>
          <w:color w:val="231F20"/>
        </w:rPr>
        <w:t>ANZSOG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continues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engage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annual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evaluations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core subject delivery through activities outlined in section 4.3. The aim is to ensure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continuous improvement in the currency, rigour and relevance of subject content,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effective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engagement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participation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activities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assessments.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ANZSOG promotes opportunities to further elevate the voice of EMPA students and alumni,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one example is the introduction of a valedictory statement from the Dean’s Prize winner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first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report that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become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 annual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feature.</w:t>
      </w:r>
    </w:p>
    <w:p>
      <w:pPr>
        <w:pStyle w:val="BodyText"/>
        <w:spacing w:line="192" w:lineRule="auto" w:before="114"/>
        <w:ind w:left="673" w:right="3681"/>
        <w:rPr>
          <w:b w:val="0"/>
        </w:rPr>
      </w:pPr>
      <w:r>
        <w:rPr>
          <w:b w:val="0"/>
          <w:color w:val="231F20"/>
        </w:rPr>
        <w:t>Comparative international assessments place the program among the world’s leading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degrees.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commissions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active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collaboration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guidance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conferring</w:t>
      </w:r>
    </w:p>
    <w:p>
      <w:pPr>
        <w:pStyle w:val="BodyText"/>
        <w:spacing w:line="192" w:lineRule="auto"/>
        <w:ind w:left="673" w:right="3184"/>
        <w:rPr>
          <w:b w:val="0"/>
        </w:rPr>
      </w:pPr>
      <w:r>
        <w:rPr>
          <w:b w:val="0"/>
          <w:color w:val="231F20"/>
        </w:rPr>
        <w:t>universities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ongoing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contribution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outstanding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scholars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 EMPA core subject leaders (section 4.4) have been critical to the success of ANZSOG’s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 this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year.</w:t>
      </w:r>
    </w:p>
    <w:p>
      <w:pPr>
        <w:spacing w:after="0" w:line="192" w:lineRule="auto"/>
        <w:sectPr>
          <w:footerReference w:type="default" r:id="rId18"/>
          <w:pgSz w:w="11910" w:h="16840"/>
          <w:pgMar w:footer="555" w:header="0" w:top="920" w:bottom="740" w:left="460" w:right="0"/>
        </w:sectPr>
      </w:pPr>
    </w:p>
    <w:p>
      <w:pPr>
        <w:pStyle w:val="Heading1"/>
        <w:numPr>
          <w:ilvl w:val="0"/>
          <w:numId w:val="2"/>
        </w:numPr>
        <w:tabs>
          <w:tab w:pos="1151" w:val="left" w:leader="none"/>
        </w:tabs>
        <w:spacing w:line="240" w:lineRule="auto" w:before="9" w:after="0"/>
        <w:ind w:left="1150" w:right="0" w:hanging="478"/>
        <w:jc w:val="left"/>
        <w:rPr>
          <w:b w:val="0"/>
        </w:rPr>
      </w:pPr>
      <w:bookmarkStart w:name="_TOC_250033" w:id="10"/>
      <w:bookmarkStart w:name="3. 2020 Activities and Outcomes" w:id="11"/>
      <w:r>
        <w:rPr/>
      </w:r>
      <w:bookmarkEnd w:id="11"/>
      <w:bookmarkStart w:name="3. 2020 Activities and Outcomes" w:id="12"/>
      <w:r>
        <w:rPr>
          <w:b w:val="0"/>
          <w:color w:val="243B7D"/>
          <w:spacing w:val="-5"/>
        </w:rPr>
        <w:t>2</w:t>
      </w:r>
      <w:r>
        <w:rPr>
          <w:b w:val="0"/>
          <w:color w:val="243B7D"/>
          <w:spacing w:val="-5"/>
        </w:rPr>
        <w:t>020</w:t>
      </w:r>
      <w:r>
        <w:rPr>
          <w:b w:val="0"/>
          <w:color w:val="243B7D"/>
          <w:spacing w:val="-22"/>
        </w:rPr>
        <w:t> </w:t>
      </w:r>
      <w:r>
        <w:rPr>
          <w:b w:val="0"/>
          <w:color w:val="243B7D"/>
          <w:spacing w:val="-5"/>
        </w:rPr>
        <w:t>Activities</w:t>
      </w:r>
      <w:r>
        <w:rPr>
          <w:b w:val="0"/>
          <w:color w:val="243B7D"/>
          <w:spacing w:val="-22"/>
        </w:rPr>
        <w:t> </w:t>
      </w:r>
      <w:r>
        <w:rPr>
          <w:b w:val="0"/>
          <w:color w:val="243B7D"/>
          <w:spacing w:val="-5"/>
        </w:rPr>
        <w:t>and</w:t>
      </w:r>
      <w:r>
        <w:rPr>
          <w:b w:val="0"/>
          <w:color w:val="243B7D"/>
          <w:spacing w:val="-21"/>
        </w:rPr>
        <w:t> </w:t>
      </w:r>
      <w:bookmarkEnd w:id="10"/>
      <w:r>
        <w:rPr>
          <w:b w:val="0"/>
          <w:color w:val="243B7D"/>
          <w:spacing w:val="-5"/>
        </w:rPr>
        <w:t>Outcomes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8"/>
        <w:rPr>
          <w:rFonts w:ascii="Domus Semibold"/>
          <w:b w:val="0"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136" w:val="left" w:leader="none"/>
        </w:tabs>
        <w:spacing w:line="470" w:lineRule="exact" w:before="47" w:after="0"/>
        <w:ind w:left="1135" w:right="0" w:hanging="463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Program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Delivery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Update</w:t>
      </w:r>
    </w:p>
    <w:p>
      <w:pPr>
        <w:spacing w:line="470" w:lineRule="exact" w:before="0"/>
        <w:ind w:left="673" w:right="0" w:firstLine="0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5"/>
          <w:sz w:val="40"/>
        </w:rPr>
        <w:t>-</w:t>
      </w:r>
      <w:r>
        <w:rPr>
          <w:rFonts w:ascii="Domus Semibold"/>
          <w:b w:val="0"/>
          <w:color w:val="243B7D"/>
          <w:spacing w:val="-11"/>
          <w:sz w:val="40"/>
        </w:rPr>
        <w:t> </w:t>
      </w:r>
      <w:r>
        <w:rPr>
          <w:rFonts w:ascii="Domus Semibold"/>
          <w:b w:val="0"/>
          <w:color w:val="243B7D"/>
          <w:spacing w:val="-5"/>
          <w:sz w:val="40"/>
        </w:rPr>
        <w:t>Evaluation</w:t>
      </w:r>
      <w:r>
        <w:rPr>
          <w:rFonts w:ascii="Domus Semibold"/>
          <w:b w:val="0"/>
          <w:color w:val="243B7D"/>
          <w:spacing w:val="-11"/>
          <w:sz w:val="40"/>
        </w:rPr>
        <w:t> </w:t>
      </w:r>
      <w:r>
        <w:rPr>
          <w:rFonts w:ascii="Domus Semibold"/>
          <w:b w:val="0"/>
          <w:color w:val="243B7D"/>
          <w:spacing w:val="-4"/>
          <w:sz w:val="40"/>
        </w:rPr>
        <w:t>of</w:t>
      </w:r>
      <w:r>
        <w:rPr>
          <w:rFonts w:ascii="Domus Semibold"/>
          <w:b w:val="0"/>
          <w:color w:val="243B7D"/>
          <w:spacing w:val="-11"/>
          <w:sz w:val="40"/>
        </w:rPr>
        <w:t> </w:t>
      </w:r>
      <w:r>
        <w:rPr>
          <w:rFonts w:ascii="Domus Semibold"/>
          <w:b w:val="0"/>
          <w:color w:val="243B7D"/>
          <w:spacing w:val="-4"/>
          <w:sz w:val="40"/>
        </w:rPr>
        <w:t>Online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4"/>
          <w:sz w:val="40"/>
        </w:rPr>
        <w:t>Transition</w:t>
      </w:r>
    </w:p>
    <w:p>
      <w:pPr>
        <w:pStyle w:val="BodyText"/>
        <w:spacing w:line="192" w:lineRule="auto" w:before="197"/>
        <w:ind w:left="673" w:right="3264"/>
        <w:rPr>
          <w:b w:val="0"/>
        </w:rPr>
      </w:pPr>
      <w:r>
        <w:rPr>
          <w:b w:val="0"/>
          <w:color w:val="231F20"/>
        </w:rPr>
        <w:t>This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account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transition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process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residential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for the majority of core subjects of the EMPA delivered in 2020. The discussion and analysis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focus on the subject evaluation process, student responses, the experiences of faculty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adopted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improvements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 future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practice.</w:t>
      </w:r>
    </w:p>
    <w:p>
      <w:pPr>
        <w:spacing w:before="104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Approach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to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teaching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in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the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EMPA</w:t>
      </w:r>
    </w:p>
    <w:p>
      <w:pPr>
        <w:pStyle w:val="BodyText"/>
        <w:spacing w:line="247" w:lineRule="exact" w:before="63"/>
        <w:ind w:left="673"/>
        <w:rPr>
          <w:b w:val="0"/>
        </w:rPr>
      </w:pP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based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residential,</w:t>
      </w:r>
    </w:p>
    <w:p>
      <w:pPr>
        <w:pStyle w:val="BodyText"/>
        <w:spacing w:line="192" w:lineRule="auto" w:before="16"/>
        <w:ind w:left="673" w:right="3148"/>
        <w:rPr>
          <w:b w:val="0"/>
        </w:rPr>
      </w:pPr>
      <w:r>
        <w:rPr>
          <w:b w:val="0"/>
          <w:color w:val="231F20"/>
        </w:rPr>
        <w:t>face-to-face delivery. Each subject has traditionally involved the convening of around 75-100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EMPA students in one location for a four-day intensive delivery. This allowed EMPA students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servants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effectively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‘separate’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workplace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focus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content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residential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mode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enabled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develop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networks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build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cohorts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span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jurisdictions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Aotearoa</w:t>
      </w:r>
    </w:p>
    <w:p>
      <w:pPr>
        <w:pStyle w:val="BodyText"/>
        <w:spacing w:line="192" w:lineRule="auto" w:before="1"/>
        <w:ind w:left="673" w:right="3467"/>
        <w:rPr>
          <w:b w:val="0"/>
        </w:rPr>
      </w:pPr>
      <w:r>
        <w:rPr>
          <w:b w:val="0"/>
          <w:color w:val="231F20"/>
        </w:rPr>
        <w:t>-New Zealand. The face-to-face interaction and residential context helped progress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collaboration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teamwork,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facilitated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syndicate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build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unique</w:t>
      </w:r>
      <w:r>
        <w:rPr>
          <w:b w:val="0"/>
          <w:color w:val="231F20"/>
          <w:spacing w:val="-4"/>
        </w:rPr>
        <w:t> </w:t>
      </w:r>
      <w:r>
        <w:rPr>
          <w:b w:val="0"/>
          <w:i/>
          <w:color w:val="231F20"/>
        </w:rPr>
        <w:t>esprit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i/>
          <w:color w:val="231F20"/>
        </w:rPr>
        <w:t>de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i/>
          <w:color w:val="231F20"/>
        </w:rPr>
        <w:t>corps</w:t>
      </w:r>
      <w:r>
        <w:rPr>
          <w:b w:val="0"/>
          <w:i/>
          <w:color w:val="231F20"/>
          <w:spacing w:val="-44"/>
        </w:rPr>
        <w:t> </w:t>
      </w:r>
      <w:r>
        <w:rPr>
          <w:b w:val="0"/>
          <w:color w:val="231F20"/>
        </w:rPr>
        <w:t>amongst each annual cohort of students. Subject deliveries were held in Melbourne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(University of Melbourne), Sydney (University of New South Wales), Canberra (Australian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National University), Wellington, Aotearoa-New Zealand (Victoria University of Wellington),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Singapore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(LKY, National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 Singapore).</w:t>
      </w:r>
    </w:p>
    <w:p>
      <w:pPr>
        <w:pStyle w:val="BodyText"/>
        <w:spacing w:line="192" w:lineRule="auto" w:before="113"/>
        <w:ind w:left="673" w:right="3385"/>
        <w:rPr>
          <w:b w:val="0"/>
        </w:rPr>
      </w:pPr>
      <w:r>
        <w:rPr>
          <w:b w:val="0"/>
          <w:color w:val="231F20"/>
        </w:rPr>
        <w:t>With the advent of COVID, domestic and international travel ceased and the convening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large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groups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face-to-face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prohibited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governments.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subsequently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pivoted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100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delivery.</w:t>
      </w:r>
    </w:p>
    <w:p>
      <w:pPr>
        <w:spacing w:before="105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EMPA</w:t>
      </w:r>
      <w:r>
        <w:rPr>
          <w:rFonts w:ascii="Domus Semibold"/>
          <w:b w:val="0"/>
          <w:color w:val="231F20"/>
          <w:spacing w:val="-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Delivery</w:t>
      </w:r>
      <w:r>
        <w:rPr>
          <w:rFonts w:ascii="Domus Semibold"/>
          <w:b w:val="0"/>
          <w:color w:val="231F20"/>
          <w:spacing w:val="-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2020</w:t>
      </w:r>
    </w:p>
    <w:p>
      <w:pPr>
        <w:pStyle w:val="BodyText"/>
        <w:spacing w:line="192" w:lineRule="auto" w:before="106"/>
        <w:ind w:left="673" w:right="3198"/>
        <w:rPr>
          <w:b w:val="0"/>
        </w:rPr>
      </w:pPr>
      <w:r>
        <w:rPr>
          <w:b w:val="0"/>
          <w:color w:val="231F20"/>
        </w:rPr>
        <w:t>During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convene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residential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face-to-face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subjects,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one for first-year students </w:t>
      </w:r>
      <w:r>
        <w:rPr>
          <w:b w:val="0"/>
          <w:i/>
          <w:color w:val="231F20"/>
        </w:rPr>
        <w:t>(Delivery Public Value) </w:t>
      </w:r>
      <w:r>
        <w:rPr>
          <w:b w:val="0"/>
          <w:color w:val="231F20"/>
        </w:rPr>
        <w:t>and the other for second-year students</w:t>
      </w:r>
      <w:r>
        <w:rPr>
          <w:b w:val="0"/>
          <w:color w:val="231F20"/>
          <w:spacing w:val="1"/>
        </w:rPr>
        <w:t> </w:t>
      </w:r>
      <w:r>
        <w:rPr>
          <w:b w:val="0"/>
          <w:i/>
          <w:color w:val="231F20"/>
        </w:rPr>
        <w:t>(Governing by the Rules)</w:t>
      </w:r>
      <w:r>
        <w:rPr>
          <w:b w:val="0"/>
          <w:color w:val="231F20"/>
        </w:rPr>
        <w:t>. Following the place-based delivery of these two subjects, program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paused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while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content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converted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100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cent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delivery.</w:t>
      </w:r>
    </w:p>
    <w:p>
      <w:pPr>
        <w:pStyle w:val="BodyText"/>
        <w:spacing w:line="192" w:lineRule="auto" w:before="1"/>
        <w:ind w:left="673" w:right="3513"/>
        <w:rPr>
          <w:b w:val="0"/>
        </w:rPr>
      </w:pPr>
      <w:r>
        <w:rPr>
          <w:b w:val="0"/>
          <w:color w:val="231F20"/>
        </w:rPr>
        <w:t>This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involved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transition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four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first-year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(Government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Market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Economy,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Decision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Making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Uncertainty,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Designing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Managing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Public Sector Organisations) and three second-year subjects (Leading Public Sector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Change,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Based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Project).</w:t>
      </w:r>
    </w:p>
    <w:p>
      <w:pPr>
        <w:spacing w:before="161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Subject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Development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and</w:t>
      </w:r>
      <w:r>
        <w:rPr>
          <w:rFonts w:ascii="Domus Semibold"/>
          <w:b w:val="0"/>
          <w:color w:val="231F20"/>
          <w:spacing w:val="-1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Online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Delivery</w:t>
      </w:r>
    </w:p>
    <w:p>
      <w:pPr>
        <w:pStyle w:val="BodyText"/>
        <w:spacing w:line="192" w:lineRule="auto" w:before="106"/>
        <w:ind w:left="673" w:right="3283"/>
        <w:rPr>
          <w:b w:val="0"/>
        </w:rPr>
      </w:pPr>
      <w:r>
        <w:rPr>
          <w:b w:val="0"/>
          <w:color w:val="231F20"/>
        </w:rPr>
        <w:t>To achieve an effective and engaging learning format for postgraduate online delivery,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ANZSOG engaged experts in education technologies to work with Subject Leaders in 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conversion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material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methodologies.</w:t>
      </w:r>
    </w:p>
    <w:p>
      <w:pPr>
        <w:pStyle w:val="BodyText"/>
        <w:spacing w:line="192" w:lineRule="auto"/>
        <w:ind w:left="673" w:right="3144"/>
        <w:rPr>
          <w:b w:val="0"/>
        </w:rPr>
      </w:pPr>
      <w:r>
        <w:rPr>
          <w:b w:val="0"/>
          <w:color w:val="231F20"/>
        </w:rPr>
        <w:t>Each Subject Leader was engaged in one-on-one coaching to assist with the revision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content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activities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tasks.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format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remained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consistent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volume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achieved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</w:p>
    <w:p>
      <w:pPr>
        <w:pStyle w:val="BodyText"/>
        <w:spacing w:line="192" w:lineRule="auto" w:before="1"/>
        <w:ind w:left="673" w:right="3291"/>
        <w:jc w:val="both"/>
        <w:rPr>
          <w:b w:val="0"/>
        </w:rPr>
      </w:pPr>
      <w:r>
        <w:rPr>
          <w:b w:val="0"/>
          <w:color w:val="231F20"/>
        </w:rPr>
        <w:t>four-day residential however, live online teaching was scheduled for one day a week over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four-week period. ANZSOG engaged technical support teams consisting of internal staff 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well as contracted expertise for each subject delivery. This included direct student support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participation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troubleshooting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delivery.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 core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subjects commenced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 23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June 2020.</w:t>
      </w:r>
    </w:p>
    <w:p>
      <w:pPr>
        <w:spacing w:before="104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Subject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Evaluation</w:t>
      </w:r>
    </w:p>
    <w:p>
      <w:pPr>
        <w:pStyle w:val="BodyText"/>
        <w:spacing w:line="192" w:lineRule="auto" w:before="107"/>
        <w:ind w:left="673" w:right="3180"/>
        <w:rPr>
          <w:b w:val="0"/>
        </w:rPr>
      </w:pPr>
      <w:r>
        <w:rPr>
          <w:b w:val="0"/>
          <w:color w:val="231F20"/>
        </w:rPr>
        <w:t>Throughout 2020 ANZSOG committed to a continuous process of evaluation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improvement of its online delivery of subjects. After the first day of live online delivery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each subject, ANZSOG staff conducted a ‘pulse check’ evaluation to obtain feedback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experience,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engagement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identification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areas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concern.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leader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reviewed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feedback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initial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evaluations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addressed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major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concerns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making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immediate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adjustments,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where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possible,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delivery,</w:t>
      </w:r>
    </w:p>
    <w:p>
      <w:pPr>
        <w:spacing w:after="0" w:line="192" w:lineRule="auto"/>
        <w:sectPr>
          <w:footerReference w:type="default" r:id="rId19"/>
          <w:pgSz w:w="11910" w:h="16840"/>
          <w:pgMar w:footer="555" w:header="0" w:top="92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line="192" w:lineRule="auto" w:before="138"/>
        <w:ind w:left="673" w:right="3461"/>
        <w:rPr>
          <w:b w:val="0"/>
        </w:rPr>
      </w:pPr>
      <w:r>
        <w:rPr>
          <w:b w:val="0"/>
          <w:color w:val="231F20"/>
        </w:rPr>
        <w:t>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providing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additional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process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day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‘pulse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checks’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now been integrated into standard practice and is part of the 2021 subject delivery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management arrangements.</w:t>
      </w:r>
    </w:p>
    <w:p>
      <w:pPr>
        <w:pStyle w:val="BodyText"/>
        <w:spacing w:line="192" w:lineRule="auto" w:before="114"/>
        <w:ind w:left="673" w:right="3676"/>
        <w:rPr>
          <w:b w:val="0"/>
        </w:rPr>
      </w:pPr>
      <w:r>
        <w:rPr>
          <w:b w:val="0"/>
          <w:color w:val="231F20"/>
        </w:rPr>
        <w:t>A comprehensive evaluation was then conducted at the conclusion of each subject.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collected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feedback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regard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presentation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line;</w:t>
      </w:r>
    </w:p>
    <w:p>
      <w:pPr>
        <w:pStyle w:val="BodyText"/>
        <w:spacing w:line="192" w:lineRule="auto"/>
        <w:ind w:left="673" w:right="3266"/>
        <w:rPr>
          <w:b w:val="0"/>
        </w:rPr>
      </w:pPr>
      <w:r>
        <w:rPr>
          <w:b w:val="0"/>
          <w:color w:val="231F20"/>
        </w:rPr>
        <w:t>subject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delivery;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experience;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guest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speakers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presenters;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matters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objectives/achievements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subject. Detailed feedback was also collected on the student experience and familiarisation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with subject technology (the LMS, zoom etc). Subject evaluations included qualitative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comments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quantitative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scores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key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aspects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experience.</w:t>
      </w:r>
    </w:p>
    <w:p>
      <w:pPr>
        <w:pStyle w:val="BodyText"/>
        <w:spacing w:line="192" w:lineRule="auto" w:before="113"/>
        <w:ind w:left="673" w:right="3313"/>
        <w:rPr>
          <w:b w:val="0"/>
        </w:rPr>
      </w:pPr>
      <w:r>
        <w:rPr>
          <w:b w:val="0"/>
          <w:color w:val="231F20"/>
        </w:rPr>
        <w:t>On average, the subject evaluation reports contained 23 pages of qualitative feedback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quantitative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scores.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results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evaluation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informed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subsequent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(where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relevant),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valuable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feedback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considered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improvements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2021.</w:t>
      </w:r>
    </w:p>
    <w:p>
      <w:pPr>
        <w:spacing w:before="162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Feedback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to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Subject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Leaders</w:t>
      </w:r>
    </w:p>
    <w:p>
      <w:pPr>
        <w:pStyle w:val="BodyText"/>
        <w:spacing w:line="192" w:lineRule="auto" w:before="106"/>
        <w:ind w:left="673" w:right="3277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closely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Leader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facilitating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introduction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technology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experts,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coaching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sessions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then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scheduling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plan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progress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conversion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material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interactive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format.</w:t>
      </w:r>
    </w:p>
    <w:p>
      <w:pPr>
        <w:pStyle w:val="BodyText"/>
        <w:spacing w:line="192" w:lineRule="auto"/>
        <w:ind w:left="673" w:right="3230"/>
        <w:rPr>
          <w:b w:val="0"/>
        </w:rPr>
      </w:pP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one-on-one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meetings,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collectively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discuss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share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ideas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on their experience and approaches to the subject transition process as well as online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teaching. The first meeting of Subject Leaders was held on 4 June 2020 where experiences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were shared, particularly from the first Subject Leader, Professor Paul 't Hart who was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completing the online transition of his subject, </w:t>
      </w:r>
      <w:r>
        <w:rPr>
          <w:b w:val="0"/>
          <w:i/>
          <w:color w:val="231F20"/>
        </w:rPr>
        <w:t>Leading Public Sector Change</w:t>
      </w:r>
      <w:r>
        <w:rPr>
          <w:b w:val="0"/>
          <w:color w:val="231F20"/>
        </w:rPr>
        <w:t>. This subject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was the first fully online subject delivered by ANZSOG over June/July 2020. Following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completion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second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meeting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held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28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July</w:t>
      </w:r>
    </w:p>
    <w:p>
      <w:pPr>
        <w:pStyle w:val="BodyText"/>
        <w:spacing w:line="192" w:lineRule="auto" w:before="1"/>
        <w:ind w:left="673" w:right="3402"/>
        <w:rPr>
          <w:b w:val="0"/>
        </w:rPr>
      </w:pP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discuss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adaptation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feedback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cohort. This discussion, including aspects of the formal student evaluation data, was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instructive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progressed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redesign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their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format.</w:t>
      </w:r>
    </w:p>
    <w:p>
      <w:pPr>
        <w:pStyle w:val="BodyText"/>
        <w:spacing w:line="192" w:lineRule="auto" w:before="101"/>
        <w:ind w:left="673" w:right="3138"/>
        <w:rPr>
          <w:b w:val="0"/>
        </w:rPr>
      </w:pPr>
      <w:r>
        <w:rPr>
          <w:b w:val="0"/>
          <w:color w:val="231F20"/>
        </w:rPr>
        <w:t>In addition to the collective discussions, formal subject evaluation meetings were held at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conclusion of each subject delivery with each Subject Lead, the Academic Director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staff.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meetings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opportunity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 formally review and respond to student evaluation data, comment on delivery and support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issues and discuss other matters that may have impacted on student learning. Relevant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insights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meetings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were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shared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Leads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scheduled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future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help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continuous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process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improvement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EMPA.</w:t>
      </w:r>
    </w:p>
    <w:p>
      <w:pPr>
        <w:pStyle w:val="BodyText"/>
        <w:spacing w:line="192" w:lineRule="auto" w:before="114"/>
        <w:ind w:left="673" w:right="3360"/>
        <w:rPr>
          <w:b w:val="0"/>
        </w:rPr>
      </w:pPr>
      <w:r>
        <w:rPr>
          <w:b w:val="0"/>
          <w:color w:val="231F20"/>
        </w:rPr>
        <w:t>Finally, end of year (3 December 2020) and beginning of year (8/9 February 2021) Subject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meetings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held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opportunity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reflexive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constructive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discussion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format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continue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improve.</w:t>
      </w:r>
    </w:p>
    <w:p>
      <w:pPr>
        <w:pStyle w:val="BodyText"/>
        <w:spacing w:line="192" w:lineRule="auto"/>
        <w:ind w:left="673" w:right="3240"/>
        <w:rPr>
          <w:b w:val="0"/>
        </w:rPr>
      </w:pPr>
      <w:r>
        <w:rPr>
          <w:b w:val="0"/>
          <w:color w:val="231F20"/>
        </w:rPr>
        <w:t>New practices and use of technology were discussed as well as different approaches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(e-portfolios),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utilisation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guest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speakers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panels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adaptations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applied in the online teaching context, such as discussion boards, quizzes and pre-session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videos. This has resulted in a range of new practices for 2021 for example, the online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technology allows the conclusion of a subject to include an introduction from the Subject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next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sequence.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related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themes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helps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strengthen the coherence and continuity of the program plan. Each subject will also include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 technical orientation session outside subject delivery time, so that students are familiar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 the online subject format, technologies and applications being used, and other regular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operational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aspects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addressed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Turnitin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assignment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submission.</w:t>
      </w:r>
    </w:p>
    <w:p>
      <w:pPr>
        <w:pStyle w:val="BodyText"/>
        <w:spacing w:line="192" w:lineRule="auto" w:before="1"/>
        <w:ind w:left="673" w:right="3428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meetings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instructive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sustaining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improvement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process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core subjects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EMPA.</w:t>
      </w:r>
    </w:p>
    <w:p>
      <w:pPr>
        <w:spacing w:after="0" w:line="192" w:lineRule="auto"/>
        <w:sectPr>
          <w:footerReference w:type="default" r:id="rId20"/>
          <w:pgSz w:w="11910" w:h="16840"/>
          <w:pgMar w:footer="555" w:header="0" w:top="1580" w:bottom="740" w:left="460" w:right="0"/>
          <w:pgNumType w:start="1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spacing w:before="63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Evaluation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Results</w:t>
      </w:r>
    </w:p>
    <w:p>
      <w:pPr>
        <w:pStyle w:val="BodyText"/>
        <w:spacing w:line="192" w:lineRule="auto" w:before="106"/>
        <w:ind w:left="673" w:right="3379"/>
        <w:rPr>
          <w:b w:val="0"/>
        </w:rPr>
      </w:pPr>
      <w:r>
        <w:rPr>
          <w:rFonts w:ascii="Apercu"/>
          <w:b/>
          <w:i/>
          <w:color w:val="231F20"/>
        </w:rPr>
        <w:t>Transition to online learning: </w:t>
      </w:r>
      <w:r>
        <w:rPr>
          <w:b w:val="0"/>
          <w:color w:val="231F20"/>
        </w:rPr>
        <w:t>An early concern in the transition process was the extent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adapting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format,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navigate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effectively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associated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technologies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central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participation</w:t>
      </w:r>
    </w:p>
    <w:p>
      <w:pPr>
        <w:pStyle w:val="BodyText"/>
        <w:spacing w:line="192" w:lineRule="auto" w:before="1"/>
        <w:ind w:left="673" w:right="3319"/>
        <w:rPr>
          <w:b w:val="0"/>
        </w:rPr>
      </w:pP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teacher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interaction.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tables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present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scores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response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questions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regarding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navigating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system,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Canvas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using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Zoom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 technology for synchronise subject delivery and participation. The data is presented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sequential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order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first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year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second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year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cohorts.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incremental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increase in scores over time indicates that students became increasingly familiar with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online learning platform and the associated technology. See for example the second-year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experience with </w:t>
      </w:r>
      <w:r>
        <w:rPr>
          <w:b w:val="0"/>
          <w:i/>
          <w:color w:val="231F20"/>
        </w:rPr>
        <w:t>Submitting assignments </w:t>
      </w:r>
      <w:r>
        <w:rPr>
          <w:b w:val="0"/>
          <w:color w:val="231F20"/>
        </w:rPr>
        <w:t>and the experience of both years with </w:t>
      </w:r>
      <w:r>
        <w:rPr>
          <w:b w:val="0"/>
          <w:i/>
          <w:color w:val="231F20"/>
        </w:rPr>
        <w:t>Navigating</w:t>
      </w:r>
      <w:r>
        <w:rPr>
          <w:b w:val="0"/>
          <w:i/>
          <w:color w:val="231F20"/>
          <w:spacing w:val="1"/>
        </w:rPr>
        <w:t> </w:t>
      </w:r>
      <w:r>
        <w:rPr>
          <w:b w:val="0"/>
          <w:i/>
          <w:color w:val="231F20"/>
        </w:rPr>
        <w:t>the</w:t>
      </w:r>
      <w:r>
        <w:rPr>
          <w:b w:val="0"/>
          <w:i/>
          <w:color w:val="231F20"/>
          <w:spacing w:val="-6"/>
        </w:rPr>
        <w:t> </w:t>
      </w:r>
      <w:r>
        <w:rPr>
          <w:b w:val="0"/>
          <w:i/>
          <w:color w:val="231F20"/>
        </w:rPr>
        <w:t>subject</w:t>
      </w:r>
      <w:r>
        <w:rPr>
          <w:b w:val="0"/>
          <w:i/>
          <w:color w:val="231F20"/>
          <w:spacing w:val="-6"/>
        </w:rPr>
        <w:t> </w:t>
      </w:r>
      <w:r>
        <w:rPr>
          <w:b w:val="0"/>
          <w:i/>
          <w:color w:val="231F20"/>
        </w:rPr>
        <w:t>space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scores for </w:t>
      </w:r>
      <w:r>
        <w:rPr>
          <w:b w:val="0"/>
          <w:i/>
          <w:color w:val="231F20"/>
        </w:rPr>
        <w:t>Difficulty</w:t>
      </w:r>
      <w:r>
        <w:rPr>
          <w:b w:val="0"/>
          <w:i/>
          <w:color w:val="231F20"/>
          <w:spacing w:val="-6"/>
        </w:rPr>
        <w:t> </w:t>
      </w:r>
      <w:r>
        <w:rPr>
          <w:b w:val="0"/>
          <w:i/>
          <w:color w:val="231F20"/>
        </w:rPr>
        <w:t>with</w:t>
      </w:r>
      <w:r>
        <w:rPr>
          <w:b w:val="0"/>
          <w:i/>
          <w:color w:val="231F20"/>
          <w:spacing w:val="-6"/>
        </w:rPr>
        <w:t> </w:t>
      </w:r>
      <w:r>
        <w:rPr>
          <w:b w:val="0"/>
          <w:i/>
          <w:color w:val="231F20"/>
        </w:rPr>
        <w:t>zoom</w:t>
      </w:r>
      <w:r>
        <w:rPr>
          <w:b w:val="0"/>
          <w:i/>
          <w:color w:val="231F20"/>
          <w:spacing w:val="1"/>
        </w:rPr>
        <w:t> </w:t>
      </w:r>
      <w:r>
        <w:rPr>
          <w:b w:val="0"/>
          <w:color w:val="231F20"/>
        </w:rPr>
        <w:t>(blue highlights).</w:t>
      </w:r>
    </w:p>
    <w:p>
      <w:pPr>
        <w:spacing w:before="215"/>
        <w:ind w:left="673" w:right="0" w:firstLine="0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EMPA</w:t>
      </w:r>
      <w:r>
        <w:rPr>
          <w:rFonts w:ascii="Apercu"/>
          <w:b/>
          <w:color w:val="231F20"/>
          <w:spacing w:val="-8"/>
          <w:sz w:val="20"/>
        </w:rPr>
        <w:t> </w:t>
      </w:r>
      <w:r>
        <w:rPr>
          <w:rFonts w:ascii="Apercu"/>
          <w:b/>
          <w:color w:val="231F20"/>
          <w:sz w:val="20"/>
        </w:rPr>
        <w:t>2020</w:t>
      </w:r>
      <w:r>
        <w:rPr>
          <w:rFonts w:ascii="Apercu"/>
          <w:b/>
          <w:color w:val="231F20"/>
          <w:spacing w:val="-8"/>
          <w:sz w:val="20"/>
        </w:rPr>
        <w:t> </w:t>
      </w:r>
      <w:r>
        <w:rPr>
          <w:rFonts w:ascii="Apercu"/>
          <w:b/>
          <w:color w:val="231F20"/>
          <w:sz w:val="20"/>
        </w:rPr>
        <w:t>student</w:t>
      </w:r>
      <w:r>
        <w:rPr>
          <w:rFonts w:ascii="Apercu"/>
          <w:b/>
          <w:color w:val="231F20"/>
          <w:spacing w:val="-7"/>
          <w:sz w:val="20"/>
        </w:rPr>
        <w:t> </w:t>
      </w:r>
      <w:r>
        <w:rPr>
          <w:rFonts w:ascii="Apercu"/>
          <w:b/>
          <w:color w:val="231F20"/>
          <w:sz w:val="20"/>
        </w:rPr>
        <w:t>evaluation</w:t>
      </w:r>
      <w:r>
        <w:rPr>
          <w:rFonts w:ascii="Apercu"/>
          <w:b/>
          <w:color w:val="231F20"/>
          <w:spacing w:val="-8"/>
          <w:sz w:val="20"/>
        </w:rPr>
        <w:t> </w:t>
      </w:r>
      <w:r>
        <w:rPr>
          <w:rFonts w:ascii="Apercu"/>
          <w:b/>
          <w:color w:val="231F20"/>
          <w:sz w:val="20"/>
        </w:rPr>
        <w:t>comparison</w:t>
      </w:r>
      <w:r>
        <w:rPr>
          <w:rFonts w:ascii="Apercu"/>
          <w:b/>
          <w:color w:val="231F20"/>
          <w:spacing w:val="-7"/>
          <w:sz w:val="20"/>
        </w:rPr>
        <w:t> </w:t>
      </w:r>
      <w:r>
        <w:rPr>
          <w:rFonts w:ascii="Apercu"/>
          <w:b/>
          <w:color w:val="231F20"/>
          <w:sz w:val="20"/>
        </w:rPr>
        <w:t>-</w:t>
      </w:r>
      <w:r>
        <w:rPr>
          <w:rFonts w:ascii="Apercu"/>
          <w:b/>
          <w:color w:val="231F20"/>
          <w:spacing w:val="-8"/>
          <w:sz w:val="20"/>
        </w:rPr>
        <w:t> </w:t>
      </w:r>
      <w:r>
        <w:rPr>
          <w:rFonts w:ascii="Apercu"/>
          <w:b/>
          <w:color w:val="231F20"/>
          <w:sz w:val="20"/>
        </w:rPr>
        <w:t>familiarisation</w:t>
      </w:r>
      <w:r>
        <w:rPr>
          <w:rFonts w:ascii="Apercu"/>
          <w:b/>
          <w:color w:val="231F20"/>
          <w:spacing w:val="-8"/>
          <w:sz w:val="20"/>
        </w:rPr>
        <w:t> </w:t>
      </w:r>
      <w:r>
        <w:rPr>
          <w:rFonts w:ascii="Apercu"/>
          <w:b/>
          <w:color w:val="231F20"/>
          <w:sz w:val="20"/>
        </w:rPr>
        <w:t>with</w:t>
      </w:r>
      <w:r>
        <w:rPr>
          <w:rFonts w:ascii="Apercu"/>
          <w:b/>
          <w:color w:val="231F20"/>
          <w:spacing w:val="-7"/>
          <w:sz w:val="20"/>
        </w:rPr>
        <w:t> </w:t>
      </w:r>
      <w:r>
        <w:rPr>
          <w:rFonts w:ascii="Apercu"/>
          <w:b/>
          <w:color w:val="231F20"/>
          <w:sz w:val="20"/>
        </w:rPr>
        <w:t>technology</w:t>
      </w:r>
    </w:p>
    <w:p>
      <w:pPr>
        <w:pStyle w:val="BodyText"/>
        <w:spacing w:before="3" w:after="1"/>
        <w:rPr>
          <w:rFonts w:ascii="Apercu"/>
          <w:b/>
          <w:sz w:val="13"/>
        </w:rPr>
      </w:pPr>
    </w:p>
    <w:tbl>
      <w:tblPr>
        <w:tblW w:w="0" w:type="auto"/>
        <w:jc w:val="left"/>
        <w:tblInd w:w="68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793"/>
        <w:gridCol w:w="793"/>
        <w:gridCol w:w="793"/>
        <w:gridCol w:w="793"/>
        <w:gridCol w:w="793"/>
        <w:gridCol w:w="793"/>
        <w:gridCol w:w="796"/>
      </w:tblGrid>
      <w:tr>
        <w:trPr>
          <w:trHeight w:val="330" w:hRule="atLeast"/>
        </w:trPr>
        <w:tc>
          <w:tcPr>
            <w:tcW w:w="40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3" w:lineRule="auto" w:before="63"/>
              <w:ind w:left="102" w:right="84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 following are the mean scores for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ratings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based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scale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3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=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problem,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2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=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minor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problems,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1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=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major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problems</w:t>
            </w:r>
          </w:p>
        </w:tc>
        <w:tc>
          <w:tcPr>
            <w:tcW w:w="3172" w:type="dxa"/>
            <w:gridSpan w:val="4"/>
            <w:tcBorders>
              <w:top w:val="nil"/>
              <w:left w:val="nil"/>
            </w:tcBorders>
            <w:shd w:val="clear" w:color="auto" w:fill="243B7D"/>
          </w:tcPr>
          <w:p>
            <w:pPr>
              <w:pStyle w:val="TableParagraph"/>
              <w:spacing w:before="42"/>
              <w:ind w:left="8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First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year</w:t>
            </w:r>
            <w:r>
              <w:rPr>
                <w:rFonts w:ascii="Apercu"/>
                <w:b/>
                <w:color w:val="FFFFFF"/>
                <w:spacing w:val="-5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subjects</w:t>
            </w:r>
          </w:p>
        </w:tc>
        <w:tc>
          <w:tcPr>
            <w:tcW w:w="2382" w:type="dxa"/>
            <w:gridSpan w:val="3"/>
            <w:tcBorders>
              <w:top w:val="nil"/>
              <w:right w:val="nil"/>
            </w:tcBorders>
            <w:shd w:val="clear" w:color="auto" w:fill="243B7D"/>
          </w:tcPr>
          <w:p>
            <w:pPr>
              <w:pStyle w:val="TableParagraph"/>
              <w:spacing w:before="42"/>
              <w:ind w:left="36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Second</w:t>
            </w:r>
            <w:r>
              <w:rPr>
                <w:rFonts w:ascii="Apercu"/>
                <w:b/>
                <w:color w:val="FFFFFF"/>
                <w:spacing w:val="-4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year</w:t>
            </w:r>
            <w:r>
              <w:rPr>
                <w:rFonts w:ascii="Apercu"/>
                <w:b/>
                <w:color w:val="FFFFFF"/>
                <w:spacing w:val="-3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subjects</w:t>
            </w:r>
          </w:p>
        </w:tc>
      </w:tr>
      <w:tr>
        <w:trPr>
          <w:trHeight w:val="424" w:hRule="atLeast"/>
        </w:trPr>
        <w:tc>
          <w:tcPr>
            <w:tcW w:w="407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tcBorders>
              <w:left w:val="nil"/>
            </w:tcBorders>
            <w:shd w:val="clear" w:color="auto" w:fill="5BCBF5"/>
          </w:tcPr>
          <w:p>
            <w:pPr>
              <w:pStyle w:val="TableParagraph"/>
              <w:spacing w:before="34"/>
              <w:ind w:right="102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GME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102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DMUU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101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DPPP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100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MPSO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99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LPSC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99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PFM</w:t>
            </w:r>
          </w:p>
        </w:tc>
        <w:tc>
          <w:tcPr>
            <w:tcW w:w="796" w:type="dxa"/>
            <w:tcBorders>
              <w:right w:val="nil"/>
            </w:tcBorders>
            <w:shd w:val="clear" w:color="auto" w:fill="5BCBF5"/>
          </w:tcPr>
          <w:p>
            <w:pPr>
              <w:pStyle w:val="TableParagraph"/>
              <w:spacing w:before="34"/>
              <w:ind w:right="109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WBP</w:t>
            </w:r>
          </w:p>
        </w:tc>
      </w:tr>
      <w:tr>
        <w:trPr>
          <w:trHeight w:val="548" w:hRule="atLeast"/>
        </w:trPr>
        <w:tc>
          <w:tcPr>
            <w:tcW w:w="4079" w:type="dxa"/>
            <w:tcBorders>
              <w:top w:val="nil"/>
              <w:left w:val="nil"/>
              <w:bottom w:val="single" w:sz="2" w:space="0" w:color="243B7D"/>
              <w:right w:val="nil"/>
            </w:tcBorders>
            <w:shd w:val="clear" w:color="auto" w:fill="00A650"/>
          </w:tcPr>
          <w:p>
            <w:pPr>
              <w:pStyle w:val="TableParagraph"/>
              <w:spacing w:line="213" w:lineRule="auto" w:before="56"/>
              <w:ind w:left="102" w:right="806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Please indicate if you had any problems</w:t>
            </w:r>
            <w:r>
              <w:rPr>
                <w:rFonts w:ascii="Apercu"/>
                <w:b/>
                <w:color w:val="FFFFFF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completing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the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following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tasks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in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Canvas:</w:t>
            </w:r>
          </w:p>
        </w:tc>
        <w:tc>
          <w:tcPr>
            <w:tcW w:w="793" w:type="dxa"/>
            <w:tcBorders>
              <w:left w:val="nil"/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78" w:right="81" w:firstLine="128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Aug/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Sep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74" w:right="78" w:firstLine="6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Sept/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Oct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62" w:right="77" w:firstLine="146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Oct/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56" w:right="73" w:firstLine="14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Dec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47" w:right="71" w:firstLine="71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June/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July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64" w:right="75" w:firstLine="146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Oct/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6" w:type="dxa"/>
            <w:tcBorders>
              <w:bottom w:val="single" w:sz="2" w:space="0" w:color="243B7D"/>
              <w:right w:val="nil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59" w:right="80" w:firstLine="14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Dec</w:t>
            </w:r>
            <w:r>
              <w:rPr>
                <w:rFonts w:ascii="Apercu Medium"/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Submitting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assignments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2.94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2.09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2.98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2.96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2.45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3.00</w:t>
            </w:r>
          </w:p>
        </w:tc>
        <w:tc>
          <w:tcPr>
            <w:tcW w:w="796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2.90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Checking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subject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schedule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and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due</w:t>
            </w:r>
            <w:r>
              <w:rPr>
                <w:rFonts w:ascii="Apercu Medium"/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dates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2.85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2.59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2.78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2.91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2.00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2.93</w:t>
            </w:r>
          </w:p>
        </w:tc>
        <w:tc>
          <w:tcPr>
            <w:tcW w:w="796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2.59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Participating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in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discussions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2.78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2.85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2.78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2.93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2.71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2.72</w:t>
            </w:r>
          </w:p>
        </w:tc>
        <w:tc>
          <w:tcPr>
            <w:tcW w:w="796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2.75</w:t>
            </w:r>
          </w:p>
        </w:tc>
      </w:tr>
      <w:tr>
        <w:trPr>
          <w:trHeight w:val="553" w:hRule="atLeast"/>
        </w:trPr>
        <w:tc>
          <w:tcPr>
            <w:tcW w:w="4079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line="213" w:lineRule="auto" w:before="61"/>
              <w:ind w:left="102" w:right="923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Communicating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with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Subject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Leader</w:t>
            </w:r>
            <w:r>
              <w:rPr>
                <w:rFonts w:ascii="Apercu Medium"/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and/or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ANZSOG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staff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2.94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2.97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2.94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2.93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2.86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2.93</w:t>
            </w:r>
          </w:p>
        </w:tc>
        <w:tc>
          <w:tcPr>
            <w:tcW w:w="796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2.94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Learning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to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use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Canvas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2.80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2.53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2.77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2.89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2.44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2.86</w:t>
            </w:r>
          </w:p>
        </w:tc>
        <w:tc>
          <w:tcPr>
            <w:tcW w:w="796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Accessing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subject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materials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2.78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2.70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2.86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2.78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2.49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0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2.72</w:t>
            </w:r>
          </w:p>
        </w:tc>
        <w:tc>
          <w:tcPr>
            <w:tcW w:w="796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Navigating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subject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space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2.58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2.21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2.71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2.80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2.20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0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2.70</w:t>
            </w:r>
          </w:p>
        </w:tc>
        <w:tc>
          <w:tcPr>
            <w:tcW w:w="796" w:type="dxa"/>
            <w:tcBorders>
              <w:top w:val="single" w:sz="2" w:space="0" w:color="243B7D"/>
              <w:left w:val="nil"/>
              <w:bottom w:val="single" w:sz="2" w:space="0" w:color="243B7D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124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</w:tbl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3"/>
        <w:rPr>
          <w:rFonts w:ascii="Apercu"/>
          <w:b/>
          <w:sz w:val="26"/>
        </w:rPr>
      </w:pPr>
    </w:p>
    <w:tbl>
      <w:tblPr>
        <w:tblW w:w="0" w:type="auto"/>
        <w:jc w:val="left"/>
        <w:tblInd w:w="68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793"/>
        <w:gridCol w:w="793"/>
        <w:gridCol w:w="793"/>
        <w:gridCol w:w="793"/>
        <w:gridCol w:w="793"/>
        <w:gridCol w:w="793"/>
        <w:gridCol w:w="795"/>
      </w:tblGrid>
      <w:tr>
        <w:trPr>
          <w:trHeight w:val="323" w:hRule="atLeast"/>
        </w:trPr>
        <w:tc>
          <w:tcPr>
            <w:tcW w:w="407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91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GME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90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DMUU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90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DPPP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89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MPSO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88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LPSC</w:t>
            </w:r>
          </w:p>
        </w:tc>
        <w:tc>
          <w:tcPr>
            <w:tcW w:w="793" w:type="dxa"/>
            <w:shd w:val="clear" w:color="auto" w:fill="5BCBF5"/>
          </w:tcPr>
          <w:p>
            <w:pPr>
              <w:pStyle w:val="TableParagraph"/>
              <w:spacing w:before="34"/>
              <w:ind w:right="87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PFM</w:t>
            </w:r>
          </w:p>
        </w:tc>
        <w:tc>
          <w:tcPr>
            <w:tcW w:w="795" w:type="dxa"/>
            <w:tcBorders>
              <w:right w:val="nil"/>
            </w:tcBorders>
            <w:shd w:val="clear" w:color="auto" w:fill="5BCBF5"/>
          </w:tcPr>
          <w:p>
            <w:pPr>
              <w:pStyle w:val="TableParagraph"/>
              <w:spacing w:before="34"/>
              <w:ind w:right="96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WBP</w:t>
            </w:r>
          </w:p>
        </w:tc>
      </w:tr>
      <w:tr>
        <w:trPr>
          <w:trHeight w:val="548" w:hRule="atLeast"/>
        </w:trPr>
        <w:tc>
          <w:tcPr>
            <w:tcW w:w="4079" w:type="dxa"/>
            <w:tcBorders>
              <w:left w:val="nil"/>
              <w:bottom w:val="single" w:sz="2" w:space="0" w:color="231F20"/>
            </w:tcBorders>
            <w:shd w:val="clear" w:color="auto" w:fill="00A650"/>
          </w:tcPr>
          <w:p>
            <w:pPr>
              <w:pStyle w:val="TableParagraph"/>
              <w:spacing w:line="213" w:lineRule="auto" w:before="56"/>
              <w:ind w:left="102" w:right="64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Did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you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experience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any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difficulties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with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the</w:t>
            </w:r>
            <w:r>
              <w:rPr>
                <w:rFonts w:ascii="Apercu"/>
                <w:b/>
                <w:color w:val="FFFFFF"/>
                <w:spacing w:val="-39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Zoom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technology?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71" w:right="80" w:firstLine="128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Aug/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Sep</w:t>
            </w:r>
            <w:r>
              <w:rPr>
                <w:rFonts w:ascii="Apercu Medium"/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74" w:right="78" w:firstLine="6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Sept/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Oct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62" w:right="77" w:firstLine="146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Oct/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56" w:right="73" w:firstLine="14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Dec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47" w:right="71" w:firstLine="71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June/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July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bottom w:val="single" w:sz="2" w:space="0" w:color="243B7D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64" w:right="75" w:firstLine="146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Oct/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5" w:type="dxa"/>
            <w:tcBorders>
              <w:bottom w:val="single" w:sz="2" w:space="0" w:color="243B7D"/>
              <w:right w:val="single" w:sz="2" w:space="0" w:color="231F20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59" w:right="77" w:firstLine="14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Dec</w:t>
            </w:r>
            <w:r>
              <w:rPr>
                <w:rFonts w:ascii="Apercu Medium"/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None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31F20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56.76%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31F20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67.65%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31F20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66.15%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31F20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73.91%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31F20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61.18%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bottom w:val="single" w:sz="2" w:space="0" w:color="231F20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65.52%</w:t>
            </w:r>
          </w:p>
        </w:tc>
        <w:tc>
          <w:tcPr>
            <w:tcW w:w="795" w:type="dxa"/>
            <w:tcBorders>
              <w:top w:val="single" w:sz="2" w:space="0" w:color="243B7D"/>
              <w:left w:val="nil"/>
              <w:bottom w:val="single" w:sz="2" w:space="0" w:color="231F20"/>
              <w:right w:val="nil"/>
            </w:tcBorders>
            <w:shd w:val="clear" w:color="auto" w:fill="E4E3EC"/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58.21%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Network</w:t>
            </w:r>
            <w:r>
              <w:rPr>
                <w:rFonts w:ascii="Apercu Medium"/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connection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10.81%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17.65%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24.62%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21.74%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27.06%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20.69%</w:t>
            </w:r>
          </w:p>
        </w:tc>
        <w:tc>
          <w:tcPr>
            <w:tcW w:w="7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14.93%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Audio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or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webcam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not</w:t>
            </w:r>
            <w:r>
              <w:rPr>
                <w:rFonts w:ascii="Apercu Medium"/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working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2.70%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2.94%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6.15%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0%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4.71%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3.45%</w:t>
            </w:r>
          </w:p>
        </w:tc>
        <w:tc>
          <w:tcPr>
            <w:tcW w:w="7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4.48%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Unable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to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use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technology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features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5.41%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8.82%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3.05%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2.17%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4.71%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0.00%</w:t>
            </w:r>
          </w:p>
        </w:tc>
        <w:tc>
          <w:tcPr>
            <w:tcW w:w="7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2.99%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Other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24.30%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2.94%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0.00%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2.17%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2.35%</w:t>
            </w:r>
          </w:p>
        </w:tc>
        <w:tc>
          <w:tcPr>
            <w:tcW w:w="793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10.35%</w:t>
            </w:r>
          </w:p>
        </w:tc>
        <w:tc>
          <w:tcPr>
            <w:tcW w:w="795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19.40%</w:t>
            </w:r>
          </w:p>
        </w:tc>
      </w:tr>
    </w:tbl>
    <w:p>
      <w:pPr>
        <w:spacing w:after="0"/>
        <w:jc w:val="right"/>
        <w:rPr>
          <w:sz w:val="17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10"/>
        <w:rPr>
          <w:rFonts w:ascii="Apercu"/>
          <w:b/>
          <w:sz w:val="14"/>
        </w:rPr>
      </w:pPr>
    </w:p>
    <w:p>
      <w:pPr>
        <w:pStyle w:val="BodyText"/>
        <w:spacing w:line="192" w:lineRule="auto" w:before="138"/>
        <w:ind w:left="673" w:right="3131"/>
        <w:rPr>
          <w:b w:val="0"/>
        </w:rPr>
      </w:pPr>
      <w:r>
        <w:rPr>
          <w:rFonts w:ascii="Apercu"/>
          <w:b/>
          <w:i/>
          <w:color w:val="231F20"/>
        </w:rPr>
        <w:t>Pulse Check Evaluation Data: </w:t>
      </w:r>
      <w:r>
        <w:rPr>
          <w:b w:val="0"/>
          <w:color w:val="231F20"/>
        </w:rPr>
        <w:t>As outlined above, the pulse check evaluations after day one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delivery of each subject were an important source of information to gauge how students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were engaging with the subject and the online format, and to also identify any immediate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challenges or problems that Subject Leaders and ANZSOG support staff could address.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following table presents quantitative scores across some of the key indicators measured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day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delivery.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indicates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scores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full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range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subjects remain relatively high (above 4 on a 5 point scale), though </w:t>
      </w:r>
      <w:r>
        <w:rPr>
          <w:b w:val="0"/>
          <w:i/>
          <w:color w:val="231F20"/>
        </w:rPr>
        <w:t>Achieving an appropriate</w:t>
      </w:r>
      <w:r>
        <w:rPr>
          <w:b w:val="0"/>
          <w:i/>
          <w:color w:val="231F20"/>
          <w:spacing w:val="1"/>
        </w:rPr>
        <w:t> </w:t>
      </w:r>
      <w:r>
        <w:rPr>
          <w:b w:val="0"/>
          <w:i/>
          <w:color w:val="231F20"/>
        </w:rPr>
        <w:t>balance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in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</w:rPr>
        <w:t>workload</w:t>
      </w:r>
      <w:r>
        <w:rPr>
          <w:b w:val="0"/>
          <w:i/>
          <w:color w:val="231F20"/>
          <w:spacing w:val="-2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problematic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relatively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low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score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number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subjects.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This</w:t>
      </w:r>
    </w:p>
    <w:p>
      <w:pPr>
        <w:pStyle w:val="BodyText"/>
        <w:spacing w:line="192" w:lineRule="auto"/>
        <w:ind w:left="673" w:right="3104"/>
        <w:rPr>
          <w:b w:val="0"/>
        </w:rPr>
      </w:pPr>
      <w:r>
        <w:rPr>
          <w:b w:val="0"/>
          <w:color w:val="231F20"/>
        </w:rPr>
        <w:t>sentiment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repeated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qualitative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comments.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cohorts,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comment was regularly made about the challenges of balancing study and work demands,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particularly for students from jurisdictions with extensive lockdown periods and those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undertaking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home schooling.</w:t>
      </w:r>
    </w:p>
    <w:p>
      <w:pPr>
        <w:pStyle w:val="BodyText"/>
        <w:spacing w:before="13"/>
        <w:rPr>
          <w:b w:val="0"/>
          <w:sz w:val="14"/>
        </w:rPr>
      </w:pPr>
    </w:p>
    <w:p>
      <w:pPr>
        <w:spacing w:before="0"/>
        <w:ind w:left="673" w:right="0" w:firstLine="0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Analysis</w:t>
      </w:r>
      <w:r>
        <w:rPr>
          <w:rFonts w:ascii="Apercu"/>
          <w:b/>
          <w:color w:val="231F20"/>
          <w:spacing w:val="-8"/>
          <w:sz w:val="20"/>
        </w:rPr>
        <w:t> </w:t>
      </w:r>
      <w:r>
        <w:rPr>
          <w:rFonts w:ascii="Apercu"/>
          <w:b/>
          <w:color w:val="231F20"/>
          <w:sz w:val="20"/>
        </w:rPr>
        <w:t>of</w:t>
      </w:r>
      <w:r>
        <w:rPr>
          <w:rFonts w:ascii="Apercu"/>
          <w:b/>
          <w:color w:val="231F20"/>
          <w:spacing w:val="-7"/>
          <w:sz w:val="20"/>
        </w:rPr>
        <w:t> </w:t>
      </w:r>
      <w:r>
        <w:rPr>
          <w:rFonts w:ascii="Apercu"/>
          <w:b/>
          <w:color w:val="231F20"/>
          <w:sz w:val="20"/>
        </w:rPr>
        <w:t>EMPA</w:t>
      </w:r>
      <w:r>
        <w:rPr>
          <w:rFonts w:ascii="Apercu"/>
          <w:b/>
          <w:color w:val="231F20"/>
          <w:spacing w:val="-7"/>
          <w:sz w:val="20"/>
        </w:rPr>
        <w:t> </w:t>
      </w:r>
      <w:r>
        <w:rPr>
          <w:rFonts w:ascii="Apercu"/>
          <w:b/>
          <w:color w:val="231F20"/>
          <w:sz w:val="20"/>
        </w:rPr>
        <w:t>subject</w:t>
      </w:r>
      <w:r>
        <w:rPr>
          <w:rFonts w:ascii="Apercu"/>
          <w:b/>
          <w:color w:val="231F20"/>
          <w:spacing w:val="-7"/>
          <w:sz w:val="20"/>
        </w:rPr>
        <w:t> </w:t>
      </w:r>
      <w:r>
        <w:rPr>
          <w:rFonts w:ascii="Apercu"/>
          <w:b/>
          <w:color w:val="231F20"/>
          <w:sz w:val="20"/>
        </w:rPr>
        <w:t>evaluations</w:t>
      </w:r>
    </w:p>
    <w:p>
      <w:pPr>
        <w:spacing w:before="204"/>
        <w:ind w:left="673" w:right="0" w:firstLine="0"/>
        <w:jc w:val="left"/>
        <w:rPr>
          <w:rFonts w:ascii="Domus Semibold"/>
          <w:b w:val="0"/>
          <w:sz w:val="20"/>
        </w:rPr>
      </w:pPr>
      <w:r>
        <w:rPr>
          <w:rFonts w:ascii="Domus Semibold"/>
          <w:b w:val="0"/>
          <w:color w:val="231F20"/>
          <w:sz w:val="20"/>
        </w:rPr>
        <w:t>Pulse</w:t>
      </w:r>
      <w:r>
        <w:rPr>
          <w:rFonts w:ascii="Domus Semibold"/>
          <w:b w:val="0"/>
          <w:color w:val="231F20"/>
          <w:spacing w:val="-2"/>
          <w:sz w:val="20"/>
        </w:rPr>
        <w:t> </w:t>
      </w:r>
      <w:r>
        <w:rPr>
          <w:rFonts w:ascii="Domus Semibold"/>
          <w:b w:val="0"/>
          <w:color w:val="231F20"/>
          <w:sz w:val="20"/>
        </w:rPr>
        <w:t>Check</w:t>
      </w:r>
      <w:r>
        <w:rPr>
          <w:rFonts w:ascii="Domus Semibold"/>
          <w:b w:val="0"/>
          <w:color w:val="231F20"/>
          <w:spacing w:val="-1"/>
          <w:sz w:val="20"/>
        </w:rPr>
        <w:t> </w:t>
      </w:r>
      <w:r>
        <w:rPr>
          <w:rFonts w:ascii="Domus Semibold"/>
          <w:b w:val="0"/>
          <w:color w:val="231F20"/>
          <w:sz w:val="20"/>
        </w:rPr>
        <w:t>Evaluation</w:t>
      </w:r>
    </w:p>
    <w:p>
      <w:pPr>
        <w:pStyle w:val="BodyText"/>
        <w:spacing w:before="5"/>
        <w:rPr>
          <w:rFonts w:ascii="Domus Semibold"/>
          <w:b w:val="0"/>
          <w:sz w:val="8"/>
        </w:rPr>
      </w:pPr>
    </w:p>
    <w:tbl>
      <w:tblPr>
        <w:tblW w:w="0" w:type="auto"/>
        <w:jc w:val="left"/>
        <w:tblInd w:w="68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793"/>
        <w:gridCol w:w="793"/>
        <w:gridCol w:w="793"/>
        <w:gridCol w:w="793"/>
        <w:gridCol w:w="793"/>
        <w:gridCol w:w="793"/>
        <w:gridCol w:w="793"/>
      </w:tblGrid>
      <w:tr>
        <w:trPr>
          <w:trHeight w:val="330" w:hRule="atLeast"/>
        </w:trPr>
        <w:tc>
          <w:tcPr>
            <w:tcW w:w="4079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rFonts w:ascii="Domus Semibold"/>
                <w:b w:val="0"/>
                <w:sz w:val="24"/>
              </w:rPr>
            </w:pPr>
          </w:p>
          <w:p>
            <w:pPr>
              <w:pStyle w:val="TableParagraph"/>
              <w:spacing w:line="213" w:lineRule="auto" w:before="0"/>
              <w:ind w:left="102" w:right="6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 following are the mean scores for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ratings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based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scale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5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=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strongly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agree,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4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=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agree,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3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=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neither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agree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nor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disagree,</w:t>
            </w:r>
          </w:p>
          <w:p>
            <w:pPr>
              <w:pStyle w:val="TableParagraph"/>
              <w:spacing w:line="228" w:lineRule="exact" w:before="0"/>
              <w:ind w:left="10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=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disagree,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1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=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strongly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disagree</w:t>
            </w:r>
          </w:p>
        </w:tc>
        <w:tc>
          <w:tcPr>
            <w:tcW w:w="3172" w:type="dxa"/>
            <w:gridSpan w:val="4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243B7D"/>
          </w:tcPr>
          <w:p>
            <w:pPr>
              <w:pStyle w:val="TableParagraph"/>
              <w:spacing w:before="42"/>
              <w:ind w:left="1336" w:right="1336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Year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1</w:t>
            </w:r>
          </w:p>
        </w:tc>
        <w:tc>
          <w:tcPr>
            <w:tcW w:w="2379" w:type="dxa"/>
            <w:gridSpan w:val="3"/>
            <w:tcBorders>
              <w:top w:val="nil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243B7D"/>
          </w:tcPr>
          <w:p>
            <w:pPr>
              <w:pStyle w:val="TableParagraph"/>
              <w:spacing w:before="42"/>
              <w:ind w:left="925" w:right="933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Year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407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right="102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GME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right="102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DMUU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right="101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DPPP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right="100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MPSO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right="99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LPSC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right="99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PFM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5BCBF5"/>
          </w:tcPr>
          <w:p>
            <w:pPr>
              <w:pStyle w:val="TableParagraph"/>
              <w:spacing w:before="34"/>
              <w:ind w:right="106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WBP</w:t>
            </w:r>
          </w:p>
        </w:tc>
      </w:tr>
      <w:tr>
        <w:trPr>
          <w:trHeight w:val="548" w:hRule="atLeast"/>
        </w:trPr>
        <w:tc>
          <w:tcPr>
            <w:tcW w:w="407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nil"/>
              <w:bottom w:val="single" w:sz="2" w:space="0" w:color="243B7D"/>
              <w:right w:val="single" w:sz="6" w:space="0" w:color="FFFFFF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67" w:right="92" w:firstLine="128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Aug/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Sep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2" w:space="0" w:color="243B7D"/>
              <w:right w:val="single" w:sz="6" w:space="0" w:color="FFFFFF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63" w:right="89" w:firstLine="6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Sept/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Oct</w:t>
            </w:r>
            <w:r>
              <w:rPr>
                <w:rFonts w:ascii="Apercu Medium"/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2" w:space="0" w:color="243B7D"/>
              <w:right w:val="single" w:sz="6" w:space="0" w:color="FFFFFF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50" w:right="89" w:firstLine="146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Oct/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2" w:space="0" w:color="243B7D"/>
              <w:right w:val="single" w:sz="6" w:space="0" w:color="FFFFFF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45" w:right="84" w:firstLine="14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Dec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2" w:space="0" w:color="243B7D"/>
              <w:right w:val="single" w:sz="6" w:space="0" w:color="FFFFFF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36" w:right="82" w:firstLine="71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June/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July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2" w:space="0" w:color="243B7D"/>
              <w:right w:val="single" w:sz="6" w:space="0" w:color="FFFFFF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52" w:right="87" w:firstLine="146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Oct/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2" w:space="0" w:color="243B7D"/>
              <w:right w:val="nil"/>
            </w:tcBorders>
            <w:shd w:val="clear" w:color="auto" w:fill="FFCB04"/>
          </w:tcPr>
          <w:p>
            <w:pPr>
              <w:pStyle w:val="TableParagraph"/>
              <w:spacing w:line="213" w:lineRule="auto" w:before="56"/>
              <w:ind w:left="147" w:right="89" w:firstLine="14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Nov/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Dec</w:t>
            </w:r>
            <w:r>
              <w:rPr>
                <w:rFonts w:ascii="Apercu Medium"/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20</w:t>
            </w:r>
          </w:p>
        </w:tc>
      </w:tr>
      <w:tr>
        <w:trPr>
          <w:trHeight w:val="553" w:hRule="atLeast"/>
        </w:trPr>
        <w:tc>
          <w:tcPr>
            <w:tcW w:w="40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3" w:lineRule="auto" w:before="61"/>
              <w:ind w:left="102" w:right="1000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design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of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live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day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is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well-paced</w:t>
            </w:r>
            <w:r>
              <w:rPr>
                <w:rFonts w:ascii="Apercu Medium"/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and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well-balanced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4.10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3.82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4.26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4.28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3.57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4.30</w:t>
            </w:r>
          </w:p>
        </w:tc>
        <w:tc>
          <w:tcPr>
            <w:tcW w:w="793" w:type="dxa"/>
            <w:tcBorders>
              <w:top w:val="single" w:sz="2" w:space="0" w:color="243B7D"/>
              <w:left w:val="nil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live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day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adds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value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to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my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learning</w:t>
            </w:r>
            <w:r>
              <w:rPr>
                <w:rFonts w:ascii="Apercu Medium"/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experience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4.44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3.95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4.31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4.28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3.87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4.32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  <w:tr>
        <w:trPr>
          <w:trHeight w:val="1213" w:hRule="atLeast"/>
        </w:trPr>
        <w:tc>
          <w:tcPr>
            <w:tcW w:w="40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3" w:lineRule="auto" w:before="61"/>
              <w:ind w:left="102" w:right="160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Given the time spent on the subject is now</w:t>
            </w:r>
            <w:r>
              <w:rPr>
                <w:rFonts w:ascii="Apercu Medium"/>
                <w:b w:val="0"/>
                <w:color w:val="231F20"/>
                <w:spacing w:val="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concentrated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prior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to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and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during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4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designated</w:t>
            </w:r>
            <w:r>
              <w:rPr>
                <w:rFonts w:ascii="Apercu Medium"/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learning days including the Orientation session,</w:t>
            </w:r>
            <w:r>
              <w:rPr>
                <w:rFonts w:ascii="Apercu Medium"/>
                <w:b w:val="0"/>
                <w:color w:val="231F20"/>
                <w:spacing w:val="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my first experience is</w:t>
            </w:r>
            <w:r>
              <w:rPr>
                <w:rFonts w:ascii="Apercu Medium"/>
                <w:b w:val="0"/>
                <w:color w:val="231F20"/>
                <w:spacing w:val="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that </w:t>
            </w:r>
            <w:r>
              <w:rPr>
                <w:rFonts w:ascii="Apercu Medium"/>
                <w:b w:val="0"/>
                <w:color w:val="231F20"/>
                <w:sz w:val="17"/>
                <w:u w:val="single" w:color="231F20"/>
              </w:rPr>
              <w:t>the workload is well</w:t>
            </w:r>
            <w:r>
              <w:rPr>
                <w:rFonts w:ascii="Apercu Medium"/>
                <w:b w:val="0"/>
                <w:color w:val="231F20"/>
                <w:spacing w:val="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  <w:u w:val="single" w:color="231F20"/>
              </w:rPr>
              <w:t>balanced</w:t>
            </w:r>
            <w:r>
              <w:rPr>
                <w:rFonts w:ascii="Apercu Medium"/>
                <w:b w:val="0"/>
                <w:color w:val="231F20"/>
                <w:sz w:val="17"/>
              </w:rPr>
              <w:t>?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3.82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2.86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3.88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4.19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2.17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3.23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  <w:tr>
        <w:trPr>
          <w:trHeight w:val="553" w:hRule="atLeast"/>
        </w:trPr>
        <w:tc>
          <w:tcPr>
            <w:tcW w:w="40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3" w:lineRule="auto" w:before="61"/>
              <w:ind w:left="102" w:right="2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The self directed online learning material for</w:t>
            </w:r>
            <w:r>
              <w:rPr>
                <w:rFonts w:ascii="Apercu Medium"/>
                <w:b w:val="0"/>
                <w:color w:val="231F20"/>
                <w:spacing w:val="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Module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1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was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helpful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preparation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for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live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class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4.36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3.64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4.15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4.21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11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3.81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  <w:tr>
        <w:trPr>
          <w:trHeight w:val="553" w:hRule="atLeast"/>
        </w:trPr>
        <w:tc>
          <w:tcPr>
            <w:tcW w:w="40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3" w:lineRule="auto" w:before="61"/>
              <w:ind w:left="102" w:right="69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I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was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supported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by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ANZSOG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to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successfully</w:t>
            </w:r>
            <w:r>
              <w:rPr>
                <w:rFonts w:ascii="Apercu Medium"/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study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online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4.31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3.73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4.15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4.14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3.57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4.02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  <w:tr>
        <w:trPr>
          <w:trHeight w:val="773" w:hRule="atLeast"/>
        </w:trPr>
        <w:tc>
          <w:tcPr>
            <w:tcW w:w="40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3" w:lineRule="auto" w:before="61"/>
              <w:ind w:left="102" w:right="1094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I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am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confident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with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using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required</w:t>
            </w:r>
            <w:r>
              <w:rPr>
                <w:rFonts w:ascii="Apercu Medium"/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technology platform to participate in</w:t>
            </w:r>
            <w:r>
              <w:rPr>
                <w:rFonts w:ascii="Apercu Medium"/>
                <w:b w:val="0"/>
                <w:color w:val="231F20"/>
                <w:spacing w:val="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subject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online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components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4.36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3.41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4.30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3.83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4.16</w:t>
            </w:r>
          </w:p>
        </w:tc>
        <w:tc>
          <w:tcPr>
            <w:tcW w:w="7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9"/>
              <w:ind w:right="11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</w:tbl>
    <w:p>
      <w:pPr>
        <w:spacing w:after="0"/>
        <w:jc w:val="right"/>
        <w:rPr>
          <w:sz w:val="17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11"/>
        <w:rPr>
          <w:rFonts w:ascii="Domus Semibold"/>
          <w:b w:val="0"/>
          <w:sz w:val="25"/>
        </w:rPr>
      </w:pPr>
    </w:p>
    <w:p>
      <w:pPr>
        <w:spacing w:line="192" w:lineRule="auto" w:before="138"/>
        <w:ind w:left="673" w:right="2914" w:firstLine="0"/>
        <w:jc w:val="left"/>
        <w:rPr>
          <w:b w:val="0"/>
          <w:sz w:val="19"/>
        </w:rPr>
      </w:pPr>
      <w:r>
        <w:rPr>
          <w:rFonts w:ascii="Apercu"/>
          <w:b/>
          <w:i/>
          <w:color w:val="231F20"/>
          <w:sz w:val="19"/>
        </w:rPr>
        <w:t>Subject Evaluation Data: </w:t>
      </w:r>
      <w:r>
        <w:rPr>
          <w:b w:val="0"/>
          <w:color w:val="231F20"/>
          <w:sz w:val="19"/>
        </w:rPr>
        <w:t>The following tables present a selection of scores from the subject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evaluations completed at the conclusion of each subject. Key indicators presented here relate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to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i/>
          <w:color w:val="231F20"/>
          <w:sz w:val="19"/>
        </w:rPr>
        <w:t>Overall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experience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of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the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subject</w:t>
      </w:r>
      <w:r>
        <w:rPr>
          <w:b w:val="0"/>
          <w:color w:val="231F20"/>
          <w:sz w:val="19"/>
        </w:rPr>
        <w:t>,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i/>
          <w:color w:val="231F20"/>
          <w:sz w:val="19"/>
        </w:rPr>
        <w:t>Value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of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the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learning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experience</w:t>
      </w:r>
      <w:r>
        <w:rPr>
          <w:b w:val="0"/>
          <w:i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and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Achievement</w:t>
      </w:r>
      <w:r>
        <w:rPr>
          <w:b w:val="0"/>
          <w:i/>
          <w:color w:val="231F20"/>
          <w:spacing w:val="-45"/>
          <w:sz w:val="19"/>
        </w:rPr>
        <w:t> </w:t>
      </w:r>
      <w:r>
        <w:rPr>
          <w:b w:val="0"/>
          <w:i/>
          <w:color w:val="231F20"/>
          <w:sz w:val="19"/>
        </w:rPr>
        <w:t>of learning outcomes</w:t>
      </w:r>
      <w:r>
        <w:rPr>
          <w:b w:val="0"/>
          <w:color w:val="231F20"/>
          <w:sz w:val="19"/>
        </w:rPr>
        <w:t>. It is pleasing to see these scores remain relatively high (above 4) and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consistent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color w:val="231F20"/>
          <w:sz w:val="19"/>
        </w:rPr>
        <w:t>with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positive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scores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color w:val="231F20"/>
          <w:sz w:val="19"/>
        </w:rPr>
        <w:t>achieved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by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residential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deliveries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color w:val="231F20"/>
          <w:sz w:val="19"/>
        </w:rPr>
        <w:t>in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previous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years.</w:t>
      </w:r>
    </w:p>
    <w:p>
      <w:pPr>
        <w:spacing w:line="233" w:lineRule="exact" w:before="190"/>
        <w:ind w:left="775" w:right="0" w:firstLine="0"/>
        <w:jc w:val="left"/>
        <w:rPr>
          <w:b w:val="0"/>
          <w:sz w:val="17"/>
        </w:rPr>
      </w:pPr>
      <w:r>
        <w:rPr>
          <w:b w:val="0"/>
          <w:color w:val="231F20"/>
          <w:sz w:val="17"/>
        </w:rPr>
        <w:t>The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following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are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the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mean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scores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for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the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ratings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based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on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a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scale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of</w:t>
      </w:r>
    </w:p>
    <w:p>
      <w:pPr>
        <w:spacing w:line="233" w:lineRule="exact" w:before="0"/>
        <w:ind w:left="775" w:right="0" w:firstLine="0"/>
        <w:jc w:val="left"/>
        <w:rPr>
          <w:b w:val="0"/>
          <w:sz w:val="17"/>
        </w:rPr>
      </w:pPr>
      <w:r>
        <w:rPr>
          <w:b w:val="0"/>
          <w:color w:val="231F20"/>
          <w:sz w:val="17"/>
        </w:rPr>
        <w:t>5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strongly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agree,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4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agree,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3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neither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agree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nor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disagree,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2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disagree,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1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strongly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disagree</w:t>
      </w:r>
    </w:p>
    <w:p>
      <w:pPr>
        <w:pStyle w:val="BodyText"/>
        <w:spacing w:before="1" w:after="1"/>
        <w:rPr>
          <w:b w:val="0"/>
          <w:sz w:val="9"/>
        </w:rPr>
      </w:pPr>
    </w:p>
    <w:tbl>
      <w:tblPr>
        <w:tblW w:w="0" w:type="auto"/>
        <w:jc w:val="left"/>
        <w:tblInd w:w="68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793"/>
        <w:gridCol w:w="793"/>
        <w:gridCol w:w="793"/>
        <w:gridCol w:w="793"/>
        <w:gridCol w:w="793"/>
        <w:gridCol w:w="793"/>
        <w:gridCol w:w="793"/>
      </w:tblGrid>
      <w:tr>
        <w:trPr>
          <w:trHeight w:val="328" w:hRule="atLeast"/>
        </w:trPr>
        <w:tc>
          <w:tcPr>
            <w:tcW w:w="4079" w:type="dxa"/>
            <w:tcBorders>
              <w:top w:val="nil"/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33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GME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212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DMUU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26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DPPP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238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MPSO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28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LPSC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35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PFM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33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WBP</w:t>
            </w:r>
          </w:p>
        </w:tc>
      </w:tr>
    </w:tbl>
    <w:p>
      <w:pPr>
        <w:pStyle w:val="BodyText"/>
        <w:spacing w:before="13"/>
        <w:rPr>
          <w:b w:val="0"/>
          <w:sz w:val="2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915"/>
        <w:gridCol w:w="804"/>
        <w:gridCol w:w="788"/>
        <w:gridCol w:w="794"/>
        <w:gridCol w:w="792"/>
        <w:gridCol w:w="793"/>
        <w:gridCol w:w="666"/>
      </w:tblGrid>
      <w:tr>
        <w:trPr>
          <w:trHeight w:val="510" w:hRule="atLeast"/>
        </w:trPr>
        <w:tc>
          <w:tcPr>
            <w:tcW w:w="4079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13" w:lineRule="auto" w:before="18"/>
              <w:ind w:left="102" w:right="914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subject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provided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valuable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learning</w:t>
            </w:r>
            <w:r>
              <w:rPr>
                <w:rFonts w:ascii="Apercu Medium"/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experience</w:t>
            </w:r>
          </w:p>
        </w:tc>
        <w:tc>
          <w:tcPr>
            <w:tcW w:w="915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right="220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4.49</w:t>
            </w:r>
          </w:p>
        </w:tc>
        <w:tc>
          <w:tcPr>
            <w:tcW w:w="804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right="231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4.00</w:t>
            </w:r>
          </w:p>
        </w:tc>
        <w:tc>
          <w:tcPr>
            <w:tcW w:w="788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left="214" w:right="205"/>
              <w:jc w:val="center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4.54</w:t>
            </w:r>
          </w:p>
        </w:tc>
        <w:tc>
          <w:tcPr>
            <w:tcW w:w="794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right="225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4.20</w:t>
            </w:r>
          </w:p>
        </w:tc>
        <w:tc>
          <w:tcPr>
            <w:tcW w:w="792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left="209" w:right="167"/>
              <w:jc w:val="center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4.41</w:t>
            </w:r>
          </w:p>
        </w:tc>
        <w:tc>
          <w:tcPr>
            <w:tcW w:w="793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left="210" w:right="197"/>
              <w:jc w:val="center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4.34</w:t>
            </w:r>
          </w:p>
        </w:tc>
        <w:tc>
          <w:tcPr>
            <w:tcW w:w="666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right="95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4.30</w:t>
            </w:r>
          </w:p>
        </w:tc>
      </w:tr>
      <w:tr>
        <w:trPr>
          <w:trHeight w:val="553" w:hRule="atLeast"/>
        </w:trPr>
        <w:tc>
          <w:tcPr>
            <w:tcW w:w="4079" w:type="dxa"/>
            <w:tcBorders>
              <w:top w:val="single" w:sz="2" w:space="0" w:color="231F20"/>
            </w:tcBorders>
          </w:tcPr>
          <w:p>
            <w:pPr>
              <w:pStyle w:val="TableParagraph"/>
              <w:spacing w:line="213" w:lineRule="auto" w:before="61"/>
              <w:ind w:left="102" w:right="61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To</w:t>
            </w:r>
            <w:r>
              <w:rPr>
                <w:rFonts w:ascii="Apercu Medium"/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what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extent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did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you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achieve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following</w:t>
            </w:r>
            <w:r>
              <w:rPr>
                <w:rFonts w:ascii="Apercu Medium"/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key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learning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outcomes?</w:t>
            </w:r>
          </w:p>
        </w:tc>
        <w:tc>
          <w:tcPr>
            <w:tcW w:w="91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33" w:hRule="atLeast"/>
        </w:trPr>
        <w:tc>
          <w:tcPr>
            <w:tcW w:w="4079" w:type="dxa"/>
          </w:tcPr>
          <w:p>
            <w:pPr>
              <w:pStyle w:val="TableParagraph"/>
              <w:spacing w:before="39"/>
              <w:ind w:left="10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outcome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91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4.36</w:t>
            </w:r>
          </w:p>
        </w:tc>
        <w:tc>
          <w:tcPr>
            <w:tcW w:w="80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3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4.18</w:t>
            </w:r>
          </w:p>
        </w:tc>
        <w:tc>
          <w:tcPr>
            <w:tcW w:w="78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4" w:right="183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4.26</w:t>
            </w:r>
          </w:p>
        </w:tc>
        <w:tc>
          <w:tcPr>
            <w:tcW w:w="79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4.15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9" w:right="162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3.97</w:t>
            </w:r>
          </w:p>
        </w:tc>
        <w:tc>
          <w:tcPr>
            <w:tcW w:w="7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0" w:right="140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4.31</w:t>
            </w:r>
          </w:p>
        </w:tc>
        <w:tc>
          <w:tcPr>
            <w:tcW w:w="6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3.85</w:t>
            </w:r>
          </w:p>
        </w:tc>
      </w:tr>
      <w:tr>
        <w:trPr>
          <w:trHeight w:val="333" w:hRule="atLeast"/>
        </w:trPr>
        <w:tc>
          <w:tcPr>
            <w:tcW w:w="4079" w:type="dxa"/>
          </w:tcPr>
          <w:p>
            <w:pPr>
              <w:pStyle w:val="TableParagraph"/>
              <w:spacing w:before="39"/>
              <w:ind w:left="10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outcome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91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4.31</w:t>
            </w:r>
          </w:p>
        </w:tc>
        <w:tc>
          <w:tcPr>
            <w:tcW w:w="80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3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4.26</w:t>
            </w:r>
          </w:p>
        </w:tc>
        <w:tc>
          <w:tcPr>
            <w:tcW w:w="78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4" w:right="203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4.30</w:t>
            </w:r>
          </w:p>
        </w:tc>
        <w:tc>
          <w:tcPr>
            <w:tcW w:w="79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4.09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9" w:right="144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4.13</w:t>
            </w:r>
          </w:p>
        </w:tc>
        <w:tc>
          <w:tcPr>
            <w:tcW w:w="7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0" w:right="144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4.41</w:t>
            </w:r>
          </w:p>
        </w:tc>
        <w:tc>
          <w:tcPr>
            <w:tcW w:w="6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4.27</w:t>
            </w:r>
          </w:p>
        </w:tc>
      </w:tr>
      <w:tr>
        <w:trPr>
          <w:trHeight w:val="333" w:hRule="atLeast"/>
        </w:trPr>
        <w:tc>
          <w:tcPr>
            <w:tcW w:w="4079" w:type="dxa"/>
          </w:tcPr>
          <w:p>
            <w:pPr>
              <w:pStyle w:val="TableParagraph"/>
              <w:spacing w:before="39"/>
              <w:ind w:left="10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outcome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91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4.29</w:t>
            </w:r>
          </w:p>
        </w:tc>
        <w:tc>
          <w:tcPr>
            <w:tcW w:w="80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3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3.79</w:t>
            </w:r>
          </w:p>
        </w:tc>
        <w:tc>
          <w:tcPr>
            <w:tcW w:w="78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4" w:right="185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4.29</w:t>
            </w:r>
          </w:p>
        </w:tc>
        <w:tc>
          <w:tcPr>
            <w:tcW w:w="79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4.11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9" w:right="174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3.95</w:t>
            </w:r>
          </w:p>
        </w:tc>
        <w:tc>
          <w:tcPr>
            <w:tcW w:w="7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0" w:right="140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4.31</w:t>
            </w:r>
          </w:p>
        </w:tc>
        <w:tc>
          <w:tcPr>
            <w:tcW w:w="6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4.27</w:t>
            </w:r>
          </w:p>
        </w:tc>
      </w:tr>
      <w:tr>
        <w:trPr>
          <w:trHeight w:val="333" w:hRule="atLeast"/>
        </w:trPr>
        <w:tc>
          <w:tcPr>
            <w:tcW w:w="4079" w:type="dxa"/>
          </w:tcPr>
          <w:p>
            <w:pPr>
              <w:pStyle w:val="TableParagraph"/>
              <w:spacing w:before="39"/>
              <w:ind w:left="10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outcome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4</w:t>
            </w:r>
          </w:p>
        </w:tc>
        <w:tc>
          <w:tcPr>
            <w:tcW w:w="91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4.20</w:t>
            </w:r>
          </w:p>
        </w:tc>
        <w:tc>
          <w:tcPr>
            <w:tcW w:w="80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3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3.88</w:t>
            </w:r>
          </w:p>
        </w:tc>
        <w:tc>
          <w:tcPr>
            <w:tcW w:w="78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4" w:right="185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4.23</w:t>
            </w:r>
          </w:p>
        </w:tc>
        <w:tc>
          <w:tcPr>
            <w:tcW w:w="79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3.93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9" w:right="176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4.07</w:t>
            </w:r>
          </w:p>
        </w:tc>
        <w:tc>
          <w:tcPr>
            <w:tcW w:w="7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0" w:right="141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4.18</w:t>
            </w:r>
          </w:p>
        </w:tc>
        <w:tc>
          <w:tcPr>
            <w:tcW w:w="6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4.12</w:t>
            </w:r>
          </w:p>
        </w:tc>
      </w:tr>
      <w:tr>
        <w:trPr>
          <w:trHeight w:val="333" w:hRule="atLeast"/>
        </w:trPr>
        <w:tc>
          <w:tcPr>
            <w:tcW w:w="4079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10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Mean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score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for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all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learning</w:t>
            </w:r>
            <w:r>
              <w:rPr>
                <w:rFonts w:ascii="Apercu Medium"/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outcomes</w:t>
            </w:r>
          </w:p>
        </w:tc>
        <w:tc>
          <w:tcPr>
            <w:tcW w:w="91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0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4.31</w:t>
            </w:r>
          </w:p>
        </w:tc>
        <w:tc>
          <w:tcPr>
            <w:tcW w:w="80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31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4.02</w:t>
            </w:r>
          </w:p>
        </w:tc>
        <w:tc>
          <w:tcPr>
            <w:tcW w:w="78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4" w:right="170"/>
              <w:jc w:val="center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4.21</w:t>
            </w:r>
          </w:p>
        </w:tc>
        <w:tc>
          <w:tcPr>
            <w:tcW w:w="79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5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4.06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5" w:right="201"/>
              <w:jc w:val="center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4.03</w:t>
            </w:r>
          </w:p>
        </w:tc>
        <w:tc>
          <w:tcPr>
            <w:tcW w:w="7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3" w:right="198"/>
              <w:jc w:val="center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4.30</w:t>
            </w:r>
          </w:p>
        </w:tc>
        <w:tc>
          <w:tcPr>
            <w:tcW w:w="6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4.08</w:t>
            </w:r>
          </w:p>
        </w:tc>
      </w:tr>
      <w:tr>
        <w:trPr>
          <w:trHeight w:val="773" w:hRule="atLeast"/>
        </w:trPr>
        <w:tc>
          <w:tcPr>
            <w:tcW w:w="407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61"/>
              <w:ind w:left="102" w:right="22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 insights and learnings from the subject are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transferable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my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workplace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applied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my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organisational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context</w:t>
            </w:r>
          </w:p>
        </w:tc>
        <w:tc>
          <w:tcPr>
            <w:tcW w:w="91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4.41</w:t>
            </w:r>
          </w:p>
        </w:tc>
        <w:tc>
          <w:tcPr>
            <w:tcW w:w="80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3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4.18</w:t>
            </w:r>
          </w:p>
        </w:tc>
        <w:tc>
          <w:tcPr>
            <w:tcW w:w="78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4" w:right="192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4.33</w:t>
            </w:r>
          </w:p>
        </w:tc>
        <w:tc>
          <w:tcPr>
            <w:tcW w:w="79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4.36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9" w:right="175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4.42</w:t>
            </w:r>
          </w:p>
        </w:tc>
        <w:tc>
          <w:tcPr>
            <w:tcW w:w="7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0" w:right="144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4.41</w:t>
            </w:r>
          </w:p>
        </w:tc>
        <w:tc>
          <w:tcPr>
            <w:tcW w:w="6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4.12</w:t>
            </w:r>
          </w:p>
        </w:tc>
      </w:tr>
      <w:tr>
        <w:trPr>
          <w:trHeight w:val="553" w:hRule="atLeast"/>
        </w:trPr>
        <w:tc>
          <w:tcPr>
            <w:tcW w:w="407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61"/>
              <w:ind w:left="102" w:right="34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provided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meaningful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opportunities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connect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from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my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fellow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</w:p>
        </w:tc>
        <w:tc>
          <w:tcPr>
            <w:tcW w:w="91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4.30</w:t>
            </w:r>
          </w:p>
        </w:tc>
        <w:tc>
          <w:tcPr>
            <w:tcW w:w="80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3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4.15</w:t>
            </w:r>
          </w:p>
        </w:tc>
        <w:tc>
          <w:tcPr>
            <w:tcW w:w="78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4" w:right="143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4.17</w:t>
            </w:r>
          </w:p>
        </w:tc>
        <w:tc>
          <w:tcPr>
            <w:tcW w:w="79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4.20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9" w:right="169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3.93</w:t>
            </w:r>
          </w:p>
        </w:tc>
        <w:tc>
          <w:tcPr>
            <w:tcW w:w="7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0" w:right="149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3.76</w:t>
            </w:r>
          </w:p>
        </w:tc>
        <w:tc>
          <w:tcPr>
            <w:tcW w:w="6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11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n/a</w:t>
            </w:r>
          </w:p>
        </w:tc>
      </w:tr>
      <w:tr>
        <w:trPr>
          <w:trHeight w:val="773" w:hRule="atLeast"/>
        </w:trPr>
        <w:tc>
          <w:tcPr>
            <w:tcW w:w="407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61"/>
              <w:ind w:left="102" w:right="587"/>
              <w:jc w:val="both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team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were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responsive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queries</w:t>
            </w:r>
            <w:r>
              <w:rPr>
                <w:b w:val="0"/>
                <w:color w:val="231F20"/>
                <w:spacing w:val="-4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feedback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prior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throughout</w:t>
            </w:r>
          </w:p>
        </w:tc>
        <w:tc>
          <w:tcPr>
            <w:tcW w:w="91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0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4.65</w:t>
            </w:r>
          </w:p>
        </w:tc>
        <w:tc>
          <w:tcPr>
            <w:tcW w:w="80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31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4.65</w:t>
            </w:r>
          </w:p>
        </w:tc>
        <w:tc>
          <w:tcPr>
            <w:tcW w:w="78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3" w:right="206"/>
              <w:jc w:val="center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4.66</w:t>
            </w:r>
          </w:p>
        </w:tc>
        <w:tc>
          <w:tcPr>
            <w:tcW w:w="79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25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4.48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9" w:right="194"/>
              <w:jc w:val="center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4.38</w:t>
            </w:r>
          </w:p>
        </w:tc>
        <w:tc>
          <w:tcPr>
            <w:tcW w:w="7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10" w:right="195"/>
              <w:jc w:val="center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4.48</w:t>
            </w:r>
          </w:p>
        </w:tc>
        <w:tc>
          <w:tcPr>
            <w:tcW w:w="6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4.38</w:t>
            </w:r>
          </w:p>
        </w:tc>
      </w:tr>
    </w:tbl>
    <w:p>
      <w:pPr>
        <w:pStyle w:val="BodyText"/>
        <w:spacing w:before="9"/>
        <w:rPr>
          <w:b w:val="0"/>
          <w:sz w:val="28"/>
        </w:rPr>
      </w:pPr>
    </w:p>
    <w:p>
      <w:pPr>
        <w:pStyle w:val="BodyText"/>
        <w:spacing w:line="192" w:lineRule="auto" w:before="1"/>
        <w:ind w:left="673" w:right="3142"/>
        <w:rPr>
          <w:b w:val="0"/>
        </w:rPr>
      </w:pPr>
      <w:r>
        <w:rPr>
          <w:b w:val="0"/>
          <w:color w:val="231F20"/>
        </w:rPr>
        <w:t>Students highly rank and value the teaching staff and the support provided by the ANZSOG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team.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suggests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high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levels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satisfaction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transition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effective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ensuring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level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attainment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learning outcomes.</w:t>
      </w:r>
    </w:p>
    <w:p>
      <w:pPr>
        <w:pStyle w:val="BodyText"/>
        <w:spacing w:before="3"/>
        <w:rPr>
          <w:b w:val="0"/>
          <w:sz w:val="34"/>
        </w:rPr>
      </w:pPr>
    </w:p>
    <w:p>
      <w:pPr>
        <w:spacing w:before="0"/>
        <w:ind w:left="673" w:right="0" w:firstLine="0"/>
        <w:jc w:val="left"/>
        <w:rPr>
          <w:rFonts w:ascii="Domus Semibold"/>
          <w:b w:val="0"/>
          <w:sz w:val="20"/>
        </w:rPr>
      </w:pPr>
      <w:r>
        <w:rPr>
          <w:rFonts w:ascii="Domus Semibold"/>
          <w:b w:val="0"/>
          <w:color w:val="231F20"/>
          <w:spacing w:val="-1"/>
          <w:sz w:val="20"/>
        </w:rPr>
        <w:t>SUBJECT</w:t>
      </w:r>
      <w:r>
        <w:rPr>
          <w:rFonts w:ascii="Domus Semibold"/>
          <w:b w:val="0"/>
          <w:color w:val="231F20"/>
          <w:spacing w:val="-9"/>
          <w:sz w:val="20"/>
        </w:rPr>
        <w:t> </w:t>
      </w:r>
      <w:r>
        <w:rPr>
          <w:rFonts w:ascii="Domus Semibold"/>
          <w:b w:val="0"/>
          <w:color w:val="231F20"/>
          <w:spacing w:val="-1"/>
          <w:sz w:val="20"/>
        </w:rPr>
        <w:t>EVALUATIONS</w:t>
      </w:r>
    </w:p>
    <w:p>
      <w:pPr>
        <w:pStyle w:val="BodyText"/>
        <w:spacing w:before="2"/>
        <w:rPr>
          <w:rFonts w:ascii="Domus Semibold"/>
          <w:b w:val="0"/>
          <w:sz w:val="13"/>
        </w:rPr>
      </w:pPr>
    </w:p>
    <w:p>
      <w:pPr>
        <w:spacing w:before="96"/>
        <w:ind w:left="775" w:right="0" w:firstLine="0"/>
        <w:jc w:val="left"/>
        <w:rPr>
          <w:b w:val="0"/>
          <w:sz w:val="17"/>
        </w:rPr>
      </w:pPr>
      <w:r>
        <w:rPr>
          <w:b w:val="0"/>
          <w:color w:val="231F20"/>
          <w:sz w:val="17"/>
        </w:rPr>
        <w:t>The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following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are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the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mean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scores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for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the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ratings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based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on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a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scale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of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5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excellent,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4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good,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3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average,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2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poor,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1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=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very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poor</w:t>
      </w:r>
    </w:p>
    <w:p>
      <w:pPr>
        <w:pStyle w:val="BodyText"/>
        <w:spacing w:before="9" w:after="1"/>
        <w:rPr>
          <w:b w:val="0"/>
          <w:sz w:val="9"/>
        </w:rPr>
      </w:pPr>
    </w:p>
    <w:tbl>
      <w:tblPr>
        <w:tblW w:w="0" w:type="auto"/>
        <w:jc w:val="left"/>
        <w:tblInd w:w="68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793"/>
        <w:gridCol w:w="793"/>
        <w:gridCol w:w="793"/>
        <w:gridCol w:w="793"/>
        <w:gridCol w:w="793"/>
        <w:gridCol w:w="793"/>
        <w:gridCol w:w="793"/>
      </w:tblGrid>
      <w:tr>
        <w:trPr>
          <w:trHeight w:val="328" w:hRule="atLeast"/>
        </w:trPr>
        <w:tc>
          <w:tcPr>
            <w:tcW w:w="4079" w:type="dxa"/>
            <w:tcBorders>
              <w:top w:val="nil"/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33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GME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212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DMUU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26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DPPP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238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MPSO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28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LPSC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35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PFM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34"/>
              <w:ind w:left="33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WBP</w:t>
            </w:r>
          </w:p>
        </w:tc>
      </w:tr>
    </w:tbl>
    <w:p>
      <w:pPr>
        <w:pStyle w:val="BodyText"/>
        <w:spacing w:before="13"/>
        <w:rPr>
          <w:b w:val="0"/>
          <w:sz w:val="2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7"/>
        <w:gridCol w:w="1179"/>
        <w:gridCol w:w="792"/>
        <w:gridCol w:w="730"/>
        <w:gridCol w:w="860"/>
        <w:gridCol w:w="792"/>
        <w:gridCol w:w="800"/>
        <w:gridCol w:w="649"/>
      </w:tblGrid>
      <w:tr>
        <w:trPr>
          <w:trHeight w:val="510" w:hRule="atLeast"/>
        </w:trPr>
        <w:tc>
          <w:tcPr>
            <w:tcW w:w="3837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13" w:lineRule="auto" w:before="18"/>
              <w:ind w:left="102" w:right="635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How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would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you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rate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[the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Subject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Leader]</w:t>
            </w:r>
            <w:r>
              <w:rPr>
                <w:rFonts w:ascii="Apercu Medium"/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as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 subject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leader of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[subject]?</w:t>
            </w:r>
          </w:p>
        </w:tc>
        <w:tc>
          <w:tcPr>
            <w:tcW w:w="1179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right="24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4.73</w:t>
            </w:r>
          </w:p>
        </w:tc>
        <w:tc>
          <w:tcPr>
            <w:tcW w:w="792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left="202" w:right="201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4.32</w:t>
            </w:r>
          </w:p>
        </w:tc>
        <w:tc>
          <w:tcPr>
            <w:tcW w:w="730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right="17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4.89</w:t>
            </w:r>
          </w:p>
        </w:tc>
        <w:tc>
          <w:tcPr>
            <w:tcW w:w="860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13" w:lineRule="auto" w:before="18"/>
              <w:ind w:left="318" w:right="224" w:hanging="141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2"/>
                <w:sz w:val="17"/>
              </w:rPr>
              <w:t>4.73 </w:t>
            </w:r>
            <w:r>
              <w:rPr>
                <w:b w:val="0"/>
                <w:color w:val="231F20"/>
                <w:spacing w:val="-1"/>
                <w:sz w:val="17"/>
              </w:rPr>
              <w:t>&amp;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4.67</w:t>
            </w:r>
          </w:p>
        </w:tc>
        <w:tc>
          <w:tcPr>
            <w:tcW w:w="792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left="25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4.79</w:t>
            </w:r>
          </w:p>
        </w:tc>
        <w:tc>
          <w:tcPr>
            <w:tcW w:w="800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243" w:lineRule="exact" w:before="0"/>
              <w:ind w:left="25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4.97</w:t>
            </w:r>
          </w:p>
        </w:tc>
        <w:tc>
          <w:tcPr>
            <w:tcW w:w="649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53" w:hRule="atLeast"/>
        </w:trPr>
        <w:tc>
          <w:tcPr>
            <w:tcW w:w="383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61"/>
              <w:ind w:left="102" w:right="739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How</w:t>
            </w:r>
            <w:r>
              <w:rPr>
                <w:rFonts w:ascii="Apercu Medium"/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would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you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rate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overall</w:t>
            </w:r>
            <w:r>
              <w:rPr>
                <w:rFonts w:ascii="Apercu Medium"/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support</w:t>
            </w:r>
            <w:r>
              <w:rPr>
                <w:rFonts w:ascii="Apercu Medium"/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from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the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ANZSOG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team?</w:t>
            </w:r>
          </w:p>
        </w:tc>
        <w:tc>
          <w:tcPr>
            <w:tcW w:w="117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24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4.78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04" w:right="201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4.62</w:t>
            </w:r>
          </w:p>
        </w:tc>
        <w:tc>
          <w:tcPr>
            <w:tcW w:w="73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right="17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4.71</w:t>
            </w:r>
          </w:p>
        </w:tc>
        <w:tc>
          <w:tcPr>
            <w:tcW w:w="8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31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4.67</w:t>
            </w:r>
          </w:p>
        </w:tc>
        <w:tc>
          <w:tcPr>
            <w:tcW w:w="7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4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4.59</w:t>
            </w:r>
          </w:p>
        </w:tc>
        <w:tc>
          <w:tcPr>
            <w:tcW w:w="80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3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4.66</w:t>
            </w:r>
          </w:p>
        </w:tc>
        <w:tc>
          <w:tcPr>
            <w:tcW w:w="64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39"/>
              <w:ind w:left="24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4.52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spacing w:line="192" w:lineRule="auto" w:before="138"/>
        <w:ind w:left="673" w:right="3392" w:firstLine="0"/>
        <w:jc w:val="left"/>
        <w:rPr>
          <w:b w:val="0"/>
          <w:sz w:val="19"/>
        </w:rPr>
      </w:pPr>
      <w:r>
        <w:rPr>
          <w:rFonts w:ascii="Apercu"/>
          <w:b/>
          <w:i/>
          <w:color w:val="231F20"/>
          <w:sz w:val="19"/>
        </w:rPr>
        <w:t>Qualitative</w:t>
      </w:r>
      <w:r>
        <w:rPr>
          <w:rFonts w:ascii="Apercu"/>
          <w:b/>
          <w:i/>
          <w:color w:val="231F20"/>
          <w:spacing w:val="-10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feedback:</w:t>
      </w:r>
      <w:r>
        <w:rPr>
          <w:rFonts w:ascii="Apercu"/>
          <w:b/>
          <w:i/>
          <w:color w:val="231F20"/>
          <w:spacing w:val="-9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subject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evaluations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provide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extensive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qualitative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feedback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on</w:t>
      </w:r>
      <w:r>
        <w:rPr>
          <w:b w:val="0"/>
          <w:color w:val="231F20"/>
          <w:spacing w:val="-45"/>
          <w:sz w:val="19"/>
        </w:rPr>
        <w:t> </w:t>
      </w:r>
      <w:r>
        <w:rPr>
          <w:b w:val="0"/>
          <w:color w:val="231F20"/>
          <w:sz w:val="19"/>
        </w:rPr>
        <w:t>the student experience. This covered </w:t>
      </w:r>
      <w:r>
        <w:rPr>
          <w:b w:val="0"/>
          <w:i/>
          <w:color w:val="231F20"/>
          <w:sz w:val="19"/>
        </w:rPr>
        <w:t>What aspects of the subject students found most</w:t>
      </w:r>
      <w:r>
        <w:rPr>
          <w:b w:val="0"/>
          <w:i/>
          <w:color w:val="231F20"/>
          <w:spacing w:val="1"/>
          <w:sz w:val="19"/>
        </w:rPr>
        <w:t> </w:t>
      </w:r>
      <w:r>
        <w:rPr>
          <w:b w:val="0"/>
          <w:i/>
          <w:color w:val="231F20"/>
          <w:sz w:val="19"/>
        </w:rPr>
        <w:t>helpful for their learning</w:t>
      </w:r>
      <w:r>
        <w:rPr>
          <w:b w:val="0"/>
          <w:color w:val="231F20"/>
          <w:sz w:val="19"/>
        </w:rPr>
        <w:t>, also </w:t>
      </w:r>
      <w:r>
        <w:rPr>
          <w:b w:val="0"/>
          <w:i/>
          <w:color w:val="231F20"/>
          <w:sz w:val="19"/>
        </w:rPr>
        <w:t>Aspects of the subject that could be improved</w:t>
      </w:r>
      <w:r>
        <w:rPr>
          <w:b w:val="0"/>
          <w:color w:val="231F20"/>
          <w:sz w:val="19"/>
        </w:rPr>
        <w:t>, comments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on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color w:val="231F20"/>
          <w:sz w:val="19"/>
        </w:rPr>
        <w:t>the </w:t>
      </w:r>
      <w:r>
        <w:rPr>
          <w:b w:val="0"/>
          <w:i/>
          <w:color w:val="231F20"/>
          <w:sz w:val="19"/>
        </w:rPr>
        <w:t>Overall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quality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of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the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online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learning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experience</w:t>
      </w:r>
      <w:r>
        <w:rPr>
          <w:b w:val="0"/>
          <w:color w:val="231F20"/>
          <w:sz w:val="19"/>
        </w:rPr>
        <w:t>, as well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color w:val="231F20"/>
          <w:sz w:val="19"/>
        </w:rPr>
        <w:t>as an opportunity for</w:t>
      </w:r>
    </w:p>
    <w:p>
      <w:pPr>
        <w:pStyle w:val="BodyText"/>
        <w:spacing w:line="192" w:lineRule="auto"/>
        <w:ind w:left="673" w:right="3283"/>
        <w:rPr>
          <w:b w:val="0"/>
        </w:rPr>
      </w:pPr>
      <w:r>
        <w:rPr>
          <w:b w:val="0"/>
          <w:i/>
          <w:color w:val="231F20"/>
        </w:rPr>
        <w:t>Any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i/>
          <w:color w:val="231F20"/>
        </w:rPr>
        <w:t>other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feedback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impact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COVID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lives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(senior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public servants) overwhelming dominated qualitative feedback. Students experienced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significant disruption to their working and family lives and adjusting to online learning was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challenging for many. Some students did however note the convenience and flexibility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online delivery and over the duration of 2020 this appreciation of online learning became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evident.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Nevertheless,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second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year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had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extensive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</w:p>
    <w:p>
      <w:pPr>
        <w:pStyle w:val="BodyText"/>
        <w:spacing w:line="192" w:lineRule="auto" w:before="1"/>
        <w:ind w:left="673" w:right="3254"/>
        <w:rPr>
          <w:b w:val="0"/>
        </w:rPr>
      </w:pPr>
      <w:r>
        <w:rPr>
          <w:b w:val="0"/>
          <w:color w:val="231F20"/>
        </w:rPr>
        <w:t>face-to-face residential delivery repeatedly commented on the significant shift in learning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mode and expressed their disappointment that in-class teaching could not continue. Key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recurring themes across all subjects were the challenge of managing study and workload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issues,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effectively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scheduling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time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preparation,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reading,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completion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 assignments. A significant number of students found the adjustment and utilisation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systems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difficult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navigate.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engaged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programs for 10 years or more, they found the extensive utilisation and reliance on online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systems a challenging adjustment. This was particularly evident for subjects that made use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e-portfolios as modes of assessment (DMUU and LPSC). However, over the duration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year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results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feedback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demonstrated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increasing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level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comfort,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familiarity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</w:p>
    <w:p>
      <w:pPr>
        <w:pStyle w:val="BodyText"/>
        <w:spacing w:line="192" w:lineRule="auto"/>
        <w:ind w:left="673" w:right="3174"/>
        <w:rPr>
          <w:b w:val="0"/>
        </w:rPr>
      </w:pPr>
      <w:r>
        <w:rPr>
          <w:b w:val="0"/>
          <w:color w:val="231F20"/>
        </w:rPr>
        <w:t>engagement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systems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increasingly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made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similar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formats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their daily work environment.</w:t>
      </w:r>
    </w:p>
    <w:p>
      <w:pPr>
        <w:pStyle w:val="BodyText"/>
        <w:spacing w:line="192" w:lineRule="auto" w:before="114"/>
        <w:ind w:left="673" w:right="3230"/>
        <w:rPr>
          <w:b w:val="0"/>
        </w:rPr>
      </w:pPr>
      <w:r>
        <w:rPr>
          <w:b w:val="0"/>
          <w:color w:val="231F20"/>
        </w:rPr>
        <w:t>Despite the noted challenges in an online learning environment, qualitative comments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repeatedly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expressed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positive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surprise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satisfaction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content,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engagement of academic staff and the overall quality of the online learning experience.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Positive feedback and comments on subject design, content and contributing speakers was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significantly greater than comments directed at subject improvement. The online format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allowed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larger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range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guest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speakers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significant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seniority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(heads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agencies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</w:p>
    <w:p>
      <w:pPr>
        <w:pStyle w:val="BodyText"/>
        <w:spacing w:line="192" w:lineRule="auto"/>
        <w:ind w:left="673" w:right="3206"/>
        <w:rPr>
          <w:b w:val="0"/>
        </w:rPr>
      </w:pPr>
      <w:r>
        <w:rPr>
          <w:b w:val="0"/>
          <w:color w:val="231F20"/>
        </w:rPr>
        <w:t>a past Australian Prime Minister) and diversity (greater participation of NZ community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speakers).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significant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satisfaction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expressed regarding the level of support provided to students by ANZSOG staff and Subject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rated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very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terms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accessibility,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understanding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experience.</w:t>
      </w:r>
    </w:p>
    <w:p>
      <w:pPr>
        <w:spacing w:before="161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Key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Lessons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for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the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Future</w:t>
      </w:r>
    </w:p>
    <w:p>
      <w:pPr>
        <w:pStyle w:val="BodyText"/>
        <w:spacing w:line="192" w:lineRule="auto" w:before="107"/>
        <w:ind w:left="673" w:right="3498"/>
        <w:rPr>
          <w:b w:val="0"/>
        </w:rPr>
      </w:pPr>
      <w:r>
        <w:rPr>
          <w:b w:val="0"/>
          <w:color w:val="231F20"/>
        </w:rPr>
        <w:t>The 2020 transition to online learning presented significant challenges for ANZSOG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our student cohorts. Nevertheless, the response from staff and students demonstrated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resilience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commitment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within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field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administration.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significantly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developed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skills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informed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understanding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challenges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benefits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learning.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</w:p>
    <w:p>
      <w:pPr>
        <w:pStyle w:val="BodyText"/>
        <w:spacing w:line="192" w:lineRule="auto"/>
        <w:ind w:left="673" w:right="3240"/>
        <w:rPr>
          <w:b w:val="0"/>
        </w:rPr>
      </w:pPr>
      <w:r>
        <w:rPr>
          <w:b w:val="0"/>
          <w:color w:val="231F20"/>
        </w:rPr>
        <w:t>the EMPA have significantly adapted to an online learning mode and now subject delivery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has a far more responsive capacity to move across residential, blended and fully online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modes. The transition process has strengthened collegiality and deepened Subject Leader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engagement with ANZSOG. Across the teaching cohort a stronger understanding of subject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content has developed providing improved alignment and connections of subject content,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strengthen coherence through out the EMPA program. A robust subject evaluation process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has developed that allows for more real time adjustment to subject delivery and improves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responsiveness to student concerns. Teaching skills have significantly advanced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mechanisms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engagement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content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expanded.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satisfaction</w:t>
      </w:r>
    </w:p>
    <w:p>
      <w:pPr>
        <w:pStyle w:val="BodyText"/>
        <w:spacing w:line="192" w:lineRule="auto"/>
        <w:ind w:left="673" w:right="3198"/>
        <w:rPr>
          <w:b w:val="0"/>
        </w:rPr>
      </w:pP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remained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high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extensive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commitment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success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important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program.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2" w:after="1"/>
        <w:rPr>
          <w:b w:val="0"/>
          <w:sz w:val="25"/>
        </w:rPr>
      </w:pPr>
    </w:p>
    <w:p>
      <w:pPr>
        <w:pStyle w:val="BodyText"/>
        <w:ind w:left="673"/>
        <w:rPr>
          <w:sz w:val="20"/>
        </w:rPr>
      </w:pPr>
      <w:r>
        <w:rPr>
          <w:sz w:val="20"/>
        </w:rPr>
        <w:drawing>
          <wp:inline distT="0" distB="0" distL="0" distR="0">
            <wp:extent cx="6126055" cy="3066288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055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 w:val="0"/>
          <w:sz w:val="5"/>
        </w:rPr>
      </w:pPr>
    </w:p>
    <w:p>
      <w:pPr>
        <w:spacing w:line="199" w:lineRule="auto" w:before="125"/>
        <w:ind w:left="673" w:right="3615" w:firstLine="0"/>
        <w:jc w:val="left"/>
        <w:rPr>
          <w:b w:val="0"/>
          <w:sz w:val="15"/>
        </w:rPr>
      </w:pPr>
      <w:r>
        <w:rPr>
          <w:b w:val="0"/>
          <w:color w:val="231F20"/>
          <w:sz w:val="15"/>
        </w:rPr>
        <w:t>Designing Public Policies and Programs (DPPP) Panel delivered by Zoom on 12 November 2020. Panelists from</w:t>
      </w:r>
      <w:r>
        <w:rPr>
          <w:b w:val="0"/>
          <w:color w:val="231F20"/>
          <w:spacing w:val="1"/>
          <w:sz w:val="15"/>
        </w:rPr>
        <w:t> </w:t>
      </w:r>
      <w:r>
        <w:rPr>
          <w:b w:val="0"/>
          <w:color w:val="231F20"/>
          <w:sz w:val="15"/>
        </w:rPr>
        <w:t>clockwise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top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left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included</w:t>
      </w:r>
      <w:r>
        <w:rPr>
          <w:b w:val="0"/>
          <w:color w:val="231F20"/>
          <w:spacing w:val="-4"/>
          <w:sz w:val="15"/>
        </w:rPr>
        <w:t> </w:t>
      </w:r>
      <w:r>
        <w:rPr>
          <w:b w:val="0"/>
          <w:color w:val="231F20"/>
          <w:sz w:val="15"/>
        </w:rPr>
        <w:t>Dr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Christopher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Walker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(ANZSOG</w:t>
      </w:r>
      <w:r>
        <w:rPr>
          <w:b w:val="0"/>
          <w:color w:val="231F20"/>
          <w:spacing w:val="-4"/>
          <w:sz w:val="15"/>
        </w:rPr>
        <w:t> </w:t>
      </w:r>
      <w:r>
        <w:rPr>
          <w:b w:val="0"/>
          <w:color w:val="231F20"/>
          <w:sz w:val="15"/>
        </w:rPr>
        <w:t>EMPA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Academic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Director),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Ms</w:t>
      </w:r>
      <w:r>
        <w:rPr>
          <w:b w:val="0"/>
          <w:color w:val="231F20"/>
          <w:spacing w:val="-4"/>
          <w:sz w:val="15"/>
        </w:rPr>
        <w:t> </w:t>
      </w:r>
      <w:r>
        <w:rPr>
          <w:b w:val="0"/>
          <w:color w:val="231F20"/>
          <w:sz w:val="15"/>
        </w:rPr>
        <w:t>Mary-Ann</w:t>
      </w:r>
      <w:r>
        <w:rPr>
          <w:b w:val="0"/>
          <w:color w:val="231F20"/>
          <w:spacing w:val="-5"/>
          <w:sz w:val="15"/>
        </w:rPr>
        <w:t> </w:t>
      </w:r>
      <w:r>
        <w:rPr>
          <w:b w:val="0"/>
          <w:color w:val="231F20"/>
          <w:sz w:val="15"/>
        </w:rPr>
        <w:t>O’Loughlin</w:t>
      </w:r>
      <w:r>
        <w:rPr>
          <w:b w:val="0"/>
          <w:color w:val="231F20"/>
          <w:spacing w:val="-35"/>
          <w:sz w:val="15"/>
        </w:rPr>
        <w:t> </w:t>
      </w:r>
      <w:r>
        <w:rPr>
          <w:b w:val="0"/>
          <w:color w:val="231F20"/>
          <w:sz w:val="15"/>
        </w:rPr>
        <w:t>(NSW Department of Premier and Cabinet), Ms Sally Washington (ANZSOG, Wellington), the Hon. Kevin Rudd</w:t>
      </w:r>
      <w:r>
        <w:rPr>
          <w:b w:val="0"/>
          <w:color w:val="231F20"/>
          <w:spacing w:val="1"/>
          <w:sz w:val="15"/>
        </w:rPr>
        <w:t> </w:t>
      </w:r>
      <w:r>
        <w:rPr>
          <w:b w:val="0"/>
          <w:color w:val="231F20"/>
          <w:sz w:val="15"/>
        </w:rPr>
        <w:t>(26th Prime Minister of Australia), Prof Gary Sturgess (NSW Premier’s ANZSOG Chair in Public Service Delivery),</w:t>
      </w:r>
      <w:r>
        <w:rPr>
          <w:b w:val="0"/>
          <w:color w:val="231F20"/>
          <w:spacing w:val="1"/>
          <w:sz w:val="15"/>
        </w:rPr>
        <w:t> </w:t>
      </w:r>
      <w:r>
        <w:rPr>
          <w:b w:val="0"/>
          <w:color w:val="231F20"/>
          <w:sz w:val="15"/>
        </w:rPr>
        <w:t>and</w:t>
      </w:r>
      <w:r>
        <w:rPr>
          <w:b w:val="0"/>
          <w:color w:val="231F20"/>
          <w:spacing w:val="-1"/>
          <w:sz w:val="15"/>
        </w:rPr>
        <w:t> </w:t>
      </w:r>
      <w:r>
        <w:rPr>
          <w:b w:val="0"/>
          <w:color w:val="231F20"/>
          <w:sz w:val="15"/>
        </w:rPr>
        <w:t>Prof Ken Smith</w:t>
      </w:r>
      <w:r>
        <w:rPr>
          <w:b w:val="0"/>
          <w:color w:val="231F20"/>
          <w:spacing w:val="-1"/>
          <w:sz w:val="15"/>
        </w:rPr>
        <w:t> </w:t>
      </w:r>
      <w:r>
        <w:rPr>
          <w:b w:val="0"/>
          <w:color w:val="231F20"/>
          <w:sz w:val="15"/>
        </w:rPr>
        <w:t>(ANZSOG CEO/Dean)</w:t>
      </w:r>
    </w:p>
    <w:p>
      <w:pPr>
        <w:pStyle w:val="BodyText"/>
        <w:spacing w:before="13"/>
        <w:rPr>
          <w:b w:val="0"/>
          <w:sz w:val="16"/>
        </w:rPr>
      </w:pPr>
    </w:p>
    <w:p>
      <w:pPr>
        <w:pStyle w:val="ListParagraph"/>
        <w:numPr>
          <w:ilvl w:val="1"/>
          <w:numId w:val="2"/>
        </w:numPr>
        <w:tabs>
          <w:tab w:pos="1194" w:val="left" w:leader="none"/>
        </w:tabs>
        <w:spacing w:line="240" w:lineRule="auto" w:before="0" w:after="0"/>
        <w:ind w:left="1193" w:right="0" w:hanging="521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Program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Quality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2"/>
          <w:sz w:val="40"/>
        </w:rPr>
        <w:t>Update</w:t>
      </w:r>
    </w:p>
    <w:p>
      <w:pPr>
        <w:pStyle w:val="BodyText"/>
        <w:spacing w:line="192" w:lineRule="auto" w:before="197"/>
        <w:ind w:left="673" w:right="3416"/>
        <w:rPr>
          <w:b w:val="0"/>
        </w:rPr>
      </w:pPr>
      <w:r>
        <w:rPr>
          <w:b w:val="0"/>
          <w:color w:val="231F20"/>
        </w:rPr>
        <w:t>ANZSOG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committed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continuous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improvement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program’s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update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activities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2020.</w:t>
      </w:r>
    </w:p>
    <w:p>
      <w:pPr>
        <w:pStyle w:val="ListParagraph"/>
        <w:numPr>
          <w:ilvl w:val="0"/>
          <w:numId w:val="3"/>
        </w:numPr>
        <w:tabs>
          <w:tab w:pos="891" w:val="left" w:leader="none"/>
        </w:tabs>
        <w:spacing w:line="240" w:lineRule="auto" w:before="161" w:after="0"/>
        <w:ind w:left="890" w:right="0" w:hanging="218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Admission</w:t>
      </w:r>
      <w:r>
        <w:rPr>
          <w:rFonts w:ascii="Domus Semibold"/>
          <w:b w:val="0"/>
          <w:color w:val="231F20"/>
          <w:spacing w:val="-11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policy</w:t>
      </w:r>
      <w:r>
        <w:rPr>
          <w:rFonts w:ascii="Domus Semibold"/>
          <w:b w:val="0"/>
          <w:color w:val="231F20"/>
          <w:spacing w:val="-11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(NFP/Corporate)</w:t>
      </w:r>
    </w:p>
    <w:p>
      <w:pPr>
        <w:pStyle w:val="BodyText"/>
        <w:spacing w:line="192" w:lineRule="auto" w:before="107"/>
        <w:ind w:left="673" w:right="3141"/>
        <w:rPr>
          <w:b w:val="0"/>
        </w:rPr>
      </w:pPr>
      <w:r>
        <w:rPr>
          <w:b w:val="0"/>
          <w:color w:val="231F20"/>
        </w:rPr>
        <w:t>While ANZSOG’s EMPA program delivery focus continues to be students drawn from senior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leadership levels across all public sector jurisdictions in Australia and Aotearoa-New Zealand,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ANZSOG’s Dean and EMPA Academic Director considered it worthwhile allowing for some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flexibility for intake on occasion from non-government sector leaders whose work involves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significant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component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collaboration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providing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applicant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demonstrate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sponsorship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agency.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reflect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amendment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has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been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inserted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Admission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(refer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bold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type)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–</w:t>
      </w:r>
    </w:p>
    <w:p>
      <w:pPr>
        <w:pStyle w:val="BodyText"/>
        <w:spacing w:before="58"/>
        <w:ind w:left="673"/>
        <w:rPr>
          <w:b w:val="0"/>
        </w:rPr>
      </w:pPr>
      <w:r>
        <w:rPr>
          <w:b w:val="0"/>
          <w:color w:val="231F20"/>
        </w:rPr>
        <w:t>Admission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s.3.2:</w:t>
      </w:r>
    </w:p>
    <w:p>
      <w:pPr>
        <w:spacing w:line="192" w:lineRule="auto" w:before="102"/>
        <w:ind w:left="673" w:right="3088" w:firstLine="0"/>
        <w:jc w:val="left"/>
        <w:rPr>
          <w:rFonts w:ascii="Apercu"/>
          <w:b/>
          <w:i/>
          <w:sz w:val="19"/>
        </w:rPr>
      </w:pPr>
      <w:r>
        <w:rPr>
          <w:b w:val="0"/>
          <w:i/>
          <w:color w:val="231F20"/>
          <w:sz w:val="19"/>
        </w:rPr>
        <w:t>The ANZSOG EMPA accepts nominations from member governments and their agencies and</w:t>
      </w:r>
      <w:r>
        <w:rPr>
          <w:b w:val="0"/>
          <w:i/>
          <w:color w:val="231F20"/>
          <w:spacing w:val="1"/>
          <w:sz w:val="19"/>
        </w:rPr>
        <w:t> </w:t>
      </w:r>
      <w:r>
        <w:rPr>
          <w:b w:val="0"/>
          <w:i/>
          <w:color w:val="231F20"/>
          <w:sz w:val="19"/>
        </w:rPr>
        <w:t>is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open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to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employees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of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the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public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sector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and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other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nominated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employees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who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work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with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the</w:t>
      </w:r>
      <w:r>
        <w:rPr>
          <w:b w:val="0"/>
          <w:i/>
          <w:color w:val="231F20"/>
          <w:spacing w:val="-45"/>
          <w:sz w:val="19"/>
        </w:rPr>
        <w:t> </w:t>
      </w:r>
      <w:r>
        <w:rPr>
          <w:b w:val="0"/>
          <w:i/>
          <w:color w:val="231F20"/>
          <w:sz w:val="19"/>
        </w:rPr>
        <w:t>public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sector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(such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as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those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from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the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non-government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sector),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who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are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nominated</w:t>
      </w:r>
      <w:r>
        <w:rPr>
          <w:rFonts w:ascii="Apercu"/>
          <w:b/>
          <w:i/>
          <w:color w:val="231F20"/>
          <w:spacing w:val="-4"/>
          <w:sz w:val="19"/>
        </w:rPr>
        <w:t> </w:t>
      </w:r>
      <w:r>
        <w:rPr>
          <w:rFonts w:ascii="Apercu"/>
          <w:b/>
          <w:i/>
          <w:color w:val="231F20"/>
          <w:sz w:val="19"/>
        </w:rPr>
        <w:t>by</w:t>
      </w:r>
    </w:p>
    <w:p>
      <w:pPr>
        <w:pStyle w:val="Heading6"/>
        <w:rPr>
          <w:rFonts w:ascii="Apercu Light"/>
          <w:b w:val="0"/>
          <w:i/>
        </w:rPr>
      </w:pPr>
      <w:r>
        <w:rPr>
          <w:i/>
          <w:color w:val="231F20"/>
        </w:rPr>
        <w:t>a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member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government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or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sponsoring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agency</w:t>
      </w:r>
      <w:r>
        <w:rPr>
          <w:rFonts w:ascii="Apercu Light"/>
          <w:b w:val="0"/>
          <w:i/>
          <w:color w:val="231F20"/>
        </w:rPr>
        <w:t>.</w:t>
      </w:r>
    </w:p>
    <w:p>
      <w:pPr>
        <w:spacing w:after="0"/>
        <w:rPr>
          <w:rFonts w:ascii="Apercu Light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1"/>
        <w:rPr>
          <w:b w:val="0"/>
          <w:i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918" w:val="left" w:leader="none"/>
        </w:tabs>
        <w:spacing w:line="240" w:lineRule="auto" w:before="63" w:after="0"/>
        <w:ind w:left="917" w:right="0" w:hanging="245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Orientation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and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Program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Information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Module</w:t>
      </w:r>
    </w:p>
    <w:p>
      <w:pPr>
        <w:pStyle w:val="BodyText"/>
        <w:spacing w:line="192" w:lineRule="auto" w:before="106"/>
        <w:ind w:left="673" w:right="3315"/>
        <w:rPr>
          <w:b w:val="0"/>
        </w:rPr>
      </w:pPr>
      <w:r>
        <w:rPr>
          <w:b w:val="0"/>
          <w:color w:val="231F20"/>
        </w:rPr>
        <w:t>The EMPA Orientation and Program Information (OPI) module was published in Canvas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January 2021, and made available to all currently enrolled EMPA students. The key purpose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module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comprehensive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guidance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regard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program structure; key policies and procedures; learning support and services; and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obligations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responsibilities of all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parties.</w:t>
      </w:r>
    </w:p>
    <w:p>
      <w:pPr>
        <w:pStyle w:val="BodyText"/>
        <w:spacing w:line="192" w:lineRule="auto" w:before="114"/>
        <w:ind w:left="673" w:right="3229"/>
        <w:rPr>
          <w:b w:val="0"/>
        </w:rPr>
      </w:pPr>
      <w:r>
        <w:rPr>
          <w:b w:val="0"/>
          <w:color w:val="231F20"/>
        </w:rPr>
        <w:t>The key benefit of the OPI module (relative to the program information site provided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students via Canvas in 2020)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is that it facilitates both orientation into the program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ongoing program information and support (refer to the Orientation and Progression Policy).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Incoming students are given access to the OPI module at least four weeks before the EMPA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 commences (i.e. when the delivery of the first subject begins) and are asked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submit information such as their biographical details and their core and elective subject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enrolments.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OPI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module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progress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example,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they access practical guidance on matters such as submitting assessments through Turnitin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similarity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detection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software)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applying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extensions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special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consideration.</w:t>
      </w:r>
    </w:p>
    <w:p>
      <w:pPr>
        <w:pStyle w:val="BodyText"/>
        <w:spacing w:line="192" w:lineRule="auto" w:before="114"/>
        <w:ind w:left="673" w:right="3555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OPI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module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includes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Protocol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supports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ANZSOG’s commitment to an inclusive approach across all its practices and curriculum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that prioritises the unique contributions and value of Māori, Australian Aboriginal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Torres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Strait Islander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peoples.</w:t>
      </w:r>
    </w:p>
    <w:p>
      <w:pPr>
        <w:pStyle w:val="ListParagraph"/>
        <w:numPr>
          <w:ilvl w:val="0"/>
          <w:numId w:val="3"/>
        </w:numPr>
        <w:tabs>
          <w:tab w:pos="921" w:val="left" w:leader="none"/>
        </w:tabs>
        <w:spacing w:line="240" w:lineRule="auto" w:before="161" w:after="0"/>
        <w:ind w:left="920" w:right="0" w:hanging="248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Student</w:t>
      </w:r>
      <w:r>
        <w:rPr>
          <w:rFonts w:ascii="Domus Semibold"/>
          <w:b w:val="0"/>
          <w:color w:val="231F20"/>
          <w:spacing w:val="-6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and</w:t>
      </w:r>
      <w:r>
        <w:rPr>
          <w:rFonts w:ascii="Domus Semibold"/>
          <w:b w:val="0"/>
          <w:color w:val="231F20"/>
          <w:spacing w:val="-6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Alumni</w:t>
      </w:r>
      <w:r>
        <w:rPr>
          <w:rFonts w:ascii="Domus Semibold"/>
          <w:b w:val="0"/>
          <w:color w:val="231F20"/>
          <w:spacing w:val="-10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Voice</w:t>
      </w:r>
    </w:p>
    <w:p>
      <w:pPr>
        <w:pStyle w:val="BodyText"/>
        <w:spacing w:line="192" w:lineRule="auto" w:before="107"/>
        <w:ind w:left="673" w:right="3127"/>
        <w:rPr>
          <w:b w:val="0"/>
        </w:rPr>
      </w:pPr>
      <w:r>
        <w:rPr>
          <w:b w:val="0"/>
          <w:color w:val="231F20"/>
        </w:rPr>
        <w:t>Following last year’s ANZSOG quality assurance roundtables with partners, Dr Amanda Wolf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from the School of Government Victoria University of Wellington, suggested we consider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enhancing reference to the “student voice” and academic program resilience and continuity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the EMPA policies. These recommendations will be considered as part of ongoing policy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improvement work in the coming year, however this year’s report opens with a welcome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acknowledgment from a graduate of the program and a message from the student awarded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Dean’s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prize.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addition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3.1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reports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comprehensively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response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experience with the transition to online delivery. These items provide some indication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voice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experience 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 program.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pStyle w:val="ListParagraph"/>
        <w:numPr>
          <w:ilvl w:val="1"/>
          <w:numId w:val="2"/>
        </w:numPr>
        <w:tabs>
          <w:tab w:pos="1198" w:val="left" w:leader="none"/>
        </w:tabs>
        <w:spacing w:line="240" w:lineRule="auto" w:before="47" w:after="0"/>
        <w:ind w:left="1197" w:right="0" w:hanging="525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Program</w:t>
      </w:r>
      <w:r>
        <w:rPr>
          <w:rFonts w:ascii="Domus Semibold"/>
          <w:b w:val="0"/>
          <w:color w:val="243B7D"/>
          <w:spacing w:val="-18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Reviews</w:t>
      </w:r>
    </w:p>
    <w:p>
      <w:pPr>
        <w:pStyle w:val="ListParagraph"/>
        <w:numPr>
          <w:ilvl w:val="0"/>
          <w:numId w:val="4"/>
        </w:numPr>
        <w:tabs>
          <w:tab w:pos="891" w:val="left" w:leader="none"/>
        </w:tabs>
        <w:spacing w:line="240" w:lineRule="auto" w:before="245" w:after="0"/>
        <w:ind w:left="890" w:right="0" w:hanging="218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Compliance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Review</w:t>
      </w:r>
    </w:p>
    <w:p>
      <w:pPr>
        <w:pStyle w:val="BodyText"/>
        <w:spacing w:line="192" w:lineRule="auto" w:before="106"/>
        <w:ind w:left="673" w:right="3090"/>
        <w:rPr>
          <w:b w:val="0"/>
        </w:rPr>
      </w:pPr>
      <w:r>
        <w:rPr>
          <w:b w:val="0"/>
          <w:color w:val="231F20"/>
        </w:rPr>
        <w:t>In line with commitments to conferring university partners ANZSOG completed 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Independent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Regulatory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Compliance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focused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EMPA’s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updated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policies.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purpose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extent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 which the program meets the relevant process requirements of the Higher Education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Standards Framework (Threshold Standards) 2015. Reviewers Dr Michael Tomlinson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Emeritus Professor Valerie Braithwaite tabled the review report in February 2021 (Refer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4 for a copy of the report).</w:t>
      </w:r>
    </w:p>
    <w:p>
      <w:pPr>
        <w:pStyle w:val="BodyText"/>
        <w:spacing w:line="192" w:lineRule="auto" w:before="114"/>
        <w:ind w:left="673" w:right="3095"/>
        <w:rPr>
          <w:b w:val="0"/>
        </w:rPr>
      </w:pPr>
      <w:r>
        <w:rPr>
          <w:b w:val="0"/>
          <w:color w:val="231F20"/>
        </w:rPr>
        <w:t>The report confirmed the general alignment of the ANZSOG EMPA policies and procedures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with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Australian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Higher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Education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Standards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Framework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(HESF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Standards)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that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are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monitored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by the Tertiary Education Quality and Standards Agency (TEQSA). While overwhelmingly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supportive of the quality and operational framework that underpins the EMPA the report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included 15 recommendations directed at improving best practice compliance with the HESF.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continue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Council 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implement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report recommendations.</w:t>
      </w:r>
    </w:p>
    <w:p>
      <w:pPr>
        <w:pStyle w:val="ListParagraph"/>
        <w:numPr>
          <w:ilvl w:val="0"/>
          <w:numId w:val="4"/>
        </w:numPr>
        <w:tabs>
          <w:tab w:pos="918" w:val="left" w:leader="none"/>
        </w:tabs>
        <w:spacing w:line="240" w:lineRule="auto" w:before="161" w:after="0"/>
        <w:ind w:left="917" w:right="0" w:hanging="245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Academic</w:t>
      </w:r>
      <w:r>
        <w:rPr>
          <w:rFonts w:ascii="Domus Semibold"/>
          <w:b w:val="0"/>
          <w:color w:val="231F20"/>
          <w:spacing w:val="-5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Program</w:t>
      </w:r>
      <w:r>
        <w:rPr>
          <w:rFonts w:ascii="Domus Semibold"/>
          <w:b w:val="0"/>
          <w:color w:val="231F20"/>
          <w:spacing w:val="-5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Review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Update</w:t>
      </w:r>
    </w:p>
    <w:p>
      <w:pPr>
        <w:spacing w:line="192" w:lineRule="auto" w:before="107"/>
        <w:ind w:left="673" w:right="3487" w:firstLine="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A recommendation of the recent EMPA Compliance Review report was that ANZSOG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undertake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an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Academic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Program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Review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of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EMPA.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Review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is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a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requirement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of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45"/>
          <w:sz w:val="19"/>
        </w:rPr>
        <w:t> </w:t>
      </w:r>
      <w:r>
        <w:rPr>
          <w:b w:val="0"/>
          <w:color w:val="231F20"/>
          <w:sz w:val="19"/>
        </w:rPr>
        <w:t>Higher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Education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Standards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Framework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(HESF)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i/>
          <w:color w:val="231F20"/>
          <w:sz w:val="19"/>
        </w:rPr>
        <w:t>Domain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5: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Institutional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Quality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Assurance</w:t>
      </w:r>
      <w:r>
        <w:rPr>
          <w:b w:val="0"/>
          <w:color w:val="231F20"/>
          <w:sz w:val="19"/>
        </w:rPr>
        <w:t>.</w:t>
      </w:r>
      <w:r>
        <w:rPr>
          <w:b w:val="0"/>
          <w:color w:val="231F20"/>
          <w:spacing w:val="-44"/>
          <w:sz w:val="19"/>
        </w:rPr>
        <w:t> </w:t>
      </w:r>
      <w:r>
        <w:rPr>
          <w:b w:val="0"/>
          <w:color w:val="231F20"/>
          <w:sz w:val="19"/>
        </w:rPr>
        <w:t>This Domain requires that ANZSOG initiate a review process that </w:t>
      </w:r>
      <w:r>
        <w:rPr>
          <w:b w:val="0"/>
          <w:i/>
          <w:color w:val="231F20"/>
          <w:sz w:val="19"/>
        </w:rPr>
        <w:t>‘involves competent</w:t>
      </w:r>
      <w:r>
        <w:rPr>
          <w:b w:val="0"/>
          <w:i/>
          <w:color w:val="231F20"/>
          <w:spacing w:val="1"/>
          <w:sz w:val="19"/>
        </w:rPr>
        <w:t> </w:t>
      </w:r>
      <w:r>
        <w:rPr>
          <w:b w:val="0"/>
          <w:i/>
          <w:color w:val="231F20"/>
          <w:sz w:val="19"/>
        </w:rPr>
        <w:t>academic oversight and scrutiny independent of those directly involved in the delivery’</w:t>
      </w:r>
      <w:r>
        <w:rPr>
          <w:b w:val="0"/>
          <w:i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of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color w:val="231F20"/>
          <w:sz w:val="19"/>
        </w:rPr>
        <w:t>the program.</w:t>
      </w:r>
    </w:p>
    <w:p>
      <w:pPr>
        <w:pStyle w:val="BodyText"/>
        <w:spacing w:line="192" w:lineRule="auto" w:before="113"/>
        <w:ind w:left="673" w:right="3719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play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key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role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renewal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activities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2021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contribute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objectives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enhance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standing.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Importantly,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Review</w:t>
      </w:r>
    </w:p>
    <w:p>
      <w:pPr>
        <w:pStyle w:val="BodyText"/>
        <w:spacing w:line="192" w:lineRule="auto"/>
        <w:ind w:left="673" w:right="3208"/>
        <w:rPr>
          <w:b w:val="0"/>
        </w:rPr>
      </w:pPr>
      <w:r>
        <w:rPr>
          <w:b w:val="0"/>
          <w:color w:val="231F20"/>
        </w:rPr>
        <w:t>will ensure that the EMPA’s conferring universities maintain a high degree of confidence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draw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order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 fulfil the HESF requirements that they themselves face in regard to quality assurance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since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enrol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award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degree.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hopes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</w:p>
    <w:p>
      <w:pPr>
        <w:pStyle w:val="BodyText"/>
        <w:spacing w:line="192" w:lineRule="auto" w:before="1"/>
        <w:ind w:left="673" w:right="3165"/>
        <w:rPr>
          <w:b w:val="0"/>
        </w:rPr>
      </w:pPr>
      <w:r>
        <w:rPr>
          <w:b w:val="0"/>
          <w:color w:val="231F20"/>
        </w:rPr>
        <w:t>conduct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avoid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duplication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similar work across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10 institutions.</w:t>
      </w:r>
    </w:p>
    <w:p>
      <w:pPr>
        <w:pStyle w:val="BodyText"/>
        <w:spacing w:line="192" w:lineRule="auto" w:before="113"/>
        <w:ind w:left="673" w:right="3478"/>
        <w:rPr>
          <w:b w:val="0"/>
        </w:rPr>
      </w:pP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Panel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seven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people,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Chair,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representatives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academic,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alumni, current student, employer, and international perspectives will be appointed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undertake the Review. The approach to the review will generally be consistent with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practices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 our university partners.</w:t>
      </w:r>
    </w:p>
    <w:p>
      <w:pPr>
        <w:pStyle w:val="BodyText"/>
        <w:spacing w:line="192" w:lineRule="auto" w:before="114"/>
        <w:ind w:left="673" w:right="3115"/>
        <w:rPr>
          <w:b w:val="0"/>
        </w:rPr>
      </w:pPr>
      <w:r>
        <w:rPr>
          <w:b w:val="0"/>
          <w:color w:val="231F20"/>
        </w:rPr>
        <w:t>The Panel will be supported by a secretariat from the ANZSOG University Relations team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which will collate evaluation materials and assist with drafting the report.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 Consultation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Group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comprising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broader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range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world-leading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experts,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practitioners,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alumni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First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People’s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representatives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invited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engage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consultations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Panel.</w:t>
      </w:r>
    </w:p>
    <w:p>
      <w:pPr>
        <w:pStyle w:val="BodyText"/>
        <w:spacing w:line="192" w:lineRule="auto" w:before="113"/>
        <w:ind w:left="673" w:right="3525"/>
        <w:rPr>
          <w:b w:val="0"/>
        </w:rPr>
      </w:pPr>
      <w:r>
        <w:rPr>
          <w:b w:val="0"/>
          <w:color w:val="231F20"/>
        </w:rPr>
        <w:t>The terms of reference for the review will align with HESF requirements and address 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overall academic quality of the EMPA program and the academic standards attained by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EMPA graduates. The review will also consider the strategic positioning and contribution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the EMPA to the strengthening of public sector leadership in Australia and Aotearoa-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Zealand.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anticipated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circulated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August 2021.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ListParagraph"/>
        <w:numPr>
          <w:ilvl w:val="0"/>
          <w:numId w:val="5"/>
        </w:numPr>
        <w:tabs>
          <w:tab w:pos="1175" w:val="left" w:leader="none"/>
        </w:tabs>
        <w:spacing w:line="184" w:lineRule="auto" w:before="139" w:after="0"/>
        <w:ind w:left="673" w:right="5292" w:firstLine="0"/>
        <w:jc w:val="left"/>
        <w:rPr>
          <w:rFonts w:ascii="Domus Semibold"/>
          <w:b w:val="0"/>
          <w:sz w:val="56"/>
        </w:rPr>
      </w:pPr>
      <w:bookmarkStart w:name="4. EMPA Program Design and Leadership" w:id="13"/>
      <w:bookmarkEnd w:id="13"/>
      <w:r>
        <w:rPr/>
      </w:r>
      <w:bookmarkStart w:name="4. EMPA Program Design and Leadership" w:id="14"/>
      <w:bookmarkEnd w:id="14"/>
      <w:r>
        <w:rPr>
          <w:rFonts w:ascii="Domus Semibold"/>
          <w:b w:val="0"/>
          <w:color w:val="243B7D"/>
          <w:spacing w:val="-7"/>
          <w:sz w:val="56"/>
        </w:rPr>
        <w:t>EM</w:t>
      </w:r>
      <w:r>
        <w:rPr>
          <w:rFonts w:ascii="Domus Semibold"/>
          <w:b w:val="0"/>
          <w:color w:val="243B7D"/>
          <w:spacing w:val="-7"/>
          <w:sz w:val="56"/>
        </w:rPr>
        <w:t>PA</w:t>
      </w:r>
      <w:r>
        <w:rPr>
          <w:rFonts w:ascii="Domus Semibold"/>
          <w:b w:val="0"/>
          <w:color w:val="243B7D"/>
          <w:spacing w:val="-21"/>
          <w:sz w:val="56"/>
        </w:rPr>
        <w:t> </w:t>
      </w:r>
      <w:r>
        <w:rPr>
          <w:rFonts w:ascii="Domus Semibold"/>
          <w:b w:val="0"/>
          <w:color w:val="243B7D"/>
          <w:spacing w:val="-7"/>
          <w:sz w:val="56"/>
        </w:rPr>
        <w:t>Program</w:t>
      </w:r>
      <w:r>
        <w:rPr>
          <w:rFonts w:ascii="Domus Semibold"/>
          <w:b w:val="0"/>
          <w:color w:val="243B7D"/>
          <w:spacing w:val="-21"/>
          <w:sz w:val="56"/>
        </w:rPr>
        <w:t> </w:t>
      </w:r>
      <w:r>
        <w:rPr>
          <w:rFonts w:ascii="Domus Semibold"/>
          <w:b w:val="0"/>
          <w:color w:val="243B7D"/>
          <w:spacing w:val="-6"/>
          <w:sz w:val="56"/>
        </w:rPr>
        <w:t>Design</w:t>
      </w:r>
      <w:r>
        <w:rPr>
          <w:rFonts w:ascii="Domus Semibold"/>
          <w:b w:val="0"/>
          <w:color w:val="243B7D"/>
          <w:spacing w:val="-110"/>
          <w:sz w:val="56"/>
        </w:rPr>
        <w:t> </w:t>
      </w:r>
      <w:r>
        <w:rPr>
          <w:rFonts w:ascii="Domus Semibold"/>
          <w:b w:val="0"/>
          <w:color w:val="243B7D"/>
          <w:sz w:val="56"/>
        </w:rPr>
        <w:t>and</w:t>
      </w:r>
      <w:r>
        <w:rPr>
          <w:rFonts w:ascii="Domus Semibold"/>
          <w:b w:val="0"/>
          <w:color w:val="243B7D"/>
          <w:spacing w:val="-16"/>
          <w:sz w:val="56"/>
        </w:rPr>
        <w:t> </w:t>
      </w:r>
      <w:r>
        <w:rPr>
          <w:rFonts w:ascii="Domus Semibold"/>
          <w:b w:val="0"/>
          <w:color w:val="243B7D"/>
          <w:sz w:val="56"/>
        </w:rPr>
        <w:t>Leadership</w:t>
      </w:r>
    </w:p>
    <w:p>
      <w:pPr>
        <w:pStyle w:val="ListParagraph"/>
        <w:numPr>
          <w:ilvl w:val="1"/>
          <w:numId w:val="5"/>
        </w:numPr>
        <w:tabs>
          <w:tab w:pos="1154" w:val="left" w:leader="none"/>
        </w:tabs>
        <w:spacing w:line="240" w:lineRule="auto" w:before="306" w:after="0"/>
        <w:ind w:left="1153" w:right="0" w:hanging="481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Program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Design</w:t>
      </w:r>
    </w:p>
    <w:p>
      <w:pPr>
        <w:spacing w:before="245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Rationale</w:t>
      </w:r>
    </w:p>
    <w:p>
      <w:pPr>
        <w:pStyle w:val="BodyText"/>
        <w:spacing w:line="247" w:lineRule="exact" w:before="63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engages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nurtures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managers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</w:t>
      </w:r>
    </w:p>
    <w:p>
      <w:pPr>
        <w:pStyle w:val="BodyText"/>
        <w:spacing w:line="192" w:lineRule="auto" w:before="16"/>
        <w:ind w:left="673" w:right="3392"/>
        <w:rPr>
          <w:b w:val="0"/>
        </w:rPr>
      </w:pP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develop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enhance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critical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thinking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abilities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management and public sector leadership. The degree is a prestigious and highly valued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professional development opportunity offered by governments to their high performing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emerging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significant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number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alumni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subsequently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achieved</w:t>
      </w:r>
    </w:p>
    <w:p>
      <w:pPr>
        <w:pStyle w:val="BodyText"/>
        <w:spacing w:line="192" w:lineRule="auto"/>
        <w:ind w:left="673" w:right="3198"/>
        <w:rPr>
          <w:b w:val="0"/>
        </w:rPr>
      </w:pPr>
      <w:r>
        <w:rPr>
          <w:b w:val="0"/>
          <w:color w:val="231F20"/>
        </w:rPr>
        <w:t>appointments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Chief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Officers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several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organisations.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Inherent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 program expectations is the continuous development of senior leaders serving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Aotearoa-New Zealand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service.</w:t>
      </w:r>
    </w:p>
    <w:p>
      <w:pPr>
        <w:pStyle w:val="BodyText"/>
        <w:spacing w:line="192" w:lineRule="auto" w:before="113"/>
        <w:ind w:left="673" w:right="3690"/>
        <w:rPr>
          <w:b w:val="0"/>
        </w:rPr>
      </w:pPr>
      <w:r>
        <w:rPr>
          <w:b w:val="0"/>
          <w:color w:val="231F20"/>
        </w:rPr>
        <w:t>The original and ongoing purpose for establishing ANZSOG is to meet the requirement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complex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multi-disciplinary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nature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sector.</w:t>
      </w:r>
    </w:p>
    <w:p>
      <w:pPr>
        <w:pStyle w:val="BodyText"/>
        <w:spacing w:line="192" w:lineRule="auto"/>
        <w:ind w:left="673" w:right="3208"/>
        <w:rPr>
          <w:b w:val="0"/>
        </w:rPr>
      </w:pPr>
      <w:r>
        <w:rPr>
          <w:b w:val="0"/>
          <w:color w:val="231F20"/>
        </w:rPr>
        <w:t>With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estimated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workforce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2.4m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people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with estimated government expenditure accounting for almost 25% of national GDP (OECD),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quality leadership and effective management is essential for successful and competent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 services for all governments. This, in turn, assures effective and efficient stewardship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resources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services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communities.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cohort</w:t>
      </w:r>
    </w:p>
    <w:p>
      <w:pPr>
        <w:pStyle w:val="BodyText"/>
        <w:spacing w:line="192" w:lineRule="auto" w:before="1"/>
        <w:ind w:left="673" w:right="3412"/>
        <w:rPr>
          <w:b w:val="0"/>
        </w:rPr>
      </w:pPr>
      <w:r>
        <w:rPr>
          <w:b w:val="0"/>
          <w:color w:val="231F20"/>
        </w:rPr>
        <w:t>drawn from all 10 governments of Australia and Aotearoa-New Zealand, students develop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cross-jurisdictional networks of peers who become a professional alumni network that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sustains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supports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throughout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duration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their professional careers.</w:t>
      </w:r>
    </w:p>
    <w:p>
      <w:pPr>
        <w:spacing w:before="161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EMPA</w:t>
      </w:r>
      <w:r>
        <w:rPr>
          <w:rFonts w:ascii="Domus Semibold"/>
          <w:b w:val="0"/>
          <w:color w:val="231F20"/>
          <w:spacing w:val="-8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Structure</w:t>
      </w:r>
    </w:p>
    <w:p>
      <w:pPr>
        <w:pStyle w:val="BodyText"/>
        <w:spacing w:line="192" w:lineRule="auto" w:before="106"/>
        <w:ind w:left="673" w:right="3629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two-year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qualification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developed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delivered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exclusively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high-performing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managers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leaders.</w:t>
      </w:r>
    </w:p>
    <w:p>
      <w:pPr>
        <w:pStyle w:val="BodyText"/>
        <w:spacing w:line="192" w:lineRule="auto" w:before="114"/>
        <w:ind w:left="673" w:right="3436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specifically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designed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incorporate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range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skills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required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exceptional leader and manager, tailored to the unique and broad context of the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purpose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sector.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Unlike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degrees,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centres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concept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managing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value,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accounting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nature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Aotearoa-New Zealand and the challenges faced by leaders around policy, integrity,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economics,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regulation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problem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solving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within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democratic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society.</w:t>
      </w:r>
    </w:p>
    <w:p>
      <w:pPr>
        <w:pStyle w:val="BodyText"/>
        <w:spacing w:line="192" w:lineRule="auto" w:before="114"/>
        <w:ind w:left="673" w:right="3514"/>
        <w:jc w:val="both"/>
        <w:rPr>
          <w:b w:val="0"/>
        </w:rPr>
      </w:pP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current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play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active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role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shaping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contributing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significant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focus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degree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practice,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success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failures,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drawing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theories,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concepts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underpinnings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what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determines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practice.</w:t>
      </w:r>
    </w:p>
    <w:p>
      <w:pPr>
        <w:pStyle w:val="BodyText"/>
        <w:spacing w:line="192" w:lineRule="auto"/>
        <w:ind w:left="673" w:right="3141"/>
        <w:rPr>
          <w:b w:val="0"/>
        </w:rPr>
      </w:pPr>
      <w:r>
        <w:rPr>
          <w:b w:val="0"/>
          <w:color w:val="231F20"/>
        </w:rPr>
        <w:t>In this way ANZSOG’s EMPA bridges the gap between academic theory and the world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practice,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allowing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benefit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pragmatic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realities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complexity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delivering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value.</w:t>
      </w:r>
    </w:p>
    <w:p>
      <w:pPr>
        <w:pStyle w:val="BodyText"/>
        <w:spacing w:line="192" w:lineRule="auto" w:before="113"/>
        <w:ind w:left="673" w:right="3408"/>
        <w:rPr>
          <w:b w:val="0"/>
        </w:rPr>
      </w:pPr>
      <w:r>
        <w:rPr>
          <w:b w:val="0"/>
          <w:color w:val="231F20"/>
        </w:rPr>
        <w:t>The blended EMPA delivery mode allows for the time and space so that students can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become reflective practitioners. Following periods of intensive study students return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professional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roles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refreshed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energised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having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delved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deep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scholarly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material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learning from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experienced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expert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practitioners.</w:t>
      </w:r>
    </w:p>
    <w:p>
      <w:pPr>
        <w:pStyle w:val="BodyText"/>
        <w:spacing w:line="192" w:lineRule="auto" w:before="114"/>
        <w:ind w:left="673" w:right="3095"/>
        <w:rPr>
          <w:b w:val="0"/>
        </w:rPr>
      </w:pPr>
      <w:r>
        <w:rPr>
          <w:b w:val="0"/>
          <w:color w:val="231F20"/>
        </w:rPr>
        <w:t>The approach to learning and teaching draws on the student’s experience within the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 and linking this to conceptual and analytical frames that help guide the analysis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applied public policy problems. Learning is interactive, student-led and ANZSOG’s broader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network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drawn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enhance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content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beyond their domestic context. This may involve for example subject delivery in partnership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associates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Kuan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Singapore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by our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world leading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international faculty.</w:t>
      </w:r>
    </w:p>
    <w:p>
      <w:pPr>
        <w:spacing w:after="0" w:line="192" w:lineRule="auto"/>
        <w:sectPr>
          <w:pgSz w:w="11910" w:h="16840"/>
          <w:pgMar w:header="0" w:footer="555" w:top="92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line="192" w:lineRule="auto" w:before="138"/>
        <w:ind w:left="673" w:right="3230"/>
        <w:rPr>
          <w:b w:val="0"/>
        </w:rPr>
      </w:pPr>
      <w:r>
        <w:rPr>
          <w:b w:val="0"/>
          <w:color w:val="231F20"/>
        </w:rPr>
        <w:t>Our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owners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actively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engaged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degree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co-delivered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with ANZSOG’s conferring university partners located across all our member government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jurisdictions:</w:t>
      </w:r>
    </w:p>
    <w:p>
      <w:pPr>
        <w:pStyle w:val="BodyText"/>
        <w:spacing w:before="2"/>
        <w:rPr>
          <w:b w:val="0"/>
          <w:sz w:val="10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3852"/>
      </w:tblGrid>
      <w:tr>
        <w:trPr>
          <w:trHeight w:val="360" w:hRule="atLeast"/>
        </w:trPr>
        <w:tc>
          <w:tcPr>
            <w:tcW w:w="3824" w:type="dxa"/>
            <w:shd w:val="clear" w:color="auto" w:fill="243B7D"/>
          </w:tcPr>
          <w:p>
            <w:pPr>
              <w:pStyle w:val="TableParagraph"/>
              <w:spacing w:before="53"/>
              <w:ind w:left="113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Member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governments</w:t>
            </w:r>
          </w:p>
        </w:tc>
        <w:tc>
          <w:tcPr>
            <w:tcW w:w="3852" w:type="dxa"/>
            <w:shd w:val="clear" w:color="auto" w:fill="243B7D"/>
          </w:tcPr>
          <w:p>
            <w:pPr>
              <w:pStyle w:val="TableParagraph"/>
              <w:spacing w:before="53"/>
              <w:ind w:left="113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Conferring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partner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universities</w:t>
            </w:r>
          </w:p>
        </w:tc>
      </w:tr>
      <w:tr>
        <w:trPr>
          <w:trHeight w:val="358" w:hRule="atLeast"/>
        </w:trPr>
        <w:tc>
          <w:tcPr>
            <w:tcW w:w="3824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53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Aotearoa-New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Zealand</w:t>
            </w:r>
          </w:p>
        </w:tc>
        <w:tc>
          <w:tcPr>
            <w:tcW w:w="3852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53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Victoria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Wellington</w:t>
            </w:r>
          </w:p>
        </w:tc>
      </w:tr>
      <w:tr>
        <w:trPr>
          <w:trHeight w:val="355" w:hRule="atLeast"/>
        </w:trPr>
        <w:tc>
          <w:tcPr>
            <w:tcW w:w="382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Australia</w:t>
            </w:r>
          </w:p>
        </w:tc>
        <w:tc>
          <w:tcPr>
            <w:tcW w:w="385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Australian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National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</w:p>
        </w:tc>
      </w:tr>
      <w:tr>
        <w:trPr>
          <w:trHeight w:val="355" w:hRule="atLeast"/>
        </w:trPr>
        <w:tc>
          <w:tcPr>
            <w:tcW w:w="382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Australian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Capital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Territory</w:t>
            </w:r>
          </w:p>
        </w:tc>
        <w:tc>
          <w:tcPr>
            <w:tcW w:w="385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Canberra</w:t>
            </w:r>
          </w:p>
        </w:tc>
      </w:tr>
      <w:tr>
        <w:trPr>
          <w:trHeight w:val="355" w:hRule="atLeast"/>
        </w:trPr>
        <w:tc>
          <w:tcPr>
            <w:tcW w:w="382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New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South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Wales</w:t>
            </w:r>
          </w:p>
        </w:tc>
        <w:tc>
          <w:tcPr>
            <w:tcW w:w="385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Sydney</w:t>
            </w:r>
          </w:p>
        </w:tc>
      </w:tr>
      <w:tr>
        <w:trPr>
          <w:trHeight w:val="355" w:hRule="atLeast"/>
        </w:trPr>
        <w:tc>
          <w:tcPr>
            <w:tcW w:w="382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Northern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Territory</w:t>
            </w:r>
          </w:p>
        </w:tc>
        <w:tc>
          <w:tcPr>
            <w:tcW w:w="385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Charles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Darwin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</w:p>
        </w:tc>
      </w:tr>
      <w:tr>
        <w:trPr>
          <w:trHeight w:val="355" w:hRule="atLeast"/>
        </w:trPr>
        <w:tc>
          <w:tcPr>
            <w:tcW w:w="382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Queensland</w:t>
            </w:r>
          </w:p>
        </w:tc>
        <w:tc>
          <w:tcPr>
            <w:tcW w:w="385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Griffith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</w:p>
        </w:tc>
      </w:tr>
      <w:tr>
        <w:trPr>
          <w:trHeight w:val="355" w:hRule="atLeast"/>
        </w:trPr>
        <w:tc>
          <w:tcPr>
            <w:tcW w:w="382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South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Australia</w:t>
            </w:r>
          </w:p>
        </w:tc>
        <w:tc>
          <w:tcPr>
            <w:tcW w:w="385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Flinders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</w:p>
        </w:tc>
      </w:tr>
      <w:tr>
        <w:trPr>
          <w:trHeight w:val="355" w:hRule="atLeast"/>
        </w:trPr>
        <w:tc>
          <w:tcPr>
            <w:tcW w:w="3824" w:type="dxa"/>
            <w:tcBorders>
              <w:top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Victoria</w:t>
            </w:r>
          </w:p>
        </w:tc>
        <w:tc>
          <w:tcPr>
            <w:tcW w:w="385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Monash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</w:p>
        </w:tc>
      </w:tr>
      <w:tr>
        <w:trPr>
          <w:trHeight w:val="355" w:hRule="atLeast"/>
        </w:trPr>
        <w:tc>
          <w:tcPr>
            <w:tcW w:w="3824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85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Univeristy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Melbourne</w:t>
            </w:r>
          </w:p>
        </w:tc>
      </w:tr>
      <w:tr>
        <w:trPr>
          <w:trHeight w:val="355" w:hRule="atLeast"/>
        </w:trPr>
        <w:tc>
          <w:tcPr>
            <w:tcW w:w="382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Western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Australia</w:t>
            </w:r>
          </w:p>
        </w:tc>
        <w:tc>
          <w:tcPr>
            <w:tcW w:w="385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Curtin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Technology</w:t>
            </w:r>
          </w:p>
        </w:tc>
      </w:tr>
    </w:tbl>
    <w:p>
      <w:pPr>
        <w:pStyle w:val="BodyText"/>
        <w:spacing w:before="5"/>
        <w:rPr>
          <w:b w:val="0"/>
          <w:sz w:val="32"/>
        </w:rPr>
      </w:pPr>
    </w:p>
    <w:p>
      <w:pPr>
        <w:spacing w:before="0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Structure</w:t>
      </w:r>
    </w:p>
    <w:p>
      <w:pPr>
        <w:pStyle w:val="BodyText"/>
        <w:spacing w:line="192" w:lineRule="auto" w:before="107"/>
        <w:ind w:left="673" w:right="3196"/>
        <w:rPr>
          <w:b w:val="0"/>
        </w:rPr>
      </w:pPr>
      <w:r>
        <w:rPr>
          <w:b w:val="0"/>
          <w:color w:val="231F20"/>
        </w:rPr>
        <w:t>The core EMPA subjects (75 per cent) are delivered by ANZSOG, as shown in the following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table.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remaining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25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degree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comprises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three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electives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chosen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from their conferring university, and this combined completes the degree. The aim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electives is to provide a more individualised and tailored program of study that reflects each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student’s interest, expertise and career trajectory. For example, a student who works in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Department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choose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elective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university.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Electives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therefore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drawn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diverse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range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faculties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university.</w:t>
      </w:r>
    </w:p>
    <w:p>
      <w:pPr>
        <w:pStyle w:val="BodyText"/>
        <w:spacing w:before="4" w:after="1"/>
        <w:rPr>
          <w:b w:val="0"/>
          <w:sz w:val="9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8"/>
        <w:gridCol w:w="1860"/>
        <w:gridCol w:w="2360"/>
      </w:tblGrid>
      <w:tr>
        <w:trPr>
          <w:trHeight w:val="360" w:hRule="atLeast"/>
        </w:trPr>
        <w:tc>
          <w:tcPr>
            <w:tcW w:w="3458" w:type="dxa"/>
            <w:shd w:val="clear" w:color="auto" w:fill="243B7D"/>
          </w:tcPr>
          <w:p>
            <w:pPr>
              <w:pStyle w:val="TableParagraph"/>
              <w:spacing w:before="53"/>
              <w:ind w:left="113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ANZSOG</w:t>
            </w:r>
            <w:r>
              <w:rPr>
                <w:rFonts w:ascii="Apercu"/>
                <w:b/>
                <w:color w:val="FFFFFF"/>
                <w:spacing w:val="-4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core</w:t>
            </w:r>
            <w:r>
              <w:rPr>
                <w:rFonts w:ascii="Apercu"/>
                <w:b/>
                <w:color w:val="FFFFFF"/>
                <w:spacing w:val="-4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subjects</w:t>
            </w:r>
          </w:p>
        </w:tc>
        <w:tc>
          <w:tcPr>
            <w:tcW w:w="1860" w:type="dxa"/>
            <w:shd w:val="clear" w:color="auto" w:fill="243B7D"/>
          </w:tcPr>
          <w:p>
            <w:pPr>
              <w:pStyle w:val="TableParagraph"/>
              <w:spacing w:before="53"/>
              <w:ind w:left="522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Acronym</w:t>
            </w:r>
          </w:p>
        </w:tc>
        <w:tc>
          <w:tcPr>
            <w:tcW w:w="2360" w:type="dxa"/>
            <w:shd w:val="clear" w:color="auto" w:fill="243B7D"/>
          </w:tcPr>
          <w:p>
            <w:pPr>
              <w:pStyle w:val="TableParagraph"/>
              <w:spacing w:before="53"/>
              <w:ind w:left="646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Year</w:t>
            </w:r>
          </w:p>
        </w:tc>
      </w:tr>
      <w:tr>
        <w:trPr>
          <w:trHeight w:val="358" w:hRule="atLeast"/>
        </w:trPr>
        <w:tc>
          <w:tcPr>
            <w:tcW w:w="3458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53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Delivering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Public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Value</w:t>
            </w:r>
          </w:p>
        </w:tc>
        <w:tc>
          <w:tcPr>
            <w:tcW w:w="1860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53"/>
              <w:ind w:left="5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DPV</w:t>
            </w:r>
          </w:p>
        </w:tc>
        <w:tc>
          <w:tcPr>
            <w:tcW w:w="2360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before="53"/>
              <w:ind w:left="6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355" w:hRule="atLeast"/>
        </w:trPr>
        <w:tc>
          <w:tcPr>
            <w:tcW w:w="345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Government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Market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Economy</w:t>
            </w:r>
          </w:p>
        </w:tc>
        <w:tc>
          <w:tcPr>
            <w:tcW w:w="18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5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GME</w:t>
            </w:r>
          </w:p>
        </w:tc>
        <w:tc>
          <w:tcPr>
            <w:tcW w:w="23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6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355" w:hRule="atLeast"/>
        </w:trPr>
        <w:tc>
          <w:tcPr>
            <w:tcW w:w="345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Designing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Public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Programs</w:t>
            </w:r>
          </w:p>
        </w:tc>
        <w:tc>
          <w:tcPr>
            <w:tcW w:w="18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5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DPPP</w:t>
            </w:r>
          </w:p>
        </w:tc>
        <w:tc>
          <w:tcPr>
            <w:tcW w:w="23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6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355" w:hRule="atLeast"/>
        </w:trPr>
        <w:tc>
          <w:tcPr>
            <w:tcW w:w="345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Decision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Making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Under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Uncertainty</w:t>
            </w:r>
          </w:p>
        </w:tc>
        <w:tc>
          <w:tcPr>
            <w:tcW w:w="18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5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DMUU</w:t>
            </w:r>
          </w:p>
        </w:tc>
        <w:tc>
          <w:tcPr>
            <w:tcW w:w="23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6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355" w:hRule="atLeast"/>
        </w:trPr>
        <w:tc>
          <w:tcPr>
            <w:tcW w:w="345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Managing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Public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Sector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Organisations</w:t>
            </w:r>
          </w:p>
        </w:tc>
        <w:tc>
          <w:tcPr>
            <w:tcW w:w="18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5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MPSO</w:t>
            </w:r>
          </w:p>
        </w:tc>
        <w:tc>
          <w:tcPr>
            <w:tcW w:w="23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6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355" w:hRule="atLeast"/>
        </w:trPr>
        <w:tc>
          <w:tcPr>
            <w:tcW w:w="345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Governing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Rules</w:t>
            </w:r>
          </w:p>
        </w:tc>
        <w:tc>
          <w:tcPr>
            <w:tcW w:w="18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5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GTR</w:t>
            </w:r>
          </w:p>
        </w:tc>
        <w:tc>
          <w:tcPr>
            <w:tcW w:w="23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6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</w:tr>
      <w:tr>
        <w:trPr>
          <w:trHeight w:val="355" w:hRule="atLeast"/>
        </w:trPr>
        <w:tc>
          <w:tcPr>
            <w:tcW w:w="345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Public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Financial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Management</w:t>
            </w:r>
          </w:p>
        </w:tc>
        <w:tc>
          <w:tcPr>
            <w:tcW w:w="18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5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PFM</w:t>
            </w:r>
          </w:p>
        </w:tc>
        <w:tc>
          <w:tcPr>
            <w:tcW w:w="23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6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</w:tr>
      <w:tr>
        <w:trPr>
          <w:trHeight w:val="355" w:hRule="atLeast"/>
        </w:trPr>
        <w:tc>
          <w:tcPr>
            <w:tcW w:w="345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Leading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Public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Sector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Change</w:t>
            </w:r>
          </w:p>
        </w:tc>
        <w:tc>
          <w:tcPr>
            <w:tcW w:w="18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5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LPSC</w:t>
            </w:r>
          </w:p>
        </w:tc>
        <w:tc>
          <w:tcPr>
            <w:tcW w:w="23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6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</w:tr>
      <w:tr>
        <w:trPr>
          <w:trHeight w:val="355" w:hRule="atLeast"/>
        </w:trPr>
        <w:tc>
          <w:tcPr>
            <w:tcW w:w="345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1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Work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Based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Project</w:t>
            </w:r>
          </w:p>
        </w:tc>
        <w:tc>
          <w:tcPr>
            <w:tcW w:w="18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5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WBP</w:t>
            </w:r>
          </w:p>
        </w:tc>
        <w:tc>
          <w:tcPr>
            <w:tcW w:w="23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1"/>
              <w:ind w:left="6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spacing w:before="63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EMPA</w:t>
      </w:r>
      <w:r>
        <w:rPr>
          <w:rFonts w:ascii="Domus Semibold"/>
          <w:b w:val="0"/>
          <w:color w:val="231F20"/>
          <w:spacing w:val="-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Program</w:t>
      </w:r>
      <w:r>
        <w:rPr>
          <w:rFonts w:ascii="Domus Semibold"/>
          <w:b w:val="0"/>
          <w:color w:val="231F20"/>
          <w:spacing w:val="-6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Plan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11"/>
        <w:rPr>
          <w:rFonts w:ascii="Domus Semibold"/>
          <w:b w:val="0"/>
          <w:sz w:val="20"/>
        </w:rPr>
      </w:pPr>
    </w:p>
    <w:p>
      <w:pPr>
        <w:spacing w:line="228" w:lineRule="auto" w:before="0"/>
        <w:ind w:left="667" w:right="10374" w:firstLine="0"/>
        <w:jc w:val="left"/>
        <w:rPr>
          <w:rFonts w:ascii="Domus Semibold"/>
          <w:b w:val="0"/>
          <w:sz w:val="16"/>
        </w:rPr>
      </w:pPr>
      <w:r>
        <w:rPr/>
        <w:pict>
          <v:group style="position:absolute;margin-left:112.097pt;margin-top:-47.656582pt;width:424.1pt;height:169.1pt;mso-position-horizontal-relative:page;mso-position-vertical-relative:paragraph;z-index:-19476992" id="docshapegroup22" coordorigin="2242,-953" coordsize="8482,3382">
            <v:line style="position:absolute" from="4360,1480" to="4360,1699" stroked="true" strokeweight=".19pt" strokecolor="#231f20">
              <v:stroke dashstyle="solid"/>
            </v:line>
            <v:shape style="position:absolute;left:6526;top:1480;width:2152;height:219" id="docshape23" coordorigin="6527,1480" coordsize="2152,219" path="m6527,1480l6527,1699m8678,1480l8678,1699e" filled="false" stroked="true" strokeweight=".19pt" strokecolor="#231f20">
              <v:path arrowok="t"/>
              <v:stroke dashstyle="solid"/>
            </v:shape>
            <v:rect style="position:absolute;left:2241;top:-954;width:8482;height:2263" id="docshape24" filled="true" fillcolor="#5bcbf5" stroked="false">
              <v:fill type="solid"/>
            </v:rect>
            <v:line style="position:absolute" from="6516,-61" to="6516,165" stroked="true" strokeweight=".19pt" strokecolor="#231f20">
              <v:stroke dashstyle="solid"/>
            </v:line>
            <v:line style="position:absolute" from="5464,160" to="5464,413" stroked="true" strokeweight=".19pt" strokecolor="#231f20">
              <v:stroke dashstyle="solid"/>
            </v:line>
            <v:line style="position:absolute" from="7490,1143" to="7490,1479" stroked="true" strokeweight=".19pt" strokecolor="#231f20">
              <v:stroke dashstyle="solid"/>
            </v:line>
            <v:line style="position:absolute" from="7583,160" to="7583,413" stroked="true" strokeweight=".19pt" strokecolor="#231f20">
              <v:stroke dashstyle="solid"/>
            </v:line>
            <v:line style="position:absolute" from="5472,1143" to="5472,1479" stroked="true" strokeweight=".19pt" strokecolor="#231f20">
              <v:stroke dashstyle="solid"/>
            </v:line>
            <v:shape style="position:absolute;left:3268;top:161;width:6417;height:252" id="docshape25" coordorigin="3268,161" coordsize="6417,252" path="m9685,413l9685,161,3268,161,3268,413e" filled="false" stroked="true" strokeweight=".19pt" strokecolor="#231f20">
              <v:path arrowok="t"/>
              <v:stroke dashstyle="solid"/>
            </v:shape>
            <v:shape style="position:absolute;left:3268;top:1138;width:6417;height:339" id="docshape26" coordorigin="3268,1138" coordsize="6417,339" path="m3268,1138l3268,1477,9685,1477,9685,1138e" filled="false" stroked="true" strokeweight=".19pt" strokecolor="#231f20">
              <v:path arrowok="t"/>
              <v:stroke dashstyle="solid"/>
            </v:shape>
            <v:line style="position:absolute" from="5345,-410" to="5568,-410" stroked="true" strokeweight=".759pt" strokecolor="#ffffff">
              <v:stroke dashstyle="solid"/>
            </v:line>
            <v:shape style="position:absolute;left:5506;top:-467;width:61;height:113" id="docshape27" coordorigin="5507,-467" coordsize="61,113" path="m5507,-467l5568,-410,5507,-354e" filled="false" stroked="true" strokeweight=".759pt" strokecolor="#ffffff">
              <v:path arrowok="t"/>
              <v:stroke dashstyle="solid"/>
            </v:shape>
            <v:shape style="position:absolute;left:7805;top:1698;width:1746;height:731" type="#_x0000_t202" id="docshape28" filled="true" fillcolor="#ed1c24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Domus Semibold"/>
                        <w:b w:val="0"/>
                        <w:color w:val="000000"/>
                        <w:sz w:val="21"/>
                      </w:rPr>
                    </w:pPr>
                  </w:p>
                  <w:p>
                    <w:pPr>
                      <w:spacing w:before="0"/>
                      <w:ind w:left="422" w:right="0" w:firstLine="0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Elective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Three</w:t>
                    </w:r>
                  </w:p>
                </w:txbxContent>
              </v:textbox>
              <v:fill type="solid"/>
              <w10:wrap type="none"/>
            </v:shape>
            <v:shape style="position:absolute;left:5658;top:1698;width:1746;height:731" type="#_x0000_t202" id="docshape29" filled="true" fillcolor="#ed1c24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Domus Semibold"/>
                        <w:b w:val="0"/>
                        <w:color w:val="000000"/>
                        <w:sz w:val="21"/>
                      </w:rPr>
                    </w:pPr>
                  </w:p>
                  <w:p>
                    <w:pPr>
                      <w:spacing w:before="0"/>
                      <w:ind w:left="485" w:right="0" w:firstLine="0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Elective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Two</w:t>
                    </w:r>
                  </w:p>
                </w:txbxContent>
              </v:textbox>
              <v:fill type="solid"/>
              <w10:wrap type="none"/>
            </v:shape>
            <v:shape style="position:absolute;left:3490;top:1698;width:1746;height:731" type="#_x0000_t202" id="docshape30" filled="true" fillcolor="#ed1c24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Domus Semibold"/>
                        <w:b w:val="0"/>
                        <w:color w:val="000000"/>
                        <w:sz w:val="21"/>
                      </w:rPr>
                    </w:pPr>
                  </w:p>
                  <w:p>
                    <w:pPr>
                      <w:spacing w:before="0"/>
                      <w:ind w:left="476" w:right="0" w:firstLine="0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Elective One</w:t>
                    </w:r>
                  </w:p>
                </w:txbxContent>
              </v:textbox>
              <v:fill type="solid"/>
              <w10:wrap type="none"/>
            </v:shape>
            <v:shape style="position:absolute;left:8822;top:413;width:1746;height:731" type="#_x0000_t202" id="docshape31" filled="true" fillcolor="#243b7d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Domus Semibold"/>
                        <w:b w:val="0"/>
                        <w:color w:val="000000"/>
                        <w:sz w:val="16"/>
                      </w:rPr>
                    </w:pPr>
                  </w:p>
                  <w:p>
                    <w:pPr>
                      <w:spacing w:line="199" w:lineRule="auto" w:before="0"/>
                      <w:ind w:left="435" w:right="138" w:hanging="301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pacing w:val="-1"/>
                        <w:sz w:val="14"/>
                      </w:rPr>
                      <w:t>Managing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Public Sector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3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Organisations</w:t>
                    </w:r>
                  </w:p>
                </w:txbxContent>
              </v:textbox>
              <v:fill type="solid"/>
              <w10:wrap type="none"/>
            </v:shape>
            <v:shape style="position:absolute;left:6709;top:413;width:1746;height:731" type="#_x0000_t202" id="docshape32" filled="true" fillcolor="#243b7d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Domus Semibold"/>
                        <w:b w:val="0"/>
                        <w:color w:val="000000"/>
                        <w:sz w:val="16"/>
                      </w:rPr>
                    </w:pPr>
                  </w:p>
                  <w:p>
                    <w:pPr>
                      <w:spacing w:line="199" w:lineRule="auto" w:before="0"/>
                      <w:ind w:left="290" w:right="284" w:firstLine="77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Decision Making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Under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Uncertainty</w:t>
                    </w:r>
                  </w:p>
                </w:txbxContent>
              </v:textbox>
              <v:fill type="solid"/>
              <w10:wrap type="none"/>
            </v:shape>
            <v:shape style="position:absolute;left:4597;top:413;width:1746;height:731" type="#_x0000_t202" id="docshape33" filled="true" fillcolor="#243b7d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Domus Semibold"/>
                        <w:b w:val="0"/>
                        <w:color w:val="000000"/>
                        <w:sz w:val="16"/>
                      </w:rPr>
                    </w:pPr>
                  </w:p>
                  <w:p>
                    <w:pPr>
                      <w:spacing w:line="199" w:lineRule="auto" w:before="0"/>
                      <w:ind w:left="443" w:right="90" w:hanging="340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Designing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Public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Policies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3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and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Programs</w:t>
                    </w:r>
                  </w:p>
                </w:txbxContent>
              </v:textbox>
              <v:fill type="solid"/>
              <w10:wrap type="none"/>
            </v:shape>
            <v:shape style="position:absolute;left:2395;top:413;width:1746;height:731" type="#_x0000_t202" id="docshape34" filled="true" fillcolor="#243b7d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Domus Semibold"/>
                        <w:b w:val="0"/>
                        <w:color w:val="000000"/>
                        <w:sz w:val="16"/>
                      </w:rPr>
                    </w:pPr>
                  </w:p>
                  <w:p>
                    <w:pPr>
                      <w:spacing w:line="199" w:lineRule="auto" w:before="0"/>
                      <w:ind w:left="350" w:right="345" w:firstLine="72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Governing in a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2"/>
                        <w:sz w:val="14"/>
                      </w:rPr>
                      <w:t>Market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1"/>
                        <w:sz w:val="14"/>
                      </w:rPr>
                      <w:t>Economy</w:t>
                    </w:r>
                  </w:p>
                </w:txbxContent>
              </v:textbox>
              <v:fill type="solid"/>
              <w10:wrap type="none"/>
            </v:shape>
            <v:shape style="position:absolute;left:5658;top:-791;width:1746;height:731" type="#_x0000_t202" id="docshape35" filled="true" fillcolor="#ffcb04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Domus Semibold"/>
                        <w:b w:val="0"/>
                        <w:color w:val="000000"/>
                        <w:sz w:val="21"/>
                      </w:rPr>
                    </w:pPr>
                  </w:p>
                  <w:p>
                    <w:pPr>
                      <w:spacing w:before="0"/>
                      <w:ind w:left="151" w:right="0" w:firstLine="0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Delivering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Public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Value</w:t>
                    </w:r>
                  </w:p>
                </w:txbxContent>
              </v:textbox>
              <v:fill type="solid"/>
              <w10:wrap type="none"/>
            </v:shape>
            <v:shape style="position:absolute;left:3273;top:-791;width:1982;height:731" type="#_x0000_t202" id="docshape36" filled="true" fillcolor="#5bcbf5" stroked="true" strokeweight=".759pt" strokecolor="#ffffff">
              <v:textbox inset="0,0,0,0">
                <w:txbxContent>
                  <w:p>
                    <w:pPr>
                      <w:spacing w:line="204" w:lineRule="auto" w:before="60"/>
                      <w:ind w:left="215" w:right="130" w:firstLine="200"/>
                      <w:jc w:val="left"/>
                      <w:rPr>
                        <w:rFonts w:ascii="Apercu Medium"/>
                        <w:b w:val="0"/>
                        <w:color w:val="000000"/>
                        <w:sz w:val="12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w w:val="105"/>
                        <w:sz w:val="12"/>
                      </w:rPr>
                      <w:t>Prerequisite subject: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w w:val="105"/>
                        <w:sz w:val="12"/>
                      </w:rPr>
                      <w:t>Must be completed </w:t>
                    </w:r>
                    <w:r>
                      <w:rPr>
                        <w:rFonts w:ascii="Apercu Medium"/>
                        <w:b w:val="0"/>
                        <w:color w:val="231F20"/>
                        <w:w w:val="105"/>
                        <w:sz w:val="12"/>
                      </w:rPr>
                      <w:t>before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2"/>
                      </w:rPr>
                      <w:t>commencing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6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2"/>
                      </w:rPr>
                      <w:t>other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6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2"/>
                      </w:rPr>
                      <w:t>subjects</w:t>
                    </w:r>
                  </w:p>
                  <w:p>
                    <w:pPr>
                      <w:spacing w:line="154" w:lineRule="exact" w:before="0"/>
                      <w:ind w:left="578" w:right="0" w:firstLine="0"/>
                      <w:jc w:val="left"/>
                      <w:rPr>
                        <w:rFonts w:ascii="Apercu Medium"/>
                        <w:b w:val="0"/>
                        <w:color w:val="000000"/>
                        <w:sz w:val="12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pacing w:val="-2"/>
                        <w:w w:val="105"/>
                        <w:sz w:val="12"/>
                      </w:rPr>
                      <w:t>in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"/>
                        <w:w w:val="105"/>
                        <w:sz w:val="12"/>
                      </w:rPr>
                      <w:t>the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"/>
                        <w:w w:val="105"/>
                        <w:sz w:val="12"/>
                      </w:rPr>
                      <w:t>program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Domus Semibold"/>
          <w:b w:val="0"/>
          <w:color w:val="231F20"/>
          <w:w w:val="105"/>
          <w:sz w:val="16"/>
        </w:rPr>
        <w:t>FIRST</w:t>
      </w:r>
      <w:r>
        <w:rPr>
          <w:rFonts w:ascii="Domus Semibold"/>
          <w:b w:val="0"/>
          <w:color w:val="231F20"/>
          <w:spacing w:val="-31"/>
          <w:w w:val="105"/>
          <w:sz w:val="16"/>
        </w:rPr>
        <w:t> </w:t>
      </w:r>
      <w:r>
        <w:rPr>
          <w:rFonts w:ascii="Domus Semibold"/>
          <w:b w:val="0"/>
          <w:color w:val="231F20"/>
          <w:w w:val="105"/>
          <w:sz w:val="16"/>
        </w:rPr>
        <w:t>YEAR</w:t>
      </w: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spacing w:line="187" w:lineRule="exact" w:before="108"/>
        <w:ind w:left="667" w:right="0" w:firstLine="0"/>
        <w:jc w:val="left"/>
        <w:rPr>
          <w:rFonts w:ascii="Domus Semibold"/>
          <w:b w:val="0"/>
          <w:sz w:val="16"/>
        </w:rPr>
      </w:pPr>
      <w:r>
        <w:rPr>
          <w:rFonts w:ascii="Domus Semibold"/>
          <w:b w:val="0"/>
          <w:color w:val="231F20"/>
          <w:w w:val="105"/>
          <w:sz w:val="16"/>
        </w:rPr>
        <w:t>FIRST</w:t>
      </w:r>
      <w:r>
        <w:rPr>
          <w:rFonts w:ascii="Domus Semibold"/>
          <w:b w:val="0"/>
          <w:color w:val="231F20"/>
          <w:spacing w:val="-5"/>
          <w:w w:val="105"/>
          <w:sz w:val="16"/>
        </w:rPr>
        <w:t> </w:t>
      </w:r>
      <w:r>
        <w:rPr>
          <w:rFonts w:ascii="Domus Semibold"/>
          <w:b w:val="0"/>
          <w:color w:val="231F20"/>
          <w:w w:val="105"/>
          <w:sz w:val="16"/>
        </w:rPr>
        <w:t>OR</w:t>
      </w:r>
      <w:r>
        <w:rPr>
          <w:rFonts w:ascii="Domus Semibold"/>
          <w:b w:val="0"/>
          <w:color w:val="231F20"/>
          <w:spacing w:val="-5"/>
          <w:w w:val="105"/>
          <w:sz w:val="16"/>
        </w:rPr>
        <w:t> </w:t>
      </w:r>
      <w:r>
        <w:rPr>
          <w:rFonts w:ascii="Domus Semibold"/>
          <w:b w:val="0"/>
          <w:color w:val="231F20"/>
          <w:w w:val="105"/>
          <w:sz w:val="16"/>
        </w:rPr>
        <w:t>SECOND</w:t>
      </w:r>
      <w:r>
        <w:rPr>
          <w:rFonts w:ascii="Domus Semibold"/>
          <w:b w:val="0"/>
          <w:color w:val="231F20"/>
          <w:spacing w:val="-7"/>
          <w:w w:val="105"/>
          <w:sz w:val="16"/>
        </w:rPr>
        <w:t> </w:t>
      </w:r>
      <w:r>
        <w:rPr>
          <w:rFonts w:ascii="Domus Semibold"/>
          <w:b w:val="0"/>
          <w:color w:val="231F20"/>
          <w:w w:val="105"/>
          <w:sz w:val="16"/>
        </w:rPr>
        <w:t>YEAR</w:t>
      </w:r>
    </w:p>
    <w:p>
      <w:pPr>
        <w:spacing w:line="228" w:lineRule="auto" w:before="3"/>
        <w:ind w:left="667" w:right="9441" w:firstLine="0"/>
        <w:jc w:val="left"/>
        <w:rPr>
          <w:rFonts w:ascii="Domus Semibold" w:hAnsi="Domus Semibold"/>
          <w:b w:val="0"/>
          <w:sz w:val="16"/>
        </w:rPr>
      </w:pPr>
      <w:r>
        <w:rPr/>
        <w:pict>
          <v:group style="position:absolute;margin-left:112.097pt;margin-top:23.615602pt;width:424.1pt;height:136.15pt;mso-position-horizontal-relative:page;mso-position-vertical-relative:paragraph;z-index:15732736" id="docshapegroup37" coordorigin="2242,472" coordsize="8482,2723">
            <v:rect style="position:absolute;left:2241;top:888;width:8482;height:2307" id="docshape38" filled="true" fillcolor="#00a650" stroked="false">
              <v:fill type="solid"/>
            </v:rect>
            <v:shape style="position:absolute;left:6526;top:472;width:2152;height:1781" id="docshape39" coordorigin="6527,472" coordsize="2152,1781" path="m6527,472l6527,1062m6540,1792l6540,2253m8678,472l8678,718e" filled="false" stroked="true" strokeweight=".19pt" strokecolor="#231f20">
              <v:path arrowok="t"/>
              <v:stroke dashstyle="solid"/>
            </v:shape>
            <v:shape style="position:absolute;left:3268;top:1777;width:6417;height:252" id="docshape40" coordorigin="3268,1778" coordsize="6417,252" path="m3268,1778l3268,2029,9685,2029,9685,1778e" filled="false" stroked="true" strokeweight=".19pt" strokecolor="#231f20">
              <v:path arrowok="t"/>
              <v:stroke dashstyle="solid"/>
            </v:shape>
            <v:line style="position:absolute" from="4360,472" to="4360,718" stroked="true" strokeweight=".19pt" strokecolor="#231f20">
              <v:stroke dashstyle="solid"/>
            </v:line>
            <v:shape style="position:absolute;left:3268;top:721;width:6417;height:339" id="docshape41" coordorigin="3268,721" coordsize="6417,339" path="m9685,1059l9685,721,3268,721,3268,1059e" filled="false" stroked="true" strokeweight=".19pt" strokecolor="#231f20">
              <v:path arrowok="t"/>
              <v:stroke dashstyle="solid"/>
            </v:shape>
            <v:line style="position:absolute" from="5345,2604" to="5568,2604" stroked="true" strokeweight=".759pt" strokecolor="#ffffff">
              <v:stroke dashstyle="solid"/>
            </v:line>
            <v:shape style="position:absolute;left:5506;top:2547;width:61;height:113" id="docshape42" coordorigin="5507,2548" coordsize="61,113" path="m5507,2548l5568,2604,5507,2661e" filled="false" stroked="true" strokeweight=".759pt" strokecolor="#ffffff">
              <v:path arrowok="t"/>
              <v:stroke dashstyle="solid"/>
            </v:shape>
            <v:shape style="position:absolute;left:5658;top:2253;width:1746;height:731" type="#_x0000_t202" id="docshape43" filled="true" fillcolor="#ffcb04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Domus Semibold"/>
                        <w:b w:val="0"/>
                        <w:color w:val="000000"/>
                        <w:sz w:val="21"/>
                      </w:rPr>
                    </w:pPr>
                  </w:p>
                  <w:p>
                    <w:pPr>
                      <w:spacing w:before="0"/>
                      <w:ind w:left="254" w:right="0" w:firstLine="0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Work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Based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Project</w:t>
                    </w:r>
                  </w:p>
                </w:txbxContent>
              </v:textbox>
              <v:fill type="solid"/>
              <w10:wrap type="none"/>
            </v:shape>
            <v:shape style="position:absolute;left:3273;top:2253;width:1982;height:731" type="#_x0000_t202" id="docshape44" filled="true" fillcolor="#00a650" stroked="true" strokeweight=".759pt" strokecolor="#ffffff">
              <v:textbox inset="0,0,0,0">
                <w:txbxContent>
                  <w:p>
                    <w:pPr>
                      <w:spacing w:line="161" w:lineRule="exact" w:before="33"/>
                      <w:ind w:left="63" w:right="99" w:firstLine="0"/>
                      <w:jc w:val="center"/>
                      <w:rPr>
                        <w:rFonts w:ascii="Apercu Medium"/>
                        <w:b w:val="0"/>
                        <w:color w:val="000000"/>
                        <w:sz w:val="12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2"/>
                      </w:rPr>
                      <w:t>Capstone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2"/>
                      </w:rPr>
                      <w:t>subject:</w:t>
                    </w:r>
                  </w:p>
                  <w:p>
                    <w:pPr>
                      <w:spacing w:line="204" w:lineRule="auto" w:before="7"/>
                      <w:ind w:left="63" w:right="99" w:firstLine="0"/>
                      <w:jc w:val="center"/>
                      <w:rPr>
                        <w:rFonts w:ascii="Apercu Medium"/>
                        <w:b w:val="0"/>
                        <w:color w:val="000000"/>
                        <w:sz w:val="12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w w:val="105"/>
                        <w:sz w:val="12"/>
                      </w:rPr>
                      <w:t>May only be undertaken after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w w:val="105"/>
                        <w:sz w:val="12"/>
                      </w:rPr>
                      <w:t>completing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w w:val="105"/>
                        <w:sz w:val="12"/>
                      </w:rPr>
                      <w:t>at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w w:val="105"/>
                        <w:sz w:val="12"/>
                      </w:rPr>
                      <w:t>least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w w:val="105"/>
                        <w:sz w:val="12"/>
                      </w:rPr>
                      <w:t>50%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w w:val="105"/>
                        <w:sz w:val="12"/>
                      </w:rPr>
                      <w:t>of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w w:val="105"/>
                        <w:sz w:val="12"/>
                      </w:rPr>
                      <w:t>other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2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w w:val="105"/>
                        <w:sz w:val="12"/>
                      </w:rPr>
                      <w:t>ANZSOG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w w:val="105"/>
                        <w:sz w:val="12"/>
                      </w:rPr>
                      <w:t>core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w w:val="105"/>
                        <w:sz w:val="12"/>
                      </w:rPr>
                      <w:t>subjects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822;top:1061;width:1746;height:731" type="#_x0000_t202" id="docshape45" filled="true" fillcolor="#243b7d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Domus Semibold"/>
                        <w:b w:val="0"/>
                        <w:color w:val="000000"/>
                        <w:sz w:val="16"/>
                      </w:rPr>
                    </w:pPr>
                  </w:p>
                  <w:p>
                    <w:pPr>
                      <w:spacing w:line="199" w:lineRule="auto" w:before="0"/>
                      <w:ind w:left="481" w:right="358" w:hanging="91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pacing w:val="-1"/>
                        <w:sz w:val="14"/>
                      </w:rPr>
                      <w:t>Public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Financial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3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Management</w:t>
                    </w:r>
                  </w:p>
                </w:txbxContent>
              </v:textbox>
              <v:fill type="solid"/>
              <w10:wrap type="none"/>
            </v:shape>
            <v:shape style="position:absolute;left:5658;top:1061;width:1746;height:731" type="#_x0000_t202" id="docshape46" filled="true" fillcolor="#243b7d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Domus Semibold"/>
                        <w:b w:val="0"/>
                        <w:color w:val="000000"/>
                        <w:sz w:val="16"/>
                      </w:rPr>
                    </w:pPr>
                  </w:p>
                  <w:p>
                    <w:pPr>
                      <w:spacing w:line="199" w:lineRule="auto" w:before="0"/>
                      <w:ind w:left="641" w:right="180" w:hanging="445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Leading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Public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Sector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3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Change</w:t>
                    </w:r>
                  </w:p>
                </w:txbxContent>
              </v:textbox>
              <v:fill type="solid"/>
              <w10:wrap type="none"/>
            </v:shape>
            <v:shape style="position:absolute;left:2395;top:1061;width:1746;height:731" type="#_x0000_t202" id="docshape47" filled="true" fillcolor="#243b7d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Domus Semibold"/>
                        <w:b w:val="0"/>
                        <w:color w:val="000000"/>
                        <w:sz w:val="16"/>
                      </w:rPr>
                    </w:pPr>
                  </w:p>
                  <w:p>
                    <w:pPr>
                      <w:spacing w:line="199" w:lineRule="auto" w:before="0"/>
                      <w:ind w:left="583" w:right="447" w:hanging="123"/>
                      <w:jc w:val="left"/>
                      <w:rPr>
                        <w:rFonts w:ascii="Apercu Medium"/>
                        <w:b w:val="0"/>
                        <w:color w:val="00000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FFFFFF"/>
                        <w:spacing w:val="-1"/>
                        <w:sz w:val="14"/>
                      </w:rPr>
                      <w:t>Governing by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3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the</w:t>
                    </w:r>
                    <w:r>
                      <w:rPr>
                        <w:rFonts w:ascii="Apercu Medium"/>
                        <w:b w:val="0"/>
                        <w:color w:val="FFFFFF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FFFFFF"/>
                        <w:sz w:val="14"/>
                      </w:rPr>
                      <w:t>Rules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Domus Semibold" w:hAnsi="Domus Semibold"/>
          <w:b w:val="0"/>
          <w:color w:val="231F20"/>
          <w:spacing w:val="-1"/>
          <w:w w:val="105"/>
          <w:sz w:val="16"/>
        </w:rPr>
        <w:t>- taken at student’s</w:t>
      </w:r>
      <w:r>
        <w:rPr>
          <w:rFonts w:ascii="Domus Semibold" w:hAnsi="Domus Semibold"/>
          <w:b w:val="0"/>
          <w:color w:val="231F20"/>
          <w:spacing w:val="-31"/>
          <w:w w:val="105"/>
          <w:sz w:val="16"/>
        </w:rPr>
        <w:t> </w:t>
      </w:r>
      <w:r>
        <w:rPr>
          <w:rFonts w:ascii="Domus Semibold" w:hAnsi="Domus Semibold"/>
          <w:b w:val="0"/>
          <w:color w:val="231F20"/>
          <w:w w:val="105"/>
          <w:sz w:val="16"/>
        </w:rPr>
        <w:t>enrolled</w:t>
      </w:r>
      <w:r>
        <w:rPr>
          <w:rFonts w:ascii="Domus Semibold" w:hAnsi="Domus Semibold"/>
          <w:b w:val="0"/>
          <w:color w:val="231F20"/>
          <w:spacing w:val="-7"/>
          <w:w w:val="105"/>
          <w:sz w:val="16"/>
        </w:rPr>
        <w:t> </w:t>
      </w:r>
      <w:r>
        <w:rPr>
          <w:rFonts w:ascii="Domus Semibold" w:hAnsi="Domus Semibold"/>
          <w:b w:val="0"/>
          <w:color w:val="231F20"/>
          <w:w w:val="105"/>
          <w:sz w:val="16"/>
        </w:rPr>
        <w:t>university</w:t>
      </w: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rPr>
          <w:rFonts w:ascii="Domus Semibold"/>
          <w:b w:val="0"/>
          <w:sz w:val="18"/>
        </w:rPr>
      </w:pPr>
    </w:p>
    <w:p>
      <w:pPr>
        <w:pStyle w:val="BodyText"/>
        <w:spacing w:before="8"/>
        <w:rPr>
          <w:rFonts w:ascii="Domus Semibold"/>
          <w:b w:val="0"/>
          <w:sz w:val="16"/>
        </w:rPr>
      </w:pPr>
    </w:p>
    <w:p>
      <w:pPr>
        <w:spacing w:line="228" w:lineRule="auto" w:before="1"/>
        <w:ind w:left="667" w:right="10164" w:firstLine="0"/>
        <w:jc w:val="left"/>
        <w:rPr>
          <w:rFonts w:ascii="Domus Semibold"/>
          <w:b w:val="0"/>
          <w:sz w:val="16"/>
        </w:rPr>
      </w:pPr>
      <w:r>
        <w:rPr>
          <w:rFonts w:ascii="Domus Semibold"/>
          <w:b w:val="0"/>
          <w:color w:val="231F20"/>
          <w:spacing w:val="-1"/>
          <w:w w:val="105"/>
          <w:sz w:val="16"/>
        </w:rPr>
        <w:t>SECOND</w:t>
      </w:r>
      <w:r>
        <w:rPr>
          <w:rFonts w:ascii="Domus Semibold"/>
          <w:b w:val="0"/>
          <w:color w:val="231F20"/>
          <w:spacing w:val="-31"/>
          <w:w w:val="105"/>
          <w:sz w:val="16"/>
        </w:rPr>
        <w:t> </w:t>
      </w:r>
      <w:r>
        <w:rPr>
          <w:rFonts w:ascii="Domus Semibold"/>
          <w:b w:val="0"/>
          <w:color w:val="231F20"/>
          <w:w w:val="105"/>
          <w:sz w:val="16"/>
        </w:rPr>
        <w:t>YEAR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6"/>
        <w:rPr>
          <w:rFonts w:ascii="Domus Semibold"/>
          <w:b w:val="0"/>
          <w:sz w:val="17"/>
        </w:rPr>
      </w:pPr>
      <w:r>
        <w:rPr/>
        <w:pict>
          <v:group style="position:absolute;margin-left:112.097pt;margin-top:11.7pt;width:424.1pt;height:67.8pt;mso-position-horizontal-relative:page;mso-position-vertical-relative:paragraph;z-index:-15725056;mso-wrap-distance-left:0;mso-wrap-distance-right:0" id="docshapegroup48" coordorigin="2242,234" coordsize="8482,1356">
            <v:rect style="position:absolute;left:2241;top:234;width:8482;height:1356" id="docshape49" filled="true" fillcolor="#e6e7e8" stroked="false">
              <v:fill type="solid"/>
            </v:rect>
            <v:shape style="position:absolute;left:6079;top:681;width:2058;height:687" id="docshape50" coordorigin="6079,682" coordsize="2058,687" path="m6234,1214l6079,1214,6079,1368,6234,1368,6234,1214xm6249,682l6094,682,6094,837,6249,837,6249,682xm8045,682l7890,682,7890,837,8045,837,8045,682xm8137,1214l7982,1214,7982,1368,8137,1368,8137,1214xe" filled="true" fillcolor="#243b7d" stroked="false">
              <v:path arrowok="t"/>
              <v:fill type="solid"/>
            </v:shape>
            <v:shape style="position:absolute;left:2241;top:234;width:8482;height:1356" type="#_x0000_t202" id="docshape51" filled="false" stroked="false">
              <v:textbox inset="0,0,0,0">
                <w:txbxContent>
                  <w:p>
                    <w:pPr>
                      <w:spacing w:before="154"/>
                      <w:ind w:left="1769" w:right="0" w:firstLine="0"/>
                      <w:jc w:val="left"/>
                      <w:rPr>
                        <w:rFonts w:ascii="Apercu Medium"/>
                        <w:b w:val="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Students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must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complete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six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of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the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seven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core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subjects.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Sequence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options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are;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2755" w:val="left" w:leader="none"/>
                        <w:tab w:pos="4077" w:val="left" w:leader="none"/>
                      </w:tabs>
                      <w:spacing w:before="70"/>
                      <w:ind w:left="2754" w:right="0" w:hanging="89"/>
                      <w:jc w:val="left"/>
                      <w:rPr>
                        <w:rFonts w:ascii="Apercu Medium"/>
                        <w:b w:val="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First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year: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four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x</w:t>
                      <w:tab/>
                      <w:t>and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Second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year: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two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4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x</w:t>
                    </w:r>
                  </w:p>
                  <w:p>
                    <w:pPr>
                      <w:spacing w:before="57"/>
                      <w:ind w:left="4119" w:right="4130" w:firstLine="0"/>
                      <w:jc w:val="center"/>
                      <w:rPr>
                        <w:rFonts w:ascii="Apercu Medium"/>
                        <w:b w:val="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OR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663" w:val="left" w:leader="none"/>
                        <w:tab w:pos="4062" w:val="left" w:leader="none"/>
                      </w:tabs>
                      <w:spacing w:before="70"/>
                      <w:ind w:left="2662" w:right="0" w:hanging="89"/>
                      <w:jc w:val="left"/>
                      <w:rPr>
                        <w:rFonts w:ascii="Apercu Medium"/>
                        <w:b w:val="0"/>
                        <w:sz w:val="14"/>
                      </w:rPr>
                    </w:pP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First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year: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three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x</w:t>
                      <w:tab/>
                      <w:t>and Second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year: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three</w:t>
                    </w:r>
                    <w:r>
                      <w:rPr>
                        <w:rFonts w:ascii="Apercu Medium"/>
                        <w:b w:val="0"/>
                        <w:color w:val="231F20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percu Medium"/>
                        <w:b w:val="0"/>
                        <w:color w:val="231F20"/>
                        <w:sz w:val="14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Domus Semibold"/>
          <w:sz w:val="17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5"/>
        <w:rPr>
          <w:rFonts w:ascii="Domus Semibold"/>
          <w:b w:val="0"/>
          <w:sz w:val="26"/>
        </w:rPr>
      </w:pPr>
    </w:p>
    <w:p>
      <w:pPr>
        <w:spacing w:before="63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Curriculum</w:t>
      </w:r>
      <w:r>
        <w:rPr>
          <w:rFonts w:ascii="Domus Semibold" w:hAnsi="Domus Semibold"/>
          <w:b w:val="0"/>
          <w:color w:val="231F20"/>
          <w:spacing w:val="-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map</w:t>
      </w:r>
      <w:r>
        <w:rPr>
          <w:rFonts w:ascii="Domus Semibold" w:hAnsi="Domus Semibold"/>
          <w:b w:val="0"/>
          <w:color w:val="231F20"/>
          <w:spacing w:val="-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–</w:t>
      </w:r>
      <w:r>
        <w:rPr>
          <w:rFonts w:ascii="Domus Semibold" w:hAnsi="Domus Semibold"/>
          <w:b w:val="0"/>
          <w:color w:val="231F20"/>
          <w:spacing w:val="-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Course</w:t>
      </w:r>
      <w:r>
        <w:rPr>
          <w:rFonts w:ascii="Domus Semibold" w:hAnsi="Domus Semibold"/>
          <w:b w:val="0"/>
          <w:color w:val="231F20"/>
          <w:spacing w:val="-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Learning</w:t>
      </w:r>
      <w:r>
        <w:rPr>
          <w:rFonts w:ascii="Domus Semibold" w:hAnsi="Domus Semibold"/>
          <w:b w:val="0"/>
          <w:color w:val="231F20"/>
          <w:spacing w:val="-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Outcomes</w:t>
      </w:r>
      <w:r>
        <w:rPr>
          <w:rFonts w:ascii="Domus Semibold" w:hAnsi="Domus Semibold"/>
          <w:b w:val="0"/>
          <w:color w:val="231F20"/>
          <w:spacing w:val="-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-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Subjects</w:t>
      </w:r>
    </w:p>
    <w:p>
      <w:pPr>
        <w:pStyle w:val="BodyText"/>
        <w:spacing w:line="192" w:lineRule="auto" w:before="106"/>
        <w:ind w:left="673" w:right="1162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table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maps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outcomes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delivered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ANZSOG.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The table identifies which subjects make a primary and secondary contribution to the achievement of the EMPA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outcomes.</w:t>
      </w:r>
    </w:p>
    <w:p>
      <w:pPr>
        <w:pStyle w:val="BodyText"/>
        <w:spacing w:before="1"/>
        <w:rPr>
          <w:b w:val="0"/>
          <w:sz w:val="15"/>
        </w:rPr>
      </w:pPr>
      <w:r>
        <w:rPr/>
        <w:pict>
          <v:shape style="position:absolute;margin-left:74.976402pt;margin-top:12.1351pt;width:107.25pt;height:11.9pt;mso-position-horizontal-relative:page;mso-position-vertical-relative:paragraph;z-index:-15723520;mso-wrap-distance-left:0;mso-wrap-distance-right:0" type="#_x0000_t202" id="docshape5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left"/>
                    <w:rPr>
                      <w:rFonts w:ascii="Apercu"/>
                      <w:b/>
                      <w:sz w:val="17"/>
                    </w:rPr>
                  </w:pPr>
                  <w:r>
                    <w:rPr>
                      <w:rFonts w:ascii="Apercu"/>
                      <w:b/>
                      <w:color w:val="FFFFFF"/>
                      <w:spacing w:val="-1"/>
                      <w:sz w:val="17"/>
                    </w:rPr>
                    <w:t>Program</w:t>
                  </w:r>
                  <w:r>
                    <w:rPr>
                      <w:rFonts w:ascii="Apercu"/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rFonts w:ascii="Apercu"/>
                      <w:b/>
                      <w:color w:val="FFFFFF"/>
                      <w:spacing w:val="-1"/>
                      <w:sz w:val="17"/>
                    </w:rPr>
                    <w:t>learning</w:t>
                  </w:r>
                  <w:r>
                    <w:rPr>
                      <w:rFonts w:ascii="Apercu"/>
                      <w:b/>
                      <w:color w:val="FFFFFF"/>
                      <w:spacing w:val="-7"/>
                      <w:sz w:val="17"/>
                    </w:rPr>
                    <w:t> </w:t>
                  </w:r>
                  <w:r>
                    <w:rPr>
                      <w:rFonts w:ascii="Apercu"/>
                      <w:b/>
                      <w:color w:val="FFFFFF"/>
                      <w:sz w:val="17"/>
                    </w:rPr>
                    <w:t>outcomes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61.937988pt;margin-top:12.1351pt;width:268.350pt;height:11.9pt;mso-position-horizontal-relative:page;mso-position-vertical-relative:paragraph;z-index:-15723008;mso-wrap-distance-left:0;mso-wrap-distance-right:0" type="#_x0000_t202" id="docshape53" filled="false" stroked="false">
            <v:textbox inset="0,0,0,0">
              <w:txbxContent>
                <w:p>
                  <w:pPr>
                    <w:tabs>
                      <w:tab w:pos="623" w:val="left" w:leader="none"/>
                      <w:tab w:pos="1247" w:val="left" w:leader="none"/>
                      <w:tab w:pos="1870" w:val="left" w:leader="none"/>
                      <w:tab w:pos="3741" w:val="left" w:leader="none"/>
                      <w:tab w:pos="4365" w:val="left" w:leader="none"/>
                      <w:tab w:pos="4988" w:val="left" w:leader="none"/>
                    </w:tabs>
                    <w:spacing w:line="237" w:lineRule="exact" w:before="0"/>
                    <w:ind w:left="0" w:right="0" w:firstLine="0"/>
                    <w:jc w:val="left"/>
                    <w:rPr>
                      <w:rFonts w:ascii="Apercu"/>
                      <w:b/>
                      <w:sz w:val="17"/>
                    </w:rPr>
                  </w:pPr>
                  <w:r>
                    <w:rPr>
                      <w:rFonts w:ascii="Apercu"/>
                      <w:b/>
                      <w:color w:val="FFFFFF"/>
                      <w:sz w:val="17"/>
                    </w:rPr>
                    <w:t>DPV</w:t>
                    <w:tab/>
                    <w:t>GME</w:t>
                    <w:tab/>
                    <w:t>DPPP</w:t>
                    <w:tab/>
                    <w:t>DMUU  </w:t>
                  </w:r>
                  <w:r>
                    <w:rPr>
                      <w:rFonts w:ascii="Apercu"/>
                      <w:b/>
                      <w:color w:val="FFFFFF"/>
                      <w:spacing w:val="21"/>
                      <w:sz w:val="17"/>
                    </w:rPr>
                    <w:t> </w:t>
                  </w:r>
                  <w:r>
                    <w:rPr>
                      <w:rFonts w:ascii="Apercu"/>
                      <w:b/>
                      <w:color w:val="FFFFFF"/>
                      <w:sz w:val="17"/>
                    </w:rPr>
                    <w:t>MPSO   </w:t>
                  </w:r>
                  <w:r>
                    <w:rPr>
                      <w:rFonts w:ascii="Apercu"/>
                      <w:b/>
                      <w:color w:val="FFFFFF"/>
                      <w:spacing w:val="4"/>
                      <w:sz w:val="17"/>
                    </w:rPr>
                    <w:t> </w:t>
                  </w:r>
                  <w:r>
                    <w:rPr>
                      <w:rFonts w:ascii="Apercu"/>
                      <w:b/>
                      <w:color w:val="FFFFFF"/>
                      <w:sz w:val="17"/>
                    </w:rPr>
                    <w:t>GBR</w:t>
                    <w:tab/>
                    <w:t>PFM</w:t>
                    <w:tab/>
                    <w:t>LPSC</w:t>
                    <w:tab/>
                    <w:t>WBP</w:t>
                  </w: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0"/>
          <w:numId w:val="8"/>
        </w:numPr>
        <w:tabs>
          <w:tab w:pos="1039" w:val="left" w:leader="none"/>
          <w:tab w:pos="1040" w:val="left" w:leader="none"/>
        </w:tabs>
        <w:spacing w:line="213" w:lineRule="auto" w:before="109" w:after="0"/>
        <w:ind w:left="1039" w:right="7012" w:hanging="366"/>
        <w:jc w:val="left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Understand public value creation, how this is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shaped by action as well as political dynamics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within the public sector, the process of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governing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broader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community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interaction.</w:t>
      </w:r>
    </w:p>
    <w:p>
      <w:pPr>
        <w:pStyle w:val="ListParagraph"/>
        <w:numPr>
          <w:ilvl w:val="0"/>
          <w:numId w:val="8"/>
        </w:numPr>
        <w:tabs>
          <w:tab w:pos="1039" w:val="left" w:leader="none"/>
          <w:tab w:pos="1040" w:val="left" w:leader="none"/>
        </w:tabs>
        <w:spacing w:line="213" w:lineRule="auto" w:before="111" w:after="0"/>
        <w:ind w:left="1039" w:right="7057" w:hanging="366"/>
        <w:jc w:val="left"/>
        <w:rPr>
          <w:rFonts w:ascii="Apercu Light"/>
          <w:b w:val="0"/>
          <w:sz w:val="17"/>
        </w:rPr>
      </w:pPr>
      <w:r>
        <w:rPr/>
        <w:pict>
          <v:group style="position:absolute;margin-left:56.692902pt;margin-top:-63.007149pt;width:481.2pt;height:509.5pt;mso-position-horizontal-relative:page;mso-position-vertical-relative:paragraph;z-index:-19475456" id="docshapegroup54" coordorigin="1134,-1260" coordsize="9624,10190">
            <v:shape style="position:absolute;left:1133;top:-1261;width:9622;height:327" id="docshape55" coordorigin="1134,-1260" coordsize="9622,327" path="m5142,-1260l1403,-1260,1403,-1260,1134,-1260,1134,-933,1403,-933,1403,-933,5142,-933,5142,-1260xm7637,-1260l7013,-1260,6390,-1260,5766,-1260,5142,-1260,5142,-933,5766,-933,6390,-933,7013,-933,7637,-933,7637,-1260xm8884,-1260l8261,-1260,7637,-1260,7637,-933,8261,-933,8884,-933,8884,-1260xm10755,-1260l10131,-1260,9508,-1260,8884,-1260,8884,-933,9508,-933,10131,-933,10755,-933,10755,-1260xe" filled="true" fillcolor="#243b7d" stroked="false">
              <v:path arrowok="t"/>
              <v:fill type="solid"/>
            </v:shape>
            <v:line style="position:absolute" from="1403,-933" to="1403,-1260" stroked="true" strokeweight=".25pt" strokecolor="#231f20">
              <v:stroke dashstyle="solid"/>
            </v:line>
            <v:line style="position:absolute" from="5142,-933" to="5142,-1260" stroked="true" strokeweight=".25pt" strokecolor="#231f20">
              <v:stroke dashstyle="solid"/>
            </v:line>
            <v:line style="position:absolute" from="5766,-933" to="5766,-1260" stroked="true" strokeweight=".25pt" strokecolor="#231f20">
              <v:stroke dashstyle="solid"/>
            </v:line>
            <v:line style="position:absolute" from="6390,-933" to="6390,-1260" stroked="true" strokeweight=".25pt" strokecolor="#231f20">
              <v:stroke dashstyle="solid"/>
            </v:line>
            <v:line style="position:absolute" from="7013,-933" to="7013,-1260" stroked="true" strokeweight=".25pt" strokecolor="#231f20">
              <v:stroke dashstyle="solid"/>
            </v:line>
            <v:line style="position:absolute" from="7637,-933" to="7637,-1260" stroked="true" strokeweight=".25pt" strokecolor="#231f20">
              <v:stroke dashstyle="solid"/>
            </v:line>
            <v:line style="position:absolute" from="8260,-933" to="8260,-1260" stroked="true" strokeweight=".25pt" strokecolor="#231f20">
              <v:stroke dashstyle="solid"/>
            </v:line>
            <v:line style="position:absolute" from="8884,-933" to="8884,-1260" stroked="true" strokeweight=".25pt" strokecolor="#231f20">
              <v:stroke dashstyle="solid"/>
            </v:line>
            <v:line style="position:absolute" from="9508,-933" to="9508,-1260" stroked="true" strokeweight=".25pt" strokecolor="#231f20">
              <v:stroke dashstyle="solid"/>
            </v:line>
            <v:line style="position:absolute" from="10131,-933" to="10131,-1260" stroked="true" strokeweight=".25pt" strokecolor="#231f20">
              <v:stroke dashstyle="solid"/>
            </v:line>
            <v:line style="position:absolute" from="5142,51" to="5142,-933" stroked="true" strokeweight=".25pt" strokecolor="#231f20">
              <v:stroke dashstyle="solid"/>
            </v:line>
            <v:line style="position:absolute" from="5766,51" to="5766,-933" stroked="true" strokeweight=".25pt" strokecolor="#231f20">
              <v:stroke dashstyle="solid"/>
            </v:line>
            <v:line style="position:absolute" from="6390,51" to="6390,-933" stroked="true" strokeweight=".25pt" strokecolor="#231f20">
              <v:stroke dashstyle="solid"/>
            </v:line>
            <v:line style="position:absolute" from="7013,51" to="7013,-933" stroked="true" strokeweight=".25pt" strokecolor="#231f20">
              <v:stroke dashstyle="solid"/>
            </v:line>
            <v:line style="position:absolute" from="7637,51" to="7637,-933" stroked="true" strokeweight=".25pt" strokecolor="#231f20">
              <v:stroke dashstyle="solid"/>
            </v:line>
            <v:line style="position:absolute" from="8260,51" to="8260,-933" stroked="true" strokeweight=".25pt" strokecolor="#231f20">
              <v:stroke dashstyle="solid"/>
            </v:line>
            <v:line style="position:absolute" from="8884,51" to="8884,-933" stroked="true" strokeweight=".25pt" strokecolor="#231f20">
              <v:stroke dashstyle="solid"/>
            </v:line>
            <v:line style="position:absolute" from="9508,51" to="9508,-933" stroked="true" strokeweight=".25pt" strokecolor="#231f20">
              <v:stroke dashstyle="solid"/>
            </v:line>
            <v:line style="position:absolute" from="10131,51" to="10131,-933" stroked="true" strokeweight=".25pt" strokecolor="#231f20">
              <v:stroke dashstyle="solid"/>
            </v:line>
            <v:line style="position:absolute" from="10755,51" to="10755,-933" stroked="true" strokeweight=".25pt" strokecolor="#231f20">
              <v:stroke dashstyle="solid"/>
            </v:line>
            <v:line style="position:absolute" from="1134,53" to="1403,53" stroked="true" strokeweight=".25pt" strokecolor="#231f20">
              <v:stroke dashstyle="solid"/>
            </v:line>
            <v:line style="position:absolute" from="1403,53" to="5142,53" stroked="true" strokeweight=".25pt" strokecolor="#231f20">
              <v:stroke dashstyle="solid"/>
            </v:line>
            <v:line style="position:absolute" from="5142,53" to="5766,53" stroked="true" strokeweight=".25pt" strokecolor="#231f20">
              <v:stroke dashstyle="solid"/>
            </v:line>
            <v:line style="position:absolute" from="5142,1258" to="5142,56" stroked="true" strokeweight=".25pt" strokecolor="#231f20">
              <v:stroke dashstyle="solid"/>
            </v:line>
            <v:line style="position:absolute" from="5766,53" to="6390,53" stroked="true" strokeweight=".25pt" strokecolor="#231f20">
              <v:stroke dashstyle="solid"/>
            </v:line>
            <v:line style="position:absolute" from="5766,1258" to="5766,56" stroked="true" strokeweight=".25pt" strokecolor="#231f20">
              <v:stroke dashstyle="solid"/>
            </v:line>
            <v:line style="position:absolute" from="6390,53" to="7013,53" stroked="true" strokeweight=".25pt" strokecolor="#231f20">
              <v:stroke dashstyle="solid"/>
            </v:line>
            <v:line style="position:absolute" from="6390,1258" to="6390,56" stroked="true" strokeweight=".25pt" strokecolor="#231f20">
              <v:stroke dashstyle="solid"/>
            </v:line>
            <v:line style="position:absolute" from="7013,53" to="7637,53" stroked="true" strokeweight=".25pt" strokecolor="#231f20">
              <v:stroke dashstyle="solid"/>
            </v:line>
            <v:line style="position:absolute" from="7013,1258" to="7013,56" stroked="true" strokeweight=".25pt" strokecolor="#231f20">
              <v:stroke dashstyle="solid"/>
            </v:line>
            <v:line style="position:absolute" from="7637,53" to="8260,53" stroked="true" strokeweight=".25pt" strokecolor="#231f20">
              <v:stroke dashstyle="solid"/>
            </v:line>
            <v:line style="position:absolute" from="7637,1258" to="7637,56" stroked="true" strokeweight=".25pt" strokecolor="#231f20">
              <v:stroke dashstyle="solid"/>
            </v:line>
            <v:line style="position:absolute" from="8260,53" to="8884,53" stroked="true" strokeweight=".25pt" strokecolor="#231f20">
              <v:stroke dashstyle="solid"/>
            </v:line>
            <v:line style="position:absolute" from="8260,1258" to="8260,56" stroked="true" strokeweight=".25pt" strokecolor="#231f20">
              <v:stroke dashstyle="solid"/>
            </v:line>
            <v:line style="position:absolute" from="8884,53" to="9508,53" stroked="true" strokeweight=".25pt" strokecolor="#231f20">
              <v:stroke dashstyle="solid"/>
            </v:line>
            <v:line style="position:absolute" from="8884,1258" to="8884,56" stroked="true" strokeweight=".25pt" strokecolor="#231f20">
              <v:stroke dashstyle="solid"/>
            </v:line>
            <v:line style="position:absolute" from="9508,53" to="10131,53" stroked="true" strokeweight=".25pt" strokecolor="#231f20">
              <v:stroke dashstyle="solid"/>
            </v:line>
            <v:line style="position:absolute" from="9508,1258" to="9508,56" stroked="true" strokeweight=".25pt" strokecolor="#231f20">
              <v:stroke dashstyle="solid"/>
            </v:line>
            <v:line style="position:absolute" from="10131,53" to="10757,53" stroked="true" strokeweight=".25pt" strokecolor="#231f20">
              <v:stroke dashstyle="solid"/>
            </v:line>
            <v:line style="position:absolute" from="10131,1258" to="10131,56" stroked="true" strokeweight=".25pt" strokecolor="#231f20">
              <v:stroke dashstyle="solid"/>
            </v:line>
            <v:line style="position:absolute" from="10755,1258" to="10755,56" stroked="true" strokeweight=".25pt" strokecolor="#231f20">
              <v:stroke dashstyle="solid"/>
            </v:line>
            <v:line style="position:absolute" from="1134,1260" to="1403,1260" stroked="true" strokeweight=".25pt" strokecolor="#231f20">
              <v:stroke dashstyle="solid"/>
            </v:line>
            <v:line style="position:absolute" from="1403,1260" to="5142,1260" stroked="true" strokeweight=".25pt" strokecolor="#231f20">
              <v:stroke dashstyle="solid"/>
            </v:line>
            <v:line style="position:absolute" from="5142,1260" to="5766,1260" stroked="true" strokeweight=".25pt" strokecolor="#231f20">
              <v:stroke dashstyle="solid"/>
            </v:line>
            <v:line style="position:absolute" from="5142,2244" to="5142,1263" stroked="true" strokeweight=".25pt" strokecolor="#231f20">
              <v:stroke dashstyle="solid"/>
            </v:line>
            <v:line style="position:absolute" from="5766,1260" to="6390,1260" stroked="true" strokeweight=".25pt" strokecolor="#231f20">
              <v:stroke dashstyle="solid"/>
            </v:line>
            <v:line style="position:absolute" from="5766,2244" to="5766,1263" stroked="true" strokeweight=".25pt" strokecolor="#231f20">
              <v:stroke dashstyle="solid"/>
            </v:line>
            <v:line style="position:absolute" from="6390,1260" to="7013,1260" stroked="true" strokeweight=".25pt" strokecolor="#231f20">
              <v:stroke dashstyle="solid"/>
            </v:line>
            <v:line style="position:absolute" from="6390,2244" to="6390,1263" stroked="true" strokeweight=".25pt" strokecolor="#231f20">
              <v:stroke dashstyle="solid"/>
            </v:line>
            <v:line style="position:absolute" from="7013,1260" to="7637,1260" stroked="true" strokeweight=".25pt" strokecolor="#231f20">
              <v:stroke dashstyle="solid"/>
            </v:line>
            <v:line style="position:absolute" from="7013,2244" to="7013,1263" stroked="true" strokeweight=".25pt" strokecolor="#231f20">
              <v:stroke dashstyle="solid"/>
            </v:line>
            <v:line style="position:absolute" from="7637,1260" to="8260,1260" stroked="true" strokeweight=".25pt" strokecolor="#231f20">
              <v:stroke dashstyle="solid"/>
            </v:line>
            <v:line style="position:absolute" from="7637,2244" to="7637,1263" stroked="true" strokeweight=".25pt" strokecolor="#231f20">
              <v:stroke dashstyle="solid"/>
            </v:line>
            <v:line style="position:absolute" from="8260,1260" to="8884,1260" stroked="true" strokeweight=".25pt" strokecolor="#231f20">
              <v:stroke dashstyle="solid"/>
            </v:line>
            <v:line style="position:absolute" from="8260,2244" to="8260,1263" stroked="true" strokeweight=".25pt" strokecolor="#231f20">
              <v:stroke dashstyle="solid"/>
            </v:line>
            <v:line style="position:absolute" from="8884,1260" to="9508,1260" stroked="true" strokeweight=".25pt" strokecolor="#231f20">
              <v:stroke dashstyle="solid"/>
            </v:line>
            <v:line style="position:absolute" from="8884,2244" to="8884,1263" stroked="true" strokeweight=".25pt" strokecolor="#231f20">
              <v:stroke dashstyle="solid"/>
            </v:line>
            <v:line style="position:absolute" from="9508,1260" to="10131,1260" stroked="true" strokeweight=".25pt" strokecolor="#231f20">
              <v:stroke dashstyle="solid"/>
            </v:line>
            <v:line style="position:absolute" from="9508,2244" to="9508,1263" stroked="true" strokeweight=".25pt" strokecolor="#231f20">
              <v:stroke dashstyle="solid"/>
            </v:line>
            <v:line style="position:absolute" from="10131,1260" to="10757,1260" stroked="true" strokeweight=".25pt" strokecolor="#231f20">
              <v:stroke dashstyle="solid"/>
            </v:line>
            <v:line style="position:absolute" from="10131,2244" to="10131,1263" stroked="true" strokeweight=".25pt" strokecolor="#231f20">
              <v:stroke dashstyle="solid"/>
            </v:line>
            <v:line style="position:absolute" from="10755,2244" to="10755,1263" stroked="true" strokeweight=".25pt" strokecolor="#231f20">
              <v:stroke dashstyle="solid"/>
            </v:line>
            <v:line style="position:absolute" from="1134,2247" to="1403,2247" stroked="true" strokeweight=".25pt" strokecolor="#231f20">
              <v:stroke dashstyle="solid"/>
            </v:line>
            <v:line style="position:absolute" from="1403,2247" to="5142,2247" stroked="true" strokeweight=".25pt" strokecolor="#231f20">
              <v:stroke dashstyle="solid"/>
            </v:line>
            <v:line style="position:absolute" from="5142,2247" to="5766,2247" stroked="true" strokeweight=".25pt" strokecolor="#231f20">
              <v:stroke dashstyle="solid"/>
            </v:line>
            <v:line style="position:absolute" from="5142,3011" to="5142,2249" stroked="true" strokeweight=".25pt" strokecolor="#231f20">
              <v:stroke dashstyle="solid"/>
            </v:line>
            <v:line style="position:absolute" from="5766,2247" to="6390,2247" stroked="true" strokeweight=".25pt" strokecolor="#231f20">
              <v:stroke dashstyle="solid"/>
            </v:line>
            <v:line style="position:absolute" from="5766,3011" to="5766,2249" stroked="true" strokeweight=".25pt" strokecolor="#231f20">
              <v:stroke dashstyle="solid"/>
            </v:line>
            <v:line style="position:absolute" from="6390,2247" to="7013,2247" stroked="true" strokeweight=".25pt" strokecolor="#231f20">
              <v:stroke dashstyle="solid"/>
            </v:line>
            <v:line style="position:absolute" from="6390,3011" to="6390,2249" stroked="true" strokeweight=".25pt" strokecolor="#231f20">
              <v:stroke dashstyle="solid"/>
            </v:line>
            <v:line style="position:absolute" from="7013,2247" to="7637,2247" stroked="true" strokeweight=".25pt" strokecolor="#231f20">
              <v:stroke dashstyle="solid"/>
            </v:line>
            <v:line style="position:absolute" from="7013,3011" to="7013,2249" stroked="true" strokeweight=".25pt" strokecolor="#231f20">
              <v:stroke dashstyle="solid"/>
            </v:line>
            <v:line style="position:absolute" from="7637,2247" to="8260,2247" stroked="true" strokeweight=".25pt" strokecolor="#231f20">
              <v:stroke dashstyle="solid"/>
            </v:line>
            <v:line style="position:absolute" from="7637,3011" to="7637,2249" stroked="true" strokeweight=".25pt" strokecolor="#231f20">
              <v:stroke dashstyle="solid"/>
            </v:line>
            <v:line style="position:absolute" from="8260,2247" to="8884,2247" stroked="true" strokeweight=".25pt" strokecolor="#231f20">
              <v:stroke dashstyle="solid"/>
            </v:line>
            <v:line style="position:absolute" from="8260,3011" to="8260,2249" stroked="true" strokeweight=".25pt" strokecolor="#231f20">
              <v:stroke dashstyle="solid"/>
            </v:line>
            <v:line style="position:absolute" from="8884,2247" to="9508,2247" stroked="true" strokeweight=".25pt" strokecolor="#231f20">
              <v:stroke dashstyle="solid"/>
            </v:line>
            <v:line style="position:absolute" from="8884,3011" to="8884,2249" stroked="true" strokeweight=".25pt" strokecolor="#231f20">
              <v:stroke dashstyle="solid"/>
            </v:line>
            <v:line style="position:absolute" from="9508,2247" to="10131,2247" stroked="true" strokeweight=".25pt" strokecolor="#231f20">
              <v:stroke dashstyle="solid"/>
            </v:line>
            <v:line style="position:absolute" from="9508,3011" to="9508,2249" stroked="true" strokeweight=".25pt" strokecolor="#231f20">
              <v:stroke dashstyle="solid"/>
            </v:line>
            <v:line style="position:absolute" from="10131,2247" to="10757,2247" stroked="true" strokeweight=".25pt" strokecolor="#231f20">
              <v:stroke dashstyle="solid"/>
            </v:line>
            <v:line style="position:absolute" from="10131,3011" to="10131,2249" stroked="true" strokeweight=".25pt" strokecolor="#231f20">
              <v:stroke dashstyle="solid"/>
            </v:line>
            <v:line style="position:absolute" from="10755,3011" to="10755,2249" stroked="true" strokeweight=".25pt" strokecolor="#231f20">
              <v:stroke dashstyle="solid"/>
            </v:line>
            <v:line style="position:absolute" from="1134,3013" to="1403,3013" stroked="true" strokeweight=".25pt" strokecolor="#231f20">
              <v:stroke dashstyle="solid"/>
            </v:line>
            <v:line style="position:absolute" from="1403,3013" to="5142,3013" stroked="true" strokeweight=".25pt" strokecolor="#231f20">
              <v:stroke dashstyle="solid"/>
            </v:line>
            <v:line style="position:absolute" from="5142,3013" to="5766,3013" stroked="true" strokeweight=".25pt" strokecolor="#231f20">
              <v:stroke dashstyle="solid"/>
            </v:line>
            <v:line style="position:absolute" from="5142,3778" to="5142,3016" stroked="true" strokeweight=".25pt" strokecolor="#231f20">
              <v:stroke dashstyle="solid"/>
            </v:line>
            <v:line style="position:absolute" from="5766,3013" to="6390,3013" stroked="true" strokeweight=".25pt" strokecolor="#231f20">
              <v:stroke dashstyle="solid"/>
            </v:line>
            <v:line style="position:absolute" from="5766,3778" to="5766,3016" stroked="true" strokeweight=".25pt" strokecolor="#231f20">
              <v:stroke dashstyle="solid"/>
            </v:line>
            <v:line style="position:absolute" from="6390,3013" to="7013,3013" stroked="true" strokeweight=".25pt" strokecolor="#231f20">
              <v:stroke dashstyle="solid"/>
            </v:line>
            <v:line style="position:absolute" from="6390,3778" to="6390,3016" stroked="true" strokeweight=".25pt" strokecolor="#231f20">
              <v:stroke dashstyle="solid"/>
            </v:line>
            <v:line style="position:absolute" from="7013,3013" to="7637,3013" stroked="true" strokeweight=".25pt" strokecolor="#231f20">
              <v:stroke dashstyle="solid"/>
            </v:line>
            <v:line style="position:absolute" from="7013,3778" to="7013,3016" stroked="true" strokeweight=".25pt" strokecolor="#231f20">
              <v:stroke dashstyle="solid"/>
            </v:line>
            <v:line style="position:absolute" from="7637,3013" to="8260,3013" stroked="true" strokeweight=".25pt" strokecolor="#231f20">
              <v:stroke dashstyle="solid"/>
            </v:line>
            <v:line style="position:absolute" from="7637,3778" to="7637,3016" stroked="true" strokeweight=".25pt" strokecolor="#231f20">
              <v:stroke dashstyle="solid"/>
            </v:line>
            <v:line style="position:absolute" from="8260,3013" to="8884,3013" stroked="true" strokeweight=".25pt" strokecolor="#231f20">
              <v:stroke dashstyle="solid"/>
            </v:line>
            <v:line style="position:absolute" from="8260,3778" to="8260,3016" stroked="true" strokeweight=".25pt" strokecolor="#231f20">
              <v:stroke dashstyle="solid"/>
            </v:line>
            <v:line style="position:absolute" from="8884,3013" to="9508,3013" stroked="true" strokeweight=".25pt" strokecolor="#231f20">
              <v:stroke dashstyle="solid"/>
            </v:line>
            <v:line style="position:absolute" from="8884,3778" to="8884,3016" stroked="true" strokeweight=".25pt" strokecolor="#231f20">
              <v:stroke dashstyle="solid"/>
            </v:line>
            <v:line style="position:absolute" from="9508,3013" to="10131,3013" stroked="true" strokeweight=".25pt" strokecolor="#231f20">
              <v:stroke dashstyle="solid"/>
            </v:line>
            <v:line style="position:absolute" from="9508,3778" to="9508,3016" stroked="true" strokeweight=".25pt" strokecolor="#231f20">
              <v:stroke dashstyle="solid"/>
            </v:line>
            <v:line style="position:absolute" from="10131,3013" to="10757,3013" stroked="true" strokeweight=".25pt" strokecolor="#231f20">
              <v:stroke dashstyle="solid"/>
            </v:line>
            <v:line style="position:absolute" from="10131,3778" to="10131,3016" stroked="true" strokeweight=".25pt" strokecolor="#231f20">
              <v:stroke dashstyle="solid"/>
            </v:line>
            <v:line style="position:absolute" from="10755,3778" to="10755,3016" stroked="true" strokeweight=".25pt" strokecolor="#231f20">
              <v:stroke dashstyle="solid"/>
            </v:line>
            <v:line style="position:absolute" from="1134,3780" to="1403,3780" stroked="true" strokeweight=".25pt" strokecolor="#231f20">
              <v:stroke dashstyle="solid"/>
            </v:line>
            <v:line style="position:absolute" from="1403,3780" to="5142,3780" stroked="true" strokeweight=".25pt" strokecolor="#231f20">
              <v:stroke dashstyle="solid"/>
            </v:line>
            <v:line style="position:absolute" from="5142,3780" to="5766,3780" stroked="true" strokeweight=".25pt" strokecolor="#231f20">
              <v:stroke dashstyle="solid"/>
            </v:line>
            <v:line style="position:absolute" from="5142,4984" to="5142,3783" stroked="true" strokeweight=".25pt" strokecolor="#231f20">
              <v:stroke dashstyle="solid"/>
            </v:line>
            <v:line style="position:absolute" from="5766,3780" to="6390,3780" stroked="true" strokeweight=".25pt" strokecolor="#231f20">
              <v:stroke dashstyle="solid"/>
            </v:line>
            <v:line style="position:absolute" from="5766,4984" to="5766,3783" stroked="true" strokeweight=".25pt" strokecolor="#231f20">
              <v:stroke dashstyle="solid"/>
            </v:line>
            <v:line style="position:absolute" from="6390,3780" to="7013,3780" stroked="true" strokeweight=".25pt" strokecolor="#231f20">
              <v:stroke dashstyle="solid"/>
            </v:line>
            <v:line style="position:absolute" from="6390,4984" to="6390,3783" stroked="true" strokeweight=".25pt" strokecolor="#231f20">
              <v:stroke dashstyle="solid"/>
            </v:line>
            <v:line style="position:absolute" from="7013,3780" to="7637,3780" stroked="true" strokeweight=".25pt" strokecolor="#231f20">
              <v:stroke dashstyle="solid"/>
            </v:line>
            <v:line style="position:absolute" from="7013,4984" to="7013,3783" stroked="true" strokeweight=".25pt" strokecolor="#231f20">
              <v:stroke dashstyle="solid"/>
            </v:line>
            <v:line style="position:absolute" from="7637,3780" to="8260,3780" stroked="true" strokeweight=".25pt" strokecolor="#231f20">
              <v:stroke dashstyle="solid"/>
            </v:line>
            <v:line style="position:absolute" from="7637,4984" to="7637,3783" stroked="true" strokeweight=".25pt" strokecolor="#231f20">
              <v:stroke dashstyle="solid"/>
            </v:line>
            <v:line style="position:absolute" from="8260,3780" to="8884,3780" stroked="true" strokeweight=".25pt" strokecolor="#231f20">
              <v:stroke dashstyle="solid"/>
            </v:line>
            <v:line style="position:absolute" from="8260,4984" to="8260,3783" stroked="true" strokeweight=".25pt" strokecolor="#231f20">
              <v:stroke dashstyle="solid"/>
            </v:line>
            <v:line style="position:absolute" from="8884,3780" to="9508,3780" stroked="true" strokeweight=".25pt" strokecolor="#231f20">
              <v:stroke dashstyle="solid"/>
            </v:line>
            <v:line style="position:absolute" from="8884,4984" to="8884,3783" stroked="true" strokeweight=".25pt" strokecolor="#231f20">
              <v:stroke dashstyle="solid"/>
            </v:line>
            <v:line style="position:absolute" from="9508,3780" to="10131,3780" stroked="true" strokeweight=".25pt" strokecolor="#231f20">
              <v:stroke dashstyle="solid"/>
            </v:line>
            <v:line style="position:absolute" from="9508,4984" to="9508,3783" stroked="true" strokeweight=".25pt" strokecolor="#231f20">
              <v:stroke dashstyle="solid"/>
            </v:line>
            <v:line style="position:absolute" from="10131,3780" to="10757,3780" stroked="true" strokeweight=".25pt" strokecolor="#231f20">
              <v:stroke dashstyle="solid"/>
            </v:line>
            <v:line style="position:absolute" from="10131,4984" to="10131,3783" stroked="true" strokeweight=".25pt" strokecolor="#231f20">
              <v:stroke dashstyle="solid"/>
            </v:line>
            <v:line style="position:absolute" from="10755,4984" to="10755,3783" stroked="true" strokeweight=".25pt" strokecolor="#231f20">
              <v:stroke dashstyle="solid"/>
            </v:line>
            <v:line style="position:absolute" from="1134,4987" to="1403,4987" stroked="true" strokeweight=".25pt" strokecolor="#231f20">
              <v:stroke dashstyle="solid"/>
            </v:line>
            <v:line style="position:absolute" from="1403,4987" to="5142,4987" stroked="true" strokeweight=".25pt" strokecolor="#231f20">
              <v:stroke dashstyle="solid"/>
            </v:line>
            <v:line style="position:absolute" from="5142,4987" to="5766,4987" stroked="true" strokeweight=".25pt" strokecolor="#231f20">
              <v:stroke dashstyle="solid"/>
            </v:line>
            <v:line style="position:absolute" from="5142,5751" to="5142,4989" stroked="true" strokeweight=".25pt" strokecolor="#231f20">
              <v:stroke dashstyle="solid"/>
            </v:line>
            <v:line style="position:absolute" from="5766,4987" to="6390,4987" stroked="true" strokeweight=".25pt" strokecolor="#231f20">
              <v:stroke dashstyle="solid"/>
            </v:line>
            <v:line style="position:absolute" from="5766,5751" to="5766,4989" stroked="true" strokeweight=".25pt" strokecolor="#231f20">
              <v:stroke dashstyle="solid"/>
            </v:line>
            <v:line style="position:absolute" from="6390,4987" to="7013,4987" stroked="true" strokeweight=".25pt" strokecolor="#231f20">
              <v:stroke dashstyle="solid"/>
            </v:line>
            <v:line style="position:absolute" from="6390,5751" to="6390,4989" stroked="true" strokeweight=".25pt" strokecolor="#231f20">
              <v:stroke dashstyle="solid"/>
            </v:line>
            <v:line style="position:absolute" from="7013,4987" to="7637,4987" stroked="true" strokeweight=".25pt" strokecolor="#231f20">
              <v:stroke dashstyle="solid"/>
            </v:line>
            <v:line style="position:absolute" from="7013,5751" to="7013,4989" stroked="true" strokeweight=".25pt" strokecolor="#231f20">
              <v:stroke dashstyle="solid"/>
            </v:line>
            <v:line style="position:absolute" from="7637,4987" to="8260,4987" stroked="true" strokeweight=".25pt" strokecolor="#231f20">
              <v:stroke dashstyle="solid"/>
            </v:line>
            <v:line style="position:absolute" from="7637,5751" to="7637,4989" stroked="true" strokeweight=".25pt" strokecolor="#231f20">
              <v:stroke dashstyle="solid"/>
            </v:line>
            <v:line style="position:absolute" from="8260,4987" to="8884,4987" stroked="true" strokeweight=".25pt" strokecolor="#231f20">
              <v:stroke dashstyle="solid"/>
            </v:line>
            <v:line style="position:absolute" from="8260,5751" to="8260,4989" stroked="true" strokeweight=".25pt" strokecolor="#231f20">
              <v:stroke dashstyle="solid"/>
            </v:line>
            <v:line style="position:absolute" from="8884,4987" to="9508,4987" stroked="true" strokeweight=".25pt" strokecolor="#231f20">
              <v:stroke dashstyle="solid"/>
            </v:line>
            <v:line style="position:absolute" from="8884,5751" to="8884,4989" stroked="true" strokeweight=".25pt" strokecolor="#231f20">
              <v:stroke dashstyle="solid"/>
            </v:line>
            <v:line style="position:absolute" from="9508,4987" to="10131,4987" stroked="true" strokeweight=".25pt" strokecolor="#231f20">
              <v:stroke dashstyle="solid"/>
            </v:line>
            <v:line style="position:absolute" from="9508,5751" to="9508,4989" stroked="true" strokeweight=".25pt" strokecolor="#231f20">
              <v:stroke dashstyle="solid"/>
            </v:line>
            <v:line style="position:absolute" from="10131,4987" to="10757,4987" stroked="true" strokeweight=".25pt" strokecolor="#231f20">
              <v:stroke dashstyle="solid"/>
            </v:line>
            <v:line style="position:absolute" from="10131,5751" to="10131,4989" stroked="true" strokeweight=".25pt" strokecolor="#231f20">
              <v:stroke dashstyle="solid"/>
            </v:line>
            <v:line style="position:absolute" from="10755,5751" to="10755,4989" stroked="true" strokeweight=".25pt" strokecolor="#231f20">
              <v:stroke dashstyle="solid"/>
            </v:line>
            <v:line style="position:absolute" from="1134,5754" to="1403,5754" stroked="true" strokeweight=".25pt" strokecolor="#231f20">
              <v:stroke dashstyle="solid"/>
            </v:line>
            <v:line style="position:absolute" from="1403,5754" to="5142,5754" stroked="true" strokeweight=".25pt" strokecolor="#231f20">
              <v:stroke dashstyle="solid"/>
            </v:line>
            <v:line style="position:absolute" from="5142,5754" to="5766,5754" stroked="true" strokeweight=".25pt" strokecolor="#231f20">
              <v:stroke dashstyle="solid"/>
            </v:line>
            <v:line style="position:absolute" from="5142,6298" to="5142,5756" stroked="true" strokeweight=".25pt" strokecolor="#231f20">
              <v:stroke dashstyle="solid"/>
            </v:line>
            <v:line style="position:absolute" from="5766,5754" to="6390,5754" stroked="true" strokeweight=".25pt" strokecolor="#231f20">
              <v:stroke dashstyle="solid"/>
            </v:line>
            <v:line style="position:absolute" from="5766,6298" to="5766,5756" stroked="true" strokeweight=".25pt" strokecolor="#231f20">
              <v:stroke dashstyle="solid"/>
            </v:line>
            <v:line style="position:absolute" from="6390,5754" to="7013,5754" stroked="true" strokeweight=".25pt" strokecolor="#231f20">
              <v:stroke dashstyle="solid"/>
            </v:line>
            <v:line style="position:absolute" from="6390,6298" to="6390,5756" stroked="true" strokeweight=".25pt" strokecolor="#231f20">
              <v:stroke dashstyle="solid"/>
            </v:line>
            <v:line style="position:absolute" from="7013,5754" to="7637,5754" stroked="true" strokeweight=".25pt" strokecolor="#231f20">
              <v:stroke dashstyle="solid"/>
            </v:line>
            <v:line style="position:absolute" from="7013,6298" to="7013,5756" stroked="true" strokeweight=".25pt" strokecolor="#231f20">
              <v:stroke dashstyle="solid"/>
            </v:line>
            <v:line style="position:absolute" from="7637,5754" to="8260,5754" stroked="true" strokeweight=".25pt" strokecolor="#231f20">
              <v:stroke dashstyle="solid"/>
            </v:line>
            <v:line style="position:absolute" from="7637,6298" to="7637,5756" stroked="true" strokeweight=".25pt" strokecolor="#231f20">
              <v:stroke dashstyle="solid"/>
            </v:line>
            <v:line style="position:absolute" from="8260,5754" to="8884,5754" stroked="true" strokeweight=".25pt" strokecolor="#231f20">
              <v:stroke dashstyle="solid"/>
            </v:line>
            <v:line style="position:absolute" from="8260,6298" to="8260,5756" stroked="true" strokeweight=".25pt" strokecolor="#231f20">
              <v:stroke dashstyle="solid"/>
            </v:line>
            <v:line style="position:absolute" from="8884,5754" to="9508,5754" stroked="true" strokeweight=".25pt" strokecolor="#231f20">
              <v:stroke dashstyle="solid"/>
            </v:line>
            <v:line style="position:absolute" from="8884,6298" to="8884,5756" stroked="true" strokeweight=".25pt" strokecolor="#231f20">
              <v:stroke dashstyle="solid"/>
            </v:line>
            <v:line style="position:absolute" from="9508,5754" to="10131,5754" stroked="true" strokeweight=".25pt" strokecolor="#231f20">
              <v:stroke dashstyle="solid"/>
            </v:line>
            <v:line style="position:absolute" from="9508,6298" to="9508,5756" stroked="true" strokeweight=".25pt" strokecolor="#231f20">
              <v:stroke dashstyle="solid"/>
            </v:line>
            <v:line style="position:absolute" from="10131,5754" to="10757,5754" stroked="true" strokeweight=".25pt" strokecolor="#231f20">
              <v:stroke dashstyle="solid"/>
            </v:line>
            <v:line style="position:absolute" from="10131,6298" to="10131,5756" stroked="true" strokeweight=".25pt" strokecolor="#231f20">
              <v:stroke dashstyle="solid"/>
            </v:line>
            <v:line style="position:absolute" from="10755,6298" to="10755,5756" stroked="true" strokeweight=".25pt" strokecolor="#231f20">
              <v:stroke dashstyle="solid"/>
            </v:line>
            <v:line style="position:absolute" from="1134,6300" to="1403,6300" stroked="true" strokeweight=".25pt" strokecolor="#231f20">
              <v:stroke dashstyle="solid"/>
            </v:line>
            <v:line style="position:absolute" from="1403,6300" to="5142,6300" stroked="true" strokeweight=".25pt" strokecolor="#231f20">
              <v:stroke dashstyle="solid"/>
            </v:line>
            <v:line style="position:absolute" from="5142,6300" to="5766,6300" stroked="true" strokeweight=".25pt" strokecolor="#231f20">
              <v:stroke dashstyle="solid"/>
            </v:line>
            <v:line style="position:absolute" from="5142,6845" to="5142,6303" stroked="true" strokeweight=".25pt" strokecolor="#231f20">
              <v:stroke dashstyle="solid"/>
            </v:line>
            <v:line style="position:absolute" from="5766,6300" to="6390,6300" stroked="true" strokeweight=".25pt" strokecolor="#231f20">
              <v:stroke dashstyle="solid"/>
            </v:line>
            <v:line style="position:absolute" from="5766,6845" to="5766,6303" stroked="true" strokeweight=".25pt" strokecolor="#231f20">
              <v:stroke dashstyle="solid"/>
            </v:line>
            <v:line style="position:absolute" from="6390,6300" to="7013,6300" stroked="true" strokeweight=".25pt" strokecolor="#231f20">
              <v:stroke dashstyle="solid"/>
            </v:line>
            <v:line style="position:absolute" from="6390,6845" to="6390,6303" stroked="true" strokeweight=".25pt" strokecolor="#231f20">
              <v:stroke dashstyle="solid"/>
            </v:line>
            <v:line style="position:absolute" from="7013,6300" to="7637,6300" stroked="true" strokeweight=".25pt" strokecolor="#231f20">
              <v:stroke dashstyle="solid"/>
            </v:line>
            <v:line style="position:absolute" from="7013,6845" to="7013,6303" stroked="true" strokeweight=".25pt" strokecolor="#231f20">
              <v:stroke dashstyle="solid"/>
            </v:line>
            <v:line style="position:absolute" from="7637,6300" to="8260,6300" stroked="true" strokeweight=".25pt" strokecolor="#231f20">
              <v:stroke dashstyle="solid"/>
            </v:line>
            <v:line style="position:absolute" from="7637,6845" to="7637,6303" stroked="true" strokeweight=".25pt" strokecolor="#231f20">
              <v:stroke dashstyle="solid"/>
            </v:line>
            <v:line style="position:absolute" from="8260,6300" to="8884,6300" stroked="true" strokeweight=".25pt" strokecolor="#231f20">
              <v:stroke dashstyle="solid"/>
            </v:line>
            <v:line style="position:absolute" from="8260,6845" to="8260,6303" stroked="true" strokeweight=".25pt" strokecolor="#231f20">
              <v:stroke dashstyle="solid"/>
            </v:line>
            <v:line style="position:absolute" from="8884,6300" to="9508,6300" stroked="true" strokeweight=".25pt" strokecolor="#231f20">
              <v:stroke dashstyle="solid"/>
            </v:line>
            <v:line style="position:absolute" from="8884,6845" to="8884,6303" stroked="true" strokeweight=".25pt" strokecolor="#231f20">
              <v:stroke dashstyle="solid"/>
            </v:line>
            <v:line style="position:absolute" from="9508,6300" to="10131,6300" stroked="true" strokeweight=".25pt" strokecolor="#231f20">
              <v:stroke dashstyle="solid"/>
            </v:line>
            <v:line style="position:absolute" from="9508,6845" to="9508,6303" stroked="true" strokeweight=".25pt" strokecolor="#231f20">
              <v:stroke dashstyle="solid"/>
            </v:line>
            <v:line style="position:absolute" from="10131,6300" to="10757,6300" stroked="true" strokeweight=".25pt" strokecolor="#231f20">
              <v:stroke dashstyle="solid"/>
            </v:line>
            <v:line style="position:absolute" from="10131,6845" to="10131,6303" stroked="true" strokeweight=".25pt" strokecolor="#231f20">
              <v:stroke dashstyle="solid"/>
            </v:line>
            <v:line style="position:absolute" from="10755,6845" to="10755,6303" stroked="true" strokeweight=".25pt" strokecolor="#231f20">
              <v:stroke dashstyle="solid"/>
            </v:line>
            <v:line style="position:absolute" from="1134,6847" to="1403,6847" stroked="true" strokeweight=".25pt" strokecolor="#231f20">
              <v:stroke dashstyle="solid"/>
            </v:line>
            <v:line style="position:absolute" from="1403,6847" to="5142,6847" stroked="true" strokeweight=".25pt" strokecolor="#231f20">
              <v:stroke dashstyle="solid"/>
            </v:line>
            <v:line style="position:absolute" from="5142,6847" to="5766,6847" stroked="true" strokeweight=".25pt" strokecolor="#231f20">
              <v:stroke dashstyle="solid"/>
            </v:line>
            <v:line style="position:absolute" from="5142,7611" to="5142,6850" stroked="true" strokeweight=".25pt" strokecolor="#231f20">
              <v:stroke dashstyle="solid"/>
            </v:line>
            <v:line style="position:absolute" from="5766,6847" to="6390,6847" stroked="true" strokeweight=".25pt" strokecolor="#231f20">
              <v:stroke dashstyle="solid"/>
            </v:line>
            <v:line style="position:absolute" from="5766,7611" to="5766,6850" stroked="true" strokeweight=".25pt" strokecolor="#231f20">
              <v:stroke dashstyle="solid"/>
            </v:line>
            <v:line style="position:absolute" from="6390,6847" to="7013,6847" stroked="true" strokeweight=".25pt" strokecolor="#231f20">
              <v:stroke dashstyle="solid"/>
            </v:line>
            <v:line style="position:absolute" from="6390,7611" to="6390,6850" stroked="true" strokeweight=".25pt" strokecolor="#231f20">
              <v:stroke dashstyle="solid"/>
            </v:line>
            <v:line style="position:absolute" from="7013,6847" to="7637,6847" stroked="true" strokeweight=".25pt" strokecolor="#231f20">
              <v:stroke dashstyle="solid"/>
            </v:line>
            <v:line style="position:absolute" from="7013,7611" to="7013,6850" stroked="true" strokeweight=".25pt" strokecolor="#231f20">
              <v:stroke dashstyle="solid"/>
            </v:line>
            <v:line style="position:absolute" from="7637,6847" to="8260,6847" stroked="true" strokeweight=".25pt" strokecolor="#231f20">
              <v:stroke dashstyle="solid"/>
            </v:line>
            <v:line style="position:absolute" from="7637,7611" to="7637,6850" stroked="true" strokeweight=".25pt" strokecolor="#231f20">
              <v:stroke dashstyle="solid"/>
            </v:line>
            <v:line style="position:absolute" from="8260,6847" to="8884,6847" stroked="true" strokeweight=".25pt" strokecolor="#231f20">
              <v:stroke dashstyle="solid"/>
            </v:line>
            <v:line style="position:absolute" from="8260,7611" to="8260,6850" stroked="true" strokeweight=".25pt" strokecolor="#231f20">
              <v:stroke dashstyle="solid"/>
            </v:line>
            <v:line style="position:absolute" from="8884,6847" to="9508,6847" stroked="true" strokeweight=".25pt" strokecolor="#231f20">
              <v:stroke dashstyle="solid"/>
            </v:line>
            <v:line style="position:absolute" from="8884,7611" to="8884,6850" stroked="true" strokeweight=".25pt" strokecolor="#231f20">
              <v:stroke dashstyle="solid"/>
            </v:line>
            <v:line style="position:absolute" from="9508,6847" to="10131,6847" stroked="true" strokeweight=".25pt" strokecolor="#231f20">
              <v:stroke dashstyle="solid"/>
            </v:line>
            <v:line style="position:absolute" from="9508,7611" to="9508,6850" stroked="true" strokeweight=".25pt" strokecolor="#231f20">
              <v:stroke dashstyle="solid"/>
            </v:line>
            <v:line style="position:absolute" from="10131,6847" to="10757,6847" stroked="true" strokeweight=".25pt" strokecolor="#231f20">
              <v:stroke dashstyle="solid"/>
            </v:line>
            <v:line style="position:absolute" from="10131,7611" to="10131,6850" stroked="true" strokeweight=".25pt" strokecolor="#231f20">
              <v:stroke dashstyle="solid"/>
            </v:line>
            <v:line style="position:absolute" from="10755,7611" to="10755,6850" stroked="true" strokeweight=".25pt" strokecolor="#231f20">
              <v:stroke dashstyle="solid"/>
            </v:line>
            <v:line style="position:absolute" from="1134,7614" to="1403,7614" stroked="true" strokeweight=".25pt" strokecolor="#231f20">
              <v:stroke dashstyle="solid"/>
            </v:line>
            <v:line style="position:absolute" from="1403,7614" to="5142,7614" stroked="true" strokeweight=".25pt" strokecolor="#231f20">
              <v:stroke dashstyle="solid"/>
            </v:line>
            <v:line style="position:absolute" from="5142,7614" to="5766,7614" stroked="true" strokeweight=".25pt" strokecolor="#231f20">
              <v:stroke dashstyle="solid"/>
            </v:line>
            <v:line style="position:absolute" from="5142,8158" to="5142,7616" stroked="true" strokeweight=".25pt" strokecolor="#231f20">
              <v:stroke dashstyle="solid"/>
            </v:line>
            <v:line style="position:absolute" from="5766,7614" to="6390,7614" stroked="true" strokeweight=".25pt" strokecolor="#231f20">
              <v:stroke dashstyle="solid"/>
            </v:line>
            <v:line style="position:absolute" from="5766,8158" to="5766,7616" stroked="true" strokeweight=".25pt" strokecolor="#231f20">
              <v:stroke dashstyle="solid"/>
            </v:line>
            <v:line style="position:absolute" from="6390,7614" to="7013,7614" stroked="true" strokeweight=".25pt" strokecolor="#231f20">
              <v:stroke dashstyle="solid"/>
            </v:line>
            <v:line style="position:absolute" from="6390,8158" to="6390,7616" stroked="true" strokeweight=".25pt" strokecolor="#231f20">
              <v:stroke dashstyle="solid"/>
            </v:line>
            <v:line style="position:absolute" from="7013,7614" to="7637,7614" stroked="true" strokeweight=".25pt" strokecolor="#231f20">
              <v:stroke dashstyle="solid"/>
            </v:line>
            <v:line style="position:absolute" from="7013,8158" to="7013,7616" stroked="true" strokeweight=".25pt" strokecolor="#231f20">
              <v:stroke dashstyle="solid"/>
            </v:line>
            <v:line style="position:absolute" from="7637,7614" to="8260,7614" stroked="true" strokeweight=".25pt" strokecolor="#231f20">
              <v:stroke dashstyle="solid"/>
            </v:line>
            <v:line style="position:absolute" from="7637,8158" to="7637,7616" stroked="true" strokeweight=".25pt" strokecolor="#231f20">
              <v:stroke dashstyle="solid"/>
            </v:line>
            <v:line style="position:absolute" from="8260,7614" to="8884,7614" stroked="true" strokeweight=".25pt" strokecolor="#231f20">
              <v:stroke dashstyle="solid"/>
            </v:line>
            <v:line style="position:absolute" from="8260,8158" to="8260,7616" stroked="true" strokeweight=".25pt" strokecolor="#231f20">
              <v:stroke dashstyle="solid"/>
            </v:line>
            <v:line style="position:absolute" from="8884,7614" to="9508,7614" stroked="true" strokeweight=".25pt" strokecolor="#231f20">
              <v:stroke dashstyle="solid"/>
            </v:line>
            <v:line style="position:absolute" from="8884,8158" to="8884,7616" stroked="true" strokeweight=".25pt" strokecolor="#231f20">
              <v:stroke dashstyle="solid"/>
            </v:line>
            <v:line style="position:absolute" from="9508,7614" to="10131,7614" stroked="true" strokeweight=".25pt" strokecolor="#231f20">
              <v:stroke dashstyle="solid"/>
            </v:line>
            <v:line style="position:absolute" from="9508,8158" to="9508,7616" stroked="true" strokeweight=".25pt" strokecolor="#231f20">
              <v:stroke dashstyle="solid"/>
            </v:line>
            <v:line style="position:absolute" from="10131,7614" to="10757,7614" stroked="true" strokeweight=".25pt" strokecolor="#231f20">
              <v:stroke dashstyle="solid"/>
            </v:line>
            <v:line style="position:absolute" from="10131,8158" to="10131,7616" stroked="true" strokeweight=".25pt" strokecolor="#231f20">
              <v:stroke dashstyle="solid"/>
            </v:line>
            <v:line style="position:absolute" from="10755,8158" to="10755,7616" stroked="true" strokeweight=".25pt" strokecolor="#231f20">
              <v:stroke dashstyle="solid"/>
            </v:line>
            <v:line style="position:absolute" from="1134,8160" to="1403,8160" stroked="true" strokeweight=".25pt" strokecolor="#231f20">
              <v:stroke dashstyle="solid"/>
            </v:line>
            <v:line style="position:absolute" from="1403,8160" to="5142,8160" stroked="true" strokeweight=".25pt" strokecolor="#231f20">
              <v:stroke dashstyle="solid"/>
            </v:line>
            <v:line style="position:absolute" from="5142,8160" to="5766,8160" stroked="true" strokeweight=".25pt" strokecolor="#231f20">
              <v:stroke dashstyle="solid"/>
            </v:line>
            <v:line style="position:absolute" from="5142,8925" to="5142,8163" stroked="true" strokeweight=".25pt" strokecolor="#231f20">
              <v:stroke dashstyle="solid"/>
            </v:line>
            <v:line style="position:absolute" from="5766,8160" to="6390,8160" stroked="true" strokeweight=".25pt" strokecolor="#231f20">
              <v:stroke dashstyle="solid"/>
            </v:line>
            <v:line style="position:absolute" from="5766,8925" to="5766,8163" stroked="true" strokeweight=".25pt" strokecolor="#231f20">
              <v:stroke dashstyle="solid"/>
            </v:line>
            <v:line style="position:absolute" from="6390,8160" to="7013,8160" stroked="true" strokeweight=".25pt" strokecolor="#231f20">
              <v:stroke dashstyle="solid"/>
            </v:line>
            <v:line style="position:absolute" from="6390,8925" to="6390,8163" stroked="true" strokeweight=".25pt" strokecolor="#231f20">
              <v:stroke dashstyle="solid"/>
            </v:line>
            <v:line style="position:absolute" from="7013,8160" to="7637,8160" stroked="true" strokeweight=".25pt" strokecolor="#231f20">
              <v:stroke dashstyle="solid"/>
            </v:line>
            <v:line style="position:absolute" from="7013,8925" to="7013,8163" stroked="true" strokeweight=".25pt" strokecolor="#231f20">
              <v:stroke dashstyle="solid"/>
            </v:line>
            <v:line style="position:absolute" from="7637,8160" to="8260,8160" stroked="true" strokeweight=".25pt" strokecolor="#231f20">
              <v:stroke dashstyle="solid"/>
            </v:line>
            <v:line style="position:absolute" from="7637,8925" to="7637,8163" stroked="true" strokeweight=".25pt" strokecolor="#231f20">
              <v:stroke dashstyle="solid"/>
            </v:line>
            <v:line style="position:absolute" from="8260,8160" to="8884,8160" stroked="true" strokeweight=".25pt" strokecolor="#231f20">
              <v:stroke dashstyle="solid"/>
            </v:line>
            <v:line style="position:absolute" from="8260,8925" to="8260,8163" stroked="true" strokeweight=".25pt" strokecolor="#231f20">
              <v:stroke dashstyle="solid"/>
            </v:line>
            <v:line style="position:absolute" from="8884,8160" to="9508,8160" stroked="true" strokeweight=".25pt" strokecolor="#231f20">
              <v:stroke dashstyle="solid"/>
            </v:line>
            <v:line style="position:absolute" from="8884,8925" to="8884,8163" stroked="true" strokeweight=".25pt" strokecolor="#231f20">
              <v:stroke dashstyle="solid"/>
            </v:line>
            <v:line style="position:absolute" from="9508,8160" to="10131,8160" stroked="true" strokeweight=".25pt" strokecolor="#231f20">
              <v:stroke dashstyle="solid"/>
            </v:line>
            <v:line style="position:absolute" from="9508,8925" to="9508,8163" stroked="true" strokeweight=".25pt" strokecolor="#231f20">
              <v:stroke dashstyle="solid"/>
            </v:line>
            <v:line style="position:absolute" from="10131,8160" to="10757,8160" stroked="true" strokeweight=".25pt" strokecolor="#231f20">
              <v:stroke dashstyle="solid"/>
            </v:line>
            <v:line style="position:absolute" from="10131,8925" to="10131,8163" stroked="true" strokeweight=".25pt" strokecolor="#231f20">
              <v:stroke dashstyle="solid"/>
            </v:line>
            <v:line style="position:absolute" from="10755,8925" to="10755,8163" stroked="true" strokeweight=".25pt" strokecolor="#231f20">
              <v:stroke dashstyle="solid"/>
            </v:line>
            <v:line style="position:absolute" from="1134,8927" to="1403,8927" stroked="true" strokeweight=".25pt" strokecolor="#231f20">
              <v:stroke dashstyle="solid"/>
            </v:line>
            <v:line style="position:absolute" from="1403,8927" to="5142,8927" stroked="true" strokeweight=".25pt" strokecolor="#231f20">
              <v:stroke dashstyle="solid"/>
            </v:line>
            <v:line style="position:absolute" from="5142,8927" to="5766,8927" stroked="true" strokeweight=".25pt" strokecolor="#231f20">
              <v:stroke dashstyle="solid"/>
            </v:line>
            <v:line style="position:absolute" from="5766,8927" to="6390,8927" stroked="true" strokeweight=".25pt" strokecolor="#231f20">
              <v:stroke dashstyle="solid"/>
            </v:line>
            <v:line style="position:absolute" from="6390,8927" to="7013,8927" stroked="true" strokeweight=".25pt" strokecolor="#231f20">
              <v:stroke dashstyle="solid"/>
            </v:line>
            <v:line style="position:absolute" from="7013,8927" to="7637,8927" stroked="true" strokeweight=".25pt" strokecolor="#231f20">
              <v:stroke dashstyle="solid"/>
            </v:line>
            <v:line style="position:absolute" from="7637,8927" to="8260,8927" stroked="true" strokeweight=".25pt" strokecolor="#231f20">
              <v:stroke dashstyle="solid"/>
            </v:line>
            <v:line style="position:absolute" from="8260,8927" to="8884,8927" stroked="true" strokeweight=".25pt" strokecolor="#231f20">
              <v:stroke dashstyle="solid"/>
            </v:line>
            <v:line style="position:absolute" from="8884,8927" to="9508,8927" stroked="true" strokeweight=".25pt" strokecolor="#231f20">
              <v:stroke dashstyle="solid"/>
            </v:line>
            <v:line style="position:absolute" from="9508,8927" to="10131,8927" stroked="true" strokeweight=".25pt" strokecolor="#231f20">
              <v:stroke dashstyle="solid"/>
            </v:line>
            <v:line style="position:absolute" from="10131,8927" to="10757,8927" stroked="true" strokeweight=".25pt" strokecolor="#231f20">
              <v:stroke dashstyle="solid"/>
            </v:line>
            <v:shape style="position:absolute;left:5291;top:-604;width:326;height:326" type="#_x0000_t75" id="docshape56" stroked="false">
              <v:imagedata r:id="rId22" o:title=""/>
            </v:shape>
            <v:shape style="position:absolute;left:6538;top:-604;width:326;height:326" type="#_x0000_t75" id="docshape57" stroked="false">
              <v:imagedata r:id="rId23" o:title=""/>
            </v:shape>
            <v:shape style="position:absolute;left:5914;top:-604;width:326;height:326" type="#_x0000_t75" id="docshape58" stroked="false">
              <v:imagedata r:id="rId24" o:title=""/>
            </v:shape>
            <v:shape style="position:absolute;left:7785;top:-604;width:326;height:326" type="#_x0000_t75" id="docshape59" stroked="false">
              <v:imagedata r:id="rId25" o:title=""/>
            </v:shape>
            <v:shape style="position:absolute;left:7162;top:-604;width:326;height:326" type="#_x0000_t75" id="docshape60" stroked="false">
              <v:imagedata r:id="rId24" o:title=""/>
            </v:shape>
            <v:shape style="position:absolute;left:9032;top:-604;width:326;height:326" type="#_x0000_t75" id="docshape61" stroked="false">
              <v:imagedata r:id="rId25" o:title=""/>
            </v:shape>
            <v:shape style="position:absolute;left:8409;top:-604;width:326;height:326" type="#_x0000_t75" id="docshape62" stroked="false">
              <v:imagedata r:id="rId25" o:title=""/>
            </v:shape>
            <v:shape style="position:absolute;left:10280;top:-604;width:326;height:326" type="#_x0000_t75" id="docshape63" stroked="false">
              <v:imagedata r:id="rId23" o:title=""/>
            </v:shape>
            <v:shape style="position:absolute;left:9656;top:-604;width:326;height:326" type="#_x0000_t75" id="docshape64" stroked="false">
              <v:imagedata r:id="rId24" o:title=""/>
            </v:shape>
            <v:shape style="position:absolute;left:5291;top:493;width:326;height:326" type="#_x0000_t75" id="docshape65" stroked="false">
              <v:imagedata r:id="rId26" o:title=""/>
            </v:shape>
            <v:shape style="position:absolute;left:5914;top:493;width:326;height:326" type="#_x0000_t75" id="docshape66" stroked="false">
              <v:imagedata r:id="rId27" o:title=""/>
            </v:shape>
            <v:shape style="position:absolute;left:6538;top:493;width:326;height:326" type="#_x0000_t75" id="docshape67" stroked="false">
              <v:imagedata r:id="rId28" o:title=""/>
            </v:shape>
            <v:shape style="position:absolute;left:7162;top:493;width:326;height:326" type="#_x0000_t75" id="docshape68" stroked="false">
              <v:imagedata r:id="rId28" o:title=""/>
            </v:shape>
            <v:shape style="position:absolute;left:7785;top:493;width:326;height:326" type="#_x0000_t75" id="docshape69" stroked="false">
              <v:imagedata r:id="rId26" o:title=""/>
            </v:shape>
            <v:shape style="position:absolute;left:8409;top:493;width:326;height:326" type="#_x0000_t75" id="docshape70" stroked="false">
              <v:imagedata r:id="rId26" o:title=""/>
            </v:shape>
            <v:shape style="position:absolute;left:9032;top:493;width:326;height:326" type="#_x0000_t75" id="docshape71" stroked="false">
              <v:imagedata r:id="rId26" o:title=""/>
            </v:shape>
            <v:shape style="position:absolute;left:10280;top:493;width:326;height:326" type="#_x0000_t75" id="docshape72" stroked="false">
              <v:imagedata r:id="rId28" o:title=""/>
            </v:shape>
            <v:shape style="position:absolute;left:5291;top:1590;width:326;height:326" type="#_x0000_t75" id="docshape73" stroked="false">
              <v:imagedata r:id="rId26" o:title=""/>
            </v:shape>
            <v:shape style="position:absolute;left:5914;top:1590;width:326;height:326" type="#_x0000_t75" id="docshape74" stroked="false">
              <v:imagedata r:id="rId28" o:title=""/>
            </v:shape>
            <v:shape style="position:absolute;left:6538;top:1590;width:326;height:326" type="#_x0000_t75" id="docshape75" stroked="false">
              <v:imagedata r:id="rId27" o:title=""/>
            </v:shape>
            <v:shape style="position:absolute;left:7162;top:1590;width:326;height:326" type="#_x0000_t75" id="docshape76" stroked="false">
              <v:imagedata r:id="rId28" o:title=""/>
            </v:shape>
            <v:shape style="position:absolute;left:7785;top:1590;width:326;height:326" type="#_x0000_t75" id="docshape77" stroked="false">
              <v:imagedata r:id="rId26" o:title=""/>
            </v:shape>
            <v:shape style="position:absolute;left:8409;top:1590;width:326;height:326" type="#_x0000_t75" id="docshape78" stroked="false">
              <v:imagedata r:id="rId26" o:title=""/>
            </v:shape>
            <v:shape style="position:absolute;left:9032;top:1590;width:326;height:326" type="#_x0000_t75" id="docshape79" stroked="false">
              <v:imagedata r:id="rId26" o:title=""/>
            </v:shape>
            <v:shape style="position:absolute;left:9656;top:1590;width:326;height:326" type="#_x0000_t75" id="docshape80" stroked="false">
              <v:imagedata r:id="rId28" o:title=""/>
            </v:shape>
            <v:shape style="position:absolute;left:10280;top:1590;width:326;height:326" type="#_x0000_t75" id="docshape81" stroked="false">
              <v:imagedata r:id="rId27" o:title=""/>
            </v:shape>
            <v:shape style="position:absolute;left:5291;top:2467;width:326;height:326" type="#_x0000_t75" id="docshape82" stroked="false">
              <v:imagedata r:id="rId29" o:title=""/>
            </v:shape>
            <v:shape style="position:absolute;left:5914;top:2467;width:326;height:326" type="#_x0000_t75" id="docshape83" stroked="false">
              <v:imagedata r:id="rId27" o:title=""/>
            </v:shape>
            <v:shape style="position:absolute;left:6538;top:2467;width:326;height:326" type="#_x0000_t75" id="docshape84" stroked="false">
              <v:imagedata r:id="rId28" o:title=""/>
            </v:shape>
            <v:shape style="position:absolute;left:7162;top:2467;width:326;height:326" type="#_x0000_t75" id="docshape85" stroked="false">
              <v:imagedata r:id="rId27" o:title=""/>
            </v:shape>
            <v:shape style="position:absolute;left:7785;top:2467;width:326;height:326" type="#_x0000_t75" id="docshape86" stroked="false">
              <v:imagedata r:id="rId26" o:title=""/>
            </v:shape>
            <v:shape style="position:absolute;left:8409;top:2467;width:326;height:326" type="#_x0000_t75" id="docshape87" stroked="false">
              <v:imagedata r:id="rId26" o:title=""/>
            </v:shape>
            <v:shape style="position:absolute;left:9032;top:2467;width:326;height:326" type="#_x0000_t75" id="docshape88" stroked="false">
              <v:imagedata r:id="rId26" o:title=""/>
            </v:shape>
            <v:shape style="position:absolute;left:9656;top:2467;width:326;height:326" type="#_x0000_t75" id="docshape89" stroked="false">
              <v:imagedata r:id="rId28" o:title=""/>
            </v:shape>
            <v:shape style="position:absolute;left:10280;top:2467;width:326;height:326" type="#_x0000_t75" id="docshape90" stroked="false">
              <v:imagedata r:id="rId27" o:title=""/>
            </v:shape>
            <v:shape style="position:absolute;left:5291;top:3233;width:326;height:326" type="#_x0000_t75" id="docshape91" stroked="false">
              <v:imagedata r:id="rId29" o:title=""/>
            </v:shape>
            <v:shape style="position:absolute;left:5914;top:3233;width:326;height:326" type="#_x0000_t75" id="docshape92" stroked="false">
              <v:imagedata r:id="rId28" o:title=""/>
            </v:shape>
            <v:shape style="position:absolute;left:6538;top:3233;width:326;height:326" type="#_x0000_t75" id="docshape93" stroked="false">
              <v:imagedata r:id="rId28" o:title=""/>
            </v:shape>
            <v:shape style="position:absolute;left:7162;top:3233;width:326;height:326" type="#_x0000_t75" id="docshape94" stroked="false">
              <v:imagedata r:id="rId28" o:title=""/>
            </v:shape>
            <v:shape style="position:absolute;left:7785;top:3233;width:326;height:326" type="#_x0000_t75" id="docshape95" stroked="false">
              <v:imagedata r:id="rId29" o:title=""/>
            </v:shape>
            <v:shape style="position:absolute;left:8409;top:3233;width:326;height:326" type="#_x0000_t75" id="docshape96" stroked="false">
              <v:imagedata r:id="rId29" o:title=""/>
            </v:shape>
            <v:shape style="position:absolute;left:9032;top:3233;width:326;height:326" type="#_x0000_t75" id="docshape97" stroked="false">
              <v:imagedata r:id="rId26" o:title=""/>
            </v:shape>
            <v:shape style="position:absolute;left:9656;top:3233;width:326;height:326" type="#_x0000_t75" id="docshape98" stroked="false">
              <v:imagedata r:id="rId27" o:title=""/>
            </v:shape>
            <v:shape style="position:absolute;left:10280;top:3233;width:326;height:326" type="#_x0000_t75" id="docshape99" stroked="false">
              <v:imagedata r:id="rId28" o:title=""/>
            </v:shape>
            <v:shape style="position:absolute;left:7162;top:4220;width:326;height:326" type="#_x0000_t75" id="docshape100" stroked="false">
              <v:imagedata r:id="rId28" o:title=""/>
            </v:shape>
            <v:shape style="position:absolute;left:7785;top:4220;width:326;height:326" type="#_x0000_t75" id="docshape101" stroked="false">
              <v:imagedata r:id="rId26" o:title=""/>
            </v:shape>
            <v:shape style="position:absolute;left:8409;top:4220;width:326;height:326" type="#_x0000_t75" id="docshape102" stroked="false">
              <v:imagedata r:id="rId29" o:title=""/>
            </v:shape>
            <v:shape style="position:absolute;left:9032;top:4220;width:326;height:326" type="#_x0000_t75" id="docshape103" stroked="false">
              <v:imagedata r:id="rId26" o:title=""/>
            </v:shape>
            <v:shape style="position:absolute;left:10280;top:4220;width:326;height:326" type="#_x0000_t75" id="docshape104" stroked="false">
              <v:imagedata r:id="rId28" o:title=""/>
            </v:shape>
            <v:shape style="position:absolute;left:5914;top:5207;width:326;height:326" type="#_x0000_t75" id="docshape105" stroked="false">
              <v:imagedata r:id="rId24" o:title=""/>
            </v:shape>
            <v:shape style="position:absolute;left:6538;top:5207;width:326;height:326" type="#_x0000_t75" id="docshape106" stroked="false">
              <v:imagedata r:id="rId24" o:title=""/>
            </v:shape>
            <v:shape style="position:absolute;left:9032;top:5207;width:326;height:326" type="#_x0000_t75" id="docshape107" stroked="false">
              <v:imagedata r:id="rId22" o:title=""/>
            </v:shape>
            <v:shape style="position:absolute;left:10280;top:5207;width:326;height:326" type="#_x0000_t75" id="docshape108" stroked="false">
              <v:imagedata r:id="rId23" o:title=""/>
            </v:shape>
            <v:shape style="position:absolute;left:5291;top:5863;width:326;height:326" type="#_x0000_t75" id="docshape109" stroked="false">
              <v:imagedata r:id="rId26" o:title=""/>
            </v:shape>
            <v:shape style="position:absolute;left:6538;top:5863;width:326;height:326" type="#_x0000_t75" id="docshape110" stroked="false">
              <v:imagedata r:id="rId28" o:title=""/>
            </v:shape>
            <v:shape style="position:absolute;left:7785;top:5863;width:326;height:326" type="#_x0000_t75" id="docshape111" stroked="false">
              <v:imagedata r:id="rId29" o:title=""/>
            </v:shape>
            <v:shape style="position:absolute;left:9656;top:5863;width:326;height:326" type="#_x0000_t75" id="docshape112" stroked="false">
              <v:imagedata r:id="rId27" o:title=""/>
            </v:shape>
            <v:shape style="position:absolute;left:10280;top:5863;width:326;height:326" type="#_x0000_t75" id="docshape113" stroked="false">
              <v:imagedata r:id="rId28" o:title=""/>
            </v:shape>
            <v:shape style="position:absolute;left:5291;top:6410;width:326;height:326" type="#_x0000_t75" id="docshape114" stroked="false">
              <v:imagedata r:id="rId29" o:title=""/>
            </v:shape>
            <v:shape style="position:absolute;left:5914;top:6410;width:326;height:326" type="#_x0000_t75" id="docshape115" stroked="false">
              <v:imagedata r:id="rId27" o:title=""/>
            </v:shape>
            <v:shape style="position:absolute;left:7162;top:6410;width:326;height:326" type="#_x0000_t75" id="docshape116" stroked="false">
              <v:imagedata r:id="rId27" o:title=""/>
            </v:shape>
            <v:shape style="position:absolute;left:6538;top:6410;width:326;height:326" type="#_x0000_t75" id="docshape117" stroked="false">
              <v:imagedata r:id="rId27" o:title=""/>
            </v:shape>
            <v:shape style="position:absolute;left:7785;top:6410;width:326;height:326" type="#_x0000_t75" id="docshape118" stroked="false">
              <v:imagedata r:id="rId29" o:title=""/>
            </v:shape>
            <v:shape style="position:absolute;left:8409;top:6410;width:326;height:326" type="#_x0000_t75" id="docshape119" stroked="false">
              <v:imagedata r:id="rId29" o:title=""/>
            </v:shape>
            <v:shape style="position:absolute;left:9032;top:6410;width:326;height:326" type="#_x0000_t75" id="docshape120" stroked="false">
              <v:imagedata r:id="rId29" o:title=""/>
            </v:shape>
            <v:shape style="position:absolute;left:9656;top:6410;width:326;height:326" type="#_x0000_t75" id="docshape121" stroked="false">
              <v:imagedata r:id="rId27" o:title=""/>
            </v:shape>
            <v:shape style="position:absolute;left:10280;top:6410;width:326;height:326" type="#_x0000_t75" id="docshape122" stroked="false">
              <v:imagedata r:id="rId27" o:title=""/>
            </v:shape>
            <v:shape style="position:absolute;left:5291;top:7067;width:326;height:326" type="#_x0000_t75" id="docshape123" stroked="false">
              <v:imagedata r:id="rId22" o:title=""/>
            </v:shape>
            <v:shape style="position:absolute;left:5914;top:7067;width:326;height:326" type="#_x0000_t75" id="docshape124" stroked="false">
              <v:imagedata r:id="rId24" o:title=""/>
            </v:shape>
            <v:shape style="position:absolute;left:6538;top:7067;width:326;height:326" type="#_x0000_t75" id="docshape125" stroked="false">
              <v:imagedata r:id="rId24" o:title=""/>
            </v:shape>
            <v:shape style="position:absolute;left:7162;top:7067;width:326;height:326" type="#_x0000_t75" id="docshape126" stroked="false">
              <v:imagedata r:id="rId23" o:title=""/>
            </v:shape>
            <v:shape style="position:absolute;left:7785;top:7067;width:326;height:326" type="#_x0000_t75" id="docshape127" stroked="false">
              <v:imagedata r:id="rId25" o:title=""/>
            </v:shape>
            <v:shape style="position:absolute;left:8409;top:7067;width:326;height:326" type="#_x0000_t75" id="docshape128" stroked="false">
              <v:imagedata r:id="rId22" o:title=""/>
            </v:shape>
            <v:shape style="position:absolute;left:9032;top:7067;width:326;height:326" type="#_x0000_t75" id="docshape129" stroked="false">
              <v:imagedata r:id="rId25" o:title=""/>
            </v:shape>
            <v:shape style="position:absolute;left:9656;top:7067;width:326;height:326" type="#_x0000_t75" id="docshape130" stroked="false">
              <v:imagedata r:id="rId24" o:title=""/>
            </v:shape>
            <v:shape style="position:absolute;left:10280;top:7067;width:326;height:326" type="#_x0000_t75" id="docshape131" stroked="false">
              <v:imagedata r:id="rId23" o:title=""/>
            </v:shape>
            <v:shape style="position:absolute;left:5291;top:7724;width:326;height:326" type="#_x0000_t75" id="docshape132" stroked="false">
              <v:imagedata r:id="rId29" o:title=""/>
            </v:shape>
            <v:shape style="position:absolute;left:5914;top:7724;width:326;height:326" type="#_x0000_t75" id="docshape133" stroked="false">
              <v:imagedata r:id="rId27" o:title=""/>
            </v:shape>
            <v:shape style="position:absolute;left:6538;top:7724;width:326;height:326" type="#_x0000_t75" id="docshape134" stroked="false">
              <v:imagedata r:id="rId27" o:title=""/>
            </v:shape>
            <v:shape style="position:absolute;left:7162;top:7724;width:326;height:326" type="#_x0000_t75" id="docshape135" stroked="false">
              <v:imagedata r:id="rId27" o:title=""/>
            </v:shape>
            <v:shape style="position:absolute;left:7785;top:7724;width:326;height:326" type="#_x0000_t75" id="docshape136" stroked="false">
              <v:imagedata r:id="rId29" o:title=""/>
            </v:shape>
            <v:shape style="position:absolute;left:8409;top:7724;width:326;height:326" type="#_x0000_t75" id="docshape137" stroked="false">
              <v:imagedata r:id="rId29" o:title=""/>
            </v:shape>
            <v:shape style="position:absolute;left:9032;top:7724;width:326;height:326" type="#_x0000_t75" id="docshape138" stroked="false">
              <v:imagedata r:id="rId29" o:title=""/>
            </v:shape>
            <v:shape style="position:absolute;left:9656;top:7724;width:326;height:326" type="#_x0000_t75" id="docshape139" stroked="false">
              <v:imagedata r:id="rId27" o:title=""/>
            </v:shape>
            <v:shape style="position:absolute;left:10280;top:7724;width:326;height:326" type="#_x0000_t75" id="docshape140" stroked="false">
              <v:imagedata r:id="rId27" o:title=""/>
            </v:shape>
            <v:shape style="position:absolute;left:5291;top:8380;width:326;height:326" type="#_x0000_t75" id="docshape141" stroked="false">
              <v:imagedata r:id="rId22" o:title=""/>
            </v:shape>
            <v:shape style="position:absolute;left:5914;top:8380;width:326;height:326" type="#_x0000_t75" id="docshape142" stroked="false">
              <v:imagedata r:id="rId24" o:title=""/>
            </v:shape>
            <v:shape style="position:absolute;left:6538;top:8380;width:326;height:326" type="#_x0000_t75" id="docshape143" stroked="false">
              <v:imagedata r:id="rId23" o:title=""/>
            </v:shape>
            <v:shape style="position:absolute;left:7162;top:8380;width:326;height:326" type="#_x0000_t75" id="docshape144" stroked="false">
              <v:imagedata r:id="rId23" o:title=""/>
            </v:shape>
            <v:shape style="position:absolute;left:7785;top:8380;width:326;height:326" type="#_x0000_t75" id="docshape145" stroked="false">
              <v:imagedata r:id="rId22" o:title=""/>
            </v:shape>
            <v:shape style="position:absolute;left:8409;top:8380;width:326;height:326" type="#_x0000_t75" id="docshape146" stroked="false">
              <v:imagedata r:id="rId22" o:title=""/>
            </v:shape>
            <v:shape style="position:absolute;left:9032;top:8380;width:326;height:326" type="#_x0000_t75" id="docshape147" stroked="false">
              <v:imagedata r:id="rId22" o:title=""/>
            </v:shape>
            <v:shape style="position:absolute;left:9656;top:8380;width:326;height:326" type="#_x0000_t75" id="docshape148" stroked="false">
              <v:imagedata r:id="rId24" o:title=""/>
            </v:shape>
            <v:shape style="position:absolute;left:10280;top:8380;width:326;height:326" type="#_x0000_t75" id="docshape149" stroked="false">
              <v:imagedata r:id="rId24" o:title=""/>
            </v:shape>
            <w10:wrap type="none"/>
          </v:group>
        </w:pict>
      </w:r>
      <w:r>
        <w:rPr>
          <w:rFonts w:ascii="Apercu Light"/>
          <w:b w:val="0"/>
          <w:color w:val="231F20"/>
          <w:sz w:val="17"/>
        </w:rPr>
        <w:t>Evaluate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the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role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of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government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supporting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private markets to deliver fair and efficient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outcomes for society and how decisions,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policies and interventions are influenced by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market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forces.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</w:tabs>
        <w:spacing w:line="213" w:lineRule="auto" w:before="112" w:after="0"/>
        <w:ind w:left="1039" w:right="7221" w:hanging="366"/>
        <w:jc w:val="both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Critically</w:t>
      </w:r>
      <w:r>
        <w:rPr>
          <w:rFonts w:ascii="Apercu Light"/>
          <w:b w:val="0"/>
          <w:color w:val="231F20"/>
          <w:spacing w:val="-1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analyse</w:t>
      </w:r>
      <w:r>
        <w:rPr>
          <w:rFonts w:ascii="Apercu Light"/>
          <w:b w:val="0"/>
          <w:color w:val="231F20"/>
          <w:spacing w:val="-1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governments</w:t>
      </w:r>
      <w:r>
        <w:rPr>
          <w:rFonts w:ascii="Apercu Light"/>
          <w:b w:val="0"/>
          <w:color w:val="231F20"/>
          <w:spacing w:val="-1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responses</w:t>
      </w:r>
      <w:r>
        <w:rPr>
          <w:rFonts w:ascii="Apercu Light"/>
          <w:b w:val="0"/>
          <w:color w:val="231F20"/>
          <w:spacing w:val="-1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to</w:t>
      </w:r>
      <w:r>
        <w:rPr>
          <w:rFonts w:ascii="Apercu Light"/>
          <w:b w:val="0"/>
          <w:color w:val="231F20"/>
          <w:spacing w:val="-4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contemporary public problems and identify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alternative,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innovative</w:t>
      </w:r>
      <w:r>
        <w:rPr>
          <w:rFonts w:ascii="Apercu Light"/>
          <w:b w:val="0"/>
          <w:color w:val="231F20"/>
          <w:spacing w:val="-8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more</w:t>
      </w:r>
      <w:r>
        <w:rPr>
          <w:rFonts w:ascii="Apercu Light"/>
          <w:b w:val="0"/>
          <w:color w:val="231F20"/>
          <w:spacing w:val="-8"/>
          <w:sz w:val="17"/>
        </w:rPr>
        <w:t> </w:t>
      </w:r>
      <w:r>
        <w:rPr>
          <w:rFonts w:ascii="Apercu Light"/>
          <w:b w:val="0"/>
          <w:color w:val="231F20"/>
          <w:sz w:val="17"/>
        </w:rPr>
        <w:t>beneficiary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centric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solutions.</w:t>
      </w:r>
    </w:p>
    <w:p>
      <w:pPr>
        <w:pStyle w:val="ListParagraph"/>
        <w:numPr>
          <w:ilvl w:val="0"/>
          <w:numId w:val="8"/>
        </w:numPr>
        <w:tabs>
          <w:tab w:pos="1039" w:val="left" w:leader="none"/>
          <w:tab w:pos="1040" w:val="left" w:leader="none"/>
        </w:tabs>
        <w:spacing w:line="213" w:lineRule="auto" w:before="111" w:after="0"/>
        <w:ind w:left="1039" w:right="7323" w:hanging="366"/>
        <w:jc w:val="left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Critically appraise data and evaluate all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evidence, without bias, to make complex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decisions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at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both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macro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micro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level.</w:t>
      </w:r>
    </w:p>
    <w:p>
      <w:pPr>
        <w:pStyle w:val="ListParagraph"/>
        <w:numPr>
          <w:ilvl w:val="0"/>
          <w:numId w:val="8"/>
        </w:numPr>
        <w:tabs>
          <w:tab w:pos="1039" w:val="left" w:leader="none"/>
          <w:tab w:pos="1040" w:val="left" w:leader="none"/>
        </w:tabs>
        <w:spacing w:line="213" w:lineRule="auto" w:before="110" w:after="0"/>
        <w:ind w:left="1039" w:right="6883" w:hanging="366"/>
        <w:jc w:val="left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Understand the ethical, systematic and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environmental challenges of effectively leading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for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inclusivity,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managing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the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public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sector.</w:t>
      </w:r>
    </w:p>
    <w:p>
      <w:pPr>
        <w:pStyle w:val="ListParagraph"/>
        <w:numPr>
          <w:ilvl w:val="0"/>
          <w:numId w:val="8"/>
        </w:numPr>
        <w:tabs>
          <w:tab w:pos="1039" w:val="left" w:leader="none"/>
          <w:tab w:pos="1040" w:val="left" w:leader="none"/>
        </w:tabs>
        <w:spacing w:line="213" w:lineRule="auto" w:before="109" w:after="0"/>
        <w:ind w:left="1039" w:right="7029" w:hanging="366"/>
        <w:jc w:val="left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Develop an understanding of a variety of legal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frameworks, regulation and administrative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processes,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how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to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effectively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develop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operate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public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sector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services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democracy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governed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by law.</w:t>
      </w:r>
    </w:p>
    <w:p>
      <w:pPr>
        <w:pStyle w:val="ListParagraph"/>
        <w:numPr>
          <w:ilvl w:val="0"/>
          <w:numId w:val="8"/>
        </w:numPr>
        <w:tabs>
          <w:tab w:pos="1039" w:val="left" w:leader="none"/>
          <w:tab w:pos="1040" w:val="left" w:leader="none"/>
        </w:tabs>
        <w:spacing w:line="213" w:lineRule="auto" w:before="113" w:after="0"/>
        <w:ind w:left="1039" w:right="6971" w:hanging="366"/>
        <w:jc w:val="left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Understand the key financial resource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management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practices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that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underpin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drive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public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policy-making and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decisions</w:t>
      </w:r>
    </w:p>
    <w:p>
      <w:pPr>
        <w:pStyle w:val="ListParagraph"/>
        <w:numPr>
          <w:ilvl w:val="0"/>
          <w:numId w:val="8"/>
        </w:numPr>
        <w:tabs>
          <w:tab w:pos="1039" w:val="left" w:leader="none"/>
          <w:tab w:pos="1040" w:val="left" w:leader="none"/>
        </w:tabs>
        <w:spacing w:line="213" w:lineRule="auto" w:before="109" w:after="0"/>
        <w:ind w:left="1039" w:right="6857" w:hanging="366"/>
        <w:jc w:val="left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Evaluate</w:t>
      </w:r>
      <w:r>
        <w:rPr>
          <w:rFonts w:ascii="Apercu Light"/>
          <w:b w:val="0"/>
          <w:color w:val="231F20"/>
          <w:spacing w:val="-8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reflect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on</w:t>
      </w:r>
      <w:r>
        <w:rPr>
          <w:rFonts w:ascii="Apercu Light"/>
          <w:b w:val="0"/>
          <w:color w:val="231F20"/>
          <w:spacing w:val="-8"/>
          <w:sz w:val="17"/>
        </w:rPr>
        <w:t> </w:t>
      </w:r>
      <w:r>
        <w:rPr>
          <w:rFonts w:ascii="Apercu Light"/>
          <w:b w:val="0"/>
          <w:color w:val="231F20"/>
          <w:sz w:val="17"/>
        </w:rPr>
        <w:t>what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effective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leadership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means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ever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changing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public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sector.</w:t>
      </w:r>
    </w:p>
    <w:p>
      <w:pPr>
        <w:pStyle w:val="ListParagraph"/>
        <w:numPr>
          <w:ilvl w:val="0"/>
          <w:numId w:val="8"/>
        </w:numPr>
        <w:tabs>
          <w:tab w:pos="1039" w:val="left" w:leader="none"/>
          <w:tab w:pos="1040" w:val="left" w:leader="none"/>
        </w:tabs>
        <w:spacing w:line="213" w:lineRule="auto" w:before="109" w:after="0"/>
        <w:ind w:left="1039" w:right="7522" w:hanging="366"/>
        <w:jc w:val="left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Solve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complex,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real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world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problems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multidisciplinary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diverse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team.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</w:tabs>
        <w:spacing w:line="213" w:lineRule="auto" w:before="109" w:after="0"/>
        <w:ind w:left="1039" w:right="7118" w:hanging="366"/>
        <w:jc w:val="left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Independently research and apply various</w:t>
      </w:r>
      <w:r>
        <w:rPr>
          <w:rFonts w:ascii="Apercu Light"/>
          <w:b w:val="0"/>
          <w:color w:val="231F20"/>
          <w:spacing w:val="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research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methods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order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to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make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informed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decisions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or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make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recommendations.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</w:tabs>
        <w:spacing w:line="213" w:lineRule="auto" w:before="110" w:after="0"/>
        <w:ind w:left="1039" w:right="7234" w:hanging="366"/>
        <w:jc w:val="both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Communicate</w:t>
      </w:r>
      <w:r>
        <w:rPr>
          <w:rFonts w:ascii="Apercu Light"/>
          <w:b w:val="0"/>
          <w:color w:val="231F20"/>
          <w:spacing w:val="-8"/>
          <w:sz w:val="17"/>
        </w:rPr>
        <w:t> </w:t>
      </w:r>
      <w:r>
        <w:rPr>
          <w:rFonts w:ascii="Apercu Light"/>
          <w:b w:val="0"/>
          <w:color w:val="231F20"/>
          <w:sz w:val="17"/>
        </w:rPr>
        <w:t>complex</w:t>
      </w:r>
      <w:r>
        <w:rPr>
          <w:rFonts w:ascii="Apercu Light"/>
          <w:b w:val="0"/>
          <w:color w:val="231F20"/>
          <w:spacing w:val="-8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ideas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with</w:t>
      </w:r>
      <w:r>
        <w:rPr>
          <w:rFonts w:ascii="Apercu Light"/>
          <w:b w:val="0"/>
          <w:color w:val="231F20"/>
          <w:spacing w:val="-8"/>
          <w:sz w:val="17"/>
        </w:rPr>
        <w:t> </w:t>
      </w:r>
      <w:r>
        <w:rPr>
          <w:rFonts w:ascii="Apercu Light"/>
          <w:b w:val="0"/>
          <w:color w:val="231F20"/>
          <w:sz w:val="17"/>
        </w:rPr>
        <w:t>clarity,</w:t>
      </w:r>
      <w:r>
        <w:rPr>
          <w:rFonts w:ascii="Apercu Light"/>
          <w:b w:val="0"/>
          <w:color w:val="231F20"/>
          <w:spacing w:val="-7"/>
          <w:sz w:val="17"/>
        </w:rPr>
        <w:t> </w:t>
      </w:r>
      <w:r>
        <w:rPr>
          <w:rFonts w:ascii="Apercu Light"/>
          <w:b w:val="0"/>
          <w:color w:val="231F20"/>
          <w:sz w:val="17"/>
        </w:rPr>
        <w:t>to</w:t>
      </w:r>
      <w:r>
        <w:rPr>
          <w:rFonts w:ascii="Apercu Light"/>
          <w:b w:val="0"/>
          <w:color w:val="231F20"/>
          <w:spacing w:val="-4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diverse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audiences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in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variety</w:t>
      </w:r>
      <w:r>
        <w:rPr>
          <w:rFonts w:ascii="Apercu Light"/>
          <w:b w:val="0"/>
          <w:color w:val="231F20"/>
          <w:spacing w:val="-2"/>
          <w:sz w:val="17"/>
        </w:rPr>
        <w:t> </w:t>
      </w:r>
      <w:r>
        <w:rPr>
          <w:rFonts w:ascii="Apercu Light"/>
          <w:b w:val="0"/>
          <w:color w:val="231F20"/>
          <w:sz w:val="17"/>
        </w:rPr>
        <w:t>of</w:t>
      </w:r>
      <w:r>
        <w:rPr>
          <w:rFonts w:ascii="Apercu Light"/>
          <w:b w:val="0"/>
          <w:color w:val="231F20"/>
          <w:spacing w:val="-1"/>
          <w:sz w:val="17"/>
        </w:rPr>
        <w:t> </w:t>
      </w:r>
      <w:r>
        <w:rPr>
          <w:rFonts w:ascii="Apercu Light"/>
          <w:b w:val="0"/>
          <w:color w:val="231F20"/>
          <w:sz w:val="17"/>
        </w:rPr>
        <w:t>modes.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</w:tabs>
        <w:spacing w:line="213" w:lineRule="auto" w:before="109" w:after="0"/>
        <w:ind w:left="1039" w:right="7534" w:hanging="366"/>
        <w:jc w:val="both"/>
        <w:rPr>
          <w:rFonts w:ascii="Apercu Light"/>
          <w:b w:val="0"/>
          <w:sz w:val="17"/>
        </w:rPr>
      </w:pPr>
      <w:r>
        <w:rPr>
          <w:rFonts w:ascii="Apercu Light"/>
          <w:b w:val="0"/>
          <w:color w:val="231F20"/>
          <w:sz w:val="17"/>
        </w:rPr>
        <w:t>Understand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the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distinctive</w:t>
      </w:r>
      <w:r>
        <w:rPr>
          <w:rFonts w:ascii="Apercu Light"/>
          <w:b w:val="0"/>
          <w:color w:val="231F20"/>
          <w:spacing w:val="-5"/>
          <w:sz w:val="17"/>
        </w:rPr>
        <w:t> </w:t>
      </w:r>
      <w:r>
        <w:rPr>
          <w:rFonts w:ascii="Apercu Light"/>
          <w:b w:val="0"/>
          <w:color w:val="231F20"/>
          <w:sz w:val="17"/>
        </w:rPr>
        <w:t>and</w:t>
      </w:r>
      <w:r>
        <w:rPr>
          <w:rFonts w:ascii="Apercu Light"/>
          <w:b w:val="0"/>
          <w:color w:val="231F20"/>
          <w:spacing w:val="-6"/>
          <w:sz w:val="17"/>
        </w:rPr>
        <w:t> </w:t>
      </w:r>
      <w:r>
        <w:rPr>
          <w:rFonts w:ascii="Apercu Light"/>
          <w:b w:val="0"/>
          <w:color w:val="231F20"/>
          <w:sz w:val="17"/>
        </w:rPr>
        <w:t>evolving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pacing w:val="-1"/>
          <w:sz w:val="17"/>
        </w:rPr>
        <w:t>charactistics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of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Westminster</w:t>
      </w:r>
      <w:r>
        <w:rPr>
          <w:rFonts w:ascii="Apercu Light"/>
          <w:b w:val="0"/>
          <w:color w:val="231F20"/>
          <w:spacing w:val="-8"/>
          <w:sz w:val="17"/>
        </w:rPr>
        <w:t> </w:t>
      </w:r>
      <w:r>
        <w:rPr>
          <w:rFonts w:ascii="Apercu Light"/>
          <w:b w:val="0"/>
          <w:color w:val="231F20"/>
          <w:sz w:val="17"/>
        </w:rPr>
        <w:t>systems</w:t>
      </w:r>
      <w:r>
        <w:rPr>
          <w:rFonts w:ascii="Apercu Light"/>
          <w:b w:val="0"/>
          <w:color w:val="231F20"/>
          <w:spacing w:val="-9"/>
          <w:sz w:val="17"/>
        </w:rPr>
        <w:t> </w:t>
      </w:r>
      <w:r>
        <w:rPr>
          <w:rFonts w:ascii="Apercu Light"/>
          <w:b w:val="0"/>
          <w:color w:val="231F20"/>
          <w:sz w:val="17"/>
        </w:rPr>
        <w:t>of</w:t>
      </w:r>
      <w:r>
        <w:rPr>
          <w:rFonts w:ascii="Apercu Light"/>
          <w:b w:val="0"/>
          <w:color w:val="231F20"/>
          <w:spacing w:val="-40"/>
          <w:sz w:val="17"/>
        </w:rPr>
        <w:t> </w:t>
      </w:r>
      <w:r>
        <w:rPr>
          <w:rFonts w:ascii="Apercu Light"/>
          <w:b w:val="0"/>
          <w:color w:val="231F20"/>
          <w:sz w:val="17"/>
        </w:rPr>
        <w:t>government.</w:t>
      </w:r>
    </w:p>
    <w:p>
      <w:pPr>
        <w:pStyle w:val="BodyText"/>
        <w:spacing w:before="5"/>
        <w:rPr>
          <w:b w:val="0"/>
          <w:sz w:val="24"/>
        </w:rPr>
      </w:pPr>
    </w:p>
    <w:p>
      <w:pPr>
        <w:tabs>
          <w:tab w:pos="2044" w:val="left" w:leader="none"/>
        </w:tabs>
        <w:spacing w:before="95"/>
        <w:ind w:left="928" w:right="0" w:firstLine="0"/>
        <w:jc w:val="left"/>
        <w:rPr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719989</wp:posOffset>
            </wp:positionH>
            <wp:positionV relativeFrom="paragraph">
              <wp:posOffset>74696</wp:posOffset>
            </wp:positionV>
            <wp:extent cx="134213" cy="134200"/>
            <wp:effectExtent l="0" t="0" r="0" b="0"/>
            <wp:wrapNone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13" cy="1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42048">
            <wp:simplePos x="0" y="0"/>
            <wp:positionH relativeFrom="page">
              <wp:posOffset>1429241</wp:posOffset>
            </wp:positionH>
            <wp:positionV relativeFrom="paragraph">
              <wp:posOffset>74696</wp:posOffset>
            </wp:positionV>
            <wp:extent cx="134213" cy="134200"/>
            <wp:effectExtent l="0" t="0" r="0" b="0"/>
            <wp:wrapNone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13" cy="1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  <w:sz w:val="17"/>
        </w:rPr>
        <w:t>Primary</w:t>
        <w:tab/>
        <w:t>Secondary</w:t>
      </w:r>
    </w:p>
    <w:p>
      <w:pPr>
        <w:spacing w:after="0"/>
        <w:jc w:val="left"/>
        <w:rPr>
          <w:sz w:val="17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spacing w:before="63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Program</w:t>
      </w:r>
      <w:r>
        <w:rPr>
          <w:rFonts w:ascii="Domus Semibold"/>
          <w:b w:val="0"/>
          <w:color w:val="231F20"/>
          <w:spacing w:val="-5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pedagogy</w:t>
      </w:r>
    </w:p>
    <w:p>
      <w:pPr>
        <w:pStyle w:val="BodyText"/>
        <w:spacing w:line="192" w:lineRule="auto" w:before="106"/>
        <w:ind w:left="673" w:right="3108"/>
        <w:rPr>
          <w:b w:val="0"/>
        </w:rPr>
      </w:pPr>
      <w:r>
        <w:rPr>
          <w:b w:val="0"/>
          <w:color w:val="231F20"/>
        </w:rPr>
        <w:t>What is particularly unique to the EMPA is this blend of both academic rigour and working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directly on cases with public sector practitioners. This provides the knowledge and skills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required by contemporary leaders who need to navigate complex issues, organisational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systems and often deliver services within a constraining resource environment. The demands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for expert knowledge, innovation and creative thinking are well tested. In these challenging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times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safe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space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explore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some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most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pressing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concerns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face.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spaces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be focused collaboration with fellow students and high-level leaders in the public sector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problem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solve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explore practicable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solutions.</w:t>
      </w:r>
    </w:p>
    <w:p>
      <w:pPr>
        <w:pStyle w:val="BodyText"/>
        <w:spacing w:line="192" w:lineRule="auto" w:before="114"/>
        <w:ind w:left="673" w:right="3358"/>
        <w:rPr>
          <w:b w:val="0"/>
        </w:rPr>
      </w:pPr>
      <w:r>
        <w:rPr>
          <w:b w:val="0"/>
          <w:color w:val="231F20"/>
        </w:rPr>
        <w:t>Teaching staff draw on current and historical public sector cases available in the ANZSOG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Library.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blended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allows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flexibility,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professionals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balance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demands of studying the EMPA program into their daily working lives. As well as studying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having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residential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intensives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locally,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possible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undertake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locations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Singapore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Wellington,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Zealand.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Current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COVID restrictions have curtailed residential delivery and travel, though future delivery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may engage a blended form of location-based and online delivery, depending on travel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permissions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across governments.</w:t>
      </w:r>
    </w:p>
    <w:p>
      <w:pPr>
        <w:pStyle w:val="BodyText"/>
        <w:spacing w:line="192" w:lineRule="auto" w:before="114"/>
        <w:ind w:left="673" w:right="3418"/>
        <w:rPr>
          <w:b w:val="0"/>
        </w:rPr>
      </w:pPr>
      <w:r>
        <w:rPr>
          <w:b w:val="0"/>
          <w:color w:val="231F20"/>
        </w:rPr>
        <w:t>ANZSOG applies innovation and design-thinking principles to the EMPA which place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learner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centre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decisions.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blended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model,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experience greater flexibility and autonomy as it affords even greater connectivity 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peers and subject leads, as well as opportunities for collaboration that enhance digital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communication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learning capabilities.</w:t>
      </w:r>
    </w:p>
    <w:p>
      <w:pPr>
        <w:spacing w:before="161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Blended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learning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in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the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EMPA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consists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of:</w:t>
      </w:r>
    </w:p>
    <w:p>
      <w:pPr>
        <w:pStyle w:val="BodyText"/>
        <w:spacing w:line="192" w:lineRule="auto" w:before="107"/>
        <w:ind w:left="673" w:right="3829"/>
        <w:rPr>
          <w:b w:val="0"/>
        </w:rPr>
      </w:pPr>
      <w:r>
        <w:rPr>
          <w:b w:val="0"/>
          <w:color w:val="231F20"/>
        </w:rPr>
        <w:t>Synchronous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–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real-time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interaction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shared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virtual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face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space.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includes live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online webinars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group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activities.</w:t>
      </w:r>
    </w:p>
    <w:p>
      <w:pPr>
        <w:pStyle w:val="BodyText"/>
        <w:spacing w:line="192" w:lineRule="auto" w:before="113"/>
        <w:ind w:left="673" w:right="3235"/>
        <w:rPr>
          <w:b w:val="0"/>
        </w:rPr>
      </w:pPr>
      <w:r>
        <w:rPr>
          <w:b w:val="0"/>
          <w:color w:val="231F20"/>
        </w:rPr>
        <w:t>Asynchronous learning – assessment instructions, readings, teaching videos and other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materials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LMS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(Canvas)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own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time.</w:t>
      </w:r>
    </w:p>
    <w:p>
      <w:pPr>
        <w:pStyle w:val="BodyText"/>
        <w:spacing w:line="192" w:lineRule="auto" w:before="114"/>
        <w:ind w:left="673" w:right="3686"/>
        <w:rPr>
          <w:b w:val="0"/>
        </w:rPr>
      </w:pPr>
      <w:r>
        <w:rPr>
          <w:b w:val="0"/>
          <w:color w:val="231F20"/>
        </w:rPr>
        <w:t>Through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blended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approach,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continues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reflective,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collaborative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practice and authentic work while remaining committed to providing a safe, respectful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environment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 all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students, faculty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staff.</w:t>
      </w:r>
    </w:p>
    <w:p>
      <w:pPr>
        <w:spacing w:before="161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Group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work</w:t>
      </w:r>
    </w:p>
    <w:p>
      <w:pPr>
        <w:pStyle w:val="BodyText"/>
        <w:spacing w:line="192" w:lineRule="auto" w:before="107"/>
        <w:ind w:left="673" w:right="3506"/>
        <w:rPr>
          <w:b w:val="0"/>
        </w:rPr>
      </w:pPr>
      <w:r>
        <w:rPr>
          <w:b w:val="0"/>
          <w:color w:val="231F20"/>
        </w:rPr>
        <w:t>Throughout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emphasis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group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assessments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learning. ANZSOG understands the value of social learning and therefore embraces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opportunities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 create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 community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practice.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spacing w:before="63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Assessments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at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ANZSOG</w:t>
      </w:r>
    </w:p>
    <w:p>
      <w:pPr>
        <w:pStyle w:val="BodyText"/>
        <w:spacing w:before="63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table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identified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various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types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evident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EMPA.</w:t>
      </w:r>
    </w:p>
    <w:p>
      <w:pPr>
        <w:pStyle w:val="BodyText"/>
        <w:spacing w:before="5"/>
        <w:rPr>
          <w:b w:val="0"/>
          <w:sz w:val="9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9"/>
        <w:gridCol w:w="6474"/>
        <w:gridCol w:w="1975"/>
      </w:tblGrid>
      <w:tr>
        <w:trPr>
          <w:trHeight w:val="355" w:hRule="atLeast"/>
        </w:trPr>
        <w:tc>
          <w:tcPr>
            <w:tcW w:w="1209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before="51"/>
              <w:ind w:left="113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Type</w:t>
            </w:r>
          </w:p>
        </w:tc>
        <w:tc>
          <w:tcPr>
            <w:tcW w:w="6474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before="51"/>
              <w:ind w:left="113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Rationale</w:t>
            </w:r>
          </w:p>
        </w:tc>
        <w:tc>
          <w:tcPr>
            <w:tcW w:w="197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before="51"/>
              <w:ind w:left="22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Graduate</w:t>
            </w:r>
            <w:r>
              <w:rPr>
                <w:rFonts w:ascii="Apercu"/>
                <w:b/>
                <w:color w:val="FFFFFF"/>
                <w:spacing w:val="-9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Attributes</w:t>
            </w:r>
          </w:p>
        </w:tc>
      </w:tr>
      <w:tr>
        <w:trPr>
          <w:trHeight w:val="2995" w:hRule="atLeast"/>
        </w:trPr>
        <w:tc>
          <w:tcPr>
            <w:tcW w:w="1209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spacing w:before="51"/>
              <w:ind w:left="113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Portfolio</w:t>
            </w:r>
          </w:p>
        </w:tc>
        <w:tc>
          <w:tcPr>
            <w:tcW w:w="647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72"/>
              <w:ind w:left="113" w:right="20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Allows the students to undertake self-directed learning, as they have more control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over their learning journey. Entwistle’s research in the 1990’s recognised that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 had adopted a surface approach to learning because of the pressures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assessments.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Portfolio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allows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record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breadth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depth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 their learning, so that they can document not only what is being taught, but also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modules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that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include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work-place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learning.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Furthermore,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Portfolio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allows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understand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context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situation,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that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</w:p>
          <w:p>
            <w:pPr>
              <w:pStyle w:val="TableParagraph"/>
              <w:spacing w:line="213" w:lineRule="auto" w:before="7"/>
              <w:ind w:left="113" w:right="6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merge/modify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adjust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that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situation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taken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into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account.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This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particularly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important for the EMPA because of the dynamics of interacting with current public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government and community dynamics that are always in flux. So the portfolio can be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totally customised and align with the learning outcomes of the EMPA. The learning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assets can be changed depending on the context, so that professionals on the EMPA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direct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own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engagement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based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structure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course.</w:t>
            </w:r>
          </w:p>
        </w:tc>
        <w:tc>
          <w:tcPr>
            <w:tcW w:w="197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4E3EC"/>
          </w:tcPr>
          <w:p>
            <w:pPr>
              <w:pStyle w:val="TableParagraph"/>
              <w:spacing w:before="51"/>
              <w:ind w:left="22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Leadership</w:t>
            </w:r>
          </w:p>
          <w:p>
            <w:pPr>
              <w:pStyle w:val="TableParagraph"/>
              <w:spacing w:line="256" w:lineRule="auto" w:before="16"/>
              <w:ind w:left="227" w:right="12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Real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world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application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Empathy</w:t>
            </w:r>
          </w:p>
          <w:p>
            <w:pPr>
              <w:pStyle w:val="TableParagraph"/>
              <w:spacing w:line="256" w:lineRule="auto" w:before="0"/>
              <w:ind w:left="227" w:right="14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Reflective practice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Deep expertise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Communication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Digital literacy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Commitment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serve</w:t>
            </w:r>
          </w:p>
        </w:tc>
      </w:tr>
      <w:tr>
        <w:trPr>
          <w:trHeight w:val="2718" w:hRule="atLeast"/>
        </w:trPr>
        <w:tc>
          <w:tcPr>
            <w:tcW w:w="1209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spacing w:before="51"/>
              <w:ind w:left="113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Report</w:t>
            </w:r>
          </w:p>
        </w:tc>
        <w:tc>
          <w:tcPr>
            <w:tcW w:w="647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72"/>
              <w:ind w:left="113" w:right="29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Reports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enable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refer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other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documented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evidence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that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they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will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have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contributed to over a period of time such as the portfolio, in order to synthesise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complex dynamics of the communities and areas of public life and institutions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that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focusing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upon.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gives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opportunity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use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analytical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capabilities as well as bridging the gaps between experience and theory, where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they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demonstrate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not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only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knowledge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gained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through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modules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</w:p>
          <w:p>
            <w:pPr>
              <w:pStyle w:val="TableParagraph"/>
              <w:spacing w:line="213" w:lineRule="auto" w:before="6"/>
              <w:ind w:left="113" w:right="15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 EMPA, but also bring their knowledge from their professional roles, so that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will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evidence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multitude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high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level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skills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needed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senior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public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sector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professional.</w:t>
            </w:r>
          </w:p>
        </w:tc>
        <w:tc>
          <w:tcPr>
            <w:tcW w:w="197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4E3EC"/>
          </w:tcPr>
          <w:p>
            <w:pPr>
              <w:pStyle w:val="TableParagraph"/>
              <w:spacing w:line="256" w:lineRule="auto" w:before="51"/>
              <w:ind w:left="227" w:right="74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Leadership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Collaboration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Ethics</w:t>
            </w:r>
          </w:p>
          <w:p>
            <w:pPr>
              <w:pStyle w:val="TableParagraph"/>
              <w:spacing w:line="256" w:lineRule="auto" w:before="0"/>
              <w:ind w:left="227" w:right="12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Real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world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application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Problem solving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Empathy</w:t>
            </w:r>
          </w:p>
          <w:p>
            <w:pPr>
              <w:pStyle w:val="TableParagraph"/>
              <w:spacing w:line="256" w:lineRule="auto" w:before="0"/>
              <w:ind w:left="227" w:right="14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Deep expertise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Communication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Digital literacy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Commitment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serve</w:t>
            </w:r>
          </w:p>
        </w:tc>
      </w:tr>
      <w:tr>
        <w:trPr>
          <w:trHeight w:val="2980" w:hRule="atLeast"/>
        </w:trPr>
        <w:tc>
          <w:tcPr>
            <w:tcW w:w="1209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spacing w:line="213" w:lineRule="auto" w:before="72"/>
              <w:ind w:left="113" w:right="48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pacing w:val="-2"/>
                <w:sz w:val="17"/>
              </w:rPr>
              <w:t>Presentations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(face to face</w:t>
            </w:r>
            <w:r>
              <w:rPr>
                <w:rFonts w:ascii="Apercu Medium"/>
                <w:b w:val="0"/>
                <w:color w:val="231F20"/>
                <w:spacing w:val="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or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online)</w:t>
            </w:r>
          </w:p>
        </w:tc>
        <w:tc>
          <w:tcPr>
            <w:tcW w:w="647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72"/>
              <w:ind w:left="113" w:right="12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Presentations enable students to absorb knowledge and experience to the level that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create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new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way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presenting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knowledge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diverse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critical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audience.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This requires an understanding of the modules, theory and experience gained, but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also presenting that knowledge in a way that is easily understandable to a certain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audience.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Participants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also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evidence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thorough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knowledge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reasoning</w:t>
            </w:r>
          </w:p>
          <w:p>
            <w:pPr>
              <w:pStyle w:val="TableParagraph"/>
              <w:spacing w:line="213" w:lineRule="auto" w:before="5"/>
              <w:ind w:left="113" w:right="44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answering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questions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presentation.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This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builds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responsive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analytical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skills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provides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opportunities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practice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develop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oral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communication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skills.</w:t>
            </w:r>
          </w:p>
        </w:tc>
        <w:tc>
          <w:tcPr>
            <w:tcW w:w="197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4E3EC"/>
          </w:tcPr>
          <w:p>
            <w:pPr>
              <w:pStyle w:val="TableParagraph"/>
              <w:spacing w:line="256" w:lineRule="auto" w:before="51"/>
              <w:ind w:left="227" w:right="74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Leadership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Collaboration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Ethics</w:t>
            </w:r>
          </w:p>
          <w:p>
            <w:pPr>
              <w:pStyle w:val="TableParagraph"/>
              <w:spacing w:line="256" w:lineRule="auto" w:before="0"/>
              <w:ind w:left="227" w:right="12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Real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world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application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Problem solving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Empathy</w:t>
            </w:r>
          </w:p>
          <w:p>
            <w:pPr>
              <w:pStyle w:val="TableParagraph"/>
              <w:spacing w:line="256" w:lineRule="auto" w:before="0"/>
              <w:ind w:left="227" w:right="14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Cultural competence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Deep expertise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Communication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Digital literacy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Commitment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serve</w:t>
            </w:r>
          </w:p>
        </w:tc>
      </w:tr>
      <w:tr>
        <w:trPr>
          <w:trHeight w:val="2335" w:hRule="atLeast"/>
        </w:trPr>
        <w:tc>
          <w:tcPr>
            <w:tcW w:w="1209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spacing w:line="213" w:lineRule="auto" w:before="72"/>
              <w:ind w:left="113" w:right="262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z w:val="17"/>
              </w:rPr>
              <w:t>Self-</w:t>
            </w:r>
            <w:r>
              <w:rPr>
                <w:rFonts w:ascii="Apercu Medium"/>
                <w:b w:val="0"/>
                <w:color w:val="231F20"/>
                <w:spacing w:val="1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reflections</w:t>
            </w:r>
          </w:p>
        </w:tc>
        <w:tc>
          <w:tcPr>
            <w:tcW w:w="647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72"/>
              <w:ind w:left="113" w:right="20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Self-efficacy is an important part of learning, as students need to gauge their level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based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continuous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feedback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from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lecturers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course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well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understanding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 own challenges areas and strengths. Continuous self-reflection that can be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utilised and integrated in portfolio learning enables the students to understand how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they have improved over time, but also where their continuous challenge areas are,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so that they can communicate this with lecturers and peers. Dialogue both with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 leads as well as fellow students is essential through this area of assessment,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so that students can feel supported in their unique learning journey and see that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whilst their position in the knowledge space is different, it is also connected to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larger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course components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their peers.</w:t>
            </w:r>
          </w:p>
        </w:tc>
        <w:tc>
          <w:tcPr>
            <w:tcW w:w="197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4E3EC"/>
          </w:tcPr>
          <w:p>
            <w:pPr>
              <w:pStyle w:val="TableParagraph"/>
              <w:spacing w:line="256" w:lineRule="auto" w:before="51"/>
              <w:ind w:left="227" w:right="8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Leadership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Adaptability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Empathy</w:t>
            </w:r>
          </w:p>
          <w:p>
            <w:pPr>
              <w:pStyle w:val="TableParagraph"/>
              <w:spacing w:line="256" w:lineRule="auto" w:before="0"/>
              <w:ind w:left="227" w:right="14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Cultural competence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Reflective practice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Communication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Commitment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serve</w:t>
            </w:r>
          </w:p>
        </w:tc>
      </w:tr>
      <w:tr>
        <w:trPr>
          <w:trHeight w:val="880" w:hRule="atLeast"/>
        </w:trPr>
        <w:tc>
          <w:tcPr>
            <w:tcW w:w="1209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spacing w:line="213" w:lineRule="auto" w:before="72"/>
              <w:ind w:left="113" w:right="247"/>
              <w:rPr>
                <w:rFonts w:ascii="Apercu Medium"/>
                <w:b w:val="0"/>
                <w:sz w:val="17"/>
              </w:rPr>
            </w:pPr>
            <w:r>
              <w:rPr>
                <w:rFonts w:ascii="Apercu Medium"/>
                <w:b w:val="0"/>
                <w:color w:val="231F20"/>
                <w:spacing w:val="-1"/>
                <w:sz w:val="17"/>
              </w:rPr>
              <w:t>Knowledge</w:t>
            </w:r>
            <w:r>
              <w:rPr>
                <w:rFonts w:ascii="Apercu Medium"/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rFonts w:ascii="Apercu Medium"/>
                <w:b w:val="0"/>
                <w:color w:val="231F20"/>
                <w:sz w:val="17"/>
              </w:rPr>
              <w:t>checks</w:t>
            </w:r>
          </w:p>
        </w:tc>
        <w:tc>
          <w:tcPr>
            <w:tcW w:w="647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72"/>
              <w:ind w:left="113" w:right="50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Knowledge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checks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provide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instant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feedback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learners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well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encourage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active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engagement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retrieval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practices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throughout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content.</w:t>
            </w:r>
          </w:p>
        </w:tc>
        <w:tc>
          <w:tcPr>
            <w:tcW w:w="197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4E3EC"/>
          </w:tcPr>
          <w:p>
            <w:pPr>
              <w:pStyle w:val="TableParagraph"/>
              <w:spacing w:line="256" w:lineRule="auto" w:before="51"/>
              <w:ind w:left="227" w:right="12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Real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world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application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Problem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solving</w:t>
            </w:r>
          </w:p>
          <w:p>
            <w:pPr>
              <w:pStyle w:val="TableParagraph"/>
              <w:spacing w:line="245" w:lineRule="exact" w:before="0"/>
              <w:ind w:left="22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Deep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expertise</w:t>
            </w:r>
          </w:p>
        </w:tc>
      </w:tr>
    </w:tbl>
    <w:p>
      <w:pPr>
        <w:spacing w:after="0" w:line="245" w:lineRule="exact"/>
        <w:rPr>
          <w:sz w:val="17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1"/>
        </w:rPr>
      </w:pPr>
    </w:p>
    <w:tbl>
      <w:tblPr>
        <w:tblW w:w="0" w:type="auto"/>
        <w:jc w:val="left"/>
        <w:tblInd w:w="7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2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</w:tblGrid>
      <w:tr>
        <w:trPr>
          <w:trHeight w:val="1681" w:hRule="atLeast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7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Leadership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7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Collaboration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6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Ethics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6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Real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world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application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6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Problem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solving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5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Adaptability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5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Empathy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5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Reflective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practice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5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Cultural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competence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4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Deep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expetise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4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Communication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4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Digital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literacy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spacing w:before="143"/>
              <w:ind w:left="7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Commitment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serve</w:t>
            </w:r>
          </w:p>
        </w:tc>
      </w:tr>
      <w:tr>
        <w:trPr>
          <w:trHeight w:val="525" w:hRule="atLeast"/>
        </w:trPr>
        <w:tc>
          <w:tcPr>
            <w:tcW w:w="145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07"/>
              <w:ind w:right="7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Portfolio</w:t>
            </w: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ED1C2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243B7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ED1C2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243B7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ED1C2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145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07"/>
              <w:ind w:right="7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Report</w:t>
            </w: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243B7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ED1C2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243B7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145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07"/>
              <w:ind w:right="7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Presentations</w:t>
            </w: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243B7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ED1C2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243B7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243B7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ED1C2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145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07"/>
              <w:ind w:right="7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Self-reflections</w:t>
            </w: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243B7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ED1C2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00A650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145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07"/>
              <w:ind w:right="7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Knowledge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checks</w:t>
            </w: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ED1C2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FFCB04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  <w:shd w:val="clear" w:color="auto" w:fill="243B7D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9"/>
        </w:rPr>
      </w:pPr>
    </w:p>
    <w:p>
      <w:pPr>
        <w:pStyle w:val="ListParagraph"/>
        <w:numPr>
          <w:ilvl w:val="1"/>
          <w:numId w:val="5"/>
        </w:numPr>
        <w:tabs>
          <w:tab w:pos="1212" w:val="left" w:leader="none"/>
        </w:tabs>
        <w:spacing w:line="240" w:lineRule="auto" w:before="46" w:after="0"/>
        <w:ind w:left="1211" w:right="0" w:hanging="539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Subject</w:t>
      </w:r>
      <w:r>
        <w:rPr>
          <w:rFonts w:ascii="Domus Semibold"/>
          <w:b w:val="0"/>
          <w:color w:val="243B7D"/>
          <w:spacing w:val="-18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Descriptions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and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2"/>
          <w:sz w:val="40"/>
        </w:rPr>
        <w:t>Learning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2"/>
          <w:sz w:val="40"/>
        </w:rPr>
        <w:t>Outcomes</w:t>
      </w:r>
    </w:p>
    <w:p>
      <w:pPr>
        <w:pStyle w:val="BodyText"/>
        <w:spacing w:line="192" w:lineRule="auto" w:before="197"/>
        <w:ind w:left="673" w:right="3205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detailed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guides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university portal or can be provided on request. The following provides an overview of each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the expected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learning outcomes.</w:t>
      </w:r>
    </w:p>
    <w:p>
      <w:pPr>
        <w:tabs>
          <w:tab w:pos="8384" w:val="left" w:leader="none"/>
        </w:tabs>
        <w:spacing w:before="161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Delivering</w:t>
      </w:r>
      <w:r>
        <w:rPr>
          <w:rFonts w:ascii="Domus Semibold" w:hAnsi="Domus Semibold"/>
          <w:b w:val="0"/>
          <w:color w:val="231F20"/>
          <w:spacing w:val="-8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Public</w:t>
      </w:r>
      <w:r>
        <w:rPr>
          <w:rFonts w:ascii="Domus Semibold" w:hAnsi="Domus Semibold"/>
          <w:b w:val="0"/>
          <w:color w:val="231F20"/>
          <w:spacing w:val="-1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Value</w:t>
      </w:r>
      <w:r>
        <w:rPr>
          <w:rFonts w:ascii="Domus Semibold" w:hAnsi="Domus Semibold"/>
          <w:b w:val="0"/>
          <w:color w:val="231F20"/>
          <w:spacing w:val="-8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(DPV</w:t>
      </w:r>
      <w:r>
        <w:rPr>
          <w:rFonts w:ascii="Domus Semibold" w:hAnsi="Domus Semibold"/>
          <w:b w:val="0"/>
          <w:color w:val="231F20"/>
          <w:spacing w:val="-7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–</w:t>
      </w:r>
      <w:r>
        <w:rPr>
          <w:rFonts w:ascii="Domus Semibold" w:hAnsi="Domus Semibold"/>
          <w:b w:val="0"/>
          <w:color w:val="231F20"/>
          <w:spacing w:val="-1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Year</w:t>
      </w:r>
      <w:r>
        <w:rPr>
          <w:rFonts w:ascii="Domus Semibold" w:hAnsi="Domus Semibold"/>
          <w:b w:val="0"/>
          <w:color w:val="231F20"/>
          <w:spacing w:val="-8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1)</w:t>
        <w:tab/>
      </w:r>
    </w:p>
    <w:p>
      <w:pPr>
        <w:pStyle w:val="BodyText"/>
        <w:spacing w:line="192" w:lineRule="auto" w:before="163"/>
        <w:ind w:left="673" w:right="3122"/>
        <w:rPr>
          <w:b w:val="0"/>
        </w:rPr>
      </w:pP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DPV,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focus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navigate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changing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whilst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creating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pursuit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 public purpose. Key themes will include: the trends shaping government, value creation,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leading in the 21st century, values, thinking strategically, political astuteness, technological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change, co-production, and place and community. Throughout the subject we will give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particular attention to four complex challenges in Challenge Groups, with input from subject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matter experts, and develop advice for a Premier’s Priority Taskforce. This allows us to link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together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theory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practice using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problem-solving approach.</w:t>
      </w:r>
    </w:p>
    <w:p>
      <w:pPr>
        <w:pStyle w:val="BodyText"/>
        <w:spacing w:line="192" w:lineRule="auto" w:before="114"/>
        <w:ind w:left="673" w:right="3597"/>
        <w:rPr>
          <w:b w:val="0"/>
        </w:rPr>
      </w:pPr>
      <w:r>
        <w:rPr>
          <w:b w:val="0"/>
          <w:color w:val="231F20"/>
        </w:rPr>
        <w:t>In DPV we recognise the unique aspects of the public sector, but also look to important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concepts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methods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sectors.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draw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inspiration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notions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strategy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creation,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looking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occurs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level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individual,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organisation,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system.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understand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this,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appreciate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context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operate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understand that public leaders and managers must operate in multiple directions: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upwards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(into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authorising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environment);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inwards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(into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own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organisations),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</w:p>
    <w:p>
      <w:pPr>
        <w:pStyle w:val="BodyText"/>
        <w:spacing w:line="192" w:lineRule="auto" w:before="1"/>
        <w:ind w:left="673" w:right="3294"/>
        <w:rPr>
          <w:b w:val="0"/>
        </w:rPr>
      </w:pPr>
      <w:r>
        <w:rPr>
          <w:b w:val="0"/>
          <w:color w:val="231F20"/>
        </w:rPr>
        <w:t>outwards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providers,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partners,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clients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communities).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create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value,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public managers and leaders, therefore, need to pursue some sort of balance between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politics,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substance, and administration.</w:t>
      </w:r>
    </w:p>
    <w:p>
      <w:pPr>
        <w:pStyle w:val="BodyText"/>
        <w:spacing w:line="192" w:lineRule="auto" w:before="113"/>
        <w:ind w:left="673" w:right="3095"/>
        <w:rPr>
          <w:b w:val="0"/>
        </w:rPr>
      </w:pPr>
      <w:r>
        <w:rPr>
          <w:b w:val="0"/>
          <w:color w:val="231F20"/>
        </w:rPr>
        <w:t>DPV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explore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ideas,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drawing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latest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thinking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around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strategy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creation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means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21st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century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leader.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module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explore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these themes in different ways, with considerable time to be spent on linking theory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practice,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applying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ideas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time,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examining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practical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challenges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successes.</w:t>
      </w:r>
    </w:p>
    <w:p>
      <w:pPr>
        <w:pStyle w:val="BodyText"/>
        <w:spacing w:line="192" w:lineRule="auto"/>
        <w:ind w:left="673" w:right="3503"/>
        <w:rPr>
          <w:b w:val="0"/>
        </w:rPr>
      </w:pPr>
      <w:r>
        <w:rPr>
          <w:b w:val="0"/>
          <w:color w:val="231F20"/>
        </w:rPr>
        <w:t>During our live sessions we bring together experts from practice and academia to focus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specific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topics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values,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creation,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strategy,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political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astuteness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practice,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technology,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place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community.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before="95"/>
        <w:ind w:left="673"/>
        <w:rPr>
          <w:b w:val="0"/>
        </w:rPr>
      </w:pPr>
      <w:r>
        <w:rPr>
          <w:b w:val="0"/>
          <w:color w:val="231F20"/>
        </w:rPr>
        <w:t>Students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successfully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to:</w:t>
      </w:r>
    </w:p>
    <w:p>
      <w:pPr>
        <w:pStyle w:val="ListParagraph"/>
        <w:numPr>
          <w:ilvl w:val="0"/>
          <w:numId w:val="9"/>
        </w:numPr>
        <w:tabs>
          <w:tab w:pos="901" w:val="left" w:leader="none"/>
        </w:tabs>
        <w:spacing w:line="192" w:lineRule="auto" w:before="101" w:after="0"/>
        <w:ind w:left="900" w:right="3236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appreciate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trends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shaping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action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what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mean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contemporary</w:t>
      </w:r>
      <w:r>
        <w:rPr>
          <w:rFonts w:ascii="Apercu Light"/>
          <w:b w:val="0"/>
          <w:color w:val="231F20"/>
          <w:spacing w:val="-4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leaders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 managers;</w:t>
      </w:r>
    </w:p>
    <w:p>
      <w:pPr>
        <w:pStyle w:val="ListParagraph"/>
        <w:numPr>
          <w:ilvl w:val="0"/>
          <w:numId w:val="9"/>
        </w:numPr>
        <w:tabs>
          <w:tab w:pos="901" w:val="left" w:leader="none"/>
        </w:tabs>
        <w:spacing w:line="192" w:lineRule="auto" w:before="114" w:after="0"/>
        <w:ind w:left="900" w:right="3360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understand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theory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practice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strategic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thinking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value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creation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sector;</w:t>
      </w:r>
    </w:p>
    <w:p>
      <w:pPr>
        <w:pStyle w:val="ListParagraph"/>
        <w:numPr>
          <w:ilvl w:val="0"/>
          <w:numId w:val="9"/>
        </w:numPr>
        <w:tabs>
          <w:tab w:pos="901" w:val="left" w:leader="none"/>
        </w:tabs>
        <w:spacing w:line="192" w:lineRule="auto" w:before="113" w:after="0"/>
        <w:ind w:left="900" w:right="3844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appreciate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importance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values,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how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shape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action,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connect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value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creation;</w:t>
      </w:r>
    </w:p>
    <w:p>
      <w:pPr>
        <w:pStyle w:val="ListParagraph"/>
        <w:numPr>
          <w:ilvl w:val="0"/>
          <w:numId w:val="9"/>
        </w:numPr>
        <w:tabs>
          <w:tab w:pos="901" w:val="left" w:leader="none"/>
        </w:tabs>
        <w:spacing w:line="240" w:lineRule="auto" w:before="71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be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cognisant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changing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role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technology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value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creation;</w:t>
      </w:r>
    </w:p>
    <w:p>
      <w:pPr>
        <w:pStyle w:val="ListParagraph"/>
        <w:numPr>
          <w:ilvl w:val="0"/>
          <w:numId w:val="9"/>
        </w:numPr>
        <w:tabs>
          <w:tab w:pos="901" w:val="left" w:leader="none"/>
        </w:tabs>
        <w:spacing w:line="192" w:lineRule="auto" w:before="101" w:after="0"/>
        <w:ind w:left="900" w:right="3903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recognise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how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strategy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value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are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shaped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by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authorising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environment,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appreciate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importance of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political astuteness;</w:t>
      </w:r>
    </w:p>
    <w:p>
      <w:pPr>
        <w:pStyle w:val="ListParagraph"/>
        <w:numPr>
          <w:ilvl w:val="0"/>
          <w:numId w:val="9"/>
        </w:numPr>
        <w:tabs>
          <w:tab w:pos="901" w:val="left" w:leader="none"/>
        </w:tabs>
        <w:spacing w:line="240" w:lineRule="auto" w:before="71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comprehend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importance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place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community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shaping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notions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value;</w:t>
      </w:r>
    </w:p>
    <w:p>
      <w:pPr>
        <w:pStyle w:val="ListParagraph"/>
        <w:numPr>
          <w:ilvl w:val="0"/>
          <w:numId w:val="9"/>
        </w:numPr>
        <w:tabs>
          <w:tab w:pos="901" w:val="left" w:leader="none"/>
        </w:tabs>
        <w:spacing w:line="240" w:lineRule="auto" w:before="58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be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able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apply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these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ideas,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real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time,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challenges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faced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practice.</w:t>
      </w:r>
    </w:p>
    <w:p>
      <w:pPr>
        <w:tabs>
          <w:tab w:pos="8355" w:val="left" w:leader="none"/>
        </w:tabs>
        <w:spacing w:before="149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Government</w:t>
      </w:r>
      <w:r>
        <w:rPr>
          <w:rFonts w:ascii="Domus Semibold" w:hAnsi="Domus Semibold"/>
          <w:b w:val="0"/>
          <w:color w:val="231F20"/>
          <w:spacing w:val="-7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in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a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Market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Economy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(GME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–</w:t>
      </w:r>
      <w:r>
        <w:rPr>
          <w:rFonts w:ascii="Domus Semibold" w:hAnsi="Domus Semibold"/>
          <w:b w:val="0"/>
          <w:color w:val="231F20"/>
          <w:spacing w:val="-9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Year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1)</w:t>
        <w:tab/>
      </w:r>
    </w:p>
    <w:p>
      <w:pPr>
        <w:pStyle w:val="BodyText"/>
        <w:spacing w:line="192" w:lineRule="auto" w:before="164"/>
        <w:ind w:left="673" w:right="3179"/>
        <w:rPr>
          <w:b w:val="0"/>
        </w:rPr>
      </w:pPr>
      <w:r>
        <w:rPr>
          <w:b w:val="0"/>
          <w:color w:val="231F20"/>
        </w:rPr>
        <w:t>This subject provides a public sector manager’s guide to key economic principles and their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application to public sector activities. Emphasis is given to applications of the ‘economic way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thinking’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addressing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issues.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aim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help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make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better decisions in allocating scarce resources, in pricing and delivering public sector goods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services, and 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designing regulations.</w:t>
      </w:r>
    </w:p>
    <w:p>
      <w:pPr>
        <w:pStyle w:val="BodyText"/>
        <w:spacing w:line="192" w:lineRule="auto" w:before="113"/>
        <w:ind w:left="673" w:right="3088"/>
        <w:rPr>
          <w:b w:val="0"/>
        </w:rPr>
      </w:pPr>
      <w:r>
        <w:rPr>
          <w:b w:val="0"/>
          <w:color w:val="231F20"/>
        </w:rPr>
        <w:t>Students learn how public sector activity generally works through markets in fields such 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health, education, the environment, transport, social welfare, energy and water. They then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learn the ways in which unfettered markets can sometimes fail and can also produce 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inequitable distribution of income, which provides the fundamental rationale for government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intervention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modern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market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economy.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question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intervention,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through private sector regulation and public provision of services, can be designed to best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promote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wellbeing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people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—in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particular,</w:t>
      </w:r>
    </w:p>
    <w:p>
      <w:pPr>
        <w:pStyle w:val="BodyText"/>
        <w:spacing w:line="192" w:lineRule="auto" w:before="1"/>
        <w:ind w:left="673" w:right="3234"/>
        <w:rPr>
          <w:b w:val="0"/>
        </w:rPr>
      </w:pPr>
      <w:r>
        <w:rPr>
          <w:b w:val="0"/>
          <w:color w:val="231F20"/>
        </w:rPr>
        <w:t>to meet the twin objectives of efficiency and equity. Improving wellbeing over time requires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productivity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growth;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role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promoting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productivity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growth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explored.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Students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successfully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to:</w:t>
      </w:r>
    </w:p>
    <w:p>
      <w:pPr>
        <w:pStyle w:val="ListParagraph"/>
        <w:numPr>
          <w:ilvl w:val="0"/>
          <w:numId w:val="10"/>
        </w:numPr>
        <w:tabs>
          <w:tab w:pos="901" w:val="left" w:leader="none"/>
        </w:tabs>
        <w:spacing w:line="192" w:lineRule="auto" w:before="102" w:after="0"/>
        <w:ind w:left="900" w:right="4073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understand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how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market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forces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operate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how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government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policies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influence,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are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influenced by,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market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forces</w:t>
      </w:r>
    </w:p>
    <w:p>
      <w:pPr>
        <w:pStyle w:val="ListParagraph"/>
        <w:numPr>
          <w:ilvl w:val="0"/>
          <w:numId w:val="10"/>
        </w:numPr>
        <w:tabs>
          <w:tab w:pos="901" w:val="left" w:leader="none"/>
        </w:tabs>
        <w:spacing w:line="192" w:lineRule="auto" w:before="113" w:after="0"/>
        <w:ind w:left="900" w:right="3935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understand</w:t>
      </w:r>
      <w:r>
        <w:rPr>
          <w:rFonts w:ascii="Apercu Light"/>
          <w:b w:val="0"/>
          <w:color w:val="231F20"/>
          <w:spacing w:val="-9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why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unfettered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private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markets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can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sometimes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fail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9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deliver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efficient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fair outcomes for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society</w:t>
      </w:r>
    </w:p>
    <w:p>
      <w:pPr>
        <w:pStyle w:val="ListParagraph"/>
        <w:numPr>
          <w:ilvl w:val="0"/>
          <w:numId w:val="10"/>
        </w:numPr>
        <w:tabs>
          <w:tab w:pos="901" w:val="left" w:leader="none"/>
        </w:tabs>
        <w:spacing w:line="192" w:lineRule="auto" w:before="114" w:after="0"/>
        <w:ind w:left="900" w:right="3708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identify particular examples of market failure and apply economic principles to</w:t>
      </w:r>
      <w:r>
        <w:rPr>
          <w:rFonts w:ascii="Apercu Light"/>
          <w:b w:val="0"/>
          <w:color w:val="231F20"/>
          <w:spacing w:val="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designing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government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interventions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prevent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reduce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costs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market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failure</w:t>
      </w:r>
    </w:p>
    <w:p>
      <w:pPr>
        <w:pStyle w:val="ListParagraph"/>
        <w:numPr>
          <w:ilvl w:val="0"/>
          <w:numId w:val="10"/>
        </w:numPr>
        <w:tabs>
          <w:tab w:pos="901" w:val="left" w:leader="none"/>
        </w:tabs>
        <w:spacing w:line="192" w:lineRule="auto" w:before="113" w:after="0"/>
        <w:ind w:left="900" w:right="3642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apply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economic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toolkit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decisions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facing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managers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about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delivery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pricing of public services</w:t>
      </w:r>
    </w:p>
    <w:p>
      <w:pPr>
        <w:pStyle w:val="ListParagraph"/>
        <w:numPr>
          <w:ilvl w:val="0"/>
          <w:numId w:val="10"/>
        </w:numPr>
        <w:tabs>
          <w:tab w:pos="901" w:val="left" w:leader="none"/>
        </w:tabs>
        <w:spacing w:line="240" w:lineRule="auto" w:before="70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apply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key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principles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cost-benefit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analysis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projects</w:t>
      </w:r>
    </w:p>
    <w:p>
      <w:pPr>
        <w:pStyle w:val="ListParagraph"/>
        <w:numPr>
          <w:ilvl w:val="0"/>
          <w:numId w:val="10"/>
        </w:numPr>
        <w:tabs>
          <w:tab w:pos="901" w:val="left" w:leader="none"/>
        </w:tabs>
        <w:spacing w:line="192" w:lineRule="auto" w:before="102" w:after="0"/>
        <w:ind w:left="900" w:right="3166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appreciate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importance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role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promoting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national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productivity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reducing unacceptable inequities</w:t>
      </w:r>
    </w:p>
    <w:p>
      <w:pPr>
        <w:spacing w:after="0" w:line="192" w:lineRule="auto"/>
        <w:jc w:val="left"/>
        <w:rPr>
          <w:rFonts w:ascii="Apercu Light"/>
          <w:sz w:val="19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tabs>
          <w:tab w:pos="8355" w:val="left" w:leader="none"/>
        </w:tabs>
        <w:spacing w:before="63"/>
        <w:ind w:left="673" w:right="0" w:firstLine="0"/>
        <w:jc w:val="both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Designing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Public</w:t>
      </w:r>
      <w:r>
        <w:rPr>
          <w:rFonts w:ascii="Domus Semibold" w:hAnsi="Domus Semibold"/>
          <w:b w:val="0"/>
          <w:color w:val="231F20"/>
          <w:spacing w:val="-4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Policies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and</w:t>
      </w:r>
      <w:r>
        <w:rPr>
          <w:rFonts w:ascii="Domus Semibold" w:hAnsi="Domus Semibold"/>
          <w:b w:val="0"/>
          <w:color w:val="231F20"/>
          <w:spacing w:val="-4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Programs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(DPPP</w:t>
      </w:r>
      <w:r>
        <w:rPr>
          <w:rFonts w:ascii="Domus Semibold" w:hAnsi="Domus Semibold"/>
          <w:b w:val="0"/>
          <w:color w:val="231F20"/>
          <w:spacing w:val="-4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–</w:t>
      </w:r>
      <w:r>
        <w:rPr>
          <w:rFonts w:ascii="Domus Semibold" w:hAnsi="Domus Semibold"/>
          <w:b w:val="0"/>
          <w:color w:val="231F20"/>
          <w:spacing w:val="-9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Year</w:t>
      </w:r>
      <w:r>
        <w:rPr>
          <w:rFonts w:ascii="Domus Semibold" w:hAnsi="Domus Semibold"/>
          <w:b w:val="0"/>
          <w:color w:val="231F20"/>
          <w:spacing w:val="-4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1)</w:t>
        <w:tab/>
      </w:r>
    </w:p>
    <w:p>
      <w:pPr>
        <w:pStyle w:val="BodyText"/>
        <w:spacing w:line="192" w:lineRule="auto" w:before="163"/>
        <w:ind w:left="673" w:right="3470"/>
        <w:jc w:val="both"/>
        <w:rPr>
          <w:b w:val="0"/>
        </w:rPr>
      </w:pPr>
      <w:r>
        <w:rPr>
          <w:b w:val="0"/>
          <w:color w:val="231F20"/>
        </w:rPr>
        <w:t>Designing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(DPPP)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asks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critique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reflect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key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factors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shape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influence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governance.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are governed is inherently shaped by the detail of public policy and programs that deliver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services.</w:t>
      </w:r>
    </w:p>
    <w:p>
      <w:pPr>
        <w:pStyle w:val="BodyText"/>
        <w:spacing w:line="192" w:lineRule="auto" w:before="114"/>
        <w:ind w:left="673" w:right="3205"/>
        <w:jc w:val="both"/>
        <w:rPr>
          <w:b w:val="0"/>
        </w:rPr>
      </w:pPr>
      <w:r>
        <w:rPr>
          <w:b w:val="0"/>
          <w:color w:val="231F20"/>
        </w:rPr>
        <w:t>This subject is concerned with understanding policy processes, what constitutes good policy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analysis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occur.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explore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aspects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design,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development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program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implementation.</w:t>
      </w:r>
    </w:p>
    <w:p>
      <w:pPr>
        <w:pStyle w:val="BodyText"/>
        <w:spacing w:line="192" w:lineRule="auto" w:before="113"/>
        <w:ind w:left="673" w:right="3194"/>
        <w:jc w:val="both"/>
        <w:rPr>
          <w:b w:val="0"/>
        </w:rPr>
      </w:pPr>
      <w:r>
        <w:rPr>
          <w:b w:val="0"/>
          <w:color w:val="231F20"/>
        </w:rPr>
        <w:t>An important focus of the subject is to link the strategic use of policy theory and conceptual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models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practice.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models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processes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insight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might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happen?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predictive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tools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guide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effective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practice?</w:t>
      </w:r>
    </w:p>
    <w:p>
      <w:pPr>
        <w:pStyle w:val="BodyText"/>
        <w:spacing w:line="192" w:lineRule="auto"/>
        <w:ind w:left="673" w:right="3203"/>
        <w:rPr>
          <w:b w:val="0"/>
        </w:rPr>
      </w:pPr>
      <w:r>
        <w:rPr>
          <w:b w:val="0"/>
          <w:color w:val="231F20"/>
        </w:rPr>
        <w:t>And when does the lived experience of public policy and associated programs demonstrate,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despite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critical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analysis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insights,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complexity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systems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often results in unintended and unexpected outcomes? How do we ensure policy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stay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alert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respond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findings?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concerned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how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you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practitioner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might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respond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address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questions.</w:t>
      </w:r>
    </w:p>
    <w:p>
      <w:pPr>
        <w:pStyle w:val="BodyText"/>
        <w:spacing w:line="192" w:lineRule="auto" w:before="102"/>
        <w:ind w:left="673" w:right="3627"/>
        <w:rPr>
          <w:b w:val="0"/>
        </w:rPr>
      </w:pPr>
      <w:r>
        <w:rPr>
          <w:b w:val="0"/>
          <w:color w:val="231F20"/>
        </w:rPr>
        <w:t>Effective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critical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effective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successful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governance.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many,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sustaining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order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managing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disorder.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sense,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policy work inevitably engages with politics. The political process is referenced to help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prioritise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problems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attention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much,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any,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resources are allocated to these problems. So, identifying, defining and understanding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problems is 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important aspect of 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work.</w:t>
      </w:r>
    </w:p>
    <w:p>
      <w:pPr>
        <w:pStyle w:val="BodyText"/>
        <w:spacing w:line="192" w:lineRule="auto" w:before="114"/>
        <w:ind w:left="673" w:right="3683"/>
        <w:jc w:val="both"/>
        <w:rPr>
          <w:b w:val="0"/>
        </w:rPr>
      </w:pP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explore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various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aspects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problem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definition,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agenda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setting,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various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policy tools, innovations and consider how comparative policy analysis (looking to what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jurisdictions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states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might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similar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circumstances)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guide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creation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new policies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improvements in 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impact.</w:t>
      </w:r>
    </w:p>
    <w:p>
      <w:pPr>
        <w:pStyle w:val="BodyText"/>
        <w:spacing w:line="192" w:lineRule="auto" w:before="114"/>
        <w:ind w:left="673" w:right="3244"/>
        <w:rPr>
          <w:b w:val="0"/>
        </w:rPr>
      </w:pPr>
      <w:r>
        <w:rPr>
          <w:b w:val="0"/>
          <w:color w:val="231F20"/>
        </w:rPr>
        <w:t>Finally,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concerned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contemporary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practice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innovation.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emerging ideas, methods and practices that shape leading policy work, engagement 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busines and communities, and respond to the dynamics of our current political and social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context? Here we are interested in a range of concepts and ideas such as co-production,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application of behavioural economics, the use of new technologies, social media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digitisation strategies and other approaches to policy design and delivery that you may have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experienced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bring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class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share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stimulate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critical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discussion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debate.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Students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successfully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to:</w:t>
      </w: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192" w:lineRule="auto" w:before="102" w:after="0"/>
        <w:ind w:left="900" w:right="4227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demonstrate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conceptual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sophistication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capacity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draw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theory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models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 undertake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strategic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 analysis.</w:t>
      </w: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192" w:lineRule="auto" w:before="113" w:after="0"/>
        <w:ind w:left="900" w:right="4051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analyse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problems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apply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diversity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tools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that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respond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characteristics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 the problem.</w:t>
      </w: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192" w:lineRule="auto" w:before="114" w:after="0"/>
        <w:ind w:left="900" w:right="4134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apply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critical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strategic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approach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identifying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challenges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designing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 implementing effective public policies and programs in complex, dynamic</w:t>
      </w:r>
      <w:r>
        <w:rPr>
          <w:rFonts w:ascii="Apercu Light"/>
          <w:b w:val="0"/>
          <w:color w:val="231F20"/>
          <w:spacing w:val="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contested environments.</w:t>
      </w: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192" w:lineRule="auto" w:before="113" w:after="0"/>
        <w:ind w:left="900" w:right="3968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systematically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learn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from,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critically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evaluate,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innovations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programs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other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sectors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jurisdictions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inform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developments.</w:t>
      </w: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240" w:lineRule="auto" w:before="71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communicate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complex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ideas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diverse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audiences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using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range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techniques.</w:t>
      </w:r>
    </w:p>
    <w:p>
      <w:pPr>
        <w:pStyle w:val="ListParagraph"/>
        <w:numPr>
          <w:ilvl w:val="0"/>
          <w:numId w:val="11"/>
        </w:numPr>
        <w:tabs>
          <w:tab w:pos="901" w:val="left" w:leader="none"/>
        </w:tabs>
        <w:spacing w:line="240" w:lineRule="auto" w:before="58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work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collaboratively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analyse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resolve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complex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problems.</w:t>
      </w:r>
    </w:p>
    <w:p>
      <w:pPr>
        <w:spacing w:after="0" w:line="240" w:lineRule="auto"/>
        <w:jc w:val="left"/>
        <w:rPr>
          <w:rFonts w:ascii="Apercu Light"/>
          <w:sz w:val="19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tabs>
          <w:tab w:pos="8355" w:val="left" w:leader="none"/>
        </w:tabs>
        <w:spacing w:before="63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Decision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Making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Under</w:t>
      </w:r>
      <w:r>
        <w:rPr>
          <w:rFonts w:ascii="Domus Semibold" w:hAnsi="Domus Semibold"/>
          <w:b w:val="0"/>
          <w:color w:val="231F20"/>
          <w:spacing w:val="-4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Uncertainty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(DMUU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–</w:t>
      </w:r>
      <w:r>
        <w:rPr>
          <w:rFonts w:ascii="Domus Semibold" w:hAnsi="Domus Semibold"/>
          <w:b w:val="0"/>
          <w:color w:val="231F20"/>
          <w:spacing w:val="-8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Year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1)</w:t>
        <w:tab/>
      </w:r>
    </w:p>
    <w:p>
      <w:pPr>
        <w:pStyle w:val="BodyText"/>
        <w:spacing w:line="192" w:lineRule="auto" w:before="163"/>
        <w:ind w:left="673" w:right="3283"/>
        <w:rPr>
          <w:b w:val="0"/>
        </w:rPr>
      </w:pPr>
      <w:r>
        <w:rPr>
          <w:b w:val="0"/>
          <w:color w:val="231F20"/>
        </w:rPr>
        <w:t>We live in times of uncertainty. The only constant is change and rarely do we have all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make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assured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decisions.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Yet,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demands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more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effectively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decision-making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ever-growing.</w:t>
      </w:r>
    </w:p>
    <w:p>
      <w:pPr>
        <w:pStyle w:val="BodyText"/>
        <w:spacing w:line="192" w:lineRule="auto"/>
        <w:ind w:left="673" w:right="3489"/>
        <w:rPr>
          <w:b w:val="0"/>
        </w:rPr>
      </w:pPr>
      <w:r>
        <w:rPr>
          <w:b w:val="0"/>
          <w:color w:val="231F20"/>
        </w:rPr>
        <w:t>This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requires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become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critical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‘consumers’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evidence.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 ask the right questions, as well as acquire, assess, analyse, aggregate and present data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it becomes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critical evidence 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decision-making.</w:t>
      </w:r>
    </w:p>
    <w:p>
      <w:pPr>
        <w:pStyle w:val="BodyText"/>
        <w:spacing w:before="71"/>
        <w:ind w:left="673"/>
        <w:rPr>
          <w:b w:val="0"/>
        </w:rPr>
      </w:pPr>
      <w:r>
        <w:rPr>
          <w:b w:val="0"/>
          <w:color w:val="231F20"/>
        </w:rPr>
        <w:t>This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examines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decision-making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sector.</w:t>
      </w:r>
    </w:p>
    <w:p>
      <w:pPr>
        <w:pStyle w:val="BodyText"/>
        <w:spacing w:line="192" w:lineRule="auto" w:before="101"/>
        <w:ind w:left="673" w:right="3171"/>
        <w:rPr>
          <w:b w:val="0"/>
        </w:rPr>
      </w:pPr>
      <w:r>
        <w:rPr>
          <w:b w:val="0"/>
          <w:color w:val="231F20"/>
        </w:rPr>
        <w:t>The emphasis is on the use of evidence to reduce the uncertainty confronting public sector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leaders,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rather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means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certainty.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expected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become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experts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production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but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rather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learn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dissect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assess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usefulness.</w:t>
      </w:r>
    </w:p>
    <w:p>
      <w:pPr>
        <w:pStyle w:val="BodyText"/>
        <w:spacing w:line="192" w:lineRule="auto" w:before="102"/>
        <w:ind w:left="673" w:right="3218"/>
        <w:rPr>
          <w:b w:val="0"/>
        </w:rPr>
      </w:pPr>
      <w:r>
        <w:rPr>
          <w:b w:val="0"/>
          <w:color w:val="231F20"/>
        </w:rPr>
        <w:t>We begin by discussing the role of evidence in decision-making under uncertainty before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exploring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assessing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acquiring,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analysing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aggregating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various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sources.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emphasis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technical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aspects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sources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but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rather on making students better equipped to critically appraise data and evaluate evidence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bid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systematically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effective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decision-making.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better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equipped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to:</w:t>
      </w:r>
    </w:p>
    <w:p>
      <w:pPr>
        <w:pStyle w:val="ListParagraph"/>
        <w:numPr>
          <w:ilvl w:val="0"/>
          <w:numId w:val="12"/>
        </w:numPr>
        <w:tabs>
          <w:tab w:pos="901" w:val="left" w:leader="none"/>
        </w:tabs>
        <w:spacing w:line="192" w:lineRule="auto" w:before="102" w:after="0"/>
        <w:ind w:left="900" w:right="3343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show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greater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awareness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uncertainties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management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decision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context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how it affects decision</w:t>
      </w:r>
    </w:p>
    <w:p>
      <w:pPr>
        <w:pStyle w:val="ListParagraph"/>
        <w:numPr>
          <w:ilvl w:val="0"/>
          <w:numId w:val="12"/>
        </w:numPr>
        <w:tabs>
          <w:tab w:pos="901" w:val="left" w:leader="none"/>
        </w:tabs>
        <w:spacing w:line="240" w:lineRule="auto" w:before="70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understand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role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evidence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its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usefulness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guiding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complex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decision-making</w:t>
      </w:r>
    </w:p>
    <w:p>
      <w:pPr>
        <w:pStyle w:val="ListParagraph"/>
        <w:numPr>
          <w:ilvl w:val="0"/>
          <w:numId w:val="12"/>
        </w:numPr>
        <w:tabs>
          <w:tab w:pos="901" w:val="left" w:leader="none"/>
        </w:tabs>
        <w:spacing w:line="240" w:lineRule="auto" w:before="59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critically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appraise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data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evaluate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evidence</w:t>
      </w:r>
    </w:p>
    <w:p>
      <w:pPr>
        <w:pStyle w:val="ListParagraph"/>
        <w:numPr>
          <w:ilvl w:val="0"/>
          <w:numId w:val="12"/>
        </w:numPr>
        <w:tabs>
          <w:tab w:pos="901" w:val="left" w:leader="none"/>
        </w:tabs>
        <w:spacing w:line="192" w:lineRule="auto" w:before="102" w:after="0"/>
        <w:ind w:left="900" w:right="3738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contribute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better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informed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decision-making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specific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contexts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using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knowledge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evidence types 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evidence - handling methods</w:t>
      </w:r>
    </w:p>
    <w:p>
      <w:pPr>
        <w:pStyle w:val="ListParagraph"/>
        <w:numPr>
          <w:ilvl w:val="0"/>
          <w:numId w:val="12"/>
        </w:numPr>
        <w:tabs>
          <w:tab w:pos="901" w:val="left" w:leader="none"/>
        </w:tabs>
        <w:spacing w:line="192" w:lineRule="auto" w:before="113" w:after="0"/>
        <w:ind w:left="900" w:right="4185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think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explicitly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about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decisions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choices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evidence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needed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make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good decision</w:t>
      </w:r>
    </w:p>
    <w:p>
      <w:pPr>
        <w:pStyle w:val="ListParagraph"/>
        <w:numPr>
          <w:ilvl w:val="0"/>
          <w:numId w:val="12"/>
        </w:numPr>
        <w:tabs>
          <w:tab w:pos="901" w:val="left" w:leader="none"/>
        </w:tabs>
        <w:spacing w:line="192" w:lineRule="auto" w:before="114" w:after="0"/>
        <w:ind w:left="900" w:right="3953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judge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evidence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according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its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methodological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qualities,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its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appropriateness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relevance in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informing decisions</w:t>
      </w:r>
    </w:p>
    <w:p>
      <w:pPr>
        <w:tabs>
          <w:tab w:pos="8355" w:val="left" w:leader="none"/>
        </w:tabs>
        <w:spacing w:before="161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Managing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Public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Sector</w:t>
      </w:r>
      <w:r>
        <w:rPr>
          <w:rFonts w:ascii="Domus Semibold" w:hAnsi="Domus Semibold"/>
          <w:b w:val="0"/>
          <w:color w:val="231F20"/>
          <w:spacing w:val="-4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Organisations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(MPSO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–</w:t>
      </w:r>
      <w:r>
        <w:rPr>
          <w:rFonts w:ascii="Domus Semibold" w:hAnsi="Domus Semibold"/>
          <w:b w:val="0"/>
          <w:color w:val="231F20"/>
          <w:spacing w:val="-8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Year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1)</w:t>
        <w:tab/>
      </w:r>
    </w:p>
    <w:p>
      <w:pPr>
        <w:pStyle w:val="BodyText"/>
        <w:spacing w:line="192" w:lineRule="auto" w:before="163"/>
        <w:ind w:left="673" w:right="3514"/>
        <w:rPr>
          <w:b w:val="0"/>
        </w:rPr>
      </w:pPr>
      <w:r>
        <w:rPr>
          <w:b w:val="0"/>
          <w:color w:val="231F20"/>
        </w:rPr>
        <w:t>2020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proven,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essential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promoting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 good. Despite the myriad of changes to the world of public service (Dickinson, et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al,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2018),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longstanding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principle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remains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epicentre,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demands good judgement.</w:t>
      </w:r>
    </w:p>
    <w:p>
      <w:pPr>
        <w:pStyle w:val="BodyText"/>
        <w:spacing w:line="192" w:lineRule="auto" w:before="114"/>
        <w:ind w:left="673" w:right="3477"/>
        <w:rPr>
          <w:b w:val="0"/>
        </w:rPr>
      </w:pPr>
      <w:r>
        <w:rPr>
          <w:b w:val="0"/>
          <w:color w:val="231F20"/>
        </w:rPr>
        <w:t>MPSO explores a range of skills and knowledge that help foster public service judgement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key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large,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complex,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organisations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conditions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internal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external unpredictability.</w:t>
      </w:r>
    </w:p>
    <w:p>
      <w:pPr>
        <w:pStyle w:val="BodyText"/>
        <w:spacing w:line="192" w:lineRule="auto" w:before="113"/>
        <w:ind w:left="673" w:right="3401"/>
        <w:rPr>
          <w:b w:val="0"/>
        </w:rPr>
      </w:pPr>
      <w:r>
        <w:rPr>
          <w:b w:val="0"/>
          <w:color w:val="231F20"/>
        </w:rPr>
        <w:t>MPSO begins by reassessing the skillsets that we need as public leaders and managers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before discussing ways in which we make sense of our own work; as well as help others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make sense of theirs. It then investigates ethical judgement, in terms of developing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organisational trustworthiness and leading an inclusive and diverse workforce; before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looking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judgement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around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workplace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innovations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opportunities,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challenges,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brings 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workplace performance.</w:t>
      </w:r>
    </w:p>
    <w:p>
      <w:pPr>
        <w:pStyle w:val="BodyText"/>
        <w:spacing w:line="192" w:lineRule="auto" w:before="114"/>
        <w:ind w:left="673" w:right="3436"/>
        <w:rPr>
          <w:b w:val="0"/>
        </w:rPr>
      </w:pPr>
      <w:r>
        <w:rPr>
          <w:b w:val="0"/>
          <w:color w:val="231F20"/>
        </w:rPr>
        <w:t>MPSO, therefore, aims to help managers become more reflective about their practices,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seeing themselves as part of a broader system. In this way, the subject promotes greater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efficacy, system-thinking, and contextual awareness in public sector managers. MPSO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highlights how sensemaking, trust, inclusivity, diversity and innovation impact our internal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external worlds. The subject develops a series of ‘logics’ by which key issues can be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faced. The overall managerial challenge is how to reconcile or balance these logics, which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call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different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responses,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different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contexts.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MPSO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helps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meet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challenge.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before="95"/>
        <w:ind w:left="673"/>
        <w:rPr>
          <w:b w:val="0"/>
        </w:rPr>
      </w:pPr>
      <w:r>
        <w:rPr>
          <w:b w:val="0"/>
          <w:color w:val="231F20"/>
        </w:rPr>
        <w:t>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conclusion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should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to:</w:t>
      </w:r>
    </w:p>
    <w:p>
      <w:pPr>
        <w:pStyle w:val="ListParagraph"/>
        <w:numPr>
          <w:ilvl w:val="0"/>
          <w:numId w:val="13"/>
        </w:numPr>
        <w:tabs>
          <w:tab w:pos="901" w:val="left" w:leader="none"/>
        </w:tabs>
        <w:spacing w:line="192" w:lineRule="auto" w:before="101" w:after="0"/>
        <w:ind w:left="900" w:right="3265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logically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systematically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make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sense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their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role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service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manager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leader,</w:t>
      </w:r>
      <w:r>
        <w:rPr>
          <w:rFonts w:ascii="Apercu Light"/>
          <w:b w:val="0"/>
          <w:color w:val="231F20"/>
          <w:spacing w:val="-4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create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positive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sensemaking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their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work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teams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organisation</w:t>
      </w:r>
    </w:p>
    <w:p>
      <w:pPr>
        <w:pStyle w:val="ListParagraph"/>
        <w:numPr>
          <w:ilvl w:val="0"/>
          <w:numId w:val="13"/>
        </w:numPr>
        <w:tabs>
          <w:tab w:pos="901" w:val="left" w:leader="none"/>
        </w:tabs>
        <w:spacing w:line="192" w:lineRule="auto" w:before="114" w:after="0"/>
        <w:ind w:left="900" w:right="3228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identify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building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blocks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trustworthiness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apply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them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across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number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internal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external integrity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interventions</w:t>
      </w:r>
    </w:p>
    <w:p>
      <w:pPr>
        <w:pStyle w:val="ListParagraph"/>
        <w:numPr>
          <w:ilvl w:val="0"/>
          <w:numId w:val="13"/>
        </w:numPr>
        <w:tabs>
          <w:tab w:pos="901" w:val="left" w:leader="none"/>
        </w:tabs>
        <w:spacing w:line="240" w:lineRule="auto" w:before="70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develop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leadership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perspective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inclusivity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workplace</w:t>
      </w:r>
    </w:p>
    <w:p>
      <w:pPr>
        <w:pStyle w:val="ListParagraph"/>
        <w:numPr>
          <w:ilvl w:val="0"/>
          <w:numId w:val="13"/>
        </w:numPr>
        <w:tabs>
          <w:tab w:pos="901" w:val="left" w:leader="none"/>
        </w:tabs>
        <w:spacing w:line="192" w:lineRule="auto" w:before="102" w:after="0"/>
        <w:ind w:left="900" w:right="3627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develop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innovation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orientation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within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their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organisation,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identify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new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forms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cross-cutting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issues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means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knowledge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transfer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organisational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learning</w:t>
      </w:r>
    </w:p>
    <w:p>
      <w:pPr>
        <w:pStyle w:val="ListParagraph"/>
        <w:numPr>
          <w:ilvl w:val="0"/>
          <w:numId w:val="13"/>
        </w:numPr>
        <w:tabs>
          <w:tab w:pos="901" w:val="left" w:leader="none"/>
        </w:tabs>
        <w:spacing w:line="240" w:lineRule="auto" w:before="70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assess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ethics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fault-lines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innovation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manage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its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associated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risks.</w:t>
      </w:r>
    </w:p>
    <w:p>
      <w:pPr>
        <w:tabs>
          <w:tab w:pos="8355" w:val="left" w:leader="none"/>
        </w:tabs>
        <w:spacing w:before="149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Governing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by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the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Rules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(GBR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–</w:t>
      </w:r>
      <w:r>
        <w:rPr>
          <w:rFonts w:ascii="Domus Semibold" w:hAnsi="Domus Semibold"/>
          <w:b w:val="0"/>
          <w:color w:val="231F20"/>
          <w:spacing w:val="-1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Year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2)</w:t>
        <w:tab/>
      </w:r>
    </w:p>
    <w:p>
      <w:pPr>
        <w:pStyle w:val="BodyText"/>
        <w:spacing w:line="192" w:lineRule="auto" w:before="164"/>
        <w:ind w:left="673" w:right="3228"/>
        <w:rPr>
          <w:b w:val="0"/>
        </w:rPr>
      </w:pPr>
      <w:r>
        <w:rPr>
          <w:b w:val="0"/>
          <w:color w:val="231F20"/>
        </w:rPr>
        <w:t>Governing by the Rules aims to develop the capacity of public sector leaders to operate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effectively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appropriately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democracy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rule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law.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servants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within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web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‘rules’,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stretching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ethics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constitution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law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human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rights.</w:t>
      </w:r>
    </w:p>
    <w:p>
      <w:pPr>
        <w:pStyle w:val="BodyText"/>
        <w:spacing w:line="192" w:lineRule="auto" w:before="113"/>
        <w:ind w:left="673" w:right="3170"/>
        <w:rPr>
          <w:b w:val="0"/>
        </w:rPr>
      </w:pPr>
      <w:r>
        <w:rPr>
          <w:b w:val="0"/>
          <w:color w:val="231F20"/>
        </w:rPr>
        <w:t>This subject explores that web. Although the concepts are crucial, the subject is also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grounded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practical,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making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case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studies,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expert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guest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speakers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contemporary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examples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from practice.</w:t>
      </w:r>
    </w:p>
    <w:p>
      <w:pPr>
        <w:pStyle w:val="BodyText"/>
        <w:spacing w:line="192" w:lineRule="auto" w:before="114"/>
        <w:ind w:left="673" w:right="3380"/>
        <w:rPr>
          <w:b w:val="0"/>
        </w:rPr>
      </w:pPr>
      <w:r>
        <w:rPr>
          <w:b w:val="0"/>
          <w:color w:val="231F20"/>
        </w:rPr>
        <w:t>Knowledge and understanding of the applicable elements of law, convention, practice 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ethics is integral to the development and implementation of public policy. It is axiomatic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that government programs must have a sound legal basis. Public sector managers need to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know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read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law,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works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fails,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conditions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reasonable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performance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operation, and how to successfully navigate through the complexities of the legal system.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short,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managers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need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know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rules,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make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rules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means for they themselves to be governed by rules. They also need to understand how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govern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by means other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than rules.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Students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successfully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to:</w:t>
      </w:r>
    </w:p>
    <w:p>
      <w:pPr>
        <w:pStyle w:val="ListParagraph"/>
        <w:numPr>
          <w:ilvl w:val="0"/>
          <w:numId w:val="14"/>
        </w:numPr>
        <w:tabs>
          <w:tab w:pos="901" w:val="left" w:leader="none"/>
        </w:tabs>
        <w:spacing w:line="240" w:lineRule="auto" w:before="59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understand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nature,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form,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complexity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limits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rules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tools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government</w:t>
      </w:r>
    </w:p>
    <w:p>
      <w:pPr>
        <w:pStyle w:val="ListParagraph"/>
        <w:numPr>
          <w:ilvl w:val="0"/>
          <w:numId w:val="14"/>
        </w:numPr>
        <w:tabs>
          <w:tab w:pos="901" w:val="left" w:leader="none"/>
        </w:tabs>
        <w:spacing w:line="192" w:lineRule="auto" w:before="102" w:after="0"/>
        <w:ind w:left="900" w:right="3800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understand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interrelationship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legal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rules,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administrative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processes,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outcomes</w:t>
      </w:r>
    </w:p>
    <w:p>
      <w:pPr>
        <w:pStyle w:val="ListParagraph"/>
        <w:numPr>
          <w:ilvl w:val="0"/>
          <w:numId w:val="14"/>
        </w:numPr>
        <w:tabs>
          <w:tab w:pos="901" w:val="left" w:leader="none"/>
        </w:tabs>
        <w:spacing w:line="240" w:lineRule="auto" w:before="70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understand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role,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uses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control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discretion</w:t>
      </w:r>
    </w:p>
    <w:p>
      <w:pPr>
        <w:pStyle w:val="ListParagraph"/>
        <w:numPr>
          <w:ilvl w:val="0"/>
          <w:numId w:val="14"/>
        </w:numPr>
        <w:tabs>
          <w:tab w:pos="901" w:val="left" w:leader="none"/>
        </w:tabs>
        <w:spacing w:line="192" w:lineRule="auto" w:before="101" w:after="0"/>
        <w:ind w:left="900" w:right="3438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analyse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problems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seek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solutions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setting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governed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law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other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rules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 administration</w:t>
      </w:r>
    </w:p>
    <w:p>
      <w:pPr>
        <w:pStyle w:val="ListParagraph"/>
        <w:numPr>
          <w:ilvl w:val="0"/>
          <w:numId w:val="14"/>
        </w:numPr>
        <w:tabs>
          <w:tab w:pos="901" w:val="left" w:leader="none"/>
        </w:tabs>
        <w:spacing w:line="240" w:lineRule="auto" w:before="71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evaluate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how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regulation,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more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broadly,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can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should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work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solve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problems;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</w:p>
    <w:p>
      <w:pPr>
        <w:pStyle w:val="ListParagraph"/>
        <w:numPr>
          <w:ilvl w:val="0"/>
          <w:numId w:val="14"/>
        </w:numPr>
        <w:tabs>
          <w:tab w:pos="901" w:val="left" w:leader="none"/>
        </w:tabs>
        <w:spacing w:line="192" w:lineRule="auto" w:before="101" w:after="0"/>
        <w:ind w:left="900" w:right="3479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interact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with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each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other,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particularly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using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resources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group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developing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arguments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about particular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issues or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problems.</w:t>
      </w:r>
    </w:p>
    <w:p>
      <w:pPr>
        <w:spacing w:after="0" w:line="192" w:lineRule="auto"/>
        <w:jc w:val="left"/>
        <w:rPr>
          <w:rFonts w:ascii="Apercu Light"/>
          <w:sz w:val="19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tabs>
          <w:tab w:pos="8355" w:val="left" w:leader="none"/>
        </w:tabs>
        <w:spacing w:before="63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Public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Financial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Management</w:t>
      </w:r>
      <w:r>
        <w:rPr>
          <w:rFonts w:ascii="Domus Semibold" w:hAnsi="Domus Semibold"/>
          <w:b w:val="0"/>
          <w:color w:val="231F20"/>
          <w:spacing w:val="-4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(PFM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–</w:t>
      </w:r>
      <w:r>
        <w:rPr>
          <w:rFonts w:ascii="Domus Semibold" w:hAnsi="Domus Semibold"/>
          <w:b w:val="0"/>
          <w:color w:val="231F20"/>
          <w:spacing w:val="-8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Year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2)</w:t>
        <w:tab/>
      </w:r>
    </w:p>
    <w:p>
      <w:pPr>
        <w:pStyle w:val="BodyText"/>
        <w:spacing w:line="192" w:lineRule="auto" w:before="163"/>
        <w:ind w:left="673" w:right="3406"/>
        <w:rPr>
          <w:b w:val="0"/>
        </w:rPr>
      </w:pP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(PFM)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‘applied’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discipline,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scope. It covers a range of resource management practices that underpin policy-making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contemporary government, including fiscal rules to guide government spending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borrowing,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multi-year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expenditure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frameworks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capture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longer-term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impacts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</w:p>
    <w:p>
      <w:pPr>
        <w:pStyle w:val="BodyText"/>
        <w:spacing w:line="192" w:lineRule="auto"/>
        <w:ind w:left="673" w:right="3330"/>
        <w:rPr>
          <w:b w:val="0"/>
        </w:rPr>
      </w:pPr>
      <w:r>
        <w:rPr>
          <w:b w:val="0"/>
          <w:color w:val="231F20"/>
        </w:rPr>
        <w:t>current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decisions,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performance-based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budgeting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inform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level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relative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priority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 funding allocations.</w:t>
      </w:r>
    </w:p>
    <w:p>
      <w:pPr>
        <w:pStyle w:val="BodyText"/>
        <w:spacing w:line="192" w:lineRule="auto" w:before="114"/>
        <w:ind w:left="673" w:right="3134"/>
        <w:rPr>
          <w:b w:val="0"/>
        </w:rPr>
      </w:pPr>
      <w:r>
        <w:rPr>
          <w:b w:val="0"/>
          <w:color w:val="231F20"/>
        </w:rPr>
        <w:t>PFM practices permeate the information and systems that govern the everyday decision-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making of public sector leaders and managers, and all of them operate at the messy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intersection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between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bureaucratic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processes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evidence,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political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imperatives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risk.</w:t>
      </w:r>
    </w:p>
    <w:p>
      <w:pPr>
        <w:pStyle w:val="BodyText"/>
        <w:spacing w:line="192" w:lineRule="auto" w:before="113"/>
        <w:ind w:left="673" w:right="3119"/>
        <w:rPr>
          <w:b w:val="0"/>
        </w:rPr>
      </w:pPr>
      <w:r>
        <w:rPr>
          <w:b w:val="0"/>
          <w:color w:val="231F20"/>
        </w:rPr>
        <w:t>In this course, you will get to grips with these outlined practical realities above. You will be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equipped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key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conceptual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practical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knowledge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integrate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non-financial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performance in the public sector, and learn how to apply it to shape the narrative about use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resources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inform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decision-making.</w:t>
      </w:r>
    </w:p>
    <w:p>
      <w:pPr>
        <w:pStyle w:val="BodyText"/>
        <w:spacing w:line="192" w:lineRule="auto" w:before="114"/>
        <w:ind w:left="673" w:right="3124"/>
        <w:rPr>
          <w:b w:val="0"/>
        </w:rPr>
      </w:pPr>
      <w:r>
        <w:rPr>
          <w:b w:val="0"/>
          <w:color w:val="231F20"/>
        </w:rPr>
        <w:t>Public financial management (PFM) is an ‘applied’ discipline that covers the design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implementation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resources.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Conventionally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associated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with public finance and budgeting—taxing and spending by governments—PFM is concerned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 improving the quality of government spending decisions, the efficiency of public sector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operations, and the strategic (or longer-term sustainability and transparency) of fiscal policy.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 important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component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 good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 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management.</w:t>
      </w:r>
    </w:p>
    <w:p>
      <w:pPr>
        <w:pStyle w:val="BodyText"/>
        <w:spacing w:line="192" w:lineRule="auto" w:before="114"/>
        <w:ind w:left="673" w:right="3566"/>
        <w:rPr>
          <w:b w:val="0"/>
        </w:rPr>
      </w:pPr>
      <w:r>
        <w:rPr>
          <w:b w:val="0"/>
          <w:color w:val="231F20"/>
        </w:rPr>
        <w:t>This subject will provide an interdisciplinary survey of key concepts and practices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contemporary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budgeting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sector.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key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themes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this course will cover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 selection of: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key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theories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budgeting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rationale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PFM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reform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fiscal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sustainability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budget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frameworks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contemporary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debates</w:t>
      </w:r>
    </w:p>
    <w:p>
      <w:pPr>
        <w:pStyle w:val="BodyText"/>
        <w:spacing w:line="192" w:lineRule="auto" w:before="102"/>
        <w:ind w:left="843" w:right="3472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key types of expenditure and efficiency enhancement approaches and their application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periods of austerity</w:t>
      </w:r>
    </w:p>
    <w:p>
      <w:pPr>
        <w:pStyle w:val="BodyText"/>
        <w:spacing w:line="192" w:lineRule="auto" w:before="114"/>
        <w:ind w:left="843" w:right="3314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1"/>
        </w:rPr>
        <w:t> </w:t>
      </w:r>
      <w:r>
        <w:rPr>
          <w:b w:val="0"/>
          <w:color w:val="231F20"/>
        </w:rPr>
        <w:t>the challenges and opportunities that apply to connecting performance information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achievement,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strategy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effectiveness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efficiency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conversations</w:t>
      </w:r>
    </w:p>
    <w:p>
      <w:pPr>
        <w:pStyle w:val="BodyText"/>
        <w:spacing w:line="192" w:lineRule="auto" w:before="113"/>
        <w:ind w:left="843" w:right="353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mechanics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performance-based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accountability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role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monitory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institutions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such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Parliament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Auditor-General</w:t>
      </w:r>
    </w:p>
    <w:p>
      <w:pPr>
        <w:pStyle w:val="BodyText"/>
        <w:spacing w:line="192" w:lineRule="auto" w:before="114"/>
        <w:ind w:left="843" w:right="3093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the potential dysfunctions of contemporary PFM practices and their impacts on good public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public governance.</w:t>
      </w:r>
    </w:p>
    <w:p>
      <w:pPr>
        <w:pStyle w:val="BodyText"/>
        <w:spacing w:line="192" w:lineRule="auto" w:before="113"/>
        <w:ind w:left="673" w:right="3512"/>
        <w:rPr>
          <w:b w:val="0"/>
        </w:rPr>
      </w:pPr>
      <w:r>
        <w:rPr>
          <w:b w:val="0"/>
          <w:color w:val="231F20"/>
        </w:rPr>
        <w:t>This subject applies a pedagogic approach that is based on ‘interactive teaching’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‘blended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learning’.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integrates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instructor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guest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presentations,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case-based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interactive learning, exhibit-based interactive dialogue, and individual and syndicate-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based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presentations.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particular,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places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emphasis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</w:t>
      </w:r>
    </w:p>
    <w:p>
      <w:pPr>
        <w:pStyle w:val="BodyText"/>
        <w:spacing w:line="192" w:lineRule="auto"/>
        <w:ind w:left="673" w:right="3702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‘objects’—cases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exhibits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based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actual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events—as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vehicle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illustrating,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discussing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applying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important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concepts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practices.</w:t>
      </w:r>
    </w:p>
    <w:p>
      <w:pPr>
        <w:pStyle w:val="BodyText"/>
        <w:spacing w:before="71"/>
        <w:ind w:left="673"/>
        <w:rPr>
          <w:b w:val="0"/>
        </w:rPr>
      </w:pPr>
      <w:r>
        <w:rPr>
          <w:b w:val="0"/>
          <w:color w:val="231F20"/>
        </w:rPr>
        <w:t>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will:</w:t>
      </w:r>
    </w:p>
    <w:p>
      <w:pPr>
        <w:pStyle w:val="ListParagraph"/>
        <w:numPr>
          <w:ilvl w:val="0"/>
          <w:numId w:val="15"/>
        </w:numPr>
        <w:tabs>
          <w:tab w:pos="901" w:val="left" w:leader="none"/>
        </w:tabs>
        <w:spacing w:line="192" w:lineRule="auto" w:before="101" w:after="0"/>
        <w:ind w:left="900" w:right="3242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understand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demonstrate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how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financial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management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frameworks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concepts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influence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contemporary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budget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financial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management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processes.</w:t>
      </w:r>
    </w:p>
    <w:p>
      <w:pPr>
        <w:pStyle w:val="ListParagraph"/>
        <w:numPr>
          <w:ilvl w:val="0"/>
          <w:numId w:val="15"/>
        </w:numPr>
        <w:tabs>
          <w:tab w:pos="901" w:val="left" w:leader="none"/>
        </w:tabs>
        <w:spacing w:line="240" w:lineRule="auto" w:before="71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interpret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analyse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financial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accounts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with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focus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on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fiscal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sustainability.</w:t>
      </w:r>
    </w:p>
    <w:p>
      <w:pPr>
        <w:pStyle w:val="ListParagraph"/>
        <w:numPr>
          <w:ilvl w:val="0"/>
          <w:numId w:val="15"/>
        </w:numPr>
        <w:tabs>
          <w:tab w:pos="901" w:val="left" w:leader="none"/>
        </w:tabs>
        <w:spacing w:line="192" w:lineRule="auto" w:before="101" w:after="0"/>
        <w:ind w:left="900" w:right="3169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apply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techniques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understand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improve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efficiency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financial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resource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use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within</w:t>
      </w:r>
      <w:r>
        <w:rPr>
          <w:rFonts w:ascii="Apercu Light"/>
          <w:b w:val="0"/>
          <w:color w:val="231F20"/>
          <w:spacing w:val="-4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 sector organisation.</w:t>
      </w:r>
    </w:p>
    <w:p>
      <w:pPr>
        <w:pStyle w:val="ListParagraph"/>
        <w:numPr>
          <w:ilvl w:val="0"/>
          <w:numId w:val="15"/>
        </w:numPr>
        <w:tabs>
          <w:tab w:pos="901" w:val="left" w:leader="none"/>
        </w:tabs>
        <w:spacing w:line="192" w:lineRule="auto" w:before="114" w:after="0"/>
        <w:ind w:left="900" w:right="4201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apply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strategic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financial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management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logic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formulation,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execution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communication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strategy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decision-making.</w:t>
      </w:r>
    </w:p>
    <w:p>
      <w:pPr>
        <w:spacing w:after="0" w:line="192" w:lineRule="auto"/>
        <w:jc w:val="left"/>
        <w:rPr>
          <w:rFonts w:ascii="Apercu Light"/>
          <w:sz w:val="19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tabs>
          <w:tab w:pos="8355" w:val="left" w:leader="none"/>
        </w:tabs>
        <w:spacing w:before="63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Leading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Public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Sector</w:t>
      </w:r>
      <w:r>
        <w:rPr>
          <w:rFonts w:ascii="Domus Semibold" w:hAnsi="Domus Semibold"/>
          <w:b w:val="0"/>
          <w:color w:val="231F20"/>
          <w:spacing w:val="-4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Change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(LPSC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–</w:t>
      </w:r>
      <w:r>
        <w:rPr>
          <w:rFonts w:ascii="Domus Semibold" w:hAnsi="Domus Semibold"/>
          <w:b w:val="0"/>
          <w:color w:val="231F20"/>
          <w:spacing w:val="-8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Year</w:t>
      </w:r>
      <w:r>
        <w:rPr>
          <w:rFonts w:ascii="Domus Semibold" w:hAnsi="Domus Semibold"/>
          <w:b w:val="0"/>
          <w:color w:val="231F20"/>
          <w:spacing w:val="-5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2)</w:t>
        <w:tab/>
      </w:r>
    </w:p>
    <w:p>
      <w:pPr>
        <w:pStyle w:val="BodyText"/>
        <w:spacing w:line="192" w:lineRule="auto" w:before="163"/>
        <w:ind w:left="673" w:right="3699"/>
        <w:rPr>
          <w:b w:val="0"/>
        </w:rPr>
      </w:pPr>
      <w:r>
        <w:rPr>
          <w:b w:val="0"/>
          <w:color w:val="231F20"/>
        </w:rPr>
        <w:t>Calls for ‘change’ and ‘innovation’ through better, stronger, more authentic, visionary,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pragmatic,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ethical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often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heard.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But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does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mean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when people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say they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want better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leadership?</w:t>
      </w:r>
    </w:p>
    <w:p>
      <w:pPr>
        <w:pStyle w:val="BodyText"/>
        <w:spacing w:line="192" w:lineRule="auto" w:before="114"/>
        <w:ind w:left="673" w:right="3412"/>
        <w:rPr>
          <w:b w:val="0"/>
        </w:rPr>
      </w:pPr>
      <w:r>
        <w:rPr>
          <w:b w:val="0"/>
          <w:color w:val="231F20"/>
        </w:rPr>
        <w:t>2020 was one of the most challenging years in recent memory for Australia and the public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sector. From environmental disasters to worldwide health pandemics. Leaders are being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held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account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only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responses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challenges,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but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why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weren’t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prevented.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move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forward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essential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anticipate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challenges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surrounding</w:t>
      </w:r>
    </w:p>
    <w:p>
      <w:pPr>
        <w:pStyle w:val="BodyText"/>
        <w:spacing w:line="192" w:lineRule="auto"/>
        <w:ind w:left="673" w:right="3143"/>
        <w:rPr>
          <w:b w:val="0"/>
        </w:rPr>
      </w:pPr>
      <w:r>
        <w:rPr>
          <w:b w:val="0"/>
          <w:color w:val="231F20"/>
        </w:rPr>
        <w:t>managing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driving)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change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consider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political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interact.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Is there a need for a shift in mindset? How do you exercise leadership when you’re not ‘in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charge’,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collaborative, shared-power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settings?</w:t>
      </w:r>
    </w:p>
    <w:p>
      <w:pPr>
        <w:pStyle w:val="BodyText"/>
        <w:spacing w:line="192" w:lineRule="auto" w:before="113"/>
        <w:ind w:left="673" w:right="3184"/>
        <w:rPr>
          <w:b w:val="0"/>
        </w:rPr>
      </w:pPr>
      <w:r>
        <w:rPr>
          <w:b w:val="0"/>
          <w:color w:val="231F20"/>
        </w:rPr>
        <w:t>During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Change,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role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‘leadership’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1"/>
        </w:rPr>
        <w:t>examining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perspectives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on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relationship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between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change.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professional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you are encouraged to use these perspectives as a tool for understanding the drives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styles of public sector leaders, the dynamics of leader-follower relations, and their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implications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organisational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change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sector.</w:t>
      </w:r>
    </w:p>
    <w:p>
      <w:pPr>
        <w:pStyle w:val="BodyText"/>
        <w:spacing w:before="71"/>
        <w:ind w:left="673"/>
        <w:rPr>
          <w:b w:val="0"/>
        </w:rPr>
      </w:pP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conclusion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should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have:</w:t>
      </w:r>
    </w:p>
    <w:p>
      <w:pPr>
        <w:pStyle w:val="ListParagraph"/>
        <w:numPr>
          <w:ilvl w:val="0"/>
          <w:numId w:val="16"/>
        </w:numPr>
        <w:tabs>
          <w:tab w:pos="901" w:val="left" w:leader="none"/>
        </w:tabs>
        <w:spacing w:line="192" w:lineRule="auto" w:before="102" w:after="0"/>
        <w:ind w:left="900" w:right="3697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enhanced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ability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discriminate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between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myths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realities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leadership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discourse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 practice</w:t>
      </w:r>
    </w:p>
    <w:p>
      <w:pPr>
        <w:pStyle w:val="ListParagraph"/>
        <w:numPr>
          <w:ilvl w:val="0"/>
          <w:numId w:val="16"/>
        </w:numPr>
        <w:tabs>
          <w:tab w:pos="901" w:val="left" w:leader="none"/>
        </w:tabs>
        <w:spacing w:line="192" w:lineRule="auto" w:before="113" w:after="0"/>
        <w:ind w:left="900" w:right="3111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deep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understanding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institutional,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contextual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(inter)personal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factors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shaping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behaviour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political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service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leaders,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as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well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as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interaction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between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them</w:t>
      </w:r>
    </w:p>
    <w:p>
      <w:pPr>
        <w:pStyle w:val="ListParagraph"/>
        <w:numPr>
          <w:ilvl w:val="0"/>
          <w:numId w:val="16"/>
        </w:numPr>
        <w:tabs>
          <w:tab w:pos="901" w:val="left" w:leader="none"/>
        </w:tabs>
        <w:spacing w:line="192" w:lineRule="auto" w:before="114" w:after="0"/>
        <w:ind w:left="900" w:right="3189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an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enhanced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strategic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capability,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particularly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diagnosing,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instigating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adapting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organisational change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 the public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sector</w:t>
      </w:r>
    </w:p>
    <w:p>
      <w:pPr>
        <w:pStyle w:val="ListParagraph"/>
        <w:numPr>
          <w:ilvl w:val="0"/>
          <w:numId w:val="16"/>
        </w:numPr>
        <w:tabs>
          <w:tab w:pos="901" w:val="left" w:leader="none"/>
        </w:tabs>
        <w:spacing w:line="192" w:lineRule="auto" w:before="113" w:after="0"/>
        <w:ind w:left="900" w:right="3954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ability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discern,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reflect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upon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cope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with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ethical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dimensions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exercising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leadership</w:t>
      </w:r>
    </w:p>
    <w:p>
      <w:pPr>
        <w:pStyle w:val="ListParagraph"/>
        <w:numPr>
          <w:ilvl w:val="0"/>
          <w:numId w:val="16"/>
        </w:numPr>
        <w:tabs>
          <w:tab w:pos="901" w:val="left" w:leader="none"/>
        </w:tabs>
        <w:spacing w:line="192" w:lineRule="auto" w:before="114" w:after="0"/>
        <w:ind w:left="900" w:right="3248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an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enhanced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ability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work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collaborative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teams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on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strategic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assignments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context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time pressure</w:t>
      </w:r>
    </w:p>
    <w:p>
      <w:pPr>
        <w:tabs>
          <w:tab w:pos="8355" w:val="left" w:leader="none"/>
        </w:tabs>
        <w:spacing w:before="161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Work</w:t>
      </w:r>
      <w:r>
        <w:rPr>
          <w:rFonts w:ascii="Domus Semibold" w:hAnsi="Domus Semibold"/>
          <w:b w:val="0"/>
          <w:color w:val="231F20"/>
          <w:spacing w:val="-7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Based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Project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(WBP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–</w:t>
      </w:r>
      <w:r>
        <w:rPr>
          <w:rFonts w:ascii="Domus Semibold" w:hAnsi="Domus Semibold"/>
          <w:b w:val="0"/>
          <w:color w:val="231F20"/>
          <w:spacing w:val="-9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Year</w:t>
      </w:r>
      <w:r>
        <w:rPr>
          <w:rFonts w:ascii="Domus Semibold" w:hAnsi="Domus Semibold"/>
          <w:b w:val="0"/>
          <w:color w:val="231F20"/>
          <w:spacing w:val="-6"/>
          <w:sz w:val="28"/>
          <w:shd w:fill="5BCBF5" w:color="auto" w:val="clear"/>
        </w:rPr>
        <w:t> </w:t>
      </w:r>
      <w:r>
        <w:rPr>
          <w:rFonts w:ascii="Domus Semibold" w:hAnsi="Domus Semibold"/>
          <w:b w:val="0"/>
          <w:color w:val="231F20"/>
          <w:sz w:val="28"/>
          <w:shd w:fill="5BCBF5" w:color="auto" w:val="clear"/>
        </w:rPr>
        <w:t>2)</w:t>
        <w:tab/>
      </w:r>
    </w:p>
    <w:p>
      <w:pPr>
        <w:pStyle w:val="BodyText"/>
        <w:spacing w:line="192" w:lineRule="auto" w:before="163"/>
        <w:ind w:left="673" w:right="3174"/>
        <w:rPr>
          <w:b w:val="0"/>
        </w:rPr>
      </w:pPr>
      <w:r>
        <w:rPr>
          <w:b w:val="0"/>
          <w:color w:val="231F20"/>
        </w:rPr>
        <w:t>The Work Based Project (WBP) requires students to bring a complex task to a successful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conclusion within the constraints imposed by working in a team that spans jurisdictions,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organisations,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disciplines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backgrounds.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arrangement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designed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replicate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important aspects of the workplace environment in government, where the achievement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goals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often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dependent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successful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navigation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complex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relationships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others.</w:t>
      </w:r>
    </w:p>
    <w:p>
      <w:pPr>
        <w:pStyle w:val="BodyText"/>
        <w:spacing w:line="192" w:lineRule="auto" w:before="114"/>
        <w:ind w:left="673" w:right="3522"/>
        <w:rPr>
          <w:b w:val="0"/>
        </w:rPr>
      </w:pPr>
      <w:r>
        <w:rPr>
          <w:b w:val="0"/>
          <w:color w:val="231F20"/>
        </w:rPr>
        <w:t>Research consistently indicates that an ability to collaborate creatively, to communicate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clearly and persuasively, and to manage compound tasks and projects is increasingly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important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individual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organisational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effectiveness.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Reinforcing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EMPA’s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focus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interactive teaching and learning, the WBP is premised on the notion that collaborative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learning has the potential to increase individual achievement more than either individual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competitive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alone.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because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collaborative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requires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resilience,</w:t>
      </w:r>
    </w:p>
    <w:p>
      <w:pPr>
        <w:pStyle w:val="BodyText"/>
        <w:spacing w:line="192" w:lineRule="auto"/>
        <w:ind w:left="673" w:right="3283"/>
        <w:rPr>
          <w:b w:val="0"/>
        </w:rPr>
      </w:pPr>
      <w:r>
        <w:rPr>
          <w:b w:val="0"/>
          <w:color w:val="231F20"/>
        </w:rPr>
        <w:t>willingness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perform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difficult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tasks,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ability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translate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knowledge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task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another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broader application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social skills.</w:t>
      </w:r>
    </w:p>
    <w:p>
      <w:pPr>
        <w:pStyle w:val="BodyText"/>
        <w:spacing w:line="192" w:lineRule="auto" w:before="113"/>
        <w:ind w:left="673" w:right="3219"/>
        <w:rPr>
          <w:b w:val="0"/>
        </w:rPr>
      </w:pPr>
      <w:r>
        <w:rPr>
          <w:b w:val="0"/>
          <w:color w:val="231F20"/>
        </w:rPr>
        <w:t>The WBP is the final core subject of the EMPA degree and is the program’s ‘capstone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experience’ subject. WBP bridges the worlds of classroom and practice by having students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undertake an applied research project on a policy or management topic of current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importance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organisations.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capstone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double-subject,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WBP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requires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draw together and apply the knowledge and research skills they have developed throughout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 EMPA program, and to reflect on individual professional development as a result of both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capstone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experience.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line="192" w:lineRule="auto" w:before="138"/>
        <w:ind w:left="673" w:right="3283"/>
        <w:rPr>
          <w:b w:val="0"/>
        </w:rPr>
      </w:pPr>
      <w:r>
        <w:rPr>
          <w:b w:val="0"/>
          <w:color w:val="231F20"/>
        </w:rPr>
        <w:t>An important aspect of the WBP is working in cross-jurisdictional project teams. Students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select a topic from options proposed by agencies across the ANZSOG network, and then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together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define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problem,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strategy,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apply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appropriate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research methods to gather and analyse data, and make relevant findings. Each team 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assigned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advisor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access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agency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sponsor.</w:t>
      </w:r>
    </w:p>
    <w:p>
      <w:pPr>
        <w:pStyle w:val="BodyText"/>
        <w:spacing w:line="192" w:lineRule="auto" w:before="114"/>
        <w:ind w:left="673" w:right="3327"/>
        <w:jc w:val="both"/>
        <w:rPr>
          <w:b w:val="0"/>
        </w:rPr>
      </w:pPr>
      <w:r>
        <w:rPr>
          <w:b w:val="0"/>
          <w:color w:val="231F20"/>
        </w:rPr>
        <w:t>As the ‘capstone experience’ subject of the EMPA, the WBP is a double-subject specifically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designed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connect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extended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applied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project.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framed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three subject objectives:</w:t>
      </w:r>
    </w:p>
    <w:p>
      <w:pPr>
        <w:pStyle w:val="BodyText"/>
        <w:spacing w:before="70"/>
        <w:ind w:left="673"/>
        <w:jc w:val="both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drawing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together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relating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knowledge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skills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project</w:t>
      </w:r>
    </w:p>
    <w:p>
      <w:pPr>
        <w:pStyle w:val="BodyText"/>
        <w:spacing w:before="58"/>
        <w:ind w:left="673"/>
        <w:jc w:val="both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further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developing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applied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skills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evidenced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project</w:t>
      </w:r>
    </w:p>
    <w:p>
      <w:pPr>
        <w:pStyle w:val="BodyText"/>
        <w:spacing w:line="192" w:lineRule="auto" w:before="102"/>
        <w:ind w:left="843" w:right="3259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reflecting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individual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professional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result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project.</w:t>
      </w:r>
    </w:p>
    <w:p>
      <w:pPr>
        <w:spacing w:line="192" w:lineRule="auto" w:before="114"/>
        <w:ind w:left="673" w:right="3185" w:firstLine="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In</w:t>
      </w:r>
      <w:r>
        <w:rPr>
          <w:b w:val="0"/>
          <w:color w:val="231F20"/>
          <w:spacing w:val="-8"/>
          <w:sz w:val="19"/>
        </w:rPr>
        <w:t> </w:t>
      </w:r>
      <w:r>
        <w:rPr>
          <w:b w:val="0"/>
          <w:color w:val="231F20"/>
          <w:sz w:val="19"/>
        </w:rPr>
        <w:t>addressing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an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actual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problem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confronting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government,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WBP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requires</w:t>
      </w:r>
      <w:r>
        <w:rPr>
          <w:b w:val="0"/>
          <w:color w:val="231F20"/>
          <w:spacing w:val="-8"/>
          <w:sz w:val="19"/>
        </w:rPr>
        <w:t> </w:t>
      </w:r>
      <w:r>
        <w:rPr>
          <w:b w:val="0"/>
          <w:color w:val="231F20"/>
          <w:sz w:val="19"/>
        </w:rPr>
        <w:t>students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to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apply</w:t>
      </w:r>
      <w:r>
        <w:rPr>
          <w:b w:val="0"/>
          <w:color w:val="231F20"/>
          <w:spacing w:val="-45"/>
          <w:sz w:val="19"/>
        </w:rPr>
        <w:t> </w:t>
      </w:r>
      <w:r>
        <w:rPr>
          <w:b w:val="0"/>
          <w:color w:val="231F20"/>
          <w:sz w:val="19"/>
        </w:rPr>
        <w:t>relevant concepts and practices covered in core subjects such as </w:t>
      </w:r>
      <w:r>
        <w:rPr>
          <w:b w:val="0"/>
          <w:i/>
          <w:color w:val="231F20"/>
          <w:sz w:val="19"/>
        </w:rPr>
        <w:t>Delivering Public Value,</w:t>
      </w:r>
      <w:r>
        <w:rPr>
          <w:b w:val="0"/>
          <w:i/>
          <w:color w:val="231F20"/>
          <w:spacing w:val="1"/>
          <w:sz w:val="19"/>
        </w:rPr>
        <w:t> </w:t>
      </w:r>
      <w:r>
        <w:rPr>
          <w:b w:val="0"/>
          <w:i/>
          <w:color w:val="231F20"/>
          <w:sz w:val="19"/>
        </w:rPr>
        <w:t>Managing Public Sector Organisations, Designing Public Policies and Programs </w:t>
      </w:r>
      <w:r>
        <w:rPr>
          <w:b w:val="0"/>
          <w:color w:val="231F20"/>
          <w:sz w:val="19"/>
        </w:rPr>
        <w:t>and </w:t>
      </w:r>
      <w:r>
        <w:rPr>
          <w:b w:val="0"/>
          <w:i/>
          <w:color w:val="231F20"/>
          <w:sz w:val="19"/>
        </w:rPr>
        <w:t>Leading</w:t>
      </w:r>
      <w:r>
        <w:rPr>
          <w:b w:val="0"/>
          <w:i/>
          <w:color w:val="231F20"/>
          <w:spacing w:val="1"/>
          <w:sz w:val="19"/>
        </w:rPr>
        <w:t> </w:t>
      </w:r>
      <w:r>
        <w:rPr>
          <w:b w:val="0"/>
          <w:i/>
          <w:color w:val="231F20"/>
          <w:sz w:val="19"/>
        </w:rPr>
        <w:t>Public Sector Change</w:t>
      </w:r>
      <w:r>
        <w:rPr>
          <w:b w:val="0"/>
          <w:color w:val="231F20"/>
          <w:sz w:val="19"/>
        </w:rPr>
        <w:t>. As you work through a research process from question development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to conclusions, the WBP requires you to evaluate the best fit, and then to apply, the type of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research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color w:val="231F20"/>
          <w:sz w:val="19"/>
        </w:rPr>
        <w:t>skills covered in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i/>
          <w:color w:val="231F20"/>
          <w:sz w:val="19"/>
        </w:rPr>
        <w:t>Decision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Making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Under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Uncertainty</w:t>
      </w:r>
      <w:r>
        <w:rPr>
          <w:b w:val="0"/>
          <w:color w:val="231F20"/>
          <w:sz w:val="19"/>
        </w:rPr>
        <w:t>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conclusion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Based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(WBP)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you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have:</w:t>
      </w:r>
    </w:p>
    <w:p>
      <w:pPr>
        <w:pStyle w:val="ListParagraph"/>
        <w:numPr>
          <w:ilvl w:val="0"/>
          <w:numId w:val="17"/>
        </w:numPr>
        <w:tabs>
          <w:tab w:pos="901" w:val="left" w:leader="none"/>
        </w:tabs>
        <w:spacing w:line="192" w:lineRule="auto" w:before="102" w:after="0"/>
        <w:ind w:left="900" w:right="3828" w:hanging="227"/>
        <w:jc w:val="both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greater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appreciation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how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concepts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practices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introduced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EMPA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relate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 one another and how they can be applied to policy and management situations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 workplace</w:t>
      </w:r>
    </w:p>
    <w:p>
      <w:pPr>
        <w:pStyle w:val="ListParagraph"/>
        <w:numPr>
          <w:ilvl w:val="0"/>
          <w:numId w:val="17"/>
        </w:numPr>
        <w:tabs>
          <w:tab w:pos="901" w:val="left" w:leader="none"/>
        </w:tabs>
        <w:spacing w:line="192" w:lineRule="auto" w:before="113" w:after="0"/>
        <w:ind w:left="900" w:right="3426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experience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with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undertaking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primary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research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understanding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importance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conducting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research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accordance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with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ethical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principles</w:t>
      </w:r>
    </w:p>
    <w:p>
      <w:pPr>
        <w:pStyle w:val="ListParagraph"/>
        <w:numPr>
          <w:ilvl w:val="0"/>
          <w:numId w:val="17"/>
        </w:numPr>
        <w:tabs>
          <w:tab w:pos="901" w:val="left" w:leader="none"/>
        </w:tabs>
        <w:spacing w:line="192" w:lineRule="auto" w:before="114" w:after="0"/>
        <w:ind w:left="900" w:right="3277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in-depth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understanding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public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management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issue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Australia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and/or</w:t>
      </w:r>
      <w:r>
        <w:rPr>
          <w:rFonts w:ascii="Apercu Light"/>
          <w:b w:val="0"/>
          <w:color w:val="231F20"/>
          <w:spacing w:val="-4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Aotearoa-New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Zealand</w:t>
      </w:r>
    </w:p>
    <w:p>
      <w:pPr>
        <w:pStyle w:val="ListParagraph"/>
        <w:numPr>
          <w:ilvl w:val="0"/>
          <w:numId w:val="17"/>
        </w:numPr>
        <w:tabs>
          <w:tab w:pos="901" w:val="left" w:leader="none"/>
        </w:tabs>
        <w:spacing w:line="240" w:lineRule="auto" w:before="70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enhanced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capacity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apply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skills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evidence-based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analysis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policy</w:t>
      </w:r>
      <w:r>
        <w:rPr>
          <w:rFonts w:ascii="Apercu Light"/>
          <w:b w:val="0"/>
          <w:color w:val="231F20"/>
          <w:spacing w:val="-3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design</w:t>
      </w:r>
    </w:p>
    <w:p>
      <w:pPr>
        <w:pStyle w:val="ListParagraph"/>
        <w:numPr>
          <w:ilvl w:val="0"/>
          <w:numId w:val="17"/>
        </w:numPr>
        <w:tabs>
          <w:tab w:pos="901" w:val="left" w:leader="none"/>
        </w:tabs>
        <w:spacing w:line="192" w:lineRule="auto" w:before="102" w:after="0"/>
        <w:ind w:left="900" w:right="3133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enhanced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capacity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written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verbal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communication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skills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concisely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persuasively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convey</w:t>
      </w:r>
      <w:r>
        <w:rPr>
          <w:rFonts w:ascii="Apercu Light"/>
          <w:b w:val="0"/>
          <w:color w:val="231F20"/>
          <w:spacing w:val="-2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significance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research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research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findings</w:t>
      </w:r>
    </w:p>
    <w:p>
      <w:pPr>
        <w:pStyle w:val="ListParagraph"/>
        <w:numPr>
          <w:ilvl w:val="0"/>
          <w:numId w:val="17"/>
        </w:numPr>
        <w:tabs>
          <w:tab w:pos="901" w:val="left" w:leader="none"/>
        </w:tabs>
        <w:spacing w:line="192" w:lineRule="auto" w:before="113" w:after="0"/>
        <w:ind w:left="900" w:right="3338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greater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appreciation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for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strengths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weaknesses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working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team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structures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4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how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 deal with</w:t>
      </w:r>
      <w:r>
        <w:rPr>
          <w:rFonts w:ascii="Apercu Light"/>
          <w:b w:val="0"/>
          <w:color w:val="231F20"/>
          <w:spacing w:val="-1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these effectively</w:t>
      </w:r>
    </w:p>
    <w:p>
      <w:pPr>
        <w:pStyle w:val="ListParagraph"/>
        <w:numPr>
          <w:ilvl w:val="0"/>
          <w:numId w:val="17"/>
        </w:numPr>
        <w:tabs>
          <w:tab w:pos="901" w:val="left" w:leader="none"/>
        </w:tabs>
        <w:spacing w:line="240" w:lineRule="auto" w:before="70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enhanced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your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capacity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to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work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across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government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organisational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boundaries</w:t>
      </w:r>
    </w:p>
    <w:p>
      <w:pPr>
        <w:pStyle w:val="ListParagraph"/>
        <w:numPr>
          <w:ilvl w:val="0"/>
          <w:numId w:val="17"/>
        </w:numPr>
        <w:tabs>
          <w:tab w:pos="901" w:val="left" w:leader="none"/>
        </w:tabs>
        <w:spacing w:line="192" w:lineRule="auto" w:before="102" w:after="0"/>
        <w:ind w:left="900" w:right="3268" w:hanging="227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enhanced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your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self-management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skills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increased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self-awareness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of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ways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which</w:t>
      </w:r>
      <w:r>
        <w:rPr>
          <w:rFonts w:ascii="Apercu Light"/>
          <w:b w:val="0"/>
          <w:color w:val="231F20"/>
          <w:spacing w:val="-4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9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EMPA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the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research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project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experience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has</w:t>
      </w:r>
      <w:r>
        <w:rPr>
          <w:rFonts w:ascii="Apercu Light"/>
          <w:b w:val="0"/>
          <w:color w:val="231F20"/>
          <w:spacing w:val="-9"/>
          <w:sz w:val="19"/>
        </w:rPr>
        <w:t> </w:t>
      </w:r>
      <w:r>
        <w:rPr>
          <w:rFonts w:ascii="Apercu Light"/>
          <w:b w:val="0"/>
          <w:color w:val="231F20"/>
          <w:sz w:val="19"/>
        </w:rPr>
        <w:t>influenced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professional</w:t>
      </w:r>
      <w:r>
        <w:rPr>
          <w:rFonts w:ascii="Apercu Light"/>
          <w:b w:val="0"/>
          <w:color w:val="231F20"/>
          <w:spacing w:val="-8"/>
          <w:sz w:val="19"/>
        </w:rPr>
        <w:t> </w:t>
      </w:r>
      <w:r>
        <w:rPr>
          <w:rFonts w:ascii="Apercu Light"/>
          <w:b w:val="0"/>
          <w:color w:val="231F20"/>
          <w:sz w:val="19"/>
        </w:rPr>
        <w:t>development.</w:t>
      </w:r>
    </w:p>
    <w:p>
      <w:pPr>
        <w:spacing w:before="161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Grading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Rubric</w:t>
      </w:r>
    </w:p>
    <w:p>
      <w:pPr>
        <w:pStyle w:val="BodyText"/>
        <w:spacing w:line="192" w:lineRule="auto" w:before="107"/>
        <w:ind w:left="673" w:right="3294"/>
        <w:jc w:val="both"/>
        <w:rPr>
          <w:b w:val="0"/>
        </w:rPr>
      </w:pPr>
      <w:r>
        <w:rPr>
          <w:b w:val="0"/>
          <w:color w:val="231F20"/>
        </w:rPr>
        <w:t>Grading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rubrics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extracted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guide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portal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request.</w:t>
      </w:r>
    </w:p>
    <w:p>
      <w:pPr>
        <w:spacing w:before="161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Assessments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and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Learning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Outcomes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Alignment</w:t>
      </w:r>
    </w:p>
    <w:p>
      <w:pPr>
        <w:pStyle w:val="BodyText"/>
        <w:spacing w:line="192" w:lineRule="auto" w:before="106"/>
        <w:ind w:left="673" w:right="3144"/>
        <w:rPr>
          <w:b w:val="0"/>
        </w:rPr>
      </w:pPr>
      <w:r>
        <w:rPr>
          <w:b w:val="0"/>
          <w:color w:val="231F20"/>
        </w:rPr>
        <w:t>Assessment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tasks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extracted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guide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portal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request.</w:t>
      </w:r>
    </w:p>
    <w:p>
      <w:pPr>
        <w:spacing w:before="162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Student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Success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Profiles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by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Subject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Unit</w:t>
      </w:r>
    </w:p>
    <w:p>
      <w:pPr>
        <w:pStyle w:val="BodyText"/>
        <w:spacing w:line="192" w:lineRule="auto" w:before="106"/>
        <w:ind w:left="673" w:right="2793"/>
        <w:rPr>
          <w:b w:val="0"/>
        </w:rPr>
      </w:pPr>
      <w:r>
        <w:rPr>
          <w:b w:val="0"/>
          <w:color w:val="231F20"/>
        </w:rPr>
        <w:t>ANZSOG calculates the final mark distributions for each core subject/unit and makes these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end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year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portal.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pStyle w:val="ListParagraph"/>
        <w:numPr>
          <w:ilvl w:val="1"/>
          <w:numId w:val="5"/>
        </w:numPr>
        <w:tabs>
          <w:tab w:pos="1216" w:val="left" w:leader="none"/>
        </w:tabs>
        <w:spacing w:line="240" w:lineRule="auto" w:before="47" w:after="0"/>
        <w:ind w:left="1215" w:right="0" w:hanging="543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4"/>
          <w:sz w:val="40"/>
        </w:rPr>
        <w:t>Ongoing</w:t>
      </w:r>
      <w:r>
        <w:rPr>
          <w:rFonts w:ascii="Domus Semibold"/>
          <w:b w:val="0"/>
          <w:color w:val="243B7D"/>
          <w:spacing w:val="-15"/>
          <w:sz w:val="40"/>
        </w:rPr>
        <w:t> </w:t>
      </w:r>
      <w:r>
        <w:rPr>
          <w:rFonts w:ascii="Domus Semibold"/>
          <w:b w:val="0"/>
          <w:color w:val="243B7D"/>
          <w:spacing w:val="-4"/>
          <w:sz w:val="40"/>
        </w:rPr>
        <w:t>Improvement</w:t>
      </w:r>
      <w:r>
        <w:rPr>
          <w:rFonts w:ascii="Domus Semibold"/>
          <w:b w:val="0"/>
          <w:color w:val="243B7D"/>
          <w:spacing w:val="-15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Activities</w:t>
      </w:r>
    </w:p>
    <w:p>
      <w:pPr>
        <w:pStyle w:val="BodyText"/>
        <w:spacing w:line="192" w:lineRule="auto" w:before="197"/>
        <w:ind w:left="673" w:right="3394"/>
        <w:rPr>
          <w:b w:val="0"/>
        </w:rPr>
      </w:pPr>
      <w:r>
        <w:rPr>
          <w:b w:val="0"/>
          <w:color w:val="231F20"/>
        </w:rPr>
        <w:t>There are a number of improvement systems embedded in the ongoing management 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EMPA.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addition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transition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above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4,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established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formal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processes.</w:t>
      </w:r>
    </w:p>
    <w:p>
      <w:pPr>
        <w:spacing w:before="161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Examiners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Committee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Meeting</w:t>
      </w:r>
    </w:p>
    <w:p>
      <w:pPr>
        <w:pStyle w:val="BodyText"/>
        <w:spacing w:line="192" w:lineRule="auto" w:before="107"/>
        <w:ind w:left="673" w:right="3510"/>
        <w:jc w:val="both"/>
        <w:rPr>
          <w:b w:val="0"/>
        </w:rPr>
      </w:pPr>
      <w:r>
        <w:rPr>
          <w:b w:val="0"/>
          <w:color w:val="231F20"/>
        </w:rPr>
        <w:t>Once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pieces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graded,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Examiners’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Committee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convened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discuss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confirm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marks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Discussion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items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include,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distribution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grades,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integrity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issues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progression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outliers.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committee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members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include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Leader,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Director,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Team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Leader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</w:p>
    <w:p>
      <w:pPr>
        <w:pStyle w:val="BodyText"/>
        <w:spacing w:line="192" w:lineRule="auto"/>
        <w:ind w:left="673" w:right="3144"/>
        <w:jc w:val="both"/>
        <w:rPr>
          <w:b w:val="0"/>
        </w:rPr>
      </w:pPr>
      <w:r>
        <w:rPr>
          <w:b w:val="0"/>
          <w:color w:val="231F20"/>
        </w:rPr>
        <w:t>Coordinator(s).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Marks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moderated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necessary,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consistency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results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cohort.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agreement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reached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results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finalised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issued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universities.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Examiners’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Committee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Agenda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minutes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meetings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portal.</w:t>
      </w:r>
    </w:p>
    <w:p>
      <w:pPr>
        <w:spacing w:before="161"/>
        <w:ind w:left="673" w:right="0" w:firstLine="0"/>
        <w:jc w:val="both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Academic</w:t>
      </w:r>
      <w:r>
        <w:rPr>
          <w:rFonts w:ascii="Domus Semibold"/>
          <w:b w:val="0"/>
          <w:color w:val="231F20"/>
          <w:spacing w:val="-1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Debrief</w:t>
      </w:r>
      <w:r>
        <w:rPr>
          <w:rFonts w:ascii="Domus Semibold"/>
          <w:b w:val="0"/>
          <w:color w:val="231F20"/>
          <w:spacing w:val="-1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Meeting</w:t>
      </w:r>
    </w:p>
    <w:p>
      <w:pPr>
        <w:pStyle w:val="BodyText"/>
        <w:spacing w:line="192" w:lineRule="auto" w:before="106"/>
        <w:ind w:left="673" w:right="3307"/>
        <w:rPr>
          <w:b w:val="0"/>
        </w:rPr>
      </w:pPr>
      <w:r>
        <w:rPr>
          <w:b w:val="0"/>
          <w:color w:val="231F20"/>
        </w:rPr>
        <w:t>At the conclusion of each core subject, ANZSOG surveys students on academic content,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assessment and presenters through a detailed subject evaluation form. This feedback 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collated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evaluation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report,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circulated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presented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part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debrief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meeting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following final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marking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grading.</w:t>
      </w:r>
    </w:p>
    <w:p>
      <w:pPr>
        <w:pStyle w:val="BodyText"/>
        <w:spacing w:before="71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debrief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involves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personnel: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Director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2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Leader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Team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Leader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Coordinator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Coordinator</w:t>
      </w:r>
    </w:p>
    <w:p>
      <w:pPr>
        <w:pStyle w:val="BodyText"/>
        <w:spacing w:line="192" w:lineRule="auto" w:before="102"/>
        <w:ind w:left="673" w:right="3561"/>
        <w:rPr>
          <w:b w:val="0"/>
        </w:rPr>
      </w:pPr>
      <w:r>
        <w:rPr>
          <w:b w:val="0"/>
          <w:color w:val="231F20"/>
        </w:rPr>
        <w:t>During the debrief meeting the subject is reviewed, and student feedback is discussed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aligns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outcomes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expectations.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Broader</w:t>
      </w:r>
    </w:p>
    <w:p>
      <w:pPr>
        <w:pStyle w:val="BodyText"/>
        <w:spacing w:line="192" w:lineRule="auto"/>
        <w:ind w:left="673" w:right="3113"/>
        <w:rPr>
          <w:b w:val="0"/>
        </w:rPr>
      </w:pPr>
      <w:r>
        <w:rPr>
          <w:b w:val="0"/>
          <w:color w:val="231F20"/>
        </w:rPr>
        <w:t>student performance issues are discussed including academic integrity, suitability of learning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materials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issues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arisen,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complaints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grievances.</w:t>
      </w:r>
    </w:p>
    <w:p>
      <w:pPr>
        <w:pStyle w:val="BodyText"/>
        <w:spacing w:line="192" w:lineRule="auto"/>
        <w:ind w:left="673" w:right="3438"/>
        <w:jc w:val="both"/>
        <w:rPr>
          <w:b w:val="0"/>
        </w:rPr>
      </w:pPr>
      <w:r>
        <w:rPr>
          <w:b w:val="0"/>
          <w:color w:val="231F20"/>
        </w:rPr>
        <w:t>Feedback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individual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presenters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assessed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discussed,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presentations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well-received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informative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reassess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presentations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received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negatively.</w:t>
      </w:r>
    </w:p>
    <w:p>
      <w:pPr>
        <w:pStyle w:val="BodyText"/>
        <w:spacing w:line="192" w:lineRule="auto" w:before="114"/>
        <w:ind w:left="673" w:right="3198"/>
        <w:rPr>
          <w:b w:val="0"/>
        </w:rPr>
      </w:pPr>
      <w:r>
        <w:rPr>
          <w:b w:val="0"/>
          <w:color w:val="231F20"/>
        </w:rPr>
        <w:t>The outcome of the debrief is a set of agreed actions for subject improvement to be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completed by ANZSOG and subject leader prior to the next cohort delivery. This takes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Improvement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Plan.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QIP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formally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submitted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after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this debrief meeting. The Subject QIP forms part of the contracting obligations for external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ANZSOG faculty. Ongoing improvements may consist of revising assessment tasks, realigning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presentations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outcomes,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restructuring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timetable.</w:t>
      </w:r>
    </w:p>
    <w:p>
      <w:pPr>
        <w:pStyle w:val="BodyText"/>
        <w:spacing w:line="192" w:lineRule="auto" w:before="113"/>
        <w:ind w:left="673" w:right="416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debrief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agenda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minutes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portal.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spacing w:line="228" w:lineRule="auto" w:before="77"/>
        <w:ind w:left="673" w:right="4326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Ethics, Monitoring and Research Review Process -</w:t>
      </w:r>
      <w:r>
        <w:rPr>
          <w:rFonts w:ascii="Domus Semibold"/>
          <w:b w:val="0"/>
          <w:color w:val="231F20"/>
          <w:spacing w:val="1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ANZSOG</w:t>
      </w:r>
      <w:r>
        <w:rPr>
          <w:rFonts w:ascii="Domus Semibold"/>
          <w:b w:val="0"/>
          <w:color w:val="231F20"/>
          <w:spacing w:val="-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Human</w:t>
      </w:r>
      <w:r>
        <w:rPr>
          <w:rFonts w:ascii="Domus Semibold"/>
          <w:b w:val="0"/>
          <w:color w:val="231F20"/>
          <w:spacing w:val="-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Research</w:t>
      </w:r>
      <w:r>
        <w:rPr>
          <w:rFonts w:ascii="Domus Semibold"/>
          <w:b w:val="0"/>
          <w:color w:val="231F20"/>
          <w:spacing w:val="-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Ethics</w:t>
      </w:r>
      <w:r>
        <w:rPr>
          <w:rFonts w:ascii="Domus Semibold"/>
          <w:b w:val="0"/>
          <w:color w:val="231F20"/>
          <w:spacing w:val="-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Committee</w:t>
      </w:r>
      <w:r>
        <w:rPr>
          <w:rFonts w:ascii="Domus Semibold"/>
          <w:b w:val="0"/>
          <w:color w:val="231F20"/>
          <w:spacing w:val="-6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(HREC)</w:t>
      </w:r>
    </w:p>
    <w:p>
      <w:pPr>
        <w:pStyle w:val="BodyText"/>
        <w:spacing w:line="192" w:lineRule="auto" w:before="110"/>
        <w:ind w:left="673" w:right="3089"/>
        <w:rPr>
          <w:b w:val="0"/>
        </w:rPr>
      </w:pPr>
      <w:r>
        <w:rPr>
          <w:b w:val="0"/>
          <w:color w:val="231F20"/>
        </w:rPr>
        <w:t>Project based research undertaken by ANZSOG students as part of their capstone subject,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Work Based Project, is assessed and reviewed through the ANZSOG Human Research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Ethics Committee (HREC). The primary function of ANZSOG’s Human Research Ethics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Committee (HREC) is to review and approve the research projects involving human subjects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being conducted at ANZSOG. The HREC ensures that ethical standards are maintained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projects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order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address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minimise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risks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subjects,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researchers,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chief investigators and ANZSOG itself. These standards are primarily set out in the </w:t>
      </w:r>
      <w:r>
        <w:rPr>
          <w:b w:val="0"/>
          <w:i/>
          <w:color w:val="231F20"/>
        </w:rPr>
        <w:t>National</w:t>
      </w:r>
      <w:r>
        <w:rPr>
          <w:b w:val="0"/>
          <w:i/>
          <w:color w:val="231F20"/>
          <w:spacing w:val="1"/>
        </w:rPr>
        <w:t> </w:t>
      </w:r>
      <w:r>
        <w:rPr>
          <w:b w:val="0"/>
          <w:i/>
          <w:color w:val="231F20"/>
        </w:rPr>
        <w:t>Statement on Ethical Conduct in Research involving Humans 2007 (Updated 2018) </w:t>
      </w:r>
      <w:r>
        <w:rPr>
          <w:b w:val="0"/>
          <w:color w:val="231F20"/>
        </w:rPr>
        <w:t>(the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Statement).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HREC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reviews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ethics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applications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adhere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Statement,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privacy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requirements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guidelines.</w:t>
      </w:r>
    </w:p>
    <w:p>
      <w:pPr>
        <w:pStyle w:val="BodyText"/>
        <w:spacing w:line="192" w:lineRule="auto" w:before="102"/>
        <w:ind w:left="673" w:right="3166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HREC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central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ethics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process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cross-jurisdictional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teams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enrolled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 the EMPA capstone subject Work Based Project (WBP). Each WBP team conducts primary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research on a topic proposed by a sponsoring agency, under the supervision of an academic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advisor who acts as chief investigator for the research project. Academic supervisors are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drawn from ANZSOG partner universities or other recognised universities across Australia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Aotearoa-New Zealand. Each WBP team submits an ethics application for their research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project in mid-April of each year, for review by the HREC in early May. The HREC has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authority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approve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proposals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request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revisions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resubmission.</w:t>
      </w:r>
    </w:p>
    <w:p>
      <w:pPr>
        <w:pStyle w:val="BodyText"/>
        <w:spacing w:line="192" w:lineRule="auto" w:before="114"/>
        <w:ind w:left="673" w:right="3163"/>
        <w:rPr>
          <w:b w:val="0"/>
        </w:rPr>
      </w:pPr>
      <w:r>
        <w:rPr>
          <w:b w:val="0"/>
          <w:color w:val="231F20"/>
        </w:rPr>
        <w:t>The HREC is appointed by and reports to ANZSOG’s CEO/Dean. Committee membership 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based on the recommended composition set out in the National Statement (at least eight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members comprising a chair; at least two lay persons, including at least one male and one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female; at least two persons with current experience in the areas of research; a professional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counselling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treatment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people;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person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performs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pastoral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role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community;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lawyer), plus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 additional committee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member.</w:t>
      </w:r>
    </w:p>
    <w:p>
      <w:pPr>
        <w:pStyle w:val="BodyText"/>
        <w:spacing w:line="192" w:lineRule="auto" w:before="113"/>
        <w:ind w:left="673" w:right="3095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current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HREC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includes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independent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chair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one of ANZSOG’s partner universities; two senior public servants in Aotearoa-New Zealand;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four senior public servants in various jurisdictions within Australia; and two academics 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expertise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in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areas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of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research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relevant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WBP.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staff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Secretariat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HREC.</w:t>
      </w:r>
    </w:p>
    <w:p>
      <w:pPr>
        <w:pStyle w:val="BodyText"/>
        <w:spacing w:line="192" w:lineRule="auto" w:before="114"/>
        <w:ind w:left="673" w:right="3085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ethics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supporting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materials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WBP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teams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submitted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HREC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 review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approval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include: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Instructions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HREC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Application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HREC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Form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Participant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Explanatory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Statement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Consent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Interviewees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Consent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Focus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Groups</w:t>
      </w:r>
    </w:p>
    <w:p>
      <w:pPr>
        <w:pStyle w:val="BodyText"/>
        <w:spacing w:before="59"/>
        <w:ind w:left="673"/>
        <w:rPr>
          <w:b w:val="0"/>
        </w:rPr>
      </w:pPr>
      <w:r>
        <w:rPr>
          <w:b w:val="0"/>
          <w:color w:val="231F20"/>
        </w:rPr>
        <w:t>These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forms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portal.</w:t>
      </w:r>
    </w:p>
    <w:p>
      <w:pPr>
        <w:spacing w:after="0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pStyle w:val="ListParagraph"/>
        <w:numPr>
          <w:ilvl w:val="1"/>
          <w:numId w:val="5"/>
        </w:numPr>
        <w:tabs>
          <w:tab w:pos="1233" w:val="left" w:leader="none"/>
        </w:tabs>
        <w:spacing w:line="240" w:lineRule="auto" w:before="47" w:after="0"/>
        <w:ind w:left="1232" w:right="0" w:hanging="560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4"/>
          <w:sz w:val="40"/>
        </w:rPr>
        <w:t>EMPA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4"/>
          <w:sz w:val="40"/>
        </w:rPr>
        <w:t>Core</w:t>
      </w:r>
      <w:r>
        <w:rPr>
          <w:rFonts w:ascii="Domus Semibold"/>
          <w:b w:val="0"/>
          <w:color w:val="243B7D"/>
          <w:spacing w:val="-15"/>
          <w:sz w:val="40"/>
        </w:rPr>
        <w:t> </w:t>
      </w:r>
      <w:r>
        <w:rPr>
          <w:rFonts w:ascii="Domus Semibold"/>
          <w:b w:val="0"/>
          <w:color w:val="243B7D"/>
          <w:spacing w:val="-4"/>
          <w:sz w:val="40"/>
        </w:rPr>
        <w:t>Program</w:t>
      </w:r>
      <w:r>
        <w:rPr>
          <w:rFonts w:ascii="Domus Semibold"/>
          <w:b w:val="0"/>
          <w:color w:val="243B7D"/>
          <w:spacing w:val="-15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Leaders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3"/>
        <w:rPr>
          <w:rFonts w:ascii="Domus Semibold"/>
          <w:b w:val="0"/>
          <w:sz w:val="12"/>
        </w:rPr>
      </w:pPr>
      <w:r>
        <w:rPr/>
        <w:pict>
          <v:shape style="position:absolute;margin-left:56.692902pt;margin-top:8.5726pt;width:388.35pt;height:.1pt;mso-position-horizontal-relative:page;mso-position-vertical-relative:paragraph;z-index:-15720960;mso-wrap-distance-left:0;mso-wrap-distance-right:0" id="docshape150" coordorigin="1134,171" coordsize="7767,0" path="m1134,171l8901,171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791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43B7D"/>
          <w:sz w:val="28"/>
        </w:rPr>
        <w:t>Dr</w:t>
      </w:r>
      <w:r>
        <w:rPr>
          <w:rFonts w:ascii="Domus Semibold"/>
          <w:b w:val="0"/>
          <w:color w:val="243B7D"/>
          <w:spacing w:val="-6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Christopher</w:t>
      </w:r>
      <w:r>
        <w:rPr>
          <w:rFonts w:ascii="Domus Semibold"/>
          <w:b w:val="0"/>
          <w:color w:val="243B7D"/>
          <w:spacing w:val="-5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Walker</w:t>
      </w:r>
    </w:p>
    <w:p>
      <w:pPr>
        <w:pStyle w:val="BodyText"/>
        <w:spacing w:before="120"/>
        <w:ind w:left="3791" w:right="3283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720001</wp:posOffset>
            </wp:positionH>
            <wp:positionV relativeFrom="paragraph">
              <wp:posOffset>-156741</wp:posOffset>
            </wp:positionV>
            <wp:extent cx="1776006" cy="1811997"/>
            <wp:effectExtent l="0" t="0" r="0" b="0"/>
            <wp:wrapNone/>
            <wp:docPr id="1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06" cy="181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Dean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Adjunct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Professor,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</w:p>
    <w:p>
      <w:pPr>
        <w:pStyle w:val="BodyText"/>
        <w:spacing w:before="3"/>
        <w:ind w:left="3791"/>
        <w:rPr>
          <w:b w:val="0"/>
        </w:rPr>
      </w:pPr>
      <w:r>
        <w:rPr>
          <w:b w:val="0"/>
          <w:color w:val="231F20"/>
        </w:rPr>
        <w:t>PhD,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Sciences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(UNSW),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2012</w:t>
      </w:r>
    </w:p>
    <w:p>
      <w:pPr>
        <w:pStyle w:val="BodyText"/>
        <w:spacing w:before="2"/>
        <w:ind w:left="3791" w:right="3283"/>
        <w:rPr>
          <w:b w:val="0"/>
        </w:rPr>
      </w:pPr>
      <w:r>
        <w:rPr>
          <w:b w:val="0"/>
          <w:color w:val="231F20"/>
        </w:rPr>
        <w:t>Graduate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Certificate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(UNSW),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2007</w:t>
      </w:r>
    </w:p>
    <w:p>
      <w:pPr>
        <w:pStyle w:val="BodyText"/>
        <w:spacing w:before="3"/>
        <w:ind w:left="3791"/>
        <w:rPr>
          <w:b w:val="0"/>
        </w:rPr>
      </w:pPr>
      <w:r>
        <w:rPr>
          <w:b w:val="0"/>
          <w:color w:val="231F20"/>
        </w:rPr>
        <w:t>Master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(USYD),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1991</w:t>
      </w:r>
    </w:p>
    <w:p>
      <w:pPr>
        <w:pStyle w:val="BodyText"/>
        <w:spacing w:before="2"/>
        <w:ind w:left="3791"/>
        <w:rPr>
          <w:b w:val="0"/>
        </w:rPr>
      </w:pPr>
      <w:r>
        <w:rPr>
          <w:b w:val="0"/>
          <w:color w:val="231F20"/>
        </w:rPr>
        <w:t>Bachelor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Heath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(Hons)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(UNSW),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1984</w:t>
      </w:r>
    </w:p>
    <w:p>
      <w:pPr>
        <w:spacing w:before="143"/>
        <w:ind w:left="3791" w:right="0" w:firstLine="0"/>
        <w:jc w:val="left"/>
        <w:rPr>
          <w:rFonts w:ascii="Apercu"/>
          <w:b/>
          <w:sz w:val="19"/>
        </w:rPr>
      </w:pPr>
      <w:r>
        <w:rPr>
          <w:b w:val="0"/>
          <w:color w:val="231F20"/>
          <w:sz w:val="19"/>
          <w:shd w:fill="5BCBF5" w:color="auto" w:val="clear"/>
        </w:rPr>
        <w:t>  </w:t>
      </w:r>
      <w:r>
        <w:rPr>
          <w:b w:val="0"/>
          <w:color w:val="231F20"/>
          <w:sz w:val="19"/>
          <w:shd w:fill="5BCBF5" w:color="auto" w:val="clear"/>
        </w:rPr>
        <w:t>EMPA</w:t>
      </w:r>
      <w:r>
        <w:rPr>
          <w:b w:val="0"/>
          <w:color w:val="231F20"/>
          <w:spacing w:val="-9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Subject:</w:t>
      </w:r>
      <w:r>
        <w:rPr>
          <w:b w:val="0"/>
          <w:color w:val="231F20"/>
          <w:spacing w:val="-10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Delivering</w:t>
      </w:r>
      <w:r>
        <w:rPr>
          <w:rFonts w:ascii="Apercu"/>
          <w:b/>
          <w:color w:val="231F20"/>
          <w:spacing w:val="-9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Public</w:t>
      </w:r>
      <w:r>
        <w:rPr>
          <w:rFonts w:ascii="Apercu"/>
          <w:b/>
          <w:color w:val="231F20"/>
          <w:spacing w:val="-8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Policies</w:t>
      </w:r>
      <w:r>
        <w:rPr>
          <w:rFonts w:ascii="Apercu"/>
          <w:b/>
          <w:color w:val="231F20"/>
          <w:spacing w:val="-9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&amp;</w:t>
      </w:r>
      <w:r>
        <w:rPr>
          <w:rFonts w:ascii="Apercu"/>
          <w:b/>
          <w:color w:val="231F20"/>
          <w:spacing w:val="-9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Programs </w:t>
      </w:r>
      <w:r>
        <w:rPr>
          <w:rFonts w:ascii="Apercu"/>
          <w:b/>
          <w:color w:val="231F20"/>
          <w:spacing w:val="13"/>
          <w:sz w:val="19"/>
          <w:shd w:fill="5BCBF5" w:color="auto" w:val="clear"/>
        </w:rPr>
        <w:t> </w:t>
      </w:r>
    </w:p>
    <w:p>
      <w:pPr>
        <w:pStyle w:val="BodyText"/>
        <w:spacing w:before="8"/>
        <w:rPr>
          <w:rFonts w:ascii="Apercu"/>
          <w:b/>
          <w:sz w:val="21"/>
        </w:rPr>
      </w:pPr>
    </w:p>
    <w:p>
      <w:pPr>
        <w:spacing w:before="0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2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2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theory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analysis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Regulation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theory,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compliance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enforcement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administration,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leadership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value</w:t>
      </w:r>
    </w:p>
    <w:p>
      <w:pPr>
        <w:pStyle w:val="BodyText"/>
        <w:spacing w:line="192" w:lineRule="auto" w:before="102"/>
        <w:ind w:left="673" w:right="3365"/>
        <w:rPr>
          <w:b w:val="0"/>
        </w:rPr>
      </w:pPr>
      <w:r>
        <w:rPr>
          <w:b w:val="0"/>
          <w:color w:val="231F20"/>
        </w:rPr>
        <w:t>Christopher Walker is the Associate Dean (University Relations) and Academic Director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Executive Masters of Public Administration (EMPA) of the Australia and Aotearoa-New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Zealand School of Government </w:t>
      </w:r>
      <w:hyperlink r:id="rId33">
        <w:r>
          <w:rPr>
            <w:b w:val="0"/>
            <w:color w:val="231F20"/>
          </w:rPr>
          <w:t>(</w:t>
        </w:r>
        <w:r>
          <w:rPr>
            <w:b w:val="0"/>
            <w:color w:val="243B7D"/>
            <w:u w:val="single" w:color="243B7D"/>
          </w:rPr>
          <w:t>ANZSOG</w:t>
        </w:r>
        <w:r>
          <w:rPr>
            <w:b w:val="0"/>
            <w:color w:val="231F20"/>
          </w:rPr>
          <w:t>)</w:t>
        </w:r>
      </w:hyperlink>
      <w:r>
        <w:rPr>
          <w:b w:val="0"/>
          <w:color w:val="231F20"/>
        </w:rPr>
        <w:t>. Chris is a member of the ANZSOG executive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team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responsible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developing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maintaining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relations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15</w:t>
      </w:r>
    </w:p>
    <w:p>
      <w:pPr>
        <w:pStyle w:val="BodyText"/>
        <w:spacing w:line="192" w:lineRule="auto"/>
        <w:ind w:left="673" w:right="3037"/>
        <w:rPr>
          <w:b w:val="0"/>
        </w:rPr>
      </w:pPr>
      <w:r>
        <w:rPr>
          <w:b w:val="0"/>
          <w:color w:val="231F20"/>
        </w:rPr>
        <w:t>partner universities across Australia and Aotearoa-New Zealand. Chris also contributes to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development of strategic relations with other international centers of academic expertise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 sector management, leadership, regulation and public policy. As Academic Director,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Chris leads the management and delivery of ANZSOG’s core program, the EMPA. This involves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oversight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ongoing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development,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input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teaching.</w:t>
      </w:r>
    </w:p>
    <w:p>
      <w:pPr>
        <w:pStyle w:val="BodyText"/>
        <w:spacing w:line="192" w:lineRule="auto"/>
        <w:ind w:left="673" w:right="3176"/>
        <w:rPr>
          <w:b w:val="0"/>
        </w:rPr>
      </w:pPr>
      <w:r>
        <w:rPr>
          <w:b w:val="0"/>
          <w:color w:val="231F20"/>
        </w:rPr>
        <w:t>Chris is responsible for the oversight of student matters as well as liaison and negotiation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expert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engaged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drawn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Aotearoa</w:t>
      </w:r>
    </w:p>
    <w:p>
      <w:pPr>
        <w:pStyle w:val="BodyText"/>
        <w:spacing w:line="192" w:lineRule="auto"/>
        <w:ind w:left="673" w:right="3201"/>
        <w:rPr>
          <w:b w:val="0"/>
        </w:rPr>
      </w:pPr>
      <w:r>
        <w:rPr>
          <w:b w:val="0"/>
          <w:color w:val="231F20"/>
        </w:rPr>
        <w:t>-New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Zealand,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Singapore,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Europe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Chris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 Policies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Programs.</w:t>
      </w:r>
    </w:p>
    <w:p>
      <w:pPr>
        <w:pStyle w:val="BodyText"/>
        <w:spacing w:line="192" w:lineRule="auto" w:before="114"/>
        <w:ind w:left="673" w:right="3275"/>
        <w:rPr>
          <w:b w:val="0"/>
        </w:rPr>
      </w:pPr>
      <w:r>
        <w:rPr>
          <w:b w:val="0"/>
          <w:color w:val="231F20"/>
        </w:rPr>
        <w:t>Chris is a highly skilled teacher active in knowledge translation and contributes extensively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 ANZSOG executive education programs, he also maintains an active program of research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regulation.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Prior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joining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ANZSOG,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Chris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Head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Sciences,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South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Wales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(UNSW),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(2012-2018).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Chris’s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academic leadership was preceded by a highly successful 20 year career in the New South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Wales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middle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positions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departments</w:t>
      </w:r>
    </w:p>
    <w:p>
      <w:pPr>
        <w:pStyle w:val="BodyText"/>
        <w:spacing w:line="192" w:lineRule="auto"/>
        <w:ind w:left="673" w:right="3363"/>
        <w:rPr>
          <w:b w:val="0"/>
        </w:rPr>
      </w:pP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health,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road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transport,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rail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safety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NSW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Cabinet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Office.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Christopher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extensive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research, teaching and leadership experience in the fields of strategic policy, public value,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analysis,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transfer,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regulation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compliance.</w:t>
      </w:r>
    </w:p>
    <w:p>
      <w:pPr>
        <w:pStyle w:val="BodyText"/>
        <w:spacing w:line="192" w:lineRule="auto" w:before="114"/>
        <w:ind w:left="673" w:right="3285"/>
        <w:rPr>
          <w:b w:val="0"/>
        </w:rPr>
      </w:pPr>
      <w:r>
        <w:rPr>
          <w:b w:val="0"/>
          <w:color w:val="231F20"/>
        </w:rPr>
        <w:t>Christopher’s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PhD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examined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regulatory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reform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trucking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sector.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Most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recent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research projects have examined policy transfer, the implications of digitisation in social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welfare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provision,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digital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regulation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compliance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transport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sector.</w:t>
      </w:r>
    </w:p>
    <w:p>
      <w:pPr>
        <w:pStyle w:val="BodyText"/>
        <w:spacing w:line="192" w:lineRule="auto"/>
        <w:ind w:left="673" w:right="3002"/>
        <w:rPr>
          <w:b w:val="0"/>
        </w:rPr>
      </w:pPr>
      <w:r>
        <w:rPr>
          <w:b w:val="0"/>
          <w:color w:val="231F20"/>
        </w:rPr>
        <w:t>Christopher’s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practitioner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means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able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effectively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bridge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 theoretical and applied understandings of public policy analysis and regulation in both his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research.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regularly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engaged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agencies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knowledge translation in the areas of public sector leadership, public value, strategic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policy, policy analysis and regulatory reform. His work has been published in peer-reviewed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journals such as </w:t>
      </w:r>
      <w:r>
        <w:rPr>
          <w:b w:val="0"/>
          <w:i/>
          <w:color w:val="231F20"/>
        </w:rPr>
        <w:t>Public Policy and Administration, Policy Studies, Australian Journal of Public</w:t>
      </w:r>
      <w:r>
        <w:rPr>
          <w:b w:val="0"/>
          <w:i/>
          <w:color w:val="231F20"/>
          <w:spacing w:val="1"/>
        </w:rPr>
        <w:t> </w:t>
      </w:r>
      <w:r>
        <w:rPr>
          <w:b w:val="0"/>
          <w:i/>
          <w:color w:val="231F20"/>
        </w:rPr>
        <w:t>Administration</w:t>
      </w:r>
      <w:r>
        <w:rPr>
          <w:b w:val="0"/>
          <w:i/>
          <w:color w:val="231F20"/>
          <w:spacing w:val="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5"/>
        </w:rPr>
        <w:t> </w:t>
      </w:r>
      <w:r>
        <w:rPr>
          <w:b w:val="0"/>
          <w:i/>
          <w:color w:val="231F20"/>
        </w:rPr>
        <w:t>Journal</w:t>
      </w:r>
      <w:r>
        <w:rPr>
          <w:b w:val="0"/>
          <w:i/>
          <w:color w:val="231F20"/>
          <w:spacing w:val="-1"/>
        </w:rPr>
        <w:t> </w:t>
      </w:r>
      <w:r>
        <w:rPr>
          <w:b w:val="0"/>
          <w:i/>
          <w:color w:val="231F20"/>
        </w:rPr>
        <w:t>of</w:t>
      </w:r>
      <w:r>
        <w:rPr>
          <w:b w:val="0"/>
          <w:i/>
          <w:color w:val="231F20"/>
          <w:spacing w:val="-1"/>
        </w:rPr>
        <w:t> </w:t>
      </w:r>
      <w:r>
        <w:rPr>
          <w:b w:val="0"/>
          <w:i/>
          <w:color w:val="231F20"/>
        </w:rPr>
        <w:t>Higher</w:t>
      </w:r>
      <w:r>
        <w:rPr>
          <w:b w:val="0"/>
          <w:i/>
          <w:color w:val="231F20"/>
          <w:spacing w:val="-1"/>
        </w:rPr>
        <w:t> </w:t>
      </w:r>
      <w:r>
        <w:rPr>
          <w:b w:val="0"/>
          <w:i/>
          <w:color w:val="231F20"/>
        </w:rPr>
        <w:t>Education</w:t>
      </w:r>
      <w:r>
        <w:rPr>
          <w:b w:val="0"/>
          <w:i/>
          <w:color w:val="231F20"/>
          <w:spacing w:val="-2"/>
        </w:rPr>
        <w:t> </w:t>
      </w:r>
      <w:r>
        <w:rPr>
          <w:b w:val="0"/>
          <w:i/>
          <w:color w:val="231F20"/>
        </w:rPr>
        <w:t>Policy</w:t>
      </w:r>
      <w:r>
        <w:rPr>
          <w:b w:val="0"/>
          <w:i/>
          <w:color w:val="231F20"/>
          <w:spacing w:val="-1"/>
        </w:rPr>
        <w:t> </w:t>
      </w:r>
      <w:r>
        <w:rPr>
          <w:b w:val="0"/>
          <w:i/>
          <w:color w:val="231F20"/>
        </w:rPr>
        <w:t>and</w:t>
      </w:r>
      <w:r>
        <w:rPr>
          <w:b w:val="0"/>
          <w:i/>
          <w:color w:val="231F20"/>
          <w:spacing w:val="-1"/>
        </w:rPr>
        <w:t> </w:t>
      </w:r>
      <w:r>
        <w:rPr>
          <w:b w:val="0"/>
          <w:i/>
          <w:color w:val="231F20"/>
        </w:rPr>
        <w:t>Management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His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most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recent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book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co-edited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collection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circulation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transfer,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Baker,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T.,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&amp;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Walker,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(Eds.).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spacing w:line="290" w:lineRule="auto" w:before="95"/>
        <w:ind w:left="673" w:right="2793" w:firstLine="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(2019),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Public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Policy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Circulation: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Arenas,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Agents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and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Actions</w:t>
      </w:r>
      <w:r>
        <w:rPr>
          <w:b w:val="0"/>
          <w:color w:val="231F20"/>
          <w:sz w:val="19"/>
        </w:rPr>
        <w:t>.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Cheltenham,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UK: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color w:val="231F20"/>
          <w:sz w:val="19"/>
        </w:rPr>
        <w:t>Edward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Elgar.</w:t>
      </w:r>
      <w:r>
        <w:rPr>
          <w:b w:val="0"/>
          <w:color w:val="231F20"/>
          <w:spacing w:val="-45"/>
          <w:sz w:val="19"/>
        </w:rPr>
        <w:t> </w:t>
      </w:r>
      <w:r>
        <w:rPr>
          <w:b w:val="0"/>
          <w:color w:val="231F20"/>
          <w:sz w:val="19"/>
        </w:rPr>
        <w:t>Career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color w:val="231F20"/>
          <w:sz w:val="19"/>
        </w:rPr>
        <w:t>Highlights -</w:t>
      </w:r>
    </w:p>
    <w:p>
      <w:pPr>
        <w:pStyle w:val="BodyText"/>
        <w:spacing w:before="1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Approximately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$270,000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grants,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knowledge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translation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commissioned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works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Outstanding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record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positions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of;</w:t>
      </w:r>
    </w:p>
    <w:p>
      <w:pPr>
        <w:pStyle w:val="ListParagraph"/>
        <w:numPr>
          <w:ilvl w:val="0"/>
          <w:numId w:val="18"/>
        </w:numPr>
        <w:tabs>
          <w:tab w:pos="1015" w:val="left" w:leader="none"/>
        </w:tabs>
        <w:spacing w:line="192" w:lineRule="auto" w:before="101" w:after="0"/>
        <w:ind w:left="1014" w:right="4092" w:hanging="171"/>
        <w:jc w:val="left"/>
        <w:rPr>
          <w:rFonts w:ascii="Apercu Light" w:hAnsi="Apercu Light"/>
          <w:b w:val="0"/>
          <w:sz w:val="19"/>
        </w:rPr>
      </w:pPr>
      <w:r>
        <w:rPr>
          <w:rFonts w:ascii="Apercu Light" w:hAnsi="Apercu Light"/>
          <w:b w:val="0"/>
          <w:color w:val="231F20"/>
          <w:sz w:val="19"/>
        </w:rPr>
        <w:t>Associate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Dean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University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Relations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and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Academic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Director,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Executive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Masters</w:t>
      </w:r>
      <w:r>
        <w:rPr>
          <w:rFonts w:ascii="Apercu Light" w:hAnsi="Apercu Light"/>
          <w:b w:val="0"/>
          <w:color w:val="231F20"/>
          <w:spacing w:val="-44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of</w:t>
      </w:r>
      <w:r>
        <w:rPr>
          <w:rFonts w:ascii="Apercu Light" w:hAnsi="Apercu Light"/>
          <w:b w:val="0"/>
          <w:color w:val="231F20"/>
          <w:spacing w:val="-4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Public</w:t>
      </w:r>
      <w:r>
        <w:rPr>
          <w:rFonts w:ascii="Apercu Light" w:hAnsi="Apercu Light"/>
          <w:b w:val="0"/>
          <w:color w:val="231F20"/>
          <w:spacing w:val="-4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Administration,</w:t>
      </w:r>
      <w:r>
        <w:rPr>
          <w:rFonts w:ascii="Apercu Light" w:hAnsi="Apercu Light"/>
          <w:b w:val="0"/>
          <w:color w:val="231F20"/>
          <w:spacing w:val="-3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Australia</w:t>
      </w:r>
      <w:r>
        <w:rPr>
          <w:rFonts w:ascii="Apercu Light" w:hAnsi="Apercu Light"/>
          <w:b w:val="0"/>
          <w:color w:val="231F20"/>
          <w:spacing w:val="-4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and</w:t>
      </w:r>
      <w:r>
        <w:rPr>
          <w:rFonts w:ascii="Apercu Light" w:hAnsi="Apercu Light"/>
          <w:b w:val="0"/>
          <w:color w:val="231F20"/>
          <w:spacing w:val="-3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New</w:t>
      </w:r>
      <w:r>
        <w:rPr>
          <w:rFonts w:ascii="Apercu Light" w:hAnsi="Apercu Light"/>
          <w:b w:val="0"/>
          <w:color w:val="231F20"/>
          <w:spacing w:val="-4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Zealand</w:t>
      </w:r>
      <w:r>
        <w:rPr>
          <w:rFonts w:ascii="Apercu Light" w:hAnsi="Apercu Light"/>
          <w:b w:val="0"/>
          <w:color w:val="231F20"/>
          <w:spacing w:val="-3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School</w:t>
      </w:r>
      <w:r>
        <w:rPr>
          <w:rFonts w:ascii="Apercu Light" w:hAnsi="Apercu Light"/>
          <w:b w:val="0"/>
          <w:color w:val="231F20"/>
          <w:spacing w:val="-4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of</w:t>
      </w:r>
      <w:r>
        <w:rPr>
          <w:rFonts w:ascii="Apercu Light" w:hAnsi="Apercu Light"/>
          <w:b w:val="0"/>
          <w:color w:val="231F20"/>
          <w:spacing w:val="-3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Government</w:t>
      </w:r>
    </w:p>
    <w:p>
      <w:pPr>
        <w:pStyle w:val="ListParagraph"/>
        <w:numPr>
          <w:ilvl w:val="0"/>
          <w:numId w:val="18"/>
        </w:numPr>
        <w:tabs>
          <w:tab w:pos="1015" w:val="left" w:leader="none"/>
        </w:tabs>
        <w:spacing w:line="240" w:lineRule="auto" w:before="70" w:after="0"/>
        <w:ind w:left="1014" w:right="0" w:hanging="172"/>
        <w:jc w:val="left"/>
        <w:rPr>
          <w:rFonts w:ascii="Apercu Light" w:hAnsi="Apercu Light"/>
          <w:b w:val="0"/>
          <w:sz w:val="19"/>
        </w:rPr>
      </w:pPr>
      <w:r>
        <w:rPr>
          <w:rFonts w:ascii="Apercu Light" w:hAnsi="Apercu Light"/>
          <w:b w:val="0"/>
          <w:color w:val="231F20"/>
          <w:sz w:val="19"/>
        </w:rPr>
        <w:t>Head</w:t>
      </w:r>
      <w:r>
        <w:rPr>
          <w:rFonts w:ascii="Apercu Light" w:hAnsi="Apercu Light"/>
          <w:b w:val="0"/>
          <w:color w:val="231F20"/>
          <w:spacing w:val="-3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of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School,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Social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Sciences,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University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of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New</w:t>
      </w:r>
      <w:r>
        <w:rPr>
          <w:rFonts w:ascii="Apercu Light" w:hAnsi="Apercu Light"/>
          <w:b w:val="0"/>
          <w:color w:val="231F20"/>
          <w:spacing w:val="-3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South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Wales</w:t>
      </w:r>
    </w:p>
    <w:p>
      <w:pPr>
        <w:pStyle w:val="ListParagraph"/>
        <w:numPr>
          <w:ilvl w:val="0"/>
          <w:numId w:val="18"/>
        </w:numPr>
        <w:tabs>
          <w:tab w:pos="1015" w:val="left" w:leader="none"/>
        </w:tabs>
        <w:spacing w:line="192" w:lineRule="auto" w:before="102" w:after="0"/>
        <w:ind w:left="1014" w:right="5252" w:hanging="171"/>
        <w:jc w:val="left"/>
        <w:rPr>
          <w:rFonts w:ascii="Apercu Light" w:hAnsi="Apercu Light"/>
          <w:b w:val="0"/>
          <w:sz w:val="19"/>
        </w:rPr>
      </w:pPr>
      <w:r>
        <w:rPr>
          <w:rFonts w:ascii="Apercu Light" w:hAnsi="Apercu Light"/>
          <w:b w:val="0"/>
          <w:color w:val="231F20"/>
          <w:sz w:val="19"/>
        </w:rPr>
        <w:t>Deputy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Head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of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School,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Learning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and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Teaching,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Social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Sciences,</w:t>
      </w:r>
      <w:r>
        <w:rPr>
          <w:rFonts w:ascii="Apercu Light" w:hAnsi="Apercu Light"/>
          <w:b w:val="0"/>
          <w:color w:val="231F20"/>
          <w:spacing w:val="-44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University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of New South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Wales</w:t>
      </w:r>
    </w:p>
    <w:p>
      <w:pPr>
        <w:pStyle w:val="ListParagraph"/>
        <w:numPr>
          <w:ilvl w:val="0"/>
          <w:numId w:val="18"/>
        </w:numPr>
        <w:tabs>
          <w:tab w:pos="1015" w:val="left" w:leader="none"/>
        </w:tabs>
        <w:spacing w:line="240" w:lineRule="auto" w:before="70" w:after="0"/>
        <w:ind w:left="1014" w:right="0" w:hanging="172"/>
        <w:jc w:val="left"/>
        <w:rPr>
          <w:rFonts w:ascii="Apercu Light" w:hAnsi="Apercu Light"/>
          <w:b w:val="0"/>
          <w:sz w:val="19"/>
        </w:rPr>
      </w:pPr>
      <w:r>
        <w:rPr>
          <w:rFonts w:ascii="Apercu Light" w:hAnsi="Apercu Light"/>
          <w:b w:val="0"/>
          <w:color w:val="231F20"/>
          <w:sz w:val="19"/>
        </w:rPr>
        <w:t>Program</w:t>
      </w:r>
      <w:r>
        <w:rPr>
          <w:rFonts w:ascii="Apercu Light" w:hAnsi="Apercu Light"/>
          <w:b w:val="0"/>
          <w:color w:val="231F20"/>
          <w:spacing w:val="-8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Director,</w:t>
      </w:r>
      <w:r>
        <w:rPr>
          <w:rFonts w:ascii="Apercu Light" w:hAnsi="Apercu Light"/>
          <w:b w:val="0"/>
          <w:color w:val="231F20"/>
          <w:spacing w:val="-8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Master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of</w:t>
      </w:r>
      <w:r>
        <w:rPr>
          <w:rFonts w:ascii="Apercu Light" w:hAnsi="Apercu Light"/>
          <w:b w:val="0"/>
          <w:color w:val="231F20"/>
          <w:spacing w:val="-8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Public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Policy,</w:t>
      </w:r>
      <w:r>
        <w:rPr>
          <w:rFonts w:ascii="Apercu Light" w:hAnsi="Apercu Light"/>
          <w:b w:val="0"/>
          <w:color w:val="231F20"/>
          <w:spacing w:val="-8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University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of</w:t>
      </w:r>
      <w:r>
        <w:rPr>
          <w:rFonts w:ascii="Apercu Light" w:hAnsi="Apercu Light"/>
          <w:b w:val="0"/>
          <w:color w:val="231F20"/>
          <w:spacing w:val="-8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New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South</w:t>
      </w:r>
      <w:r>
        <w:rPr>
          <w:rFonts w:ascii="Apercu Light" w:hAnsi="Apercu Light"/>
          <w:b w:val="0"/>
          <w:color w:val="231F20"/>
          <w:spacing w:val="-8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Wales</w:t>
      </w:r>
    </w:p>
    <w:p>
      <w:pPr>
        <w:pStyle w:val="BodyText"/>
        <w:spacing w:line="192" w:lineRule="auto" w:before="102"/>
        <w:ind w:left="843" w:right="3666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Extensive research, policy and advisory work with government agencies, commissions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groups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state,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level.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Extensive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domestic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including;</w:t>
      </w:r>
    </w:p>
    <w:p>
      <w:pPr>
        <w:pStyle w:val="ListParagraph"/>
        <w:numPr>
          <w:ilvl w:val="0"/>
          <w:numId w:val="18"/>
        </w:numPr>
        <w:tabs>
          <w:tab w:pos="1015" w:val="left" w:leader="none"/>
        </w:tabs>
        <w:spacing w:line="192" w:lineRule="auto" w:before="102" w:after="0"/>
        <w:ind w:left="1014" w:right="4129" w:hanging="171"/>
        <w:jc w:val="left"/>
        <w:rPr>
          <w:rFonts w:ascii="Apercu Light" w:hAnsi="Apercu Light"/>
          <w:b w:val="0"/>
          <w:sz w:val="19"/>
        </w:rPr>
      </w:pPr>
      <w:r>
        <w:rPr>
          <w:rFonts w:ascii="Apercu Light" w:hAnsi="Apercu Light"/>
          <w:b w:val="0"/>
          <w:color w:val="231F20"/>
          <w:sz w:val="19"/>
        </w:rPr>
        <w:t>Governance</w:t>
      </w:r>
      <w:r>
        <w:rPr>
          <w:rFonts w:ascii="Apercu Light" w:hAnsi="Apercu Light"/>
          <w:b w:val="0"/>
          <w:color w:val="231F20"/>
          <w:spacing w:val="-8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Steering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Committee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Member,</w:t>
      </w:r>
      <w:r>
        <w:rPr>
          <w:rFonts w:ascii="Apercu Light" w:hAnsi="Apercu Light"/>
          <w:b w:val="0"/>
          <w:color w:val="231F20"/>
          <w:spacing w:val="-8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UNSW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Centre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for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Law</w:t>
      </w:r>
      <w:r>
        <w:rPr>
          <w:rFonts w:ascii="Apercu Light" w:hAnsi="Apercu Light"/>
          <w:b w:val="0"/>
          <w:color w:val="231F20"/>
          <w:spacing w:val="-8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Markets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and</w:t>
      </w:r>
      <w:r>
        <w:rPr>
          <w:rFonts w:ascii="Apercu Light" w:hAnsi="Apercu Light"/>
          <w:b w:val="0"/>
          <w:color w:val="231F20"/>
          <w:spacing w:val="-45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Regulation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(2015 – 2019)</w:t>
      </w:r>
    </w:p>
    <w:p>
      <w:pPr>
        <w:pStyle w:val="ListParagraph"/>
        <w:numPr>
          <w:ilvl w:val="0"/>
          <w:numId w:val="18"/>
        </w:numPr>
        <w:tabs>
          <w:tab w:pos="1015" w:val="left" w:leader="none"/>
        </w:tabs>
        <w:spacing w:line="192" w:lineRule="auto" w:before="114" w:after="0"/>
        <w:ind w:left="1014" w:right="4061" w:hanging="171"/>
        <w:jc w:val="left"/>
        <w:rPr>
          <w:rFonts w:ascii="Apercu Light" w:hAnsi="Apercu Light"/>
          <w:b w:val="0"/>
          <w:sz w:val="19"/>
        </w:rPr>
      </w:pPr>
      <w:r>
        <w:rPr>
          <w:rFonts w:ascii="Apercu Light" w:hAnsi="Apercu Light"/>
          <w:b w:val="0"/>
          <w:color w:val="231F20"/>
          <w:sz w:val="19"/>
        </w:rPr>
        <w:t>European</w:t>
      </w:r>
      <w:r>
        <w:rPr>
          <w:rFonts w:ascii="Apercu Light" w:hAnsi="Apercu Light"/>
          <w:b w:val="0"/>
          <w:color w:val="231F20"/>
          <w:spacing w:val="-1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Union</w:t>
      </w:r>
      <w:r>
        <w:rPr>
          <w:rFonts w:ascii="Apercu Light" w:hAnsi="Apercu Light"/>
          <w:b w:val="0"/>
          <w:color w:val="231F20"/>
          <w:spacing w:val="-1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AEROFLEX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Project</w:t>
      </w:r>
      <w:r>
        <w:rPr>
          <w:rFonts w:ascii="Apercu Light" w:hAnsi="Apercu Light"/>
          <w:b w:val="0"/>
          <w:color w:val="231F20"/>
          <w:spacing w:val="-1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(Trucking</w:t>
      </w:r>
      <w:r>
        <w:rPr>
          <w:rFonts w:ascii="Apercu Light" w:hAnsi="Apercu Light"/>
          <w:b w:val="0"/>
          <w:color w:val="231F20"/>
          <w:spacing w:val="-1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innovation</w:t>
      </w:r>
      <w:r>
        <w:rPr>
          <w:rFonts w:ascii="Apercu Light" w:hAnsi="Apercu Light"/>
          <w:b w:val="0"/>
          <w:color w:val="231F20"/>
          <w:spacing w:val="-10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and</w:t>
      </w:r>
      <w:r>
        <w:rPr>
          <w:rFonts w:ascii="Apercu Light" w:hAnsi="Apercu Light"/>
          <w:b w:val="0"/>
          <w:color w:val="231F20"/>
          <w:spacing w:val="-1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regulatory</w:t>
      </w:r>
      <w:r>
        <w:rPr>
          <w:rFonts w:ascii="Apercu Light" w:hAnsi="Apercu Light"/>
          <w:b w:val="0"/>
          <w:color w:val="231F20"/>
          <w:spacing w:val="-1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reform</w:t>
      </w:r>
      <w:r>
        <w:rPr>
          <w:rFonts w:ascii="Apercu Light" w:hAnsi="Apercu Light"/>
          <w:b w:val="0"/>
          <w:color w:val="231F20"/>
          <w:spacing w:val="-45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working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group)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–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Sounding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Board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Member,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2019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–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current</w:t>
      </w:r>
    </w:p>
    <w:p>
      <w:pPr>
        <w:pStyle w:val="ListParagraph"/>
        <w:numPr>
          <w:ilvl w:val="0"/>
          <w:numId w:val="18"/>
        </w:numPr>
        <w:tabs>
          <w:tab w:pos="1015" w:val="left" w:leader="none"/>
        </w:tabs>
        <w:spacing w:line="192" w:lineRule="auto" w:before="113" w:after="0"/>
        <w:ind w:left="1014" w:right="3842" w:hanging="171"/>
        <w:jc w:val="left"/>
        <w:rPr>
          <w:rFonts w:ascii="Apercu Light" w:hAnsi="Apercu Light"/>
          <w:b w:val="0"/>
          <w:sz w:val="19"/>
        </w:rPr>
      </w:pPr>
      <w:r>
        <w:rPr>
          <w:rFonts w:ascii="Apercu Light" w:hAnsi="Apercu Light"/>
          <w:b w:val="0"/>
          <w:color w:val="231F20"/>
          <w:sz w:val="19"/>
        </w:rPr>
        <w:t>Steering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Committee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Member-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National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Regulators</w:t>
      </w:r>
      <w:r>
        <w:rPr>
          <w:rFonts w:ascii="Apercu Light" w:hAnsi="Apercu Light"/>
          <w:b w:val="0"/>
          <w:color w:val="231F20"/>
          <w:spacing w:val="-7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Community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of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Practice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(NSW),</w:t>
      </w:r>
      <w:r>
        <w:rPr>
          <w:rFonts w:ascii="Apercu Light" w:hAnsi="Apercu Light"/>
          <w:b w:val="0"/>
          <w:color w:val="231F20"/>
          <w:spacing w:val="-45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2020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– current</w:t>
      </w:r>
    </w:p>
    <w:p>
      <w:pPr>
        <w:pStyle w:val="ListParagraph"/>
        <w:numPr>
          <w:ilvl w:val="0"/>
          <w:numId w:val="18"/>
        </w:numPr>
        <w:tabs>
          <w:tab w:pos="1015" w:val="left" w:leader="none"/>
        </w:tabs>
        <w:spacing w:line="192" w:lineRule="auto" w:before="114" w:after="0"/>
        <w:ind w:left="1014" w:right="3400" w:hanging="171"/>
        <w:jc w:val="left"/>
        <w:rPr>
          <w:rFonts w:ascii="Apercu Light" w:hAnsi="Apercu Light"/>
          <w:b w:val="0"/>
          <w:sz w:val="19"/>
        </w:rPr>
      </w:pPr>
      <w:r>
        <w:rPr>
          <w:rFonts w:ascii="Apercu Light" w:hAnsi="Apercu Light"/>
          <w:b w:val="0"/>
          <w:color w:val="231F20"/>
          <w:sz w:val="19"/>
        </w:rPr>
        <w:t>Steering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Committee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Member-</w:t>
      </w:r>
      <w:r>
        <w:rPr>
          <w:rFonts w:ascii="Apercu Light" w:hAnsi="Apercu Light"/>
          <w:b w:val="0"/>
          <w:color w:val="231F20"/>
          <w:spacing w:val="-5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NSW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Government,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Customer</w:t>
      </w:r>
      <w:r>
        <w:rPr>
          <w:rFonts w:ascii="Apercu Light" w:hAnsi="Apercu Light"/>
          <w:b w:val="0"/>
          <w:color w:val="231F20"/>
          <w:spacing w:val="-5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Service,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Better</w:t>
      </w:r>
      <w:r>
        <w:rPr>
          <w:rFonts w:ascii="Apercu Light" w:hAnsi="Apercu Light"/>
          <w:b w:val="0"/>
          <w:color w:val="231F20"/>
          <w:spacing w:val="-6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Regulation</w:t>
      </w:r>
      <w:r>
        <w:rPr>
          <w:rFonts w:ascii="Apercu Light" w:hAnsi="Apercu Light"/>
          <w:b w:val="0"/>
          <w:color w:val="231F20"/>
          <w:spacing w:val="-45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Division,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Regulatory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Practice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Oversight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Committee,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2020</w:t>
      </w:r>
      <w:r>
        <w:rPr>
          <w:rFonts w:ascii="Apercu Light" w:hAnsi="Apercu Light"/>
          <w:b w:val="0"/>
          <w:color w:val="231F20"/>
          <w:spacing w:val="-1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-</w:t>
      </w:r>
      <w:r>
        <w:rPr>
          <w:rFonts w:ascii="Apercu Light" w:hAnsi="Apercu Light"/>
          <w:b w:val="0"/>
          <w:color w:val="231F20"/>
          <w:spacing w:val="-2"/>
          <w:sz w:val="19"/>
        </w:rPr>
        <w:t> </w:t>
      </w:r>
      <w:r>
        <w:rPr>
          <w:rFonts w:ascii="Apercu Light" w:hAnsi="Apercu Light"/>
          <w:b w:val="0"/>
          <w:color w:val="231F20"/>
          <w:sz w:val="19"/>
        </w:rPr>
        <w:t>current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Editorial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board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journals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administration</w:t>
      </w:r>
    </w:p>
    <w:p>
      <w:pPr>
        <w:pStyle w:val="BodyText"/>
        <w:spacing w:line="192" w:lineRule="auto" w:before="102"/>
        <w:ind w:left="843" w:right="3497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Visiting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Fellow,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Strasbourg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Laboratory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SAGE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(Societies,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Actors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Government in Europe).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2016/ 2017.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0"/>
        </w:rPr>
        <w:t> </w:t>
      </w:r>
      <w:r>
        <w:rPr>
          <w:b w:val="0"/>
          <w:color w:val="231F20"/>
        </w:rPr>
        <w:t>Visiting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Professor,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Institut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Barcelona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Estudis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Internacionals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(IBEI),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Barcelona,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Spain.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2018.</w:t>
      </w:r>
    </w:p>
    <w:p>
      <w:pPr>
        <w:pStyle w:val="BodyText"/>
        <w:spacing w:line="192" w:lineRule="auto" w:before="102"/>
        <w:ind w:left="843" w:right="346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Erasmus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Mundas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MAPP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Visiting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Scholar,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Studies,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Erasmus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Hague,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Netherlands.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2019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8"/>
        </w:rPr>
      </w:pPr>
      <w:r>
        <w:rPr/>
        <w:pict>
          <v:group style="position:absolute;margin-left:56.692902pt;margin-top:14.75637pt;width:384.1pt;height:141.75pt;mso-position-horizontal-relative:page;mso-position-vertical-relative:paragraph;z-index:-15719936;mso-wrap-distance-left:0;mso-wrap-distance-right:0" id="docshapegroup151" coordorigin="1134,295" coordsize="7682,2835">
            <v:line style="position:absolute" from="1134,372" to="8816,372" stroked="true" strokeweight=".25pt" strokecolor="#243b7d">
              <v:stroke dashstyle="solid"/>
            </v:line>
            <v:shape style="position:absolute;left:1133;top:295;width:2797;height:2835" type="#_x0000_t75" id="docshape152" stroked="false">
              <v:imagedata r:id="rId34" o:title=""/>
            </v:shape>
            <v:shape style="position:absolute;left:1133;top:295;width:7682;height:2835" type="#_x0000_t202" id="docshape153" filled="false" stroked="false">
              <v:textbox inset="0,0,0,0">
                <w:txbxContent>
                  <w:p>
                    <w:pPr>
                      <w:spacing w:before="250"/>
                      <w:ind w:left="3118" w:right="0" w:firstLine="0"/>
                      <w:jc w:val="left"/>
                      <w:rPr>
                        <w:rFonts w:ascii="Domus Semibold"/>
                        <w:b w:val="0"/>
                        <w:sz w:val="28"/>
                      </w:rPr>
                    </w:pPr>
                    <w:r>
                      <w:rPr>
                        <w:rFonts w:ascii="Domus Semibold"/>
                        <w:b w:val="0"/>
                        <w:color w:val="243B7D"/>
                        <w:sz w:val="28"/>
                      </w:rPr>
                      <w:t>Dr</w:t>
                    </w:r>
                    <w:r>
                      <w:rPr>
                        <w:rFonts w:ascii="Domus Semibold"/>
                        <w:b w:val="0"/>
                        <w:color w:val="243B7D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Domus Semibold"/>
                        <w:b w:val="0"/>
                        <w:color w:val="243B7D"/>
                        <w:sz w:val="28"/>
                      </w:rPr>
                      <w:t>Jo Cribb</w:t>
                    </w:r>
                  </w:p>
                  <w:p>
                    <w:pPr>
                      <w:spacing w:before="120"/>
                      <w:ind w:left="3118" w:right="191" w:firstLine="0"/>
                      <w:jc w:val="left"/>
                      <w:rPr>
                        <w:b w:val="0"/>
                        <w:sz w:val="19"/>
                      </w:rPr>
                    </w:pPr>
                    <w:r>
                      <w:rPr>
                        <w:b w:val="0"/>
                        <w:color w:val="231F20"/>
                        <w:spacing w:val="-1"/>
                        <w:sz w:val="19"/>
                      </w:rPr>
                      <w:t>Victoria</w:t>
                    </w:r>
                    <w:r>
                      <w:rPr>
                        <w:b w:val="0"/>
                        <w:color w:val="231F20"/>
                        <w:spacing w:val="-11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pacing w:val="-1"/>
                        <w:sz w:val="19"/>
                      </w:rPr>
                      <w:t>University,</w:t>
                    </w:r>
                    <w:r>
                      <w:rPr>
                        <w:b w:val="0"/>
                        <w:color w:val="231F20"/>
                        <w:spacing w:val="-10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Wellington,</w:t>
                    </w:r>
                    <w:r>
                      <w:rPr>
                        <w:b w:val="0"/>
                        <w:color w:val="231F20"/>
                        <w:spacing w:val="-10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Aotearoa-New</w:t>
                    </w:r>
                    <w:r>
                      <w:rPr>
                        <w:b w:val="0"/>
                        <w:color w:val="231F20"/>
                        <w:spacing w:val="-10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Zealand</w:t>
                    </w:r>
                    <w:r>
                      <w:rPr>
                        <w:b w:val="0"/>
                        <w:color w:val="231F20"/>
                        <w:spacing w:val="-45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Ph.D</w:t>
                    </w:r>
                    <w:r>
                      <w:rPr>
                        <w:b w:val="0"/>
                        <w:color w:val="231F20"/>
                        <w:spacing w:val="-1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(Victoria</w:t>
                    </w:r>
                    <w:r>
                      <w:rPr>
                        <w:b w:val="0"/>
                        <w:color w:val="231F20"/>
                        <w:spacing w:val="-1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University</w:t>
                    </w:r>
                    <w:r>
                      <w:rPr>
                        <w:b w:val="0"/>
                        <w:color w:val="231F20"/>
                        <w:spacing w:val="-1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of</w:t>
                    </w:r>
                    <w:r>
                      <w:rPr>
                        <w:b w:val="0"/>
                        <w:color w:val="231F20"/>
                        <w:spacing w:val="-1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Wellington)</w:t>
                    </w:r>
                  </w:p>
                  <w:p>
                    <w:pPr>
                      <w:spacing w:before="3"/>
                      <w:ind w:left="3118" w:right="0" w:firstLine="0"/>
                      <w:jc w:val="left"/>
                      <w:rPr>
                        <w:b w:val="0"/>
                        <w:sz w:val="19"/>
                      </w:rPr>
                    </w:pPr>
                    <w:r>
                      <w:rPr>
                        <w:b w:val="0"/>
                        <w:color w:val="231F20"/>
                        <w:sz w:val="19"/>
                      </w:rPr>
                      <w:t>MA</w:t>
                    </w:r>
                    <w:r>
                      <w:rPr>
                        <w:b w:val="0"/>
                        <w:color w:val="231F20"/>
                        <w:spacing w:val="-3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Hons</w:t>
                    </w:r>
                    <w:r>
                      <w:rPr>
                        <w:b w:val="0"/>
                        <w:color w:val="231F20"/>
                        <w:spacing w:val="-2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(Canterbury),</w:t>
                    </w:r>
                    <w:r>
                      <w:rPr>
                        <w:b w:val="0"/>
                        <w:color w:val="231F20"/>
                        <w:spacing w:val="-2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DipMGMT</w:t>
                    </w:r>
                    <w:r>
                      <w:rPr>
                        <w:b w:val="0"/>
                        <w:color w:val="231F20"/>
                        <w:spacing w:val="-2"/>
                        <w:sz w:val="19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</w:rPr>
                      <w:t>(Cambridge)</w:t>
                    </w:r>
                  </w:p>
                  <w:p>
                    <w:pPr>
                      <w:spacing w:before="143"/>
                      <w:ind w:left="3118" w:right="-87" w:firstLine="0"/>
                      <w:jc w:val="left"/>
                      <w:rPr>
                        <w:rFonts w:ascii="Apercu"/>
                        <w:b/>
                        <w:sz w:val="19"/>
                      </w:rPr>
                    </w:pPr>
                    <w:r>
                      <w:rPr>
                        <w:b w:val="0"/>
                        <w:color w:val="231F20"/>
                        <w:sz w:val="19"/>
                        <w:shd w:fill="5BCBF5" w:color="auto" w:val="clear"/>
                      </w:rPr>
                      <w:t>  </w:t>
                    </w:r>
                    <w:r>
                      <w:rPr>
                        <w:b w:val="0"/>
                        <w:color w:val="231F20"/>
                        <w:sz w:val="19"/>
                        <w:shd w:fill="5BCBF5" w:color="auto" w:val="clear"/>
                      </w:rPr>
                      <w:t>EMPA</w:t>
                    </w:r>
                    <w:r>
                      <w:rPr>
                        <w:b w:val="0"/>
                        <w:color w:val="231F20"/>
                        <w:spacing w:val="-9"/>
                        <w:sz w:val="19"/>
                        <w:shd w:fill="5BCBF5" w:color="auto" w:val="clear"/>
                      </w:rPr>
                      <w:t> </w:t>
                    </w:r>
                    <w:r>
                      <w:rPr>
                        <w:b w:val="0"/>
                        <w:color w:val="231F20"/>
                        <w:sz w:val="19"/>
                        <w:shd w:fill="5BCBF5" w:color="auto" w:val="clear"/>
                      </w:rPr>
                      <w:t>Subject:</w:t>
                    </w:r>
                    <w:r>
                      <w:rPr>
                        <w:b w:val="0"/>
                        <w:color w:val="231F20"/>
                        <w:spacing w:val="-10"/>
                        <w:sz w:val="19"/>
                        <w:shd w:fill="5BCBF5" w:color="auto" w:val="clear"/>
                      </w:rPr>
                      <w:t> </w:t>
                    </w:r>
                    <w:r>
                      <w:rPr>
                        <w:rFonts w:ascii="Apercu"/>
                        <w:b/>
                        <w:color w:val="231F20"/>
                        <w:sz w:val="19"/>
                        <w:shd w:fill="5BCBF5" w:color="auto" w:val="clear"/>
                      </w:rPr>
                      <w:t>Managing</w:t>
                    </w:r>
                    <w:r>
                      <w:rPr>
                        <w:rFonts w:ascii="Apercu"/>
                        <w:b/>
                        <w:color w:val="231F20"/>
                        <w:spacing w:val="-8"/>
                        <w:sz w:val="19"/>
                        <w:shd w:fill="5BCBF5" w:color="auto" w:val="clear"/>
                      </w:rPr>
                      <w:t> </w:t>
                    </w:r>
                    <w:r>
                      <w:rPr>
                        <w:rFonts w:ascii="Apercu"/>
                        <w:b/>
                        <w:color w:val="231F20"/>
                        <w:sz w:val="19"/>
                        <w:shd w:fill="5BCBF5" w:color="auto" w:val="clear"/>
                      </w:rPr>
                      <w:t>Public</w:t>
                    </w:r>
                    <w:r>
                      <w:rPr>
                        <w:rFonts w:ascii="Apercu"/>
                        <w:b/>
                        <w:color w:val="231F20"/>
                        <w:spacing w:val="-9"/>
                        <w:sz w:val="19"/>
                        <w:shd w:fill="5BCBF5" w:color="auto" w:val="clear"/>
                      </w:rPr>
                      <w:t> </w:t>
                    </w:r>
                    <w:r>
                      <w:rPr>
                        <w:rFonts w:ascii="Apercu"/>
                        <w:b/>
                        <w:color w:val="231F20"/>
                        <w:sz w:val="19"/>
                        <w:shd w:fill="5BCBF5" w:color="auto" w:val="clear"/>
                      </w:rPr>
                      <w:t>Sector</w:t>
                    </w:r>
                    <w:r>
                      <w:rPr>
                        <w:rFonts w:ascii="Apercu"/>
                        <w:b/>
                        <w:color w:val="231F20"/>
                        <w:spacing w:val="-8"/>
                        <w:sz w:val="19"/>
                        <w:shd w:fill="5BCBF5" w:color="auto" w:val="clear"/>
                      </w:rPr>
                      <w:t> </w:t>
                    </w:r>
                    <w:r>
                      <w:rPr>
                        <w:rFonts w:ascii="Apercu"/>
                        <w:b/>
                        <w:color w:val="231F20"/>
                        <w:sz w:val="19"/>
                        <w:shd w:fill="5BCBF5" w:color="auto" w:val="clear"/>
                      </w:rPr>
                      <w:t>Organisations </w:t>
                    </w:r>
                    <w:r>
                      <w:rPr>
                        <w:rFonts w:ascii="Apercu"/>
                        <w:b/>
                        <w:color w:val="231F20"/>
                        <w:spacing w:val="23"/>
                        <w:sz w:val="19"/>
                        <w:shd w:fill="5BCBF5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 w:val="0"/>
          <w:sz w:val="28"/>
        </w:rPr>
      </w:pPr>
    </w:p>
    <w:p>
      <w:pPr>
        <w:spacing w:before="71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1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2"/>
        </w:rPr>
        <w:t> </w:t>
      </w:r>
      <w:r>
        <w:rPr>
          <w:b w:val="0"/>
          <w:color w:val="231F20"/>
        </w:rPr>
        <w:t>diversity</w:t>
      </w:r>
    </w:p>
    <w:p>
      <w:pPr>
        <w:spacing w:before="59"/>
        <w:ind w:left="673" w:right="0" w:firstLine="0"/>
        <w:jc w:val="left"/>
        <w:rPr>
          <w:b w:val="0"/>
          <w:sz w:val="19"/>
        </w:rPr>
      </w:pPr>
      <w:r>
        <w:rPr>
          <w:rFonts w:ascii="Apercu" w:hAnsi="Apercu"/>
          <w:b/>
          <w:color w:val="231F20"/>
          <w:sz w:val="19"/>
        </w:rPr>
        <w:t>›</w:t>
      </w:r>
      <w:r>
        <w:rPr>
          <w:rFonts w:ascii="Apercu" w:hAnsi="Apercu"/>
          <w:b/>
          <w:color w:val="231F20"/>
          <w:spacing w:val="44"/>
          <w:sz w:val="19"/>
        </w:rPr>
        <w:t> </w:t>
      </w:r>
      <w:r>
        <w:rPr>
          <w:b w:val="0"/>
          <w:color w:val="231F20"/>
          <w:sz w:val="19"/>
        </w:rPr>
        <w:t>gender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governance</w:t>
      </w:r>
    </w:p>
    <w:p>
      <w:pPr>
        <w:spacing w:after="0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4"/>
        </w:rPr>
      </w:pPr>
    </w:p>
    <w:p>
      <w:pPr>
        <w:pStyle w:val="BodyText"/>
        <w:spacing w:before="9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4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1"/>
        </w:rPr>
        <w:t> </w:t>
      </w:r>
      <w:r>
        <w:rPr>
          <w:b w:val="0"/>
          <w:color w:val="231F20"/>
        </w:rPr>
        <w:t>inclusive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leadership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community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leadership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leadership</w:t>
      </w:r>
    </w:p>
    <w:p>
      <w:pPr>
        <w:pStyle w:val="BodyText"/>
        <w:spacing w:line="192" w:lineRule="auto" w:before="102"/>
        <w:ind w:left="673" w:right="2818"/>
        <w:rPr>
          <w:b w:val="0"/>
        </w:rPr>
      </w:pPr>
      <w:r>
        <w:rPr>
          <w:b w:val="0"/>
          <w:color w:val="231F20"/>
        </w:rPr>
        <w:t>Jo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Chief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0"/>
        </w:rPr>
        <w:t> </w:t>
      </w:r>
      <w:hyperlink r:id="rId35">
        <w:r>
          <w:rPr>
            <w:b w:val="0"/>
            <w:color w:val="243B7D"/>
            <w:u w:val="single" w:color="243B7D"/>
          </w:rPr>
          <w:t>Ministry</w:t>
        </w:r>
        <w:r>
          <w:rPr>
            <w:b w:val="0"/>
            <w:color w:val="243B7D"/>
            <w:spacing w:val="-10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for</w:t>
        </w:r>
        <w:r>
          <w:rPr>
            <w:b w:val="0"/>
            <w:color w:val="243B7D"/>
            <w:spacing w:val="-10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Women</w:t>
        </w:r>
      </w:hyperlink>
      <w:r>
        <w:rPr>
          <w:b w:val="0"/>
          <w:color w:val="231F20"/>
        </w:rPr>
        <w:t>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One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youngest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Chief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Executives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ever appointed in the Aotearoa-New Zealand Public Service, she has invested her time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energy in advancing the causes of the vulnerable in society, spearheading some of the most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difficult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issues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time,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child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abuse,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child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poverty,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family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violence,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vulnerable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women.</w:t>
      </w:r>
    </w:p>
    <w:p>
      <w:pPr>
        <w:pStyle w:val="BodyText"/>
        <w:spacing w:line="192" w:lineRule="auto" w:before="113"/>
        <w:ind w:left="673" w:right="3095"/>
        <w:rPr>
          <w:b w:val="0"/>
        </w:rPr>
      </w:pPr>
      <w:r>
        <w:rPr>
          <w:b w:val="0"/>
          <w:color w:val="231F20"/>
        </w:rPr>
        <w:t>Formerly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Children’s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Commissioner,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author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Government’s</w:t>
      </w:r>
      <w:r>
        <w:rPr>
          <w:b w:val="0"/>
          <w:color w:val="231F20"/>
          <w:spacing w:val="-9"/>
        </w:rPr>
        <w:t> </w:t>
      </w:r>
      <w:hyperlink r:id="rId36">
        <w:r>
          <w:rPr>
            <w:b w:val="0"/>
            <w:color w:val="243B7D"/>
            <w:u w:val="single" w:color="243B7D"/>
          </w:rPr>
          <w:t>Green</w:t>
        </w:r>
        <w:r>
          <w:rPr>
            <w:b w:val="0"/>
            <w:color w:val="243B7D"/>
            <w:spacing w:val="-8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Paper</w:t>
        </w:r>
      </w:hyperlink>
      <w:r>
        <w:rPr>
          <w:b w:val="0"/>
          <w:color w:val="243B7D"/>
          <w:spacing w:val="1"/>
        </w:rPr>
        <w:t> </w:t>
      </w:r>
      <w:hyperlink r:id="rId36">
        <w:r>
          <w:rPr>
            <w:b w:val="0"/>
            <w:color w:val="243B7D"/>
            <w:u w:val="single" w:color="243B7D"/>
          </w:rPr>
          <w:t>on Vulnerable Children</w:t>
        </w:r>
      </w:hyperlink>
      <w:r>
        <w:rPr>
          <w:b w:val="0"/>
          <w:color w:val="231F20"/>
        </w:rPr>
        <w:t>, she has a Doctorate in Public Policy and works internationally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advancing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Pacific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hyperlink r:id="rId37">
        <w:r>
          <w:rPr>
            <w:b w:val="0"/>
            <w:color w:val="243B7D"/>
            <w:u w:val="single" w:color="243B7D"/>
          </w:rPr>
          <w:t>Volunteer</w:t>
        </w:r>
        <w:r>
          <w:rPr>
            <w:b w:val="0"/>
            <w:color w:val="243B7D"/>
            <w:spacing w:val="-2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Service</w:t>
        </w:r>
        <w:r>
          <w:rPr>
            <w:b w:val="0"/>
            <w:color w:val="243B7D"/>
            <w:spacing w:val="-3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Abroad</w:t>
        </w:r>
        <w:r>
          <w:rPr>
            <w:b w:val="0"/>
            <w:color w:val="243B7D"/>
            <w:spacing w:val="-3"/>
          </w:rPr>
          <w:t> </w:t>
        </w:r>
      </w:hyperlink>
      <w:r>
        <w:rPr>
          <w:b w:val="0"/>
          <w:color w:val="231F20"/>
        </w:rPr>
        <w:t>(VSA).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She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finalist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Women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Influence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Awards.</w:t>
      </w:r>
    </w:p>
    <w:p>
      <w:pPr>
        <w:pStyle w:val="BodyText"/>
        <w:spacing w:line="192" w:lineRule="auto" w:before="102"/>
        <w:ind w:left="673" w:right="3085"/>
        <w:rPr>
          <w:b w:val="0"/>
        </w:rPr>
      </w:pPr>
      <w:r>
        <w:rPr>
          <w:b w:val="0"/>
          <w:color w:val="231F20"/>
        </w:rPr>
        <w:t>She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varied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portfolio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career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includes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NGO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works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improve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literacy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rates, directorships and consulting on policy, strategy and gender projects. Recent consulting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assignments include facilitating sessions at the Women’s Forum at the Commonwealth Heads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Government Meeting (CHOGM) in London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 April.</w:t>
      </w:r>
    </w:p>
    <w:p>
      <w:pPr>
        <w:pStyle w:val="BodyText"/>
        <w:spacing w:before="71"/>
        <w:ind w:left="673"/>
        <w:rPr>
          <w:b w:val="0"/>
        </w:rPr>
      </w:pPr>
      <w:r>
        <w:rPr>
          <w:b w:val="0"/>
          <w:color w:val="231F20"/>
        </w:rPr>
        <w:t>Career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–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Chief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Ministry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Women,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Zealand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Children’s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Commissioner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Volunteer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Abroad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(VSA)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advancing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Pacific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Finalist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Women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Influence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Awards</w:t>
      </w:r>
    </w:p>
    <w:p>
      <w:pPr>
        <w:pStyle w:val="BodyText"/>
        <w:spacing w:line="192" w:lineRule="auto" w:before="102"/>
        <w:ind w:left="843" w:right="328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Extensive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consulting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advising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agencies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strategy,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leadership,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 and gender projects.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Active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coaching.</w:t>
      </w:r>
    </w:p>
    <w:p>
      <w:pPr>
        <w:pStyle w:val="BodyText"/>
        <w:spacing w:line="192" w:lineRule="auto" w:before="102"/>
        <w:ind w:left="843" w:right="3359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1"/>
        </w:rPr>
        <w:t> </w:t>
      </w:r>
      <w:r>
        <w:rPr>
          <w:b w:val="0"/>
          <w:color w:val="231F20"/>
        </w:rPr>
        <w:t>Recent engagements include facilitating sessions at the </w:t>
      </w:r>
      <w:r>
        <w:rPr>
          <w:b w:val="0"/>
          <w:color w:val="243B7D"/>
          <w:u w:val="single" w:color="243B7D"/>
        </w:rPr>
        <w:t>Commonwealth Heads of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  <w:u w:val="single" w:color="243B7D"/>
        </w:rPr>
        <w:t>Government</w:t>
      </w:r>
      <w:r>
        <w:rPr>
          <w:b w:val="0"/>
          <w:color w:val="243B7D"/>
          <w:spacing w:val="-6"/>
          <w:u w:val="single" w:color="243B7D"/>
        </w:rPr>
        <w:t> </w:t>
      </w:r>
      <w:r>
        <w:rPr>
          <w:b w:val="0"/>
          <w:color w:val="243B7D"/>
          <w:u w:val="single" w:color="243B7D"/>
        </w:rPr>
        <w:t>Meeting</w:t>
      </w:r>
      <w:r>
        <w:rPr>
          <w:b w:val="0"/>
          <w:color w:val="243B7D"/>
          <w:spacing w:val="-5"/>
          <w:u w:val="single" w:color="243B7D"/>
        </w:rPr>
        <w:t> </w:t>
      </w:r>
      <w:r>
        <w:rPr>
          <w:b w:val="0"/>
          <w:color w:val="243B7D"/>
          <w:u w:val="single" w:color="243B7D"/>
        </w:rPr>
        <w:t>in</w:t>
      </w:r>
      <w:r>
        <w:rPr>
          <w:b w:val="0"/>
          <w:color w:val="243B7D"/>
          <w:spacing w:val="-5"/>
          <w:u w:val="single" w:color="243B7D"/>
        </w:rPr>
        <w:t> </w:t>
      </w:r>
      <w:r>
        <w:rPr>
          <w:b w:val="0"/>
          <w:color w:val="243B7D"/>
          <w:u w:val="single" w:color="243B7D"/>
        </w:rPr>
        <w:t>London,</w:t>
      </w:r>
      <w:r>
        <w:rPr>
          <w:b w:val="0"/>
          <w:color w:val="243B7D"/>
          <w:spacing w:val="-5"/>
          <w:u w:val="single" w:color="243B7D"/>
        </w:rPr>
        <w:t> </w:t>
      </w:r>
      <w:r>
        <w:rPr>
          <w:b w:val="0"/>
          <w:color w:val="243B7D"/>
          <w:u w:val="single" w:color="243B7D"/>
        </w:rPr>
        <w:t>2018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Aotearoa-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Defence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develop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strategies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increase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gender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forces,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completing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gender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analysis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immigration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policy.</w:t>
      </w:r>
    </w:p>
    <w:p>
      <w:pPr>
        <w:pStyle w:val="BodyText"/>
        <w:spacing w:line="192" w:lineRule="auto" w:before="114"/>
        <w:ind w:left="843" w:right="3285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Board member of </w:t>
      </w:r>
      <w:hyperlink r:id="rId38">
        <w:r>
          <w:rPr>
            <w:b w:val="0"/>
            <w:color w:val="243B7D"/>
            <w:u w:val="single" w:color="243B7D"/>
          </w:rPr>
          <w:t>New Zealand Media Council</w:t>
        </w:r>
      </w:hyperlink>
      <w:r>
        <w:rPr>
          <w:b w:val="0"/>
          <w:color w:val="231F20"/>
        </w:rPr>
        <w:t>, </w:t>
      </w:r>
      <w:hyperlink r:id="rId39">
        <w:r>
          <w:rPr>
            <w:b w:val="0"/>
            <w:color w:val="243B7D"/>
            <w:u w:val="single" w:color="243B7D"/>
          </w:rPr>
          <w:t>Royal New Zealand Navy Leadership Board</w:t>
        </w:r>
      </w:hyperlink>
      <w:r>
        <w:rPr>
          <w:b w:val="0"/>
          <w:color w:val="243B7D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hyperlink r:id="rId40">
        <w:r>
          <w:rPr>
            <w:b w:val="0"/>
            <w:color w:val="243B7D"/>
            <w:u w:val="single" w:color="243B7D"/>
          </w:rPr>
          <w:t>Institute</w:t>
        </w:r>
        <w:r>
          <w:rPr>
            <w:b w:val="0"/>
            <w:color w:val="243B7D"/>
            <w:spacing w:val="-2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of</w:t>
        </w:r>
        <w:r>
          <w:rPr>
            <w:b w:val="0"/>
            <w:color w:val="243B7D"/>
            <w:spacing w:val="-1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Public</w:t>
        </w:r>
        <w:r>
          <w:rPr>
            <w:b w:val="0"/>
            <w:color w:val="243B7D"/>
            <w:spacing w:val="-1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Administration</w:t>
        </w:r>
        <w:r>
          <w:rPr>
            <w:b w:val="0"/>
            <w:color w:val="243B7D"/>
            <w:spacing w:val="-1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of</w:t>
        </w:r>
        <w:r>
          <w:rPr>
            <w:b w:val="0"/>
            <w:color w:val="243B7D"/>
            <w:spacing w:val="-1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New</w:t>
        </w:r>
        <w:r>
          <w:rPr>
            <w:b w:val="0"/>
            <w:color w:val="243B7D"/>
            <w:spacing w:val="-1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Zealand</w:t>
        </w:r>
        <w:r>
          <w:rPr>
            <w:b w:val="0"/>
            <w:color w:val="243B7D"/>
            <w:spacing w:val="-1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(IPANZ)</w:t>
        </w:r>
      </w:hyperlink>
    </w:p>
    <w:p>
      <w:pPr>
        <w:pStyle w:val="BodyText"/>
        <w:spacing w:line="192" w:lineRule="auto" w:before="113"/>
        <w:ind w:left="843" w:right="3409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years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facilitating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Directors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Aotearoa-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Zealand.</w:t>
      </w:r>
    </w:p>
    <w:p>
      <w:pPr>
        <w:pStyle w:val="BodyText"/>
        <w:spacing w:line="192" w:lineRule="auto" w:before="114"/>
        <w:ind w:left="843" w:right="3181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Jo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taught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MPSO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three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years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receiving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excellent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feedback,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delivering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numerous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guest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lectures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Government,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Victoria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Wellington.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Jo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advisor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MPSO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years</w:t>
      </w:r>
    </w:p>
    <w:p>
      <w:pPr>
        <w:spacing w:after="0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7"/>
        </w:rPr>
      </w:pPr>
    </w:p>
    <w:p>
      <w:pPr>
        <w:pStyle w:val="BodyText"/>
        <w:spacing w:line="20" w:lineRule="exact"/>
        <w:ind w:left="673"/>
        <w:rPr>
          <w:sz w:val="2"/>
        </w:rPr>
      </w:pPr>
      <w:r>
        <w:rPr>
          <w:sz w:val="2"/>
        </w:rPr>
        <w:pict>
          <v:group style="width:384.1pt;height:.25pt;mso-position-horizontal-relative:char;mso-position-vertical-relative:line" id="docshapegroup154" coordorigin="0,0" coordsize="7682,5">
            <v:line style="position:absolute" from="0,3" to="7682,3" stroked="true" strokeweight=".25pt" strokecolor="#243b7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b w:val="0"/>
          <w:sz w:val="6"/>
        </w:rPr>
      </w:pPr>
    </w:p>
    <w:p>
      <w:pPr>
        <w:spacing w:before="62"/>
        <w:ind w:left="3791" w:right="0" w:firstLine="0"/>
        <w:jc w:val="left"/>
        <w:rPr>
          <w:rFonts w:ascii="Domus Semibold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720001</wp:posOffset>
            </wp:positionH>
            <wp:positionV relativeFrom="paragraph">
              <wp:posOffset>86573</wp:posOffset>
            </wp:positionV>
            <wp:extent cx="1776006" cy="1812010"/>
            <wp:effectExtent l="0" t="0" r="0" b="0"/>
            <wp:wrapNone/>
            <wp:docPr id="2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06" cy="18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/>
          <w:b w:val="0"/>
          <w:color w:val="243B7D"/>
          <w:sz w:val="28"/>
        </w:rPr>
        <w:t>Professor</w:t>
      </w:r>
      <w:r>
        <w:rPr>
          <w:rFonts w:ascii="Domus Semibold"/>
          <w:b w:val="0"/>
          <w:color w:val="243B7D"/>
          <w:spacing w:val="-5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Suresh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Cuganesan</w:t>
      </w:r>
    </w:p>
    <w:p>
      <w:pPr>
        <w:pStyle w:val="BodyText"/>
        <w:spacing w:before="120"/>
        <w:ind w:left="3791"/>
        <w:rPr>
          <w:b w:val="0"/>
        </w:rPr>
      </w:pP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Sydney</w:t>
      </w:r>
    </w:p>
    <w:p>
      <w:pPr>
        <w:pStyle w:val="BodyText"/>
        <w:spacing w:before="2"/>
        <w:ind w:left="3791"/>
        <w:rPr>
          <w:b w:val="0"/>
        </w:rPr>
      </w:pPr>
      <w:r>
        <w:rPr>
          <w:b w:val="0"/>
          <w:color w:val="231F20"/>
        </w:rPr>
        <w:t>GAICD,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FCPA,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PhD,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MCom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(Hon),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BCom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(Hon)</w:t>
      </w:r>
    </w:p>
    <w:p>
      <w:pPr>
        <w:spacing w:before="143"/>
        <w:ind w:left="3791" w:right="0" w:firstLine="0"/>
        <w:jc w:val="left"/>
        <w:rPr>
          <w:rFonts w:ascii="Apercu"/>
          <w:b/>
          <w:sz w:val="19"/>
        </w:rPr>
      </w:pPr>
      <w:r>
        <w:rPr>
          <w:b w:val="0"/>
          <w:color w:val="231F20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EMPA</w:t>
      </w:r>
      <w:r>
        <w:rPr>
          <w:b w:val="0"/>
          <w:color w:val="231F20"/>
          <w:spacing w:val="-9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Subject:</w:t>
      </w:r>
      <w:r>
        <w:rPr>
          <w:b w:val="0"/>
          <w:color w:val="231F20"/>
          <w:spacing w:val="-9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Public</w:t>
      </w:r>
      <w:r>
        <w:rPr>
          <w:rFonts w:ascii="Apercu"/>
          <w:b/>
          <w:color w:val="231F20"/>
          <w:spacing w:val="-8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Financial</w:t>
      </w:r>
      <w:r>
        <w:rPr>
          <w:rFonts w:ascii="Apercu"/>
          <w:b/>
          <w:color w:val="231F20"/>
          <w:spacing w:val="-8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Management</w:t>
      </w:r>
      <w:r>
        <w:rPr>
          <w:rFonts w:ascii="Apercu"/>
          <w:b/>
          <w:color w:val="231F20"/>
          <w:spacing w:val="11"/>
          <w:sz w:val="19"/>
          <w:shd w:fill="5BCBF5" w:color="auto" w:val="clear"/>
        </w:rPr>
        <w:t> </w:t>
      </w: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2"/>
        <w:rPr>
          <w:rFonts w:ascii="Apercu"/>
          <w:b/>
          <w:sz w:val="17"/>
        </w:rPr>
      </w:pPr>
    </w:p>
    <w:p>
      <w:pPr>
        <w:spacing w:before="1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1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Strategy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Organisational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design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management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Performance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measurement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reporting</w:t>
      </w:r>
    </w:p>
    <w:p>
      <w:pPr>
        <w:pStyle w:val="BodyText"/>
        <w:spacing w:line="192" w:lineRule="auto" w:before="102"/>
        <w:ind w:left="673" w:right="3150"/>
        <w:rPr>
          <w:b w:val="0"/>
        </w:rPr>
      </w:pPr>
      <w:r>
        <w:rPr>
          <w:b w:val="0"/>
          <w:color w:val="231F20"/>
        </w:rPr>
        <w:t>Suresh Cuganesan is Associate Dean (Student Success &amp; Mobility) and Professor in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Discipline of Strategy, Innovation and Entrepreneurship at the University of Sydney Business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School.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Suresh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specialises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areas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strategy,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organisational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management. He is also passionate about education that is fit-for-purpose and impactful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given our changing society and workplace. Suresh’s current research areas investigate how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technology and data innovations impact work and organisations; and, how organisations can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achieve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better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outcomes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more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open,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collaborative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transparent.</w:t>
      </w:r>
    </w:p>
    <w:p>
      <w:pPr>
        <w:pStyle w:val="BodyText"/>
        <w:spacing w:line="192" w:lineRule="auto" w:before="114"/>
        <w:ind w:left="673" w:right="3355"/>
        <w:rPr>
          <w:b w:val="0"/>
        </w:rPr>
      </w:pPr>
      <w:r>
        <w:rPr>
          <w:b w:val="0"/>
          <w:color w:val="231F20"/>
        </w:rPr>
        <w:t>Prior to his academic career, Suresh worked in institutional banking and management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consulting. He is also a Fellow of CPA Australia and a member of AICD. More recently,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Suresh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CEO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John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Grill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Centre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Sydney.</w:t>
      </w:r>
    </w:p>
    <w:p>
      <w:pPr>
        <w:pStyle w:val="BodyText"/>
        <w:spacing w:line="192" w:lineRule="auto"/>
        <w:ind w:left="673" w:right="3180"/>
        <w:rPr>
          <w:b w:val="0"/>
        </w:rPr>
      </w:pPr>
      <w:r>
        <w:rPr>
          <w:b w:val="0"/>
          <w:color w:val="231F20"/>
        </w:rPr>
        <w:t>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advised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consulted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organisations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services,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energy,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law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enforcement,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transport, government and recruitment services. Suresh has published numerous academic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research articles in leading international and national journals and has been successful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generating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$2.5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million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external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funding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(including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Grants)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his research.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Career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–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Associate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(Student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Success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&amp;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Mobility),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School,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Sydney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CEO,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John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Grill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Centre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Leadership,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Sydney.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0"/>
        </w:rPr>
        <w:t> </w:t>
      </w:r>
      <w:r>
        <w:rPr>
          <w:b w:val="0"/>
          <w:color w:val="231F20"/>
        </w:rPr>
        <w:t>Fellow,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CPA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Australia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Approximately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$2.5M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grant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income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Extensive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consulting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sectors</w:t>
      </w:r>
    </w:p>
    <w:p>
      <w:pPr>
        <w:pStyle w:val="BodyText"/>
        <w:spacing w:line="192" w:lineRule="auto" w:before="101"/>
        <w:ind w:left="843" w:right="4260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25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years’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undergraduate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levels.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latter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includes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Masters, MBA,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DBA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levels.</w:t>
      </w:r>
    </w:p>
    <w:p>
      <w:pPr>
        <w:pStyle w:val="BodyText"/>
        <w:spacing w:line="192" w:lineRule="auto" w:before="114"/>
        <w:ind w:left="843" w:right="3811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3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received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Dean’s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Citations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Post-Graduate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Sydney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Macquarie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Graduate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Management</w:t>
      </w:r>
    </w:p>
    <w:p>
      <w:pPr>
        <w:pStyle w:val="BodyText"/>
        <w:spacing w:line="192" w:lineRule="auto" w:before="113"/>
        <w:ind w:left="843" w:right="3382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Post-experience Masters: Units delivered include Strategies for Growth at University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Sydney, Accounting for Management, Financial Management, and Business Performance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Measurement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MGSM,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Macquarie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addition,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taught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settings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(Singapore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Hong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Kong).</w:t>
      </w:r>
    </w:p>
    <w:p>
      <w:pPr>
        <w:pStyle w:val="BodyText"/>
        <w:spacing w:line="192" w:lineRule="auto" w:before="114"/>
        <w:ind w:left="843" w:right="3958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Pre-experience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master’s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units: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delivered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comprise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Accounting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Financial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Advanced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Applications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Sydney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Managerial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Accounting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Swinburne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University.</w:t>
      </w:r>
    </w:p>
    <w:p>
      <w:pPr>
        <w:spacing w:after="0" w:line="192" w:lineRule="auto"/>
        <w:jc w:val="both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7"/>
        </w:rPr>
      </w:pPr>
    </w:p>
    <w:p>
      <w:pPr>
        <w:pStyle w:val="BodyText"/>
        <w:spacing w:line="20" w:lineRule="exact"/>
        <w:ind w:left="673"/>
        <w:rPr>
          <w:sz w:val="2"/>
        </w:rPr>
      </w:pPr>
      <w:r>
        <w:rPr>
          <w:sz w:val="2"/>
        </w:rPr>
        <w:pict>
          <v:group style="width:384.1pt;height:.25pt;mso-position-horizontal-relative:char;mso-position-vertical-relative:line" id="docshapegroup155" coordorigin="0,0" coordsize="7682,5">
            <v:line style="position:absolute" from="0,3" to="7682,3" stroked="true" strokeweight=".25pt" strokecolor="#243b7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b w:val="0"/>
          <w:sz w:val="6"/>
        </w:rPr>
      </w:pPr>
    </w:p>
    <w:p>
      <w:pPr>
        <w:spacing w:before="62"/>
        <w:ind w:left="3791" w:right="0" w:firstLine="0"/>
        <w:jc w:val="left"/>
        <w:rPr>
          <w:rFonts w:ascii="Domus Semibold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720001</wp:posOffset>
            </wp:positionH>
            <wp:positionV relativeFrom="paragraph">
              <wp:posOffset>98575</wp:posOffset>
            </wp:positionV>
            <wp:extent cx="1776006" cy="1811997"/>
            <wp:effectExtent l="0" t="0" r="0" b="0"/>
            <wp:wrapNone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06" cy="181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/>
          <w:b w:val="0"/>
          <w:color w:val="243B7D"/>
          <w:sz w:val="28"/>
        </w:rPr>
        <w:t>Professor</w:t>
      </w:r>
      <w:r>
        <w:rPr>
          <w:rFonts w:ascii="Domus Semibold"/>
          <w:b w:val="0"/>
          <w:color w:val="243B7D"/>
          <w:spacing w:val="-7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Arie</w:t>
      </w:r>
      <w:r>
        <w:rPr>
          <w:rFonts w:ascii="Domus Semibold"/>
          <w:b w:val="0"/>
          <w:color w:val="243B7D"/>
          <w:spacing w:val="-6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Freiberg</w:t>
      </w:r>
    </w:p>
    <w:p>
      <w:pPr>
        <w:pStyle w:val="BodyText"/>
        <w:spacing w:before="9"/>
        <w:rPr>
          <w:rFonts w:ascii="Domus Semibold"/>
          <w:b w:val="0"/>
          <w:sz w:val="37"/>
        </w:rPr>
      </w:pPr>
    </w:p>
    <w:p>
      <w:pPr>
        <w:pStyle w:val="BodyText"/>
        <w:spacing w:before="1"/>
        <w:ind w:left="3791" w:right="5815"/>
        <w:rPr>
          <w:b w:val="0"/>
        </w:rPr>
      </w:pPr>
      <w:r>
        <w:rPr>
          <w:b w:val="0"/>
          <w:color w:val="231F20"/>
        </w:rPr>
        <w:t>Monash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LLD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(Melb),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LLM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(Mon),</w:t>
      </w:r>
    </w:p>
    <w:p>
      <w:pPr>
        <w:pStyle w:val="BodyText"/>
        <w:spacing w:before="3"/>
        <w:ind w:left="3791"/>
        <w:rPr>
          <w:b w:val="0"/>
        </w:rPr>
      </w:pPr>
      <w:r>
        <w:rPr>
          <w:b w:val="0"/>
          <w:color w:val="231F20"/>
        </w:rPr>
        <w:t>Dip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Crim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(Melb),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LLB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Hons (Melb)</w:t>
      </w:r>
    </w:p>
    <w:p>
      <w:pPr>
        <w:spacing w:before="136"/>
        <w:ind w:left="3791" w:right="0" w:firstLine="0"/>
        <w:jc w:val="left"/>
        <w:rPr>
          <w:rFonts w:ascii="Apercu"/>
          <w:b/>
          <w:sz w:val="19"/>
        </w:rPr>
      </w:pPr>
      <w:r>
        <w:rPr>
          <w:b w:val="0"/>
          <w:color w:val="231F20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EMPA</w:t>
      </w:r>
      <w:r>
        <w:rPr>
          <w:b w:val="0"/>
          <w:color w:val="231F20"/>
          <w:spacing w:val="-8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Subject:</w:t>
      </w:r>
      <w:r>
        <w:rPr>
          <w:b w:val="0"/>
          <w:color w:val="231F20"/>
          <w:spacing w:val="-8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Governing</w:t>
      </w:r>
      <w:r>
        <w:rPr>
          <w:rFonts w:ascii="Apercu"/>
          <w:b/>
          <w:color w:val="231F20"/>
          <w:spacing w:val="-7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by</w:t>
      </w:r>
      <w:r>
        <w:rPr>
          <w:rFonts w:ascii="Apercu"/>
          <w:b/>
          <w:color w:val="231F20"/>
          <w:spacing w:val="-7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the</w:t>
      </w:r>
      <w:r>
        <w:rPr>
          <w:rFonts w:ascii="Apercu"/>
          <w:b/>
          <w:color w:val="231F20"/>
          <w:spacing w:val="-7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Rules </w:t>
      </w:r>
      <w:r>
        <w:rPr>
          <w:rFonts w:ascii="Apercu"/>
          <w:b/>
          <w:color w:val="231F20"/>
          <w:spacing w:val="18"/>
          <w:sz w:val="19"/>
          <w:shd w:fill="5BCBF5" w:color="auto" w:val="clear"/>
        </w:rPr>
        <w:t> </w:t>
      </w: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15"/>
        </w:rPr>
      </w:pPr>
    </w:p>
    <w:p>
      <w:pPr>
        <w:spacing w:before="1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1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Regulation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Sentencing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Non-adversarial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justice</w:t>
      </w:r>
    </w:p>
    <w:p>
      <w:pPr>
        <w:pStyle w:val="BodyText"/>
        <w:spacing w:line="192" w:lineRule="auto" w:before="102"/>
        <w:ind w:left="673" w:right="3115"/>
        <w:rPr>
          <w:b w:val="0"/>
        </w:rPr>
      </w:pPr>
      <w:r>
        <w:rPr>
          <w:b w:val="0"/>
          <w:color w:val="231F20"/>
        </w:rPr>
        <w:t>Professor Arie Freiberg AM holds an Adjunct Faculty appointment at ANZSOG and is a fellow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the Academy of Social Sciences in Australia and the Australian Academy of Law. He is one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of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Australia’s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foremost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experts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on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sentencing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the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criminal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justice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system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published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widely from both a national and international perspective. He has been Chair of the Victorian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Sentencing Advisory Council since 2004 and of the Tasmanian Sentencing Advisory Council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since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2013.</w:t>
      </w:r>
    </w:p>
    <w:p>
      <w:pPr>
        <w:pStyle w:val="BodyText"/>
        <w:spacing w:line="247" w:lineRule="exact" w:before="70"/>
        <w:ind w:left="673"/>
        <w:rPr>
          <w:b w:val="0"/>
        </w:rPr>
      </w:pPr>
      <w:r>
        <w:rPr>
          <w:b w:val="0"/>
          <w:color w:val="231F20"/>
        </w:rPr>
        <w:t>His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particular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expertise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sentencing,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non-adversarial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justice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regulation.</w:t>
      </w:r>
    </w:p>
    <w:p>
      <w:pPr>
        <w:pStyle w:val="BodyText"/>
        <w:spacing w:line="192" w:lineRule="auto" w:before="16"/>
        <w:ind w:left="673" w:right="3134"/>
        <w:rPr>
          <w:b w:val="0"/>
        </w:rPr>
      </w:pPr>
      <w:r>
        <w:rPr>
          <w:b w:val="0"/>
          <w:color w:val="231F20"/>
        </w:rPr>
        <w:t>He has been a Visiting Scholar at Harvard Law School (2014) and Tel Aviv University (2008) and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has served as a consultant to the Federal, Victorian, South Australian and Western Australian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governments on sentencing matters as well as the Australian and South African Law Reform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Commissions. In 2015 he consulted to the Royal Commission on Child Sexual Abuse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Institutional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Contexts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sentencing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issues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consultant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Queensland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Department of Justice and Attorney-General on drug courts. He has also consulted for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number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state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agencies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departments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regulatory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reform.</w:t>
      </w:r>
    </w:p>
    <w:p>
      <w:pPr>
        <w:pStyle w:val="BodyText"/>
        <w:spacing w:line="192" w:lineRule="auto" w:before="114"/>
        <w:ind w:left="673" w:right="3396"/>
        <w:jc w:val="both"/>
        <w:rPr>
          <w:b w:val="0"/>
        </w:rPr>
      </w:pPr>
      <w:r>
        <w:rPr>
          <w:b w:val="0"/>
          <w:color w:val="231F20"/>
        </w:rPr>
        <w:t>Professor Freiberg graduated from the University of Melbourne with an honours degree in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Law and a Diploma in Criminology in 1972 and holds a Master of Laws degree from Monash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awarded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degree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Doctor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Laws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Melbourne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2001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fellow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Sciences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Academy</w:t>
      </w:r>
    </w:p>
    <w:p>
      <w:pPr>
        <w:pStyle w:val="BodyText"/>
        <w:spacing w:line="192" w:lineRule="auto"/>
        <w:ind w:left="673" w:right="3219"/>
        <w:rPr>
          <w:b w:val="0"/>
        </w:rPr>
      </w:pP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Law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holds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Adjunct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appointment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School of Government. Between 1996 and 1998, he was President of the Australian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Aotearoa-New Zealand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Society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Criminology.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 2009,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was made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Member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Order of Australia (AM) for his service to law, particularly in the fields of criminology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reform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related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sentencing,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legal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leadership.</w:t>
      </w:r>
    </w:p>
    <w:p>
      <w:pPr>
        <w:pStyle w:val="BodyText"/>
        <w:spacing w:line="192" w:lineRule="auto" w:before="114"/>
        <w:ind w:left="673" w:right="3111"/>
        <w:rPr>
          <w:b w:val="0"/>
        </w:rPr>
      </w:pPr>
      <w:r>
        <w:rPr>
          <w:b w:val="0"/>
          <w:color w:val="231F20"/>
        </w:rPr>
        <w:t>Arie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Freiberg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Emeritus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Monash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Law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at Monash University between 2004 and 2012. Before this, he was Dean of the Faculty of Arts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at the University of Melbourne in 2003. He was appointed to the Foundation Chair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Criminology at the University of Melbourne in January 1991 where he served as Head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Department of Criminology between January 1992 and June 2002. In 2013 he was appointed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Emeritus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Professor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Monash University.</w:t>
      </w:r>
    </w:p>
    <w:p>
      <w:pPr>
        <w:pStyle w:val="BodyText"/>
        <w:spacing w:line="192" w:lineRule="auto" w:before="113"/>
        <w:ind w:left="673" w:right="3635"/>
        <w:rPr>
          <w:b w:val="0"/>
        </w:rPr>
      </w:pPr>
      <w:r>
        <w:rPr>
          <w:b w:val="0"/>
          <w:color w:val="231F20"/>
          <w:spacing w:val="-1"/>
        </w:rPr>
        <w:t>Professor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Freiberg’s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experience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includes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into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Masters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degrees at both Monash and Melbourne universities since the 1990s in subjects relating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 sentencing and regulation as well as teaching at the JD level at Harvard University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non-adversarial justice (2014). He has taught the ANZSOG EMPA subject Governing by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Rules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since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2008.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dean,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curriculum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Law,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Monash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2010-11</w:t>
      </w:r>
    </w:p>
    <w:p>
      <w:pPr>
        <w:spacing w:after="0" w:line="232" w:lineRule="exact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before="95"/>
        <w:ind w:left="673"/>
        <w:rPr>
          <w:b w:val="0"/>
        </w:rPr>
      </w:pPr>
      <w:r>
        <w:rPr>
          <w:b w:val="0"/>
          <w:color w:val="231F20"/>
        </w:rPr>
        <w:t>Career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Order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services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law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Fellow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Sciences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Fellow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Law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Past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Dean,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Law,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Monash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(2004-2012)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1"/>
        </w:rPr>
        <w:t> </w:t>
      </w:r>
      <w:r>
        <w:rPr>
          <w:b w:val="0"/>
          <w:color w:val="231F20"/>
        </w:rPr>
        <w:t>Past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Dean,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Arts,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Melbourne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2"/>
        </w:rPr>
        <w:t> </w:t>
      </w:r>
      <w:r>
        <w:rPr>
          <w:b w:val="0"/>
          <w:color w:val="231F20"/>
        </w:rPr>
        <w:t>Foundation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Chair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Criminology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Melbourne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Past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President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Society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Criminology.</w:t>
      </w:r>
    </w:p>
    <w:p>
      <w:pPr>
        <w:pStyle w:val="BodyText"/>
        <w:spacing w:line="192" w:lineRule="auto" w:before="102"/>
        <w:ind w:left="843" w:right="4350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Consultant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governments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sentencing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matters,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child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sex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abuse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drug courts</w:t>
      </w:r>
    </w:p>
    <w:p>
      <w:pPr>
        <w:pStyle w:val="BodyText"/>
        <w:spacing w:line="192" w:lineRule="auto" w:before="113"/>
        <w:ind w:left="843" w:right="4186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170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publications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covering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fields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sentencing,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non-adversarial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justice,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criminology,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regulatory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practice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regulatory theory.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4"/>
        </w:rPr>
      </w:pPr>
      <w:r>
        <w:rPr/>
        <w:pict>
          <v:shape style="position:absolute;margin-left:56.692902pt;margin-top:18.608pt;width:384.1pt;height:.1pt;mso-position-horizontal-relative:page;mso-position-vertical-relative:paragraph;z-index:-15717376;mso-wrap-distance-left:0;mso-wrap-distance-right:0" id="docshape156" coordorigin="1134,372" coordsize="7682,0" path="m1134,372l8816,372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791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43B7D"/>
          <w:sz w:val="28"/>
        </w:rPr>
        <w:t>Professor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Ross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Guest</w:t>
      </w:r>
    </w:p>
    <w:p>
      <w:pPr>
        <w:pStyle w:val="BodyText"/>
        <w:spacing w:before="120"/>
        <w:ind w:left="3791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720001</wp:posOffset>
            </wp:positionH>
            <wp:positionV relativeFrom="paragraph">
              <wp:posOffset>-149903</wp:posOffset>
            </wp:positionV>
            <wp:extent cx="1776006" cy="1811997"/>
            <wp:effectExtent l="0" t="0" r="0" b="0"/>
            <wp:wrapNone/>
            <wp:docPr id="2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06" cy="181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</w:p>
    <w:p>
      <w:pPr>
        <w:pStyle w:val="BodyText"/>
        <w:spacing w:before="1"/>
        <w:ind w:left="3791" w:right="4797"/>
        <w:rPr>
          <w:b w:val="0"/>
        </w:rPr>
      </w:pPr>
      <w:r>
        <w:rPr>
          <w:b w:val="0"/>
          <w:color w:val="231F20"/>
        </w:rPr>
        <w:t>PhD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(Melb),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M.Higher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(Griffith)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Grad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dip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(UNE),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(Macq.)</w:t>
      </w:r>
    </w:p>
    <w:p>
      <w:pPr>
        <w:spacing w:before="195"/>
        <w:ind w:left="3791" w:right="0" w:firstLine="0"/>
        <w:jc w:val="left"/>
        <w:rPr>
          <w:rFonts w:ascii="Apercu"/>
          <w:b/>
          <w:sz w:val="19"/>
        </w:rPr>
      </w:pPr>
      <w:r>
        <w:rPr>
          <w:b w:val="0"/>
          <w:color w:val="231F20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EMPA</w:t>
      </w:r>
      <w:r>
        <w:rPr>
          <w:b w:val="0"/>
          <w:color w:val="231F20"/>
          <w:spacing w:val="-8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Subject:</w:t>
      </w:r>
      <w:r>
        <w:rPr>
          <w:b w:val="0"/>
          <w:color w:val="231F20"/>
          <w:spacing w:val="-8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Government</w:t>
      </w:r>
      <w:r>
        <w:rPr>
          <w:rFonts w:ascii="Apercu"/>
          <w:b/>
          <w:color w:val="231F20"/>
          <w:spacing w:val="-7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in</w:t>
      </w:r>
      <w:r>
        <w:rPr>
          <w:rFonts w:ascii="Apercu"/>
          <w:b/>
          <w:color w:val="231F20"/>
          <w:spacing w:val="-7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a</w:t>
      </w:r>
      <w:r>
        <w:rPr>
          <w:rFonts w:ascii="Apercu"/>
          <w:b/>
          <w:color w:val="231F20"/>
          <w:spacing w:val="-8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Market</w:t>
      </w:r>
      <w:r>
        <w:rPr>
          <w:rFonts w:ascii="Apercu"/>
          <w:b/>
          <w:color w:val="231F20"/>
          <w:spacing w:val="-7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Economy</w:t>
      </w:r>
      <w:r>
        <w:rPr>
          <w:rFonts w:ascii="Apercu"/>
          <w:b/>
          <w:color w:val="231F20"/>
          <w:spacing w:val="-3"/>
          <w:sz w:val="19"/>
          <w:shd w:fill="5BCBF5" w:color="auto" w:val="clear"/>
        </w:rPr>
        <w:t> </w:t>
      </w:r>
    </w:p>
    <w:p>
      <w:pPr>
        <w:pStyle w:val="BodyText"/>
        <w:rPr>
          <w:rFonts w:ascii="Apercu"/>
          <w:b/>
          <w:sz w:val="26"/>
        </w:rPr>
      </w:pPr>
    </w:p>
    <w:p>
      <w:pPr>
        <w:pStyle w:val="BodyText"/>
        <w:rPr>
          <w:rFonts w:ascii="Apercu"/>
          <w:b/>
          <w:sz w:val="26"/>
        </w:rPr>
      </w:pPr>
    </w:p>
    <w:p>
      <w:pPr>
        <w:pStyle w:val="BodyText"/>
        <w:rPr>
          <w:rFonts w:ascii="Apercu"/>
          <w:b/>
          <w:sz w:val="26"/>
        </w:rPr>
      </w:pPr>
    </w:p>
    <w:p>
      <w:pPr>
        <w:spacing w:before="234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1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Economics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finance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Education</w:t>
      </w:r>
    </w:p>
    <w:p>
      <w:pPr>
        <w:pStyle w:val="BodyText"/>
        <w:spacing w:line="192" w:lineRule="auto" w:before="102"/>
        <w:ind w:left="673" w:right="3529"/>
        <w:rPr>
          <w:b w:val="0"/>
        </w:rPr>
      </w:pPr>
      <w:r>
        <w:rPr>
          <w:b w:val="0"/>
          <w:color w:val="231F20"/>
        </w:rPr>
        <w:t>Ross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Guest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Economics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 Principal Fellow with the Higher Education Academy, and an adjunct professor at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Australia and Aotearoa-New Zealand School of Government. Prof Guest holds a PhD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Economics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from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 of Melbourne.</w:t>
      </w:r>
    </w:p>
    <w:p>
      <w:pPr>
        <w:pStyle w:val="BodyText"/>
        <w:spacing w:line="192" w:lineRule="auto" w:before="114"/>
        <w:ind w:left="673" w:right="3233"/>
        <w:rPr>
          <w:b w:val="0"/>
        </w:rPr>
      </w:pPr>
      <w:r>
        <w:rPr>
          <w:b w:val="0"/>
          <w:color w:val="231F20"/>
        </w:rPr>
        <w:t>His primary field of research is population economics, on which he has published many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articles in, for example, the Journal of Macroeconomics, the Economic Record, the Journal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 Population Economics, and Oxford Economic Papers. He has received four Australian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Research Council grants for his work on population economics, which has informed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consultancies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(e.g.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Treasury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Queensland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Treasury)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citations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Productivity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Commission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reports.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received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Dean’s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award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Best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Mid-Career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Researcher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2010.</w:t>
      </w:r>
    </w:p>
    <w:p>
      <w:pPr>
        <w:pStyle w:val="BodyText"/>
        <w:spacing w:line="192" w:lineRule="auto" w:before="102"/>
        <w:ind w:left="673" w:right="3259"/>
        <w:rPr>
          <w:b w:val="0"/>
        </w:rPr>
      </w:pPr>
      <w:r>
        <w:rPr>
          <w:b w:val="0"/>
          <w:color w:val="231F20"/>
        </w:rPr>
        <w:t>Prof Guest has taught a range of economics subjects at Griffith University and formerly 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Monash University. He was appointed a Principal Fellow with the Higher Education Academy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2018,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awarded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Fellowship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2012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a Citation for Outstanding Contributions to Student Learning in 2006 by the former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Carrick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Education.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Editor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Chief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</w:p>
    <w:p>
      <w:pPr>
        <w:spacing w:line="232" w:lineRule="exact" w:before="0"/>
        <w:ind w:left="673" w:right="0" w:firstLine="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i/>
          <w:color w:val="231F20"/>
          <w:sz w:val="19"/>
        </w:rPr>
        <w:t>International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Review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of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Economics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Education</w:t>
      </w:r>
      <w:r>
        <w:rPr>
          <w:b w:val="0"/>
          <w:color w:val="231F20"/>
          <w:sz w:val="19"/>
        </w:rPr>
        <w:t>.</w:t>
      </w:r>
    </w:p>
    <w:p>
      <w:pPr>
        <w:spacing w:after="0" w:line="232" w:lineRule="exact"/>
        <w:jc w:val="left"/>
        <w:rPr>
          <w:sz w:val="19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before="95"/>
        <w:ind w:left="673"/>
        <w:rPr>
          <w:b w:val="0"/>
        </w:rPr>
      </w:pPr>
      <w:r>
        <w:rPr>
          <w:b w:val="0"/>
          <w:color w:val="231F20"/>
        </w:rPr>
        <w:t>Prof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Guest’s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roles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includes: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Dean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University,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Principal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Fellow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Academy,</w:t>
      </w:r>
    </w:p>
    <w:p>
      <w:pPr>
        <w:pStyle w:val="BodyText"/>
        <w:spacing w:line="192" w:lineRule="auto" w:before="101"/>
        <w:ind w:left="843" w:right="3394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Economics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MBA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Market Economy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at ANZSOG.</w:t>
      </w:r>
    </w:p>
    <w:p>
      <w:pPr>
        <w:pStyle w:val="BodyText"/>
        <w:spacing w:before="184"/>
        <w:ind w:left="673"/>
        <w:rPr>
          <w:b w:val="0"/>
        </w:rPr>
      </w:pPr>
      <w:r>
        <w:rPr>
          <w:b w:val="0"/>
          <w:color w:val="231F20"/>
        </w:rPr>
        <w:t>Career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Dean,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School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Principal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Fellow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(Advance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HE)</w:t>
      </w:r>
    </w:p>
    <w:p>
      <w:pPr>
        <w:pStyle w:val="BodyText"/>
        <w:spacing w:line="192" w:lineRule="auto" w:before="102"/>
        <w:ind w:left="843" w:right="3231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Fellow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Office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Teaching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Editor-In-Chief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hyperlink r:id="rId44">
        <w:r>
          <w:rPr>
            <w:b w:val="0"/>
            <w:color w:val="243B7D"/>
            <w:u w:val="single" w:color="243B7D"/>
          </w:rPr>
          <w:t>International</w:t>
        </w:r>
        <w:r>
          <w:rPr>
            <w:b w:val="0"/>
            <w:color w:val="243B7D"/>
            <w:spacing w:val="-5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Review</w:t>
        </w:r>
        <w:r>
          <w:rPr>
            <w:b w:val="0"/>
            <w:color w:val="243B7D"/>
            <w:spacing w:val="-5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of</w:t>
        </w:r>
        <w:r>
          <w:rPr>
            <w:b w:val="0"/>
            <w:color w:val="243B7D"/>
            <w:spacing w:val="-6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Economics</w:t>
        </w:r>
        <w:r>
          <w:rPr>
            <w:b w:val="0"/>
            <w:color w:val="243B7D"/>
            <w:spacing w:val="-5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Education</w:t>
        </w:r>
        <w:r>
          <w:rPr>
            <w:b w:val="0"/>
            <w:color w:val="243B7D"/>
            <w:spacing w:val="-5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(Elsevier)</w:t>
        </w:r>
      </w:hyperlink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Four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Discovery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Grants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Principal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Investigator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3"/>
        </w:rPr>
      </w:pPr>
      <w:r>
        <w:rPr/>
        <w:pict>
          <v:shape style="position:absolute;margin-left:56.692902pt;margin-top:18.0273pt;width:384.1pt;height:.1pt;mso-position-horizontal-relative:page;mso-position-vertical-relative:paragraph;z-index:-15716352;mso-wrap-distance-left:0;mso-wrap-distance-right:0" id="docshape157" coordorigin="1134,361" coordsize="7682,0" path="m1134,361l8816,361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791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43B7D"/>
          <w:sz w:val="28"/>
        </w:rPr>
        <w:t>Professor</w:t>
      </w:r>
      <w:r>
        <w:rPr>
          <w:rFonts w:ascii="Domus Semibold"/>
          <w:b w:val="0"/>
          <w:color w:val="243B7D"/>
          <w:spacing w:val="-6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Kimberely</w:t>
      </w:r>
      <w:r>
        <w:rPr>
          <w:rFonts w:ascii="Domus Semibold"/>
          <w:b w:val="0"/>
          <w:color w:val="243B7D"/>
          <w:spacing w:val="-5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Isett</w:t>
      </w:r>
    </w:p>
    <w:p>
      <w:pPr>
        <w:pStyle w:val="BodyText"/>
        <w:spacing w:line="192" w:lineRule="auto" w:before="163"/>
        <w:ind w:left="3791" w:right="4797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720001</wp:posOffset>
            </wp:positionH>
            <wp:positionV relativeFrom="paragraph">
              <wp:posOffset>-154731</wp:posOffset>
            </wp:positionV>
            <wp:extent cx="1776006" cy="1811997"/>
            <wp:effectExtent l="0" t="0" r="0" b="0"/>
            <wp:wrapNone/>
            <wp:docPr id="2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06" cy="181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University of Delaware, Newark,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Delaware,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United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States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America</w:t>
      </w:r>
    </w:p>
    <w:p>
      <w:pPr>
        <w:pStyle w:val="BodyText"/>
        <w:spacing w:before="13"/>
        <w:ind w:left="3791" w:right="5205"/>
        <w:rPr>
          <w:b w:val="0"/>
        </w:rPr>
      </w:pPr>
      <w:r>
        <w:rPr>
          <w:b w:val="0"/>
          <w:color w:val="231F20"/>
        </w:rPr>
        <w:t>PhD University of Arizona USA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MPA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Arizona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USA</w:t>
      </w:r>
    </w:p>
    <w:p>
      <w:pPr>
        <w:pStyle w:val="BodyText"/>
        <w:spacing w:before="4"/>
        <w:ind w:left="3791"/>
        <w:rPr>
          <w:b w:val="0"/>
        </w:rPr>
      </w:pPr>
      <w:r>
        <w:rPr>
          <w:b w:val="0"/>
          <w:color w:val="231F20"/>
        </w:rPr>
        <w:t>BA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Ursinus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College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Collegeville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Pennsylvania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USA</w:t>
      </w:r>
    </w:p>
    <w:p>
      <w:pPr>
        <w:spacing w:before="193"/>
        <w:ind w:left="3791" w:right="0" w:firstLine="0"/>
        <w:jc w:val="left"/>
        <w:rPr>
          <w:rFonts w:ascii="Apercu"/>
          <w:b/>
          <w:sz w:val="19"/>
        </w:rPr>
      </w:pPr>
      <w:r>
        <w:rPr>
          <w:b w:val="0"/>
          <w:color w:val="231F20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EMPA</w:t>
      </w:r>
      <w:r>
        <w:rPr>
          <w:b w:val="0"/>
          <w:color w:val="231F20"/>
          <w:spacing w:val="-5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Subject:</w:t>
      </w:r>
      <w:r>
        <w:rPr>
          <w:b w:val="0"/>
          <w:color w:val="231F20"/>
          <w:spacing w:val="-5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Decision</w:t>
      </w:r>
      <w:r>
        <w:rPr>
          <w:rFonts w:ascii="Apercu"/>
          <w:b/>
          <w:color w:val="231F20"/>
          <w:spacing w:val="-5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Making</w:t>
      </w:r>
      <w:r>
        <w:rPr>
          <w:rFonts w:ascii="Apercu"/>
          <w:b/>
          <w:color w:val="231F20"/>
          <w:spacing w:val="-4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Under</w:t>
      </w:r>
      <w:r>
        <w:rPr>
          <w:rFonts w:ascii="Apercu"/>
          <w:b/>
          <w:color w:val="231F20"/>
          <w:spacing w:val="-5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Uncertainty</w:t>
      </w:r>
      <w:r>
        <w:rPr>
          <w:rFonts w:ascii="Apercu"/>
          <w:b/>
          <w:color w:val="231F20"/>
          <w:spacing w:val="21"/>
          <w:sz w:val="19"/>
          <w:shd w:fill="5BCBF5" w:color="auto" w:val="clear"/>
        </w:rPr>
        <w:t> </w:t>
      </w:r>
    </w:p>
    <w:p>
      <w:pPr>
        <w:pStyle w:val="BodyText"/>
        <w:rPr>
          <w:rFonts w:ascii="Apercu"/>
          <w:b/>
          <w:sz w:val="26"/>
        </w:rPr>
      </w:pPr>
    </w:p>
    <w:p>
      <w:pPr>
        <w:pStyle w:val="BodyText"/>
        <w:spacing w:before="11"/>
        <w:rPr>
          <w:rFonts w:ascii="Apercu"/>
          <w:b/>
          <w:sz w:val="33"/>
        </w:rPr>
      </w:pPr>
    </w:p>
    <w:p>
      <w:pPr>
        <w:spacing w:before="1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1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3"/>
        </w:rPr>
        <w:t> </w:t>
      </w:r>
      <w:r>
        <w:rPr>
          <w:b w:val="0"/>
          <w:color w:val="231F20"/>
        </w:rPr>
        <w:t>Organization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theory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Evidence-based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services/policy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Systems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Change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Interorganizational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Networks</w:t>
      </w:r>
    </w:p>
    <w:p>
      <w:pPr>
        <w:pStyle w:val="BodyText"/>
        <w:spacing w:line="192" w:lineRule="auto" w:before="102"/>
        <w:ind w:left="673" w:right="3287"/>
        <w:rPr>
          <w:b w:val="0"/>
        </w:rPr>
      </w:pPr>
      <w:r>
        <w:rPr>
          <w:b w:val="0"/>
          <w:color w:val="231F20"/>
        </w:rPr>
        <w:t>Kimberley Roussin Isett earned a Ph.D. (Management, Organization Theory) and M.P.A.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(Health and Human Services, Policy) from the University of Arizona’s Eller College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Management.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Her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focuses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institutional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pressures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dynamics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implementing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government services, with a particular interest in the delivery of services to vulnerable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populations, and the use of evidence in public decision-making. Her goal is to do research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that aids government organizations to find their optimal system design given their political,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policy, regulatory, and financial constraints. To date, Dr. Isett has been the PI or co-PI 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grants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totalling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$13m.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recognized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2001</w:t>
      </w:r>
    </w:p>
    <w:p>
      <w:pPr>
        <w:pStyle w:val="BodyText"/>
        <w:spacing w:line="192" w:lineRule="auto" w:before="1"/>
        <w:ind w:left="673" w:right="2914"/>
        <w:rPr>
          <w:b w:val="0"/>
        </w:rPr>
      </w:pPr>
      <w:r>
        <w:rPr>
          <w:b w:val="0"/>
          <w:color w:val="231F20"/>
          <w:spacing w:val="-1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2002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for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excellence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in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research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participated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in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the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John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D.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Catherine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MacArthur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Foundation’s Mental Health Policy Research Network from 2002 until 2008. Isett has worked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elected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officials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policymakers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levels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variety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issues.</w:t>
      </w:r>
    </w:p>
    <w:p>
      <w:pPr>
        <w:pStyle w:val="BodyText"/>
        <w:spacing w:line="192" w:lineRule="auto"/>
        <w:ind w:left="673" w:right="3140"/>
        <w:rPr>
          <w:b w:val="0"/>
        </w:rPr>
      </w:pPr>
      <w:r>
        <w:rPr>
          <w:b w:val="0"/>
          <w:color w:val="231F20"/>
        </w:rPr>
        <w:t>Prior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joining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Biden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Dr.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Isett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Georgia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Tech,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Columbia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Texas A&amp;M, and completed a NIMH sponsored post doc at UNC-Chapel Hill’s Sheps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Center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 Health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Services Research.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before="95"/>
        <w:ind w:left="673"/>
        <w:rPr>
          <w:b w:val="0"/>
        </w:rPr>
      </w:pPr>
      <w:r>
        <w:rPr>
          <w:b w:val="0"/>
          <w:color w:val="231F20"/>
        </w:rPr>
        <w:t>Career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Highlights-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Approximately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$13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million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grants</w:t>
      </w:r>
    </w:p>
    <w:p>
      <w:pPr>
        <w:pStyle w:val="BodyText"/>
        <w:spacing w:line="192" w:lineRule="auto" w:before="102"/>
        <w:ind w:left="843" w:right="3454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Master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Health,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Delaware,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Newark,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USA</w:t>
      </w:r>
    </w:p>
    <w:p>
      <w:pPr>
        <w:pStyle w:val="BodyText"/>
        <w:spacing w:line="192" w:lineRule="auto" w:before="113"/>
        <w:ind w:left="843" w:right="3276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Past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Graduate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Studies,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Policy,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Georgia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Technology,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Atlanta.</w:t>
      </w:r>
    </w:p>
    <w:p>
      <w:pPr>
        <w:pStyle w:val="BodyText"/>
        <w:spacing w:line="192" w:lineRule="auto" w:before="114"/>
        <w:ind w:left="843" w:right="4008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Extensive research, policy and advisory work with government agencies at state 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federal level.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Chair,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Poverty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Alleviation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(2015-2019)</w:t>
      </w:r>
    </w:p>
    <w:p>
      <w:pPr>
        <w:pStyle w:val="BodyText"/>
        <w:spacing w:line="192" w:lineRule="auto" w:before="102"/>
        <w:ind w:left="843" w:right="3645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Numerous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Paper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awards: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Review,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American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Administration,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American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Academy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Management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Extensive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editorial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board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journals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administration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Teachnology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Fellow,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Columbia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MSPH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2010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Georgia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Center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nominated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accolade,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2016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Outstanding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recognition,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2013</w:t>
      </w:r>
    </w:p>
    <w:p>
      <w:pPr>
        <w:pStyle w:val="BodyText"/>
        <w:spacing w:before="172"/>
        <w:ind w:left="673"/>
        <w:rPr>
          <w:b w:val="0"/>
        </w:rPr>
      </w:pPr>
      <w:r>
        <w:rPr>
          <w:b w:val="0"/>
          <w:color w:val="231F20"/>
        </w:rPr>
        <w:t>Faculty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Appointments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-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Delaware,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Newark,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Delaware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Joseph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Biden,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Jr.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Administration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Georgia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Technology,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Atlanta,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Georgia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3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Columbia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York,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York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Department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Management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7"/>
        </w:rPr>
        <w:t> </w:t>
      </w:r>
      <w:r>
        <w:rPr>
          <w:b w:val="0"/>
          <w:color w:val="231F20"/>
        </w:rPr>
        <w:t>Texas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A&amp;M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College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Station,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Texas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2"/>
        </w:rPr>
        <w:t> </w:t>
      </w:r>
      <w:r>
        <w:rPr>
          <w:b w:val="0"/>
          <w:color w:val="231F20"/>
        </w:rPr>
        <w:t>George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Bush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Service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8"/>
        </w:rPr>
      </w:pPr>
      <w:r>
        <w:rPr/>
        <w:pict>
          <v:shape style="position:absolute;margin-left:56.692902pt;margin-top:14.5394pt;width:384.1pt;height:.1pt;mso-position-horizontal-relative:page;mso-position-vertical-relative:paragraph;z-index:-15715328;mso-wrap-distance-left:0;mso-wrap-distance-right:0" id="docshape158" coordorigin="1134,291" coordsize="7682,0" path="m1134,291l8816,291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791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43B7D"/>
          <w:sz w:val="28"/>
        </w:rPr>
        <w:t>Professor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Michael</w:t>
      </w:r>
      <w:r>
        <w:rPr>
          <w:rFonts w:ascii="Domus Semibold"/>
          <w:b w:val="0"/>
          <w:color w:val="243B7D"/>
          <w:spacing w:val="-3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Macaulay</w:t>
      </w:r>
    </w:p>
    <w:p>
      <w:pPr>
        <w:pStyle w:val="BodyText"/>
        <w:spacing w:before="120"/>
        <w:ind w:left="3791" w:right="3285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720001</wp:posOffset>
            </wp:positionH>
            <wp:positionV relativeFrom="paragraph">
              <wp:posOffset>-152610</wp:posOffset>
            </wp:positionV>
            <wp:extent cx="1559152" cy="1811997"/>
            <wp:effectExtent l="0" t="0" r="0" b="0"/>
            <wp:wrapNone/>
            <wp:docPr id="2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152" cy="181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  <w:spacing w:val="-1"/>
        </w:rPr>
        <w:t>Victoria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University,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Wellington,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Ph.D,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Durham, UK</w:t>
      </w:r>
    </w:p>
    <w:p>
      <w:pPr>
        <w:pStyle w:val="BodyText"/>
        <w:spacing w:before="3"/>
        <w:ind w:left="3791" w:right="4163"/>
        <w:rPr>
          <w:b w:val="0"/>
        </w:rPr>
      </w:pPr>
      <w:r>
        <w:rPr>
          <w:b w:val="0"/>
          <w:color w:val="231F20"/>
          <w:spacing w:val="-1"/>
        </w:rPr>
        <w:t>MSc,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Management,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Teeside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UK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MA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(Hons),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Edinburgh,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UK,</w:t>
      </w:r>
    </w:p>
    <w:p>
      <w:pPr>
        <w:pStyle w:val="BodyText"/>
        <w:spacing w:before="4"/>
        <w:ind w:left="3791"/>
        <w:rPr>
          <w:b w:val="0"/>
        </w:rPr>
      </w:pPr>
      <w:r>
        <w:rPr>
          <w:b w:val="0"/>
          <w:color w:val="231F20"/>
        </w:rPr>
        <w:t>PGCert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Education,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Teesside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UK</w:t>
      </w:r>
    </w:p>
    <w:p>
      <w:pPr>
        <w:spacing w:before="192"/>
        <w:ind w:left="3791" w:right="0" w:firstLine="0"/>
        <w:jc w:val="left"/>
        <w:rPr>
          <w:rFonts w:ascii="Apercu"/>
          <w:b/>
          <w:sz w:val="19"/>
        </w:rPr>
      </w:pPr>
      <w:r>
        <w:rPr>
          <w:b w:val="0"/>
          <w:color w:val="231F20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EMPA</w:t>
      </w:r>
      <w:r>
        <w:rPr>
          <w:b w:val="0"/>
          <w:color w:val="231F20"/>
          <w:spacing w:val="-9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Subject:</w:t>
      </w:r>
      <w:r>
        <w:rPr>
          <w:b w:val="0"/>
          <w:color w:val="231F20"/>
          <w:spacing w:val="-10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Managing</w:t>
      </w:r>
      <w:r>
        <w:rPr>
          <w:rFonts w:ascii="Apercu"/>
          <w:b/>
          <w:color w:val="231F20"/>
          <w:spacing w:val="-8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Public</w:t>
      </w:r>
      <w:r>
        <w:rPr>
          <w:rFonts w:ascii="Apercu"/>
          <w:b/>
          <w:color w:val="231F20"/>
          <w:spacing w:val="-9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Sector</w:t>
      </w:r>
      <w:r>
        <w:rPr>
          <w:rFonts w:ascii="Apercu"/>
          <w:b/>
          <w:color w:val="231F20"/>
          <w:spacing w:val="-8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Organisations</w:t>
      </w:r>
      <w:r>
        <w:rPr>
          <w:rFonts w:ascii="Apercu"/>
          <w:b/>
          <w:color w:val="231F20"/>
          <w:spacing w:val="4"/>
          <w:sz w:val="19"/>
          <w:shd w:fill="5BCBF5" w:color="auto" w:val="clear"/>
        </w:rPr>
        <w:t> </w:t>
      </w:r>
    </w:p>
    <w:p>
      <w:pPr>
        <w:spacing w:after="0"/>
        <w:jc w:val="left"/>
        <w:rPr>
          <w:rFonts w:ascii="Apercu"/>
          <w:sz w:val="19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16"/>
        </w:rPr>
      </w:pPr>
    </w:p>
    <w:p>
      <w:pPr>
        <w:spacing w:before="71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1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Integrity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Ethics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leadership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2"/>
        </w:rPr>
        <w:t> </w:t>
      </w:r>
      <w:r>
        <w:rPr>
          <w:b w:val="0"/>
          <w:color w:val="231F20"/>
        </w:rPr>
        <w:t>Anti-Corruption</w:t>
      </w:r>
    </w:p>
    <w:p>
      <w:pPr>
        <w:pStyle w:val="BodyText"/>
        <w:spacing w:line="192" w:lineRule="auto" w:before="102"/>
        <w:ind w:left="673" w:right="3404"/>
        <w:rPr>
          <w:b w:val="0"/>
        </w:rPr>
      </w:pPr>
      <w:r>
        <w:rPr>
          <w:b w:val="0"/>
          <w:color w:val="231F20"/>
        </w:rPr>
        <w:t>Michael Macaulay is Professor of Public Administration at the School of Government 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Victoria University of Wellington (Te Herenga Waka). He is currently a Visiting Professor 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Sunderland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(UK)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York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John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(UK),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Visiting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at the University of Johannesburg (South Africa). He has published extensively in the fields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integrity,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ethics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anti-corruption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journals.</w:t>
      </w:r>
    </w:p>
    <w:p>
      <w:pPr>
        <w:pStyle w:val="BodyText"/>
        <w:spacing w:line="192" w:lineRule="auto" w:before="114"/>
        <w:ind w:left="673" w:right="3283"/>
        <w:rPr>
          <w:b w:val="0"/>
        </w:rPr>
      </w:pPr>
      <w:r>
        <w:rPr>
          <w:b w:val="0"/>
          <w:color w:val="231F20"/>
        </w:rPr>
        <w:t>Whilst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VUW,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Michael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held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number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roles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Associate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(Victoria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School)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Studies.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During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tenure as Director of IGPS, Michael secured $NZ 7 million in research funding, generating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nearly an extra $NZ 1 million in PBRF funding. He organised arranged over 200 roundtables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events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speakers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world,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overseeing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4"/>
        </w:rPr>
        <w:t> </w:t>
      </w:r>
      <w:r>
        <w:rPr>
          <w:b w:val="0"/>
          <w:i/>
          <w:color w:val="231F20"/>
        </w:rPr>
        <w:t>Policy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</w:rPr>
        <w:t>Quarterly</w:t>
      </w:r>
      <w:r>
        <w:rPr>
          <w:b w:val="0"/>
          <w:color w:val="231F20"/>
        </w:rPr>
        <w:t>, NZ’s leading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 practitioner journal.</w:t>
      </w:r>
    </w:p>
    <w:p>
      <w:pPr>
        <w:pStyle w:val="BodyText"/>
        <w:spacing w:line="192" w:lineRule="auto" w:before="113"/>
        <w:ind w:left="673" w:right="3193"/>
        <w:rPr>
          <w:b w:val="0"/>
        </w:rPr>
      </w:pPr>
      <w:r>
        <w:rPr>
          <w:b w:val="0"/>
          <w:color w:val="231F20"/>
        </w:rPr>
        <w:t>Professor Macaulay is currently Regional Editor (Pacific Rim) for </w:t>
      </w:r>
      <w:r>
        <w:rPr>
          <w:b w:val="0"/>
          <w:i/>
          <w:color w:val="231F20"/>
        </w:rPr>
        <w:t>Public Management Review</w:t>
      </w:r>
      <w:r>
        <w:rPr>
          <w:b w:val="0"/>
          <w:i/>
          <w:color w:val="231F20"/>
          <w:spacing w:val="1"/>
        </w:rPr>
        <w:t> </w:t>
      </w:r>
      <w:r>
        <w:rPr>
          <w:b w:val="0"/>
          <w:color w:val="231F20"/>
        </w:rPr>
        <w:t>and was previously co-editor (2013-16) of the </w:t>
      </w:r>
      <w:r>
        <w:rPr>
          <w:b w:val="0"/>
          <w:i/>
          <w:color w:val="231F20"/>
        </w:rPr>
        <w:t>International Journal of Public Administration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edited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several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special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issues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currently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sits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editorial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boards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several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journals. He was appointed co-chair of the European Group of Public Administration (EGPA)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permanent study group on integrity and quality of governance in 2011, a position he gave up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2019.</w:t>
      </w:r>
    </w:p>
    <w:p>
      <w:pPr>
        <w:pStyle w:val="BodyText"/>
        <w:spacing w:line="192" w:lineRule="auto" w:before="114"/>
        <w:ind w:left="673" w:right="3309"/>
        <w:rPr>
          <w:b w:val="0"/>
        </w:rPr>
      </w:pPr>
      <w:r>
        <w:rPr>
          <w:b w:val="0"/>
          <w:color w:val="231F20"/>
        </w:rPr>
        <w:t>Michael was NZ lead for </w:t>
      </w:r>
      <w:r>
        <w:rPr>
          <w:b w:val="0"/>
          <w:i/>
          <w:color w:val="231F20"/>
        </w:rPr>
        <w:t>Whistling While They Work 2</w:t>
      </w:r>
      <w:r>
        <w:rPr>
          <w:b w:val="0"/>
          <w:color w:val="231F20"/>
        </w:rPr>
        <w:t>, an ARC-funded research project led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workplace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misconduct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whistle-blower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protections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Zealand.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consortium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numerous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private, and NFP agencies, the project is (to date) that largest piece of research of its kind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undertaken.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Career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-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Administration,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Victoria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Wellington,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NZ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0"/>
        </w:rPr>
        <w:t> </w:t>
      </w:r>
      <w:r>
        <w:rPr>
          <w:b w:val="0"/>
          <w:color w:val="231F20"/>
        </w:rPr>
        <w:t>2010-2013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Management,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Teesside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UK</w:t>
      </w:r>
    </w:p>
    <w:p>
      <w:pPr>
        <w:pStyle w:val="BodyText"/>
        <w:spacing w:line="192" w:lineRule="auto" w:before="102"/>
        <w:ind w:left="843" w:right="328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Visiting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Professorships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held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Johannesburg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(RSA),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York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John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(UK)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University of Sunderland (UK)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Studies,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NZ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(2013-16)</w:t>
      </w:r>
    </w:p>
    <w:p>
      <w:pPr>
        <w:pStyle w:val="BodyText"/>
        <w:spacing w:line="192" w:lineRule="auto" w:before="102"/>
        <w:ind w:left="843" w:right="4070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Has generated over $NZ 8.5 million in research income (as Principal or Associate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Investigator)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Regional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Editor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(Pacific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Rim)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Review</w:t>
      </w:r>
    </w:p>
    <w:p>
      <w:pPr>
        <w:pStyle w:val="BodyText"/>
        <w:spacing w:line="192" w:lineRule="auto" w:before="102"/>
        <w:ind w:left="843" w:right="3364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Co-chair,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European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Group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permanent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group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integrity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quality of governance. (2011-2019).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judge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(Teesside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Bench,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UK,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2005-2013).</w:t>
      </w:r>
    </w:p>
    <w:p>
      <w:pPr>
        <w:pStyle w:val="BodyText"/>
        <w:spacing w:line="192" w:lineRule="auto" w:before="102"/>
        <w:ind w:left="843" w:right="3426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Advised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consulted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bodies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United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Nations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Office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Drugs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Crime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(UNODC)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Europe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Transparency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International.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7"/>
        </w:rPr>
      </w:pPr>
    </w:p>
    <w:p>
      <w:pPr>
        <w:pStyle w:val="BodyText"/>
        <w:spacing w:line="20" w:lineRule="exact"/>
        <w:ind w:left="673"/>
        <w:rPr>
          <w:sz w:val="2"/>
        </w:rPr>
      </w:pPr>
      <w:r>
        <w:rPr>
          <w:sz w:val="2"/>
        </w:rPr>
        <w:pict>
          <v:group style="width:384.1pt;height:.25pt;mso-position-horizontal-relative:char;mso-position-vertical-relative:line" id="docshapegroup159" coordorigin="0,0" coordsize="7682,5">
            <v:line style="position:absolute" from="0,3" to="7682,3" stroked="true" strokeweight=".25pt" strokecolor="#243b7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b w:val="0"/>
          <w:sz w:val="6"/>
        </w:rPr>
      </w:pPr>
    </w:p>
    <w:p>
      <w:pPr>
        <w:spacing w:before="62"/>
        <w:ind w:left="3791" w:right="0" w:firstLine="0"/>
        <w:jc w:val="left"/>
        <w:rPr>
          <w:rFonts w:ascii="Domus Semibold" w:hAnsi="Domus Semibold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720001</wp:posOffset>
            </wp:positionH>
            <wp:positionV relativeFrom="paragraph">
              <wp:posOffset>98575</wp:posOffset>
            </wp:positionV>
            <wp:extent cx="1776006" cy="1811997"/>
            <wp:effectExtent l="0" t="0" r="0" b="0"/>
            <wp:wrapNone/>
            <wp:docPr id="3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06" cy="181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 w:hAnsi="Domus Semibold"/>
          <w:b w:val="0"/>
          <w:color w:val="243B7D"/>
          <w:sz w:val="28"/>
        </w:rPr>
        <w:t>Professor</w:t>
      </w:r>
      <w:r>
        <w:rPr>
          <w:rFonts w:ascii="Domus Semibold" w:hAnsi="Domus Semibold"/>
          <w:b w:val="0"/>
          <w:color w:val="243B7D"/>
          <w:spacing w:val="-5"/>
          <w:sz w:val="28"/>
        </w:rPr>
        <w:t> </w:t>
      </w:r>
      <w:r>
        <w:rPr>
          <w:rFonts w:ascii="Domus Semibold" w:hAnsi="Domus Semibold"/>
          <w:b w:val="0"/>
          <w:color w:val="243B7D"/>
          <w:sz w:val="28"/>
        </w:rPr>
        <w:t>Janine</w:t>
      </w:r>
      <w:r>
        <w:rPr>
          <w:rFonts w:ascii="Domus Semibold" w:hAnsi="Domus Semibold"/>
          <w:b w:val="0"/>
          <w:color w:val="243B7D"/>
          <w:spacing w:val="-5"/>
          <w:sz w:val="28"/>
        </w:rPr>
        <w:t> </w:t>
      </w:r>
      <w:r>
        <w:rPr>
          <w:rFonts w:ascii="Domus Semibold" w:hAnsi="Domus Semibold"/>
          <w:b w:val="0"/>
          <w:color w:val="243B7D"/>
          <w:sz w:val="28"/>
        </w:rPr>
        <w:t>O’Flynn</w:t>
      </w:r>
    </w:p>
    <w:p>
      <w:pPr>
        <w:pStyle w:val="BodyText"/>
        <w:spacing w:before="120"/>
        <w:ind w:left="3791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Melbourne</w:t>
      </w:r>
    </w:p>
    <w:p>
      <w:pPr>
        <w:pStyle w:val="BodyText"/>
        <w:spacing w:before="2"/>
        <w:ind w:left="3791"/>
        <w:rPr>
          <w:b w:val="0"/>
        </w:rPr>
      </w:pPr>
      <w:r>
        <w:rPr>
          <w:b w:val="0"/>
          <w:color w:val="231F20"/>
        </w:rPr>
        <w:t>PhD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(Melb),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BCom,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Hons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Class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(Melb)</w:t>
      </w:r>
    </w:p>
    <w:p>
      <w:pPr>
        <w:pStyle w:val="BodyText"/>
        <w:spacing w:before="3"/>
        <w:rPr>
          <w:b w:val="0"/>
          <w:sz w:val="17"/>
        </w:rPr>
      </w:pPr>
    </w:p>
    <w:p>
      <w:pPr>
        <w:spacing w:before="0"/>
        <w:ind w:left="3791" w:right="0" w:firstLine="0"/>
        <w:jc w:val="left"/>
        <w:rPr>
          <w:rFonts w:ascii="Apercu"/>
          <w:b/>
          <w:sz w:val="19"/>
        </w:rPr>
      </w:pPr>
      <w:r>
        <w:rPr>
          <w:b w:val="0"/>
          <w:color w:val="231F20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EMPA</w:t>
      </w:r>
      <w:r>
        <w:rPr>
          <w:b w:val="0"/>
          <w:color w:val="231F20"/>
          <w:spacing w:val="-11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Subject:</w:t>
      </w:r>
      <w:r>
        <w:rPr>
          <w:b w:val="0"/>
          <w:color w:val="231F20"/>
          <w:spacing w:val="-11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Delivering</w:t>
      </w:r>
      <w:r>
        <w:rPr>
          <w:rFonts w:ascii="Apercu"/>
          <w:b/>
          <w:color w:val="231F20"/>
          <w:spacing w:val="-9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Public</w:t>
      </w:r>
      <w:r>
        <w:rPr>
          <w:rFonts w:ascii="Apercu"/>
          <w:b/>
          <w:color w:val="231F20"/>
          <w:spacing w:val="-10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Value</w:t>
      </w:r>
      <w:r>
        <w:rPr>
          <w:rFonts w:ascii="Apercu"/>
          <w:b/>
          <w:color w:val="231F20"/>
          <w:spacing w:val="20"/>
          <w:sz w:val="19"/>
          <w:shd w:fill="5BCBF5" w:color="auto" w:val="clear"/>
        </w:rPr>
        <w:t> </w:t>
      </w: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7"/>
        <w:rPr>
          <w:rFonts w:ascii="Apercu"/>
          <w:b/>
          <w:sz w:val="24"/>
        </w:rPr>
      </w:pPr>
    </w:p>
    <w:p>
      <w:pPr>
        <w:spacing w:before="71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1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Performance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management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6"/>
        </w:rPr>
        <w:t> </w:t>
      </w:r>
      <w:r>
        <w:rPr>
          <w:b w:val="0"/>
          <w:color w:val="231F20"/>
        </w:rPr>
        <w:t>Public service delivery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reform</w:t>
      </w:r>
    </w:p>
    <w:p>
      <w:pPr>
        <w:pStyle w:val="BodyText"/>
        <w:spacing w:line="192" w:lineRule="auto" w:before="102"/>
        <w:ind w:left="673" w:right="3400"/>
        <w:rPr>
          <w:b w:val="0"/>
        </w:rPr>
      </w:pPr>
      <w:r>
        <w:rPr>
          <w:b w:val="0"/>
          <w:color w:val="231F20"/>
        </w:rPr>
        <w:t>Janine is Professor of Public Management at ANZSOG and the University of Melbourne.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Her expertise is in public management, with particular focus on reform and relationships.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covers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topics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diverse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creation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evolution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markets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design of performance management systems. Her latest work explores the intersection of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service markets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morality.</w:t>
      </w:r>
    </w:p>
    <w:p>
      <w:pPr>
        <w:pStyle w:val="BodyText"/>
        <w:spacing w:line="192" w:lineRule="auto" w:before="114"/>
        <w:ind w:left="673" w:right="3278"/>
        <w:rPr>
          <w:b w:val="0"/>
        </w:rPr>
      </w:pPr>
      <w:r>
        <w:rPr>
          <w:b w:val="0"/>
          <w:color w:val="231F20"/>
        </w:rPr>
        <w:t>Since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editor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hyperlink r:id="rId48">
        <w:r>
          <w:rPr>
            <w:b w:val="0"/>
            <w:color w:val="243B7D"/>
            <w:u w:val="single" w:color="243B7D"/>
          </w:rPr>
          <w:t>Australian</w:t>
        </w:r>
        <w:r>
          <w:rPr>
            <w:b w:val="0"/>
            <w:color w:val="243B7D"/>
            <w:spacing w:val="-4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Journal</w:t>
        </w:r>
        <w:r>
          <w:rPr>
            <w:b w:val="0"/>
            <w:color w:val="243B7D"/>
            <w:spacing w:val="-4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of</w:t>
        </w:r>
        <w:r>
          <w:rPr>
            <w:b w:val="0"/>
            <w:color w:val="243B7D"/>
            <w:spacing w:val="-4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Public</w:t>
        </w:r>
        <w:r>
          <w:rPr>
            <w:b w:val="0"/>
            <w:color w:val="243B7D"/>
            <w:spacing w:val="-4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Administration</w:t>
        </w:r>
        <w:r>
          <w:rPr>
            <w:b w:val="0"/>
            <w:color w:val="243B7D"/>
            <w:spacing w:val="-4"/>
          </w:rPr>
          <w:t> </w:t>
        </w:r>
      </w:hyperlink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sits on the editorial boards of several journals in the field including: Public Administration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Review; Public Administration; International Journal of Public Administration; 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Review;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Practice;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Global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Governance;</w:t>
      </w:r>
    </w:p>
    <w:p>
      <w:pPr>
        <w:pStyle w:val="BodyText"/>
        <w:spacing w:line="204" w:lineRule="exact"/>
        <w:ind w:left="673"/>
        <w:rPr>
          <w:b w:val="0"/>
        </w:rPr>
      </w:pP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Halduskultuur: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Estonian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Journal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Administrative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Culture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Digital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Governance.</w:t>
      </w:r>
    </w:p>
    <w:p>
      <w:pPr>
        <w:pStyle w:val="BodyText"/>
        <w:spacing w:line="220" w:lineRule="exact"/>
        <w:ind w:left="673"/>
        <w:rPr>
          <w:b w:val="0"/>
        </w:rPr>
      </w:pP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2018,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joined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Apolitical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Future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Editorial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Board.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Previously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</w:p>
    <w:p>
      <w:pPr>
        <w:pStyle w:val="BodyText"/>
        <w:spacing w:line="192" w:lineRule="auto" w:before="16"/>
        <w:ind w:left="673" w:right="3282"/>
        <w:rPr>
          <w:b w:val="0"/>
        </w:rPr>
      </w:pP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editorial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boards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Journal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&amp;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Organisation,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Canadian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Journal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Administration.</w:t>
      </w:r>
    </w:p>
    <w:p>
      <w:pPr>
        <w:pStyle w:val="BodyText"/>
        <w:spacing w:line="192" w:lineRule="auto" w:before="113"/>
        <w:ind w:left="673" w:right="3283"/>
        <w:rPr>
          <w:b w:val="0"/>
        </w:rPr>
      </w:pPr>
      <w:r>
        <w:rPr>
          <w:b w:val="0"/>
          <w:color w:val="231F20"/>
        </w:rPr>
        <w:t>Janine is a Fellow of the </w:t>
      </w:r>
      <w:hyperlink r:id="rId49">
        <w:r>
          <w:rPr>
            <w:b w:val="0"/>
            <w:color w:val="243B7D"/>
            <w:u w:val="single" w:color="243B7D"/>
          </w:rPr>
          <w:t>Institute of Public Administration Australia</w:t>
        </w:r>
        <w:r>
          <w:rPr>
            <w:b w:val="0"/>
            <w:color w:val="243B7D"/>
          </w:rPr>
          <w:t> </w:t>
        </w:r>
      </w:hyperlink>
      <w:r>
        <w:rPr>
          <w:b w:val="0"/>
          <w:color w:val="231F20"/>
        </w:rPr>
        <w:t>(Victoria) and has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previously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elected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board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hyperlink r:id="rId50">
        <w:r>
          <w:rPr>
            <w:b w:val="0"/>
            <w:color w:val="243B7D"/>
            <w:u w:val="single" w:color="243B7D"/>
          </w:rPr>
          <w:t>International</w:t>
        </w:r>
        <w:r>
          <w:rPr>
            <w:b w:val="0"/>
            <w:color w:val="243B7D"/>
            <w:spacing w:val="-5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Research</w:t>
        </w:r>
      </w:hyperlink>
      <w:r>
        <w:rPr>
          <w:b w:val="0"/>
          <w:color w:val="243B7D"/>
          <w:spacing w:val="1"/>
        </w:rPr>
        <w:t> </w:t>
      </w:r>
      <w:hyperlink r:id="rId50">
        <w:r>
          <w:rPr>
            <w:b w:val="0"/>
            <w:color w:val="243B7D"/>
            <w:u w:val="single" w:color="243B7D"/>
          </w:rPr>
          <w:t>Society for Public Management</w:t>
        </w:r>
      </w:hyperlink>
      <w:r>
        <w:rPr>
          <w:b w:val="0"/>
          <w:color w:val="231F20"/>
        </w:rPr>
        <w:t>. In 2018 she joined the Advisory Board of the Australian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 Service Centre for Leadership and Learning and in 2019 became a member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Infrastructure Victoria Expert Panel on the Role of Infrastructure in Addressing Regional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Disadvantage.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keen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observer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practice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has</w:t>
      </w:r>
    </w:p>
    <w:p>
      <w:pPr>
        <w:pStyle w:val="BodyText"/>
        <w:spacing w:line="192" w:lineRule="auto"/>
        <w:ind w:left="673" w:right="3096"/>
        <w:rPr>
          <w:b w:val="0"/>
        </w:rPr>
      </w:pPr>
      <w:r>
        <w:rPr>
          <w:b w:val="0"/>
          <w:color w:val="231F20"/>
        </w:rPr>
        <w:t>had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opportunity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advice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range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makers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Chile, Bhutan, the United States, and Singapore. In 2020 she joined a network of practitioners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academics developing as part of the </w:t>
      </w:r>
      <w:hyperlink r:id="rId51">
        <w:r>
          <w:rPr>
            <w:b w:val="0"/>
            <w:color w:val="243B7D"/>
            <w:u w:val="single" w:color="243B7D"/>
          </w:rPr>
          <w:t>Agile Government Center</w:t>
        </w:r>
      </w:hyperlink>
      <w:r>
        <w:rPr>
          <w:b w:val="0"/>
          <w:color w:val="231F20"/>
        </w:rPr>
        <w:t>, sponsored by the United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States </w:t>
      </w:r>
      <w:hyperlink r:id="rId52">
        <w:r>
          <w:rPr>
            <w:b w:val="0"/>
            <w:color w:val="243B7D"/>
            <w:u w:val="single" w:color="243B7D"/>
          </w:rPr>
          <w:t>National Academy of Public Administration</w:t>
        </w:r>
      </w:hyperlink>
      <w:r>
        <w:rPr>
          <w:b w:val="0"/>
          <w:color w:val="243B7D"/>
        </w:rPr>
        <w:t> </w:t>
      </w:r>
      <w:r>
        <w:rPr>
          <w:b w:val="0"/>
          <w:color w:val="231F20"/>
        </w:rPr>
        <w:t>and the </w:t>
      </w:r>
      <w:hyperlink r:id="rId53">
        <w:r>
          <w:rPr>
            <w:b w:val="0"/>
            <w:color w:val="243B7D"/>
            <w:u w:val="single" w:color="243B7D"/>
          </w:rPr>
          <w:t>IBM Center for the Business of</w:t>
        </w:r>
      </w:hyperlink>
      <w:r>
        <w:rPr>
          <w:b w:val="0"/>
          <w:color w:val="243B7D"/>
          <w:spacing w:val="1"/>
        </w:rPr>
        <w:t> </w:t>
      </w:r>
      <w:hyperlink r:id="rId53">
        <w:r>
          <w:rPr>
            <w:b w:val="0"/>
            <w:color w:val="243B7D"/>
            <w:u w:val="single" w:color="243B7D"/>
          </w:rPr>
          <w:t>Government</w:t>
        </w:r>
      </w:hyperlink>
      <w:r>
        <w:rPr>
          <w:b w:val="0"/>
          <w:color w:val="231F20"/>
        </w:rPr>
        <w:t>. In 2019, she co-authored a major research paper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inform the work of the</w:t>
      </w:r>
      <w:r>
        <w:rPr>
          <w:b w:val="0"/>
          <w:color w:val="231F20"/>
          <w:spacing w:val="1"/>
        </w:rPr>
        <w:t> </w:t>
      </w:r>
      <w:hyperlink r:id="rId54">
        <w:r>
          <w:rPr>
            <w:b w:val="0"/>
            <w:color w:val="243B7D"/>
            <w:u w:val="single" w:color="243B7D"/>
          </w:rPr>
          <w:t>Independent</w:t>
        </w:r>
        <w:r>
          <w:rPr>
            <w:b w:val="0"/>
            <w:color w:val="243B7D"/>
            <w:spacing w:val="-3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Review</w:t>
        </w:r>
        <w:r>
          <w:rPr>
            <w:b w:val="0"/>
            <w:color w:val="243B7D"/>
            <w:spacing w:val="-3"/>
          </w:rPr>
          <w:t> </w:t>
        </w:r>
      </w:hyperlink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Service:</w:t>
      </w:r>
      <w:r>
        <w:rPr>
          <w:b w:val="0"/>
          <w:color w:val="231F20"/>
          <w:spacing w:val="-4"/>
        </w:rPr>
        <w:t> </w:t>
      </w:r>
      <w:hyperlink r:id="rId55">
        <w:r>
          <w:rPr>
            <w:b w:val="0"/>
            <w:color w:val="243B7D"/>
            <w:u w:val="single" w:color="243B7D"/>
          </w:rPr>
          <w:t>2030</w:t>
        </w:r>
        <w:r>
          <w:rPr>
            <w:b w:val="0"/>
            <w:color w:val="243B7D"/>
            <w:spacing w:val="-3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and</w:t>
        </w:r>
        <w:r>
          <w:rPr>
            <w:b w:val="0"/>
            <w:color w:val="243B7D"/>
            <w:spacing w:val="-2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Beyond:</w:t>
        </w:r>
        <w:r>
          <w:rPr>
            <w:b w:val="0"/>
            <w:color w:val="243B7D"/>
            <w:spacing w:val="-3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Getting</w:t>
        </w:r>
        <w:r>
          <w:rPr>
            <w:b w:val="0"/>
            <w:color w:val="243B7D"/>
            <w:spacing w:val="-3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the</w:t>
        </w:r>
        <w:r>
          <w:rPr>
            <w:b w:val="0"/>
            <w:color w:val="243B7D"/>
            <w:spacing w:val="-2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Work</w:t>
        </w:r>
        <w:r>
          <w:rPr>
            <w:b w:val="0"/>
            <w:color w:val="243B7D"/>
            <w:spacing w:val="-1"/>
            <w:u w:val="single" w:color="243B7D"/>
          </w:rPr>
          <w:t> </w:t>
        </w:r>
      </w:hyperlink>
    </w:p>
    <w:p>
      <w:pPr>
        <w:pStyle w:val="BodyText"/>
        <w:spacing w:line="232" w:lineRule="exact"/>
        <w:ind w:left="673"/>
        <w:rPr>
          <w:b w:val="0"/>
        </w:rPr>
      </w:pPr>
      <w:hyperlink r:id="rId55">
        <w:r>
          <w:rPr>
            <w:b w:val="0"/>
            <w:color w:val="243B7D"/>
            <w:u w:val="single" w:color="243B7D"/>
          </w:rPr>
          <w:t>of</w:t>
        </w:r>
        <w:r>
          <w:rPr>
            <w:b w:val="0"/>
            <w:color w:val="243B7D"/>
            <w:spacing w:val="-3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Government</w:t>
        </w:r>
        <w:r>
          <w:rPr>
            <w:b w:val="0"/>
            <w:color w:val="243B7D"/>
            <w:spacing w:val="-2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Done</w:t>
        </w:r>
      </w:hyperlink>
      <w:r>
        <w:rPr>
          <w:b w:val="0"/>
          <w:color w:val="231F20"/>
        </w:rPr>
        <w:t>.</w:t>
      </w:r>
    </w:p>
    <w:p>
      <w:pPr>
        <w:pStyle w:val="BodyText"/>
        <w:spacing w:line="192" w:lineRule="auto" w:before="102"/>
        <w:ind w:left="673" w:right="3559"/>
        <w:rPr>
          <w:b w:val="0"/>
        </w:rPr>
      </w:pPr>
      <w:r>
        <w:rPr>
          <w:b w:val="0"/>
          <w:color w:val="231F20"/>
        </w:rPr>
        <w:t>She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regular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commentator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media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producing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columns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outlets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such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1"/>
        </w:rPr>
        <w:t> </w:t>
      </w:r>
      <w:hyperlink r:id="rId56">
        <w:r>
          <w:rPr>
            <w:b w:val="0"/>
            <w:color w:val="243B7D"/>
            <w:u w:val="single" w:color="243B7D"/>
          </w:rPr>
          <w:t>The Conversation</w:t>
        </w:r>
        <w:r>
          <w:rPr>
            <w:b w:val="0"/>
            <w:color w:val="243B7D"/>
          </w:rPr>
          <w:t> </w:t>
        </w:r>
      </w:hyperlink>
      <w:r>
        <w:rPr>
          <w:b w:val="0"/>
          <w:color w:val="231F20"/>
        </w:rPr>
        <w:t>and </w:t>
      </w:r>
      <w:hyperlink r:id="rId57">
        <w:r>
          <w:rPr>
            <w:b w:val="0"/>
            <w:i/>
            <w:color w:val="243B7D"/>
            <w:u w:val="single" w:color="243B7D"/>
          </w:rPr>
          <w:t>The</w:t>
        </w:r>
        <w:r>
          <w:rPr>
            <w:b w:val="0"/>
            <w:i/>
            <w:color w:val="243B7D"/>
            <w:spacing w:val="-6"/>
            <w:u w:val="single" w:color="243B7D"/>
          </w:rPr>
          <w:t> </w:t>
        </w:r>
        <w:r>
          <w:rPr>
            <w:b w:val="0"/>
            <w:i/>
            <w:color w:val="243B7D"/>
            <w:u w:val="single" w:color="243B7D"/>
          </w:rPr>
          <w:t>Mandarin</w:t>
        </w:r>
      </w:hyperlink>
      <w:r>
        <w:rPr>
          <w:b w:val="0"/>
          <w:color w:val="231F20"/>
        </w:rPr>
        <w:t>.</w:t>
      </w:r>
    </w:p>
    <w:p>
      <w:pPr>
        <w:pStyle w:val="BodyText"/>
        <w:spacing w:line="192" w:lineRule="auto" w:before="114"/>
        <w:ind w:left="673" w:right="3416"/>
        <w:rPr>
          <w:b w:val="0"/>
        </w:rPr>
      </w:pPr>
      <w:r>
        <w:rPr>
          <w:b w:val="0"/>
          <w:color w:val="231F20"/>
        </w:rPr>
        <w:t>Janine’s teaching focuses on management issues in the public sector and the challenges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faced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contemporary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pursuit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purpose.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extensive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experienced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professionals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programs.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award-winning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teacher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researcher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having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recipient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prize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(Australian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Council)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as University and College level awards for teaching excellence. She has several awards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academic innovation and contribution. This includes being part of the team awarded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Louis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Brownlow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Award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(2017)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paper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published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hyperlink r:id="rId58">
        <w:r>
          <w:rPr>
            <w:b w:val="0"/>
            <w:i/>
            <w:color w:val="243B7D"/>
            <w:u w:val="single" w:color="243B7D"/>
          </w:rPr>
          <w:t>Public</w:t>
        </w:r>
        <w:r>
          <w:rPr>
            <w:b w:val="0"/>
            <w:i/>
            <w:color w:val="243B7D"/>
            <w:spacing w:val="-10"/>
            <w:u w:val="single" w:color="243B7D"/>
          </w:rPr>
          <w:t> </w:t>
        </w:r>
        <w:r>
          <w:rPr>
            <w:b w:val="0"/>
            <w:i/>
            <w:color w:val="243B7D"/>
            <w:u w:val="single" w:color="243B7D"/>
          </w:rPr>
          <w:t>Administration</w:t>
        </w:r>
        <w:r>
          <w:rPr>
            <w:b w:val="0"/>
            <w:i/>
            <w:color w:val="243B7D"/>
            <w:spacing w:val="-9"/>
            <w:u w:val="single" w:color="243B7D"/>
          </w:rPr>
          <w:t> </w:t>
        </w:r>
        <w:r>
          <w:rPr>
            <w:b w:val="0"/>
            <w:i/>
            <w:color w:val="243B7D"/>
            <w:u w:val="single" w:color="243B7D"/>
          </w:rPr>
          <w:t>Review</w:t>
        </w:r>
      </w:hyperlink>
      <w:r>
        <w:rPr>
          <w:b w:val="0"/>
          <w:i/>
          <w:color w:val="243B7D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best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article published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 </w:t>
      </w:r>
      <w:hyperlink r:id="rId59">
        <w:r>
          <w:rPr>
            <w:b w:val="0"/>
            <w:i/>
            <w:color w:val="243B7D"/>
            <w:u w:val="single" w:color="243B7D"/>
          </w:rPr>
          <w:t>Review</w:t>
        </w:r>
        <w:r>
          <w:rPr>
            <w:b w:val="0"/>
            <w:i/>
            <w:color w:val="243B7D"/>
            <w:spacing w:val="-6"/>
            <w:u w:val="single" w:color="243B7D"/>
          </w:rPr>
          <w:t> </w:t>
        </w:r>
        <w:r>
          <w:rPr>
            <w:b w:val="0"/>
            <w:i/>
            <w:color w:val="243B7D"/>
            <w:u w:val="single" w:color="243B7D"/>
          </w:rPr>
          <w:t>of</w:t>
        </w:r>
        <w:r>
          <w:rPr>
            <w:b w:val="0"/>
            <w:i/>
            <w:color w:val="243B7D"/>
            <w:spacing w:val="-7"/>
            <w:u w:val="single" w:color="243B7D"/>
          </w:rPr>
          <w:t> </w:t>
        </w:r>
        <w:r>
          <w:rPr>
            <w:b w:val="0"/>
            <w:i/>
            <w:color w:val="243B7D"/>
            <w:u w:val="single" w:color="243B7D"/>
          </w:rPr>
          <w:t>Public</w:t>
        </w:r>
        <w:r>
          <w:rPr>
            <w:b w:val="0"/>
            <w:i/>
            <w:color w:val="243B7D"/>
            <w:spacing w:val="-6"/>
            <w:u w:val="single" w:color="243B7D"/>
          </w:rPr>
          <w:t> </w:t>
        </w:r>
        <w:r>
          <w:rPr>
            <w:b w:val="0"/>
            <w:i/>
            <w:color w:val="243B7D"/>
            <w:u w:val="single" w:color="243B7D"/>
          </w:rPr>
          <w:t>Personnel</w:t>
        </w:r>
        <w:r>
          <w:rPr>
            <w:b w:val="0"/>
            <w:i/>
            <w:color w:val="243B7D"/>
            <w:spacing w:val="-6"/>
            <w:u w:val="single" w:color="243B7D"/>
          </w:rPr>
          <w:t> </w:t>
        </w:r>
        <w:r>
          <w:rPr>
            <w:b w:val="0"/>
            <w:i/>
            <w:color w:val="243B7D"/>
            <w:u w:val="single" w:color="243B7D"/>
          </w:rPr>
          <w:t>Administration</w:t>
        </w:r>
        <w:r>
          <w:rPr>
            <w:b w:val="0"/>
            <w:i/>
            <w:color w:val="243B7D"/>
            <w:spacing w:val="-1"/>
          </w:rPr>
          <w:t> </w:t>
        </w:r>
      </w:hyperlink>
      <w:r>
        <w:rPr>
          <w:b w:val="0"/>
          <w:color w:val="231F20"/>
        </w:rPr>
        <w:t>(2019). 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 of the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line="192" w:lineRule="auto" w:before="138"/>
        <w:ind w:left="673" w:right="3213"/>
        <w:rPr>
          <w:b w:val="0"/>
        </w:rPr>
      </w:pPr>
      <w:r>
        <w:rPr>
          <w:b w:val="0"/>
          <w:color w:val="231F20"/>
        </w:rPr>
        <w:t>same team she received the Carlo Mansini Award (2013), the Charles H. Levine Award (2013)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was nominated for the Carolyn Dexter Award (2014) from the Academy of Management.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received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2013</w:t>
      </w:r>
      <w:r>
        <w:rPr>
          <w:b w:val="0"/>
          <w:color w:val="231F20"/>
          <w:spacing w:val="-7"/>
        </w:rPr>
        <w:t> </w:t>
      </w:r>
      <w:hyperlink r:id="rId60">
        <w:r>
          <w:rPr>
            <w:b w:val="0"/>
            <w:color w:val="243B7D"/>
            <w:u w:val="single" w:color="243B7D"/>
          </w:rPr>
          <w:t>Academy</w:t>
        </w:r>
        <w:r>
          <w:rPr>
            <w:b w:val="0"/>
            <w:color w:val="243B7D"/>
            <w:spacing w:val="-5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of</w:t>
        </w:r>
        <w:r>
          <w:rPr>
            <w:b w:val="0"/>
            <w:color w:val="243B7D"/>
            <w:spacing w:val="-5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Management</w:t>
        </w:r>
        <w:r>
          <w:rPr>
            <w:b w:val="0"/>
            <w:color w:val="243B7D"/>
            <w:spacing w:val="-5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best</w:t>
        </w:r>
        <w:r>
          <w:rPr>
            <w:b w:val="0"/>
            <w:color w:val="243B7D"/>
            <w:spacing w:val="-6"/>
            <w:u w:val="single" w:color="243B7D"/>
          </w:rPr>
          <w:t> </w:t>
        </w:r>
        <w:r>
          <w:rPr>
            <w:b w:val="0"/>
            <w:color w:val="243B7D"/>
            <w:u w:val="single" w:color="243B7D"/>
          </w:rPr>
          <w:t>book</w:t>
        </w:r>
        <w:r>
          <w:rPr>
            <w:b w:val="0"/>
            <w:color w:val="243B7D"/>
            <w:spacing w:val="-6"/>
          </w:rPr>
          <w:t> </w:t>
        </w:r>
      </w:hyperlink>
      <w:r>
        <w:rPr>
          <w:b w:val="0"/>
          <w:color w:val="231F20"/>
        </w:rPr>
        <w:t>(public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non-profit)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award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John Alford.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Career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–</w:t>
      </w:r>
    </w:p>
    <w:p>
      <w:pPr>
        <w:pStyle w:val="BodyText"/>
        <w:spacing w:line="192" w:lineRule="auto" w:before="102"/>
        <w:ind w:left="843" w:right="3155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Previous Director of Education, Melbourne School of Government, University of Melbourne;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Education,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Crawford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Policy,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</w:p>
    <w:p>
      <w:pPr>
        <w:pStyle w:val="BodyText"/>
        <w:spacing w:line="192" w:lineRule="auto" w:before="114"/>
        <w:ind w:left="843" w:right="328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Previous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Master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Master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Management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at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 of Melbourne</w:t>
      </w:r>
    </w:p>
    <w:p>
      <w:pPr>
        <w:pStyle w:val="BodyText"/>
        <w:spacing w:line="192" w:lineRule="auto" w:before="113"/>
        <w:ind w:left="843" w:right="3130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College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Asia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Pacific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Award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Excellence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(ANU);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Vice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Chancellors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Award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for Teaching Excellence (ANU); Citation for Outstanding Contribution to Student Learning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(Australian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Council);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Nominee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Excellence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Award</w:t>
      </w:r>
    </w:p>
    <w:p>
      <w:pPr>
        <w:pStyle w:val="BodyText"/>
        <w:spacing w:line="232" w:lineRule="exact"/>
        <w:ind w:left="843"/>
        <w:rPr>
          <w:b w:val="0"/>
        </w:rPr>
      </w:pPr>
      <w:r>
        <w:rPr>
          <w:b w:val="0"/>
          <w:color w:val="231F20"/>
        </w:rPr>
        <w:t>(Office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Teaching)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Fellow,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Approximately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$1M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income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Best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Book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Award,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American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(2013)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Best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article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award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(2017)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Best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article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award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Personnel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(2019)</w:t>
      </w:r>
    </w:p>
    <w:p>
      <w:pPr>
        <w:pStyle w:val="BodyText"/>
        <w:spacing w:line="192" w:lineRule="auto" w:before="102"/>
        <w:ind w:left="843" w:right="3238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Multiple best paper awards/nominations at the Academy of Management (2013, 2013, 2014,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2020)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Editor,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Journal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Administration</w:t>
      </w:r>
    </w:p>
    <w:p>
      <w:pPr>
        <w:pStyle w:val="BodyText"/>
        <w:spacing w:line="192" w:lineRule="auto" w:before="102"/>
        <w:ind w:left="843" w:right="3518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1"/>
        </w:rPr>
        <w:t> </w:t>
      </w:r>
      <w:r>
        <w:rPr>
          <w:b w:val="0"/>
          <w:color w:val="231F20"/>
        </w:rPr>
        <w:t>Editorial Board memberships - Public Administration Review; Public Administration;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Review;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Global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Governance;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Journal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Administration;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Practice;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Halduskultuur.</w:t>
      </w:r>
    </w:p>
    <w:p>
      <w:pPr>
        <w:pStyle w:val="BodyText"/>
        <w:spacing w:line="192" w:lineRule="auto" w:before="114"/>
        <w:ind w:left="843" w:right="3591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elected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Society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Board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board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Centre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Expert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adviser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several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countries</w:t>
      </w:r>
    </w:p>
    <w:p>
      <w:pPr>
        <w:pStyle w:val="BodyText"/>
        <w:spacing w:line="192" w:lineRule="auto" w:before="102"/>
        <w:ind w:left="843" w:right="3395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Co-author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report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informing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Independent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Service</w:t>
      </w:r>
    </w:p>
    <w:p>
      <w:pPr>
        <w:pStyle w:val="BodyText"/>
        <w:spacing w:line="192" w:lineRule="auto" w:before="114"/>
        <w:ind w:left="843" w:right="3859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Education,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Crawford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Policy,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Melbourne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Government,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Melbourne</w:t>
      </w:r>
    </w:p>
    <w:p>
      <w:pPr>
        <w:pStyle w:val="BodyText"/>
        <w:spacing w:line="192" w:lineRule="auto" w:before="113"/>
        <w:ind w:left="843" w:right="3769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Master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Master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Management,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 of Melbourne</w:t>
      </w:r>
    </w:p>
    <w:p>
      <w:pPr>
        <w:pStyle w:val="BodyText"/>
        <w:spacing w:line="192" w:lineRule="auto" w:before="114"/>
        <w:ind w:left="843" w:right="328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Former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chair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Melbourne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Government/School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Political Science Graduate Studies Committee; former member Faculty of Arts Graduate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Studies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Committee, University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Melbourne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Current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Board,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Melbourne</w:t>
      </w:r>
    </w:p>
    <w:p>
      <w:pPr>
        <w:pStyle w:val="BodyText"/>
        <w:spacing w:line="192" w:lineRule="auto" w:before="102"/>
        <w:ind w:left="843" w:right="3144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Former member University Education Committee, College of Asia and the Pacific Education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Committee, Crawford School of Public Policy Education Committee (chair), Australian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</w:t>
      </w:r>
    </w:p>
    <w:p>
      <w:pPr>
        <w:pStyle w:val="BodyText"/>
        <w:spacing w:line="192" w:lineRule="auto" w:before="113"/>
        <w:ind w:left="843" w:right="3078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I have undertaken reviews of university programs including the London School of Economics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Political Science Executive Master of Public Policy (2020) and chair of the review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Flinders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Administration programs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(2015)</w:t>
      </w:r>
    </w:p>
    <w:p>
      <w:pPr>
        <w:pStyle w:val="BodyText"/>
        <w:spacing w:line="192" w:lineRule="auto" w:before="114"/>
        <w:ind w:left="843" w:right="3251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Postgraduate teaching at the University of Melbourne (subject leader, design and delivery):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Management;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Administration.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(subject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leader,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</w:p>
    <w:p>
      <w:pPr>
        <w:spacing w:after="0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pStyle w:val="BodyText"/>
        <w:spacing w:line="192" w:lineRule="auto" w:before="138"/>
        <w:ind w:left="843" w:right="3584"/>
        <w:rPr>
          <w:b w:val="0"/>
        </w:rPr>
      </w:pPr>
      <w:r>
        <w:rPr>
          <w:b w:val="0"/>
          <w:color w:val="231F20"/>
        </w:rPr>
        <w:t>delivery):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Markets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Global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Change;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People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Performance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 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Organisations.</w:t>
      </w:r>
    </w:p>
    <w:p>
      <w:pPr>
        <w:pStyle w:val="BodyText"/>
        <w:spacing w:line="192" w:lineRule="auto" w:before="113"/>
        <w:ind w:left="843" w:right="3363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Postgraduate teaching at the University of Canberra (subject leader, design and delivery):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Administration;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Interface.</w:t>
      </w:r>
    </w:p>
    <w:p>
      <w:pPr>
        <w:pStyle w:val="BodyText"/>
        <w:spacing w:line="192" w:lineRule="auto" w:before="114"/>
        <w:ind w:left="673" w:right="3953"/>
        <w:rPr>
          <w:b w:val="0"/>
        </w:rPr>
      </w:pPr>
      <w:r>
        <w:rPr>
          <w:b w:val="0"/>
          <w:color w:val="231F20"/>
        </w:rPr>
        <w:t>She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supervised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numerous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minor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theses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level;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eight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PhD’s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completion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currently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supervising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three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PhD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June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2020)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4"/>
        </w:rPr>
      </w:pPr>
      <w:r>
        <w:rPr/>
        <w:pict>
          <v:shape style="position:absolute;margin-left:56.692902pt;margin-top:18.6005pt;width:384.1pt;height:.1pt;mso-position-horizontal-relative:page;mso-position-vertical-relative:paragraph;z-index:-15713280;mso-wrap-distance-left:0;mso-wrap-distance-right:0" id="docshape160" coordorigin="1134,372" coordsize="7682,0" path="m1134,372l8816,372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791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43B7D"/>
          <w:sz w:val="28"/>
        </w:rPr>
        <w:t>Dr</w:t>
      </w:r>
      <w:r>
        <w:rPr>
          <w:rFonts w:ascii="Domus Semibold" w:hAnsi="Domus Semibold"/>
          <w:b w:val="0"/>
          <w:color w:val="243B7D"/>
          <w:spacing w:val="-4"/>
          <w:sz w:val="28"/>
        </w:rPr>
        <w:t> </w:t>
      </w:r>
      <w:r>
        <w:rPr>
          <w:rFonts w:ascii="Domus Semibold" w:hAnsi="Domus Semibold"/>
          <w:b w:val="0"/>
          <w:color w:val="243B7D"/>
          <w:sz w:val="28"/>
        </w:rPr>
        <w:t>Zina</w:t>
      </w:r>
      <w:r>
        <w:rPr>
          <w:rFonts w:ascii="Domus Semibold" w:hAnsi="Domus Semibold"/>
          <w:b w:val="0"/>
          <w:color w:val="243B7D"/>
          <w:spacing w:val="-4"/>
          <w:sz w:val="28"/>
        </w:rPr>
        <w:t> </w:t>
      </w:r>
      <w:r>
        <w:rPr>
          <w:rFonts w:ascii="Domus Semibold" w:hAnsi="Domus Semibold"/>
          <w:b w:val="0"/>
          <w:color w:val="243B7D"/>
          <w:sz w:val="28"/>
        </w:rPr>
        <w:t>O’Leary</w:t>
      </w:r>
    </w:p>
    <w:p>
      <w:pPr>
        <w:pStyle w:val="BodyText"/>
        <w:spacing w:before="120"/>
        <w:ind w:left="3791" w:right="4884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720001</wp:posOffset>
            </wp:positionH>
            <wp:positionV relativeFrom="paragraph">
              <wp:posOffset>-144315</wp:posOffset>
            </wp:positionV>
            <wp:extent cx="1776006" cy="1811997"/>
            <wp:effectExtent l="0" t="0" r="0" b="0"/>
            <wp:wrapNone/>
            <wp:docPr id="3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06" cy="181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South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Wales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Ph.D,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UNSW &amp;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UWS</w:t>
      </w:r>
    </w:p>
    <w:p>
      <w:pPr>
        <w:pStyle w:val="BodyText"/>
        <w:spacing w:before="3"/>
        <w:ind w:left="3791" w:right="4797"/>
        <w:rPr>
          <w:b w:val="0"/>
        </w:rPr>
      </w:pPr>
      <w:r>
        <w:rPr>
          <w:b w:val="0"/>
          <w:color w:val="231F20"/>
        </w:rPr>
        <w:t>MSc,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Wisconsin,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USA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BA,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Rutgers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NJ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USA</w:t>
      </w:r>
    </w:p>
    <w:p>
      <w:pPr>
        <w:spacing w:before="145"/>
        <w:ind w:left="3791" w:right="0" w:firstLine="0"/>
        <w:jc w:val="left"/>
        <w:rPr>
          <w:rFonts w:ascii="Apercu"/>
          <w:b/>
          <w:sz w:val="19"/>
        </w:rPr>
      </w:pPr>
      <w:r>
        <w:rPr>
          <w:b w:val="0"/>
          <w:color w:val="231F20"/>
          <w:sz w:val="19"/>
          <w:shd w:fill="5BCBF5" w:color="auto" w:val="clear"/>
        </w:rPr>
        <w:t> </w:t>
      </w:r>
      <w:r>
        <w:rPr>
          <w:b w:val="0"/>
          <w:color w:val="231F20"/>
          <w:spacing w:val="-1"/>
          <w:sz w:val="19"/>
          <w:shd w:fill="5BCBF5" w:color="auto" w:val="clear"/>
        </w:rPr>
        <w:t>EMPA</w:t>
      </w:r>
      <w:r>
        <w:rPr>
          <w:b w:val="0"/>
          <w:color w:val="231F20"/>
          <w:spacing w:val="-11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Subject:</w:t>
      </w:r>
      <w:r>
        <w:rPr>
          <w:b w:val="0"/>
          <w:color w:val="231F20"/>
          <w:spacing w:val="-12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Work-Based</w:t>
      </w:r>
      <w:r>
        <w:rPr>
          <w:rFonts w:ascii="Apercu"/>
          <w:b/>
          <w:color w:val="231F20"/>
          <w:spacing w:val="-11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Project</w:t>
      </w:r>
      <w:r>
        <w:rPr>
          <w:rFonts w:ascii="Apercu"/>
          <w:b/>
          <w:color w:val="231F20"/>
          <w:spacing w:val="23"/>
          <w:sz w:val="19"/>
          <w:shd w:fill="5BCBF5" w:color="auto" w:val="clear"/>
        </w:rPr>
        <w:t> </w:t>
      </w:r>
    </w:p>
    <w:p>
      <w:pPr>
        <w:pStyle w:val="BodyText"/>
        <w:rPr>
          <w:rFonts w:ascii="Apercu"/>
          <w:b/>
          <w:sz w:val="26"/>
        </w:rPr>
      </w:pPr>
    </w:p>
    <w:p>
      <w:pPr>
        <w:pStyle w:val="BodyText"/>
        <w:rPr>
          <w:rFonts w:ascii="Apercu"/>
          <w:b/>
          <w:sz w:val="26"/>
        </w:rPr>
      </w:pPr>
    </w:p>
    <w:p>
      <w:pPr>
        <w:pStyle w:val="BodyText"/>
        <w:spacing w:before="13"/>
        <w:rPr>
          <w:rFonts w:ascii="Apercu"/>
          <w:b/>
          <w:sz w:val="26"/>
        </w:rPr>
      </w:pPr>
    </w:p>
    <w:p>
      <w:pPr>
        <w:spacing w:before="0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2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4"/>
        </w:rPr>
        <w:t> </w:t>
      </w:r>
      <w:r>
        <w:rPr>
          <w:b w:val="0"/>
          <w:color w:val="231F20"/>
        </w:rPr>
        <w:t>Evaluation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4"/>
        </w:rPr>
        <w:t> </w:t>
      </w:r>
      <w:r>
        <w:rPr>
          <w:b w:val="0"/>
          <w:color w:val="231F20"/>
        </w:rPr>
        <w:t>Communication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Methodologies</w:t>
      </w:r>
    </w:p>
    <w:p>
      <w:pPr>
        <w:pStyle w:val="BodyText"/>
        <w:spacing w:line="192" w:lineRule="auto" w:before="101"/>
        <w:ind w:left="673" w:right="3466"/>
        <w:rPr>
          <w:b w:val="0"/>
        </w:rPr>
      </w:pPr>
      <w:r>
        <w:rPr>
          <w:b w:val="0"/>
          <w:color w:val="231F20"/>
        </w:rPr>
        <w:t>Dr Zina O’Leary was awarded her PhD as a US National Science Foundation Fellow and 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currently an adjunct senior lecturer at UNSW and an ANZSOG Senior Fellow. Dr O’Leary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25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years’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consultant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taught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methods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communication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courses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Kong,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Fiji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</w:p>
    <w:p>
      <w:pPr>
        <w:pStyle w:val="BodyText"/>
        <w:spacing w:line="192" w:lineRule="auto" w:before="1"/>
        <w:ind w:left="673" w:right="2793"/>
        <w:rPr>
          <w:b w:val="0"/>
        </w:rPr>
      </w:pPr>
      <w:r>
        <w:rPr>
          <w:b w:val="0"/>
          <w:color w:val="231F20"/>
        </w:rPr>
        <w:t>Malaysia.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coordinator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Workplace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Integrated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 of Sydney Business School, where she strived to help workplace-based students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maximize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impact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communication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conduct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impactful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applied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research.</w:t>
      </w:r>
    </w:p>
    <w:p>
      <w:pPr>
        <w:pStyle w:val="BodyText"/>
        <w:spacing w:line="192" w:lineRule="auto" w:before="113"/>
        <w:ind w:left="673" w:right="3128"/>
        <w:rPr>
          <w:b w:val="0"/>
        </w:rPr>
      </w:pPr>
      <w:r>
        <w:rPr>
          <w:b w:val="0"/>
          <w:color w:val="231F20"/>
        </w:rPr>
        <w:t>Zina also has an extensive history as a consultant to the World Health Organization,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contributing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projects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community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engagement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community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consultation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 Asia Pacific Region. She is the author of several books for Sage Publications including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Workplace Research, Researching Real World Problems, The Essential Guide to Doing your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Social Science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Jargon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Buster.</w:t>
      </w:r>
    </w:p>
    <w:p>
      <w:pPr>
        <w:pStyle w:val="BodyText"/>
        <w:spacing w:line="192" w:lineRule="auto" w:before="114"/>
        <w:ind w:left="673" w:right="3267"/>
        <w:rPr>
          <w:b w:val="0"/>
        </w:rPr>
      </w:pPr>
      <w:r>
        <w:rPr>
          <w:b w:val="0"/>
          <w:color w:val="231F20"/>
        </w:rPr>
        <w:t>Prior to her engagement by the UNSW and ANZSOG, Dr O’Leary’s teaching experience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included courses on research methods, evaluation and professional development at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University of Sydney Business School (2013-2017), University of Sydney Graduate School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government (2011-2017), University of Western Sydney (1995-2010), Hong Kong Polytechnic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(1998-2008)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Medical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Kuala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Lumpur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(2007-2010).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Career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–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Nominated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College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Award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2017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Dean’s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Citation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Excellence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Coordination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Sydney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Dean’s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Citation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Excellence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Coordination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Sydney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Dean’s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Citation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Excellence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Coordination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Sydney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2014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Dean’s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Citation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Tutoring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Sydney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School</w:t>
      </w:r>
    </w:p>
    <w:p>
      <w:pPr>
        <w:spacing w:after="0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4"/>
        </w:rPr>
      </w:pPr>
    </w:p>
    <w:p>
      <w:pPr>
        <w:pStyle w:val="BodyText"/>
        <w:spacing w:before="9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2008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Nominated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College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Award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2002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Chancellor’s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Excellence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Award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commended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justice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2002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Nominated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College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Award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1999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UWS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Excellence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Award</w:t>
      </w:r>
    </w:p>
    <w:p>
      <w:pPr>
        <w:pStyle w:val="BodyText"/>
        <w:spacing w:line="192" w:lineRule="auto" w:before="102"/>
        <w:ind w:left="843" w:right="3396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lead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capstone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Based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unit,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emphasize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communication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as well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as research design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9"/>
        </w:rPr>
        <w:t> </w:t>
      </w:r>
      <w:r>
        <w:rPr>
          <w:b w:val="0"/>
          <w:color w:val="231F20"/>
        </w:rPr>
        <w:t>Developer/lecturer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several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Program</w:t>
      </w:r>
    </w:p>
    <w:p>
      <w:pPr>
        <w:pStyle w:val="BodyText"/>
        <w:spacing w:line="192" w:lineRule="auto" w:before="102"/>
        <w:ind w:left="843" w:right="3275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9"/>
        </w:rPr>
        <w:t> </w:t>
      </w:r>
      <w:r>
        <w:rPr>
          <w:b w:val="0"/>
          <w:color w:val="231F20"/>
        </w:rPr>
        <w:t>Lead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whole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organization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impactful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communication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leader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Decision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Making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Uncertainty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(DMUU)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1"/>
        </w:rPr>
        <w:t> </w:t>
      </w:r>
      <w:r>
        <w:rPr>
          <w:b w:val="0"/>
          <w:color w:val="231F20"/>
        </w:rPr>
        <w:t>Leader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curriculum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Decision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Making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Uncertainty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(DMUU)</w:t>
      </w:r>
    </w:p>
    <w:p>
      <w:pPr>
        <w:pStyle w:val="BodyText"/>
        <w:spacing w:line="192" w:lineRule="auto" w:before="102"/>
        <w:ind w:left="843" w:right="3410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1"/>
        </w:rPr>
        <w:t> </w:t>
      </w:r>
      <w:r>
        <w:rPr>
          <w:b w:val="0"/>
          <w:color w:val="231F20"/>
        </w:rPr>
        <w:t>Led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Sydney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multi-disciplinary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multi-school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Industry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Community Placement Program</w:t>
      </w:r>
    </w:p>
    <w:p>
      <w:pPr>
        <w:pStyle w:val="BodyText"/>
        <w:spacing w:line="192" w:lineRule="auto" w:before="113"/>
        <w:ind w:left="843" w:right="3247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1"/>
        </w:rPr>
        <w:t> </w:t>
      </w:r>
      <w:r>
        <w:rPr>
          <w:b w:val="0"/>
          <w:color w:val="231F20"/>
        </w:rPr>
        <w:t>Workplace Integrated Learning Academic Co-ordinator, responsible for overseeing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integrity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consistency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23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deliveries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Sydney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School’s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Industry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Community Placement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Programs</w:t>
      </w:r>
    </w:p>
    <w:p>
      <w:pPr>
        <w:pStyle w:val="BodyText"/>
        <w:spacing w:line="192" w:lineRule="auto" w:before="114"/>
        <w:ind w:left="843" w:right="4076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Unit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Coordinator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BUSS6500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Industry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Placement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(Sydney),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BUSS6510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Postgraduate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Industry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Placement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(Chile)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Fellow,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</w:p>
    <w:p>
      <w:pPr>
        <w:pStyle w:val="BodyText"/>
        <w:spacing w:line="192" w:lineRule="auto" w:before="102"/>
        <w:ind w:left="843" w:right="3708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Held public policy and research methods academic positions at USYD, and University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Western Sydney.</w:t>
      </w:r>
    </w:p>
    <w:p>
      <w:pPr>
        <w:pStyle w:val="BodyText"/>
        <w:spacing w:line="192" w:lineRule="auto" w:before="113"/>
        <w:ind w:left="843" w:right="3376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Extensive history as a consultant to both Government and the private sector and was the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coordinator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Centre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Environmental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Health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Organization Collaborating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Centre</w:t>
      </w:r>
    </w:p>
    <w:p>
      <w:pPr>
        <w:pStyle w:val="BodyText"/>
        <w:spacing w:line="192" w:lineRule="auto" w:before="114"/>
        <w:ind w:left="843" w:right="3095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1"/>
        </w:rPr>
        <w:t> </w:t>
      </w:r>
      <w:r>
        <w:rPr>
          <w:b w:val="0"/>
          <w:color w:val="231F20"/>
        </w:rPr>
        <w:t>Author of numerous publications/ books including The Essential Guide to Doing Your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Project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4e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press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2020),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Questions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(2018),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Proposals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(2018)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Presentations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Motivate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(2019).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Workplace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(2016),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Researching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Real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Problems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(2005)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Social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Science Jargon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Buster (2007).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4"/>
        </w:rPr>
      </w:pPr>
      <w:r>
        <w:rPr/>
        <w:pict>
          <v:shape style="position:absolute;margin-left:56.692902pt;margin-top:18.5958pt;width:384.1pt;height:.1pt;mso-position-horizontal-relative:page;mso-position-vertical-relative:paragraph;z-index:-15712256;mso-wrap-distance-left:0;mso-wrap-distance-right:0" id="docshape161" coordorigin="1134,372" coordsize="7682,0" path="m1134,372l8816,372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791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43B7D"/>
          <w:sz w:val="28"/>
        </w:rPr>
        <w:t>Professor</w:t>
      </w:r>
      <w:r>
        <w:rPr>
          <w:rFonts w:ascii="Domus Semibold" w:hAnsi="Domus Semibold"/>
          <w:b w:val="0"/>
          <w:color w:val="243B7D"/>
          <w:spacing w:val="-7"/>
          <w:sz w:val="28"/>
        </w:rPr>
        <w:t> </w:t>
      </w:r>
      <w:r>
        <w:rPr>
          <w:rFonts w:ascii="Domus Semibold" w:hAnsi="Domus Semibold"/>
          <w:b w:val="0"/>
          <w:color w:val="243B7D"/>
          <w:sz w:val="28"/>
        </w:rPr>
        <w:t>Paul</w:t>
      </w:r>
      <w:r>
        <w:rPr>
          <w:rFonts w:ascii="Domus Semibold" w:hAnsi="Domus Semibold"/>
          <w:b w:val="0"/>
          <w:color w:val="243B7D"/>
          <w:spacing w:val="-6"/>
          <w:sz w:val="28"/>
        </w:rPr>
        <w:t> </w:t>
      </w:r>
      <w:r>
        <w:rPr>
          <w:rFonts w:ascii="Domus Semibold" w:hAnsi="Domus Semibold"/>
          <w:b w:val="0"/>
          <w:color w:val="243B7D"/>
          <w:sz w:val="28"/>
        </w:rPr>
        <w:t>t’Hart</w:t>
      </w:r>
    </w:p>
    <w:p>
      <w:pPr>
        <w:pStyle w:val="BodyText"/>
        <w:spacing w:before="120"/>
        <w:ind w:left="3791" w:right="4749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720001</wp:posOffset>
            </wp:positionH>
            <wp:positionV relativeFrom="paragraph">
              <wp:posOffset>-168006</wp:posOffset>
            </wp:positionV>
            <wp:extent cx="1776006" cy="1811997"/>
            <wp:effectExtent l="0" t="0" r="0" b="0"/>
            <wp:wrapNone/>
            <wp:docPr id="3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06" cy="181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  <w:spacing w:val="-1"/>
        </w:rPr>
        <w:t>Utrecht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Netherlands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PhD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Leiden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Netherlands</w:t>
      </w:r>
    </w:p>
    <w:p>
      <w:pPr>
        <w:pStyle w:val="BodyText"/>
        <w:spacing w:before="3"/>
        <w:ind w:left="3791"/>
        <w:rPr>
          <w:b w:val="0"/>
        </w:rPr>
      </w:pPr>
      <w:r>
        <w:rPr>
          <w:b w:val="0"/>
          <w:color w:val="231F20"/>
          <w:spacing w:val="-1"/>
        </w:rPr>
        <w:t>MA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Erasmus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Rotterdam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Netherlands</w:t>
      </w:r>
    </w:p>
    <w:p>
      <w:pPr>
        <w:spacing w:before="143"/>
        <w:ind w:left="3791" w:right="0" w:firstLine="0"/>
        <w:jc w:val="left"/>
        <w:rPr>
          <w:rFonts w:ascii="Apercu"/>
          <w:b/>
          <w:sz w:val="19"/>
        </w:rPr>
      </w:pPr>
      <w:r>
        <w:rPr>
          <w:b w:val="0"/>
          <w:color w:val="231F20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EMPA</w:t>
      </w:r>
      <w:r>
        <w:rPr>
          <w:b w:val="0"/>
          <w:color w:val="231F20"/>
          <w:spacing w:val="-10"/>
          <w:sz w:val="19"/>
          <w:shd w:fill="5BCBF5" w:color="auto" w:val="clear"/>
        </w:rPr>
        <w:t> </w:t>
      </w:r>
      <w:r>
        <w:rPr>
          <w:b w:val="0"/>
          <w:color w:val="231F20"/>
          <w:sz w:val="19"/>
          <w:shd w:fill="5BCBF5" w:color="auto" w:val="clear"/>
        </w:rPr>
        <w:t>Subject:</w:t>
      </w:r>
      <w:r>
        <w:rPr>
          <w:b w:val="0"/>
          <w:color w:val="231F20"/>
          <w:spacing w:val="-10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Leading</w:t>
      </w:r>
      <w:r>
        <w:rPr>
          <w:rFonts w:ascii="Apercu"/>
          <w:b/>
          <w:color w:val="231F20"/>
          <w:spacing w:val="-9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Public</w:t>
      </w:r>
      <w:r>
        <w:rPr>
          <w:rFonts w:ascii="Apercu"/>
          <w:b/>
          <w:color w:val="231F20"/>
          <w:spacing w:val="-9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Sector</w:t>
      </w:r>
      <w:r>
        <w:rPr>
          <w:rFonts w:ascii="Apercu"/>
          <w:b/>
          <w:color w:val="231F20"/>
          <w:spacing w:val="-9"/>
          <w:sz w:val="19"/>
          <w:shd w:fill="5BCBF5" w:color="auto" w:val="clear"/>
        </w:rPr>
        <w:t> </w:t>
      </w:r>
      <w:r>
        <w:rPr>
          <w:rFonts w:ascii="Apercu"/>
          <w:b/>
          <w:color w:val="231F20"/>
          <w:sz w:val="19"/>
          <w:shd w:fill="5BCBF5" w:color="auto" w:val="clear"/>
        </w:rPr>
        <w:t>Change </w:t>
      </w:r>
      <w:r>
        <w:rPr>
          <w:rFonts w:ascii="Apercu"/>
          <w:b/>
          <w:color w:val="231F20"/>
          <w:spacing w:val="-6"/>
          <w:sz w:val="19"/>
          <w:shd w:fill="5BCBF5" w:color="auto" w:val="clear"/>
        </w:rPr>
        <w:t> </w:t>
      </w:r>
    </w:p>
    <w:p>
      <w:pPr>
        <w:pStyle w:val="BodyText"/>
        <w:rPr>
          <w:rFonts w:ascii="Apercu"/>
          <w:b/>
          <w:sz w:val="26"/>
        </w:rPr>
      </w:pPr>
    </w:p>
    <w:p>
      <w:pPr>
        <w:pStyle w:val="BodyText"/>
        <w:rPr>
          <w:rFonts w:ascii="Apercu"/>
          <w:b/>
          <w:sz w:val="26"/>
        </w:rPr>
      </w:pPr>
    </w:p>
    <w:p>
      <w:pPr>
        <w:pStyle w:val="BodyText"/>
        <w:rPr>
          <w:rFonts w:ascii="Apercu"/>
          <w:b/>
          <w:sz w:val="26"/>
        </w:rPr>
      </w:pPr>
    </w:p>
    <w:p>
      <w:pPr>
        <w:pStyle w:val="BodyText"/>
        <w:spacing w:before="9"/>
        <w:rPr>
          <w:rFonts w:ascii="Apercu"/>
          <w:b/>
          <w:sz w:val="16"/>
        </w:rPr>
      </w:pPr>
    </w:p>
    <w:p>
      <w:pPr>
        <w:spacing w:before="0"/>
        <w:ind w:left="676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ACADEMIC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EXPERTISE</w:t>
      </w:r>
      <w:r>
        <w:rPr>
          <w:rFonts w:ascii="Domus Semibold"/>
          <w:b w:val="0"/>
          <w:color w:val="231F20"/>
          <w:spacing w:val="35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AND</w:t>
      </w:r>
      <w:r>
        <w:rPr>
          <w:rFonts w:ascii="Domus Semibold"/>
          <w:b w:val="0"/>
          <w:color w:val="231F20"/>
          <w:spacing w:val="34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INTERESTS</w:t>
      </w:r>
    </w:p>
    <w:p>
      <w:pPr>
        <w:pStyle w:val="BodyText"/>
        <w:spacing w:before="131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Crisis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4"/>
        </w:rPr>
        <w:t> </w:t>
      </w:r>
      <w:r>
        <w:rPr>
          <w:b w:val="0"/>
          <w:color w:val="231F20"/>
        </w:rPr>
        <w:t>Evaluation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leadership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4"/>
        </w:rPr>
        <w:t> </w:t>
      </w:r>
      <w:r>
        <w:rPr>
          <w:b w:val="0"/>
          <w:color w:val="231F20"/>
        </w:rPr>
        <w:t>Reform/change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management</w:t>
      </w:r>
    </w:p>
    <w:p>
      <w:pPr>
        <w:spacing w:after="0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4"/>
        </w:rPr>
      </w:pPr>
    </w:p>
    <w:p>
      <w:pPr>
        <w:spacing w:line="192" w:lineRule="auto" w:before="138"/>
        <w:ind w:left="673" w:right="3220" w:firstLine="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Paul ‘t Hart is a Professor of Public Administration at Utrecht University and Associate Dean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of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Netherlands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School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of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Public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Administration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in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Hague.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He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resumed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both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positions</w:t>
      </w:r>
      <w:r>
        <w:rPr>
          <w:b w:val="0"/>
          <w:color w:val="231F20"/>
          <w:spacing w:val="-45"/>
          <w:sz w:val="19"/>
        </w:rPr>
        <w:t> </w:t>
      </w:r>
      <w:r>
        <w:rPr>
          <w:b w:val="0"/>
          <w:color w:val="231F20"/>
          <w:sz w:val="19"/>
        </w:rPr>
        <w:t>in mid-2011, after spending five years as Professor of Political Science at the Australian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National University. Paul’s research, teaching and consulting covers political and public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sector leadership, policy evaluation, public accountability and crisis management. His books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include </w:t>
      </w:r>
      <w:r>
        <w:rPr>
          <w:b w:val="0"/>
          <w:i/>
          <w:color w:val="231F20"/>
          <w:sz w:val="19"/>
        </w:rPr>
        <w:t>Framing the Global Meltdown: Crisis Rhetoric and the Politics of Recession </w:t>
      </w:r>
      <w:r>
        <w:rPr>
          <w:b w:val="0"/>
          <w:color w:val="231F20"/>
          <w:sz w:val="19"/>
        </w:rPr>
        <w:t>(ANU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Press 2009), </w:t>
      </w:r>
      <w:r>
        <w:rPr>
          <w:b w:val="0"/>
          <w:i/>
          <w:color w:val="231F20"/>
          <w:sz w:val="19"/>
        </w:rPr>
        <w:t>The Real World of EU Accountability: Which Deficit? </w:t>
      </w:r>
      <w:r>
        <w:rPr>
          <w:b w:val="0"/>
          <w:color w:val="231F20"/>
          <w:sz w:val="19"/>
        </w:rPr>
        <w:t>(Oxford University Press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2010),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i/>
          <w:color w:val="231F20"/>
          <w:sz w:val="19"/>
        </w:rPr>
        <w:t>How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Power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Changes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Hands:</w:t>
      </w:r>
      <w:r>
        <w:rPr>
          <w:b w:val="0"/>
          <w:i/>
          <w:color w:val="231F20"/>
          <w:spacing w:val="-8"/>
          <w:sz w:val="19"/>
        </w:rPr>
        <w:t> </w:t>
      </w:r>
      <w:r>
        <w:rPr>
          <w:b w:val="0"/>
          <w:i/>
          <w:color w:val="231F20"/>
          <w:sz w:val="19"/>
        </w:rPr>
        <w:t>Transition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and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Succession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in</w:t>
      </w:r>
      <w:r>
        <w:rPr>
          <w:b w:val="0"/>
          <w:i/>
          <w:color w:val="231F20"/>
          <w:spacing w:val="-7"/>
          <w:sz w:val="19"/>
        </w:rPr>
        <w:t> </w:t>
      </w:r>
      <w:r>
        <w:rPr>
          <w:b w:val="0"/>
          <w:i/>
          <w:color w:val="231F20"/>
          <w:sz w:val="19"/>
        </w:rPr>
        <w:t>Government</w:t>
      </w:r>
      <w:r>
        <w:rPr>
          <w:b w:val="0"/>
          <w:i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(Palgrave</w:t>
      </w:r>
    </w:p>
    <w:p>
      <w:pPr>
        <w:spacing w:line="192" w:lineRule="auto" w:before="0"/>
        <w:ind w:left="673" w:right="3283" w:firstLine="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2011), </w:t>
      </w:r>
      <w:r>
        <w:rPr>
          <w:b w:val="0"/>
          <w:i/>
          <w:color w:val="231F20"/>
          <w:sz w:val="19"/>
        </w:rPr>
        <w:t>Understanding Prime-Ministerial Performance </w:t>
      </w:r>
      <w:r>
        <w:rPr>
          <w:b w:val="0"/>
          <w:color w:val="231F20"/>
          <w:sz w:val="19"/>
        </w:rPr>
        <w:t>(Oxford University Press 2013), </w:t>
      </w:r>
      <w:r>
        <w:rPr>
          <w:b w:val="0"/>
          <w:i/>
          <w:color w:val="231F20"/>
          <w:sz w:val="19"/>
        </w:rPr>
        <w:t>The</w:t>
      </w:r>
      <w:r>
        <w:rPr>
          <w:b w:val="0"/>
          <w:i/>
          <w:color w:val="231F20"/>
          <w:spacing w:val="1"/>
          <w:sz w:val="19"/>
        </w:rPr>
        <w:t> </w:t>
      </w:r>
      <w:r>
        <w:rPr>
          <w:b w:val="0"/>
          <w:i/>
          <w:color w:val="231F20"/>
          <w:sz w:val="19"/>
        </w:rPr>
        <w:t>Oxford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z w:val="19"/>
        </w:rPr>
        <w:t>Handbook</w:t>
      </w:r>
      <w:r>
        <w:rPr>
          <w:b w:val="0"/>
          <w:i/>
          <w:color w:val="231F20"/>
          <w:spacing w:val="-9"/>
          <w:sz w:val="19"/>
        </w:rPr>
        <w:t> </w:t>
      </w:r>
      <w:r>
        <w:rPr>
          <w:b w:val="0"/>
          <w:i/>
          <w:color w:val="231F20"/>
          <w:sz w:val="19"/>
        </w:rPr>
        <w:t>of</w:t>
      </w:r>
      <w:r>
        <w:rPr>
          <w:b w:val="0"/>
          <w:i/>
          <w:color w:val="231F20"/>
          <w:spacing w:val="-10"/>
          <w:sz w:val="19"/>
        </w:rPr>
        <w:t> </w:t>
      </w:r>
      <w:r>
        <w:rPr>
          <w:b w:val="0"/>
          <w:i/>
          <w:color w:val="231F20"/>
          <w:sz w:val="19"/>
        </w:rPr>
        <w:t>Political</w:t>
      </w:r>
      <w:r>
        <w:rPr>
          <w:b w:val="0"/>
          <w:i/>
          <w:color w:val="231F20"/>
          <w:spacing w:val="-9"/>
          <w:sz w:val="19"/>
        </w:rPr>
        <w:t> </w:t>
      </w:r>
      <w:r>
        <w:rPr>
          <w:b w:val="0"/>
          <w:i/>
          <w:color w:val="231F20"/>
          <w:sz w:val="19"/>
        </w:rPr>
        <w:t>Leadership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(Oxford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University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Press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2014),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and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Understanding</w:t>
      </w:r>
      <w:r>
        <w:rPr>
          <w:b w:val="0"/>
          <w:i/>
          <w:color w:val="231F20"/>
          <w:spacing w:val="-45"/>
          <w:sz w:val="19"/>
        </w:rPr>
        <w:t> </w:t>
      </w:r>
      <w:r>
        <w:rPr>
          <w:b w:val="0"/>
          <w:i/>
          <w:color w:val="231F20"/>
          <w:sz w:val="19"/>
        </w:rPr>
        <w:t>Public Leadership </w:t>
      </w:r>
      <w:r>
        <w:rPr>
          <w:b w:val="0"/>
          <w:color w:val="231F20"/>
          <w:sz w:val="19"/>
        </w:rPr>
        <w:t>(Palgrave 2014). Prof ‘t Hart was elected a member of the Royal Dutch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Academy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color w:val="231F20"/>
          <w:sz w:val="19"/>
        </w:rPr>
        <w:t>of Arts and Sciences in 2014.</w:t>
      </w:r>
    </w:p>
    <w:p>
      <w:pPr>
        <w:pStyle w:val="BodyText"/>
        <w:spacing w:line="192" w:lineRule="auto" w:before="114"/>
        <w:ind w:left="673" w:right="3139"/>
        <w:rPr>
          <w:b w:val="0"/>
        </w:rPr>
      </w:pPr>
      <w:r>
        <w:rPr>
          <w:b w:val="0"/>
          <w:color w:val="231F20"/>
        </w:rPr>
        <w:t>Prof ‘t Hart has extensive training and consulting experience within government, primarily in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Holland, Sweden and Australia, including secondments at the Dutch Intelligence Service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Prosecutors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Office.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recently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completed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consultancy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reports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institutional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reputation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corporate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Dutch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judiciary,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advised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Swedish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cabinet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 crisis management, and is currently a member of a government-appointed committee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evaluating the Dutch police law of 2012, which in the largest reorganisation in the history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Dutch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saw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creation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single,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out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25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regional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forces.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Career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highlights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–</w:t>
      </w:r>
    </w:p>
    <w:p>
      <w:pPr>
        <w:pStyle w:val="BodyText"/>
        <w:spacing w:line="192" w:lineRule="auto" w:before="102"/>
        <w:ind w:left="843" w:right="365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9"/>
        </w:rPr>
        <w:t> </w:t>
      </w:r>
      <w:r>
        <w:rPr>
          <w:b w:val="0"/>
          <w:color w:val="231F20"/>
        </w:rPr>
        <w:t>1986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–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present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Ongoing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lecturing,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training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consulting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practitioners/professionals/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executives in crisis management, particularly in Sweden (up to Cabinet level),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Netherlands and Australia. Significant volume of work in this vein triggered by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Covid19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crisis.</w:t>
      </w:r>
    </w:p>
    <w:p>
      <w:pPr>
        <w:pStyle w:val="BodyText"/>
        <w:spacing w:line="192" w:lineRule="auto" w:before="114"/>
        <w:ind w:left="843" w:right="3298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1989-present Associate dean and core faculty of the executive MPA program of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Netherlands School of Public Administration (NSOB), which is very similar to ANZSOG’s,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but at a smaller scale (average 15-20 students). During this time I have co-designed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redesigned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curriculum,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navigated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accreditation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processes,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developed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</w:p>
    <w:p>
      <w:pPr>
        <w:pStyle w:val="BodyText"/>
        <w:spacing w:line="232" w:lineRule="exact"/>
        <w:ind w:left="843"/>
        <w:rPr>
          <w:b w:val="0"/>
        </w:rPr>
      </w:pPr>
      <w:r>
        <w:rPr>
          <w:b w:val="0"/>
          <w:color w:val="231F20"/>
        </w:rPr>
        <w:t>taught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several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courses,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leadership,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crisis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management,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craftwork.</w:t>
      </w:r>
    </w:p>
    <w:p>
      <w:pPr>
        <w:pStyle w:val="BodyText"/>
        <w:spacing w:line="192" w:lineRule="auto" w:before="102"/>
        <w:ind w:left="843" w:right="3526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8"/>
        </w:rPr>
        <w:t> </w:t>
      </w:r>
      <w:r>
        <w:rPr>
          <w:b w:val="0"/>
          <w:color w:val="231F20"/>
        </w:rPr>
        <w:t>2007-present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Change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years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consecutively.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Approx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100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students</w:t>
      </w:r>
    </w:p>
    <w:p>
      <w:pPr>
        <w:pStyle w:val="BodyText"/>
        <w:spacing w:line="192" w:lineRule="auto" w:before="113"/>
        <w:ind w:left="843" w:right="3393" w:hanging="171"/>
        <w:rPr>
          <w:b w:val="0"/>
        </w:rPr>
      </w:pPr>
      <w:r>
        <w:rPr>
          <w:rFonts w:ascii="Apercu" w:hAnsi="Apercu"/>
          <w:b/>
          <w:color w:val="231F20"/>
          <w:spacing w:val="-1"/>
        </w:rPr>
        <w:t>›</w:t>
      </w:r>
      <w:r>
        <w:rPr>
          <w:rFonts w:ascii="Apercu" w:hAnsi="Apercu"/>
          <w:b/>
          <w:color w:val="231F20"/>
          <w:spacing w:val="24"/>
        </w:rPr>
        <w:t> </w:t>
      </w:r>
      <w:r>
        <w:rPr>
          <w:b w:val="0"/>
          <w:color w:val="231F20"/>
          <w:spacing w:val="-1"/>
        </w:rPr>
        <w:t>2009-present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Co-architect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co-facilitator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Towards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EL2’s/Band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1’s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state/NZ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equivalents.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Aprox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40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students.</w:t>
      </w:r>
    </w:p>
    <w:p>
      <w:pPr>
        <w:pStyle w:val="BodyText"/>
        <w:spacing w:line="192" w:lineRule="auto" w:before="114"/>
        <w:ind w:left="843" w:right="3620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2012-present Associate dean of the ‘Learning Network’ program for top executives of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NSOB.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involves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designing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facilitating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3-year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invitation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up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secretaries,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DG’s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equivalents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Dutch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service.</w:t>
      </w:r>
    </w:p>
    <w:p>
      <w:pPr>
        <w:pStyle w:val="BodyText"/>
        <w:spacing w:line="192" w:lineRule="auto" w:before="113"/>
        <w:ind w:left="843" w:right="3491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8"/>
        </w:rPr>
        <w:t> </w:t>
      </w:r>
      <w:r>
        <w:rPr>
          <w:b w:val="0"/>
          <w:color w:val="231F20"/>
        </w:rPr>
        <w:t>2013-2017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Founding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Dean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NSOB’s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‘Director’s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Program’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equivalents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assistant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secretaries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Dutch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service.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10-month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currently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still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teach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Leadership module.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Approx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10-15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students.</w:t>
      </w:r>
    </w:p>
    <w:p>
      <w:pPr>
        <w:pStyle w:val="BodyText"/>
        <w:spacing w:line="192" w:lineRule="auto" w:before="114"/>
        <w:ind w:left="843" w:right="3533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0"/>
        </w:rPr>
        <w:t> </w:t>
      </w:r>
      <w:r>
        <w:rPr>
          <w:b w:val="0"/>
          <w:color w:val="231F20"/>
        </w:rPr>
        <w:t>2017-present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NSOB’s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‘Interdepartmental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Course’,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15-month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people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aspiring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roles,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co-owned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Dutch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Board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Secretaries.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Approx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25 students,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twice yearly.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Administration,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Government,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Utrecht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Associate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Netherlands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Administration,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Hague,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Netherlands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Past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Political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Science,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ANU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1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Royal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Dutch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Arts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Sciences</w:t>
      </w:r>
    </w:p>
    <w:p>
      <w:pPr>
        <w:pStyle w:val="BodyText"/>
        <w:spacing w:line="192" w:lineRule="auto" w:before="102"/>
        <w:ind w:left="843" w:right="3518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Numerous consultancies and advisory roles with governments of Australia, Sweden 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Netherlands</w:t>
      </w:r>
    </w:p>
    <w:p>
      <w:pPr>
        <w:pStyle w:val="BodyText"/>
        <w:spacing w:line="192" w:lineRule="auto" w:before="114"/>
        <w:ind w:left="843" w:right="3875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Extensive research and publications in the fields of public sector leadership, policy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evaluation,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accountability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crisis management.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Heading1"/>
        <w:numPr>
          <w:ilvl w:val="0"/>
          <w:numId w:val="19"/>
        </w:numPr>
        <w:tabs>
          <w:tab w:pos="1146" w:val="left" w:leader="none"/>
        </w:tabs>
        <w:spacing w:line="240" w:lineRule="auto" w:before="9" w:after="0"/>
        <w:ind w:left="1145" w:right="0" w:hanging="473"/>
        <w:jc w:val="left"/>
        <w:rPr>
          <w:b w:val="0"/>
        </w:rPr>
      </w:pPr>
      <w:bookmarkStart w:name="_TOC_250032" w:id="15"/>
      <w:bookmarkStart w:name="5. 2020 Student Cohort and Success" w:id="16"/>
      <w:r>
        <w:rPr/>
      </w:r>
      <w:bookmarkEnd w:id="16"/>
      <w:bookmarkStart w:name="5. 2020 Student Cohort and Success" w:id="17"/>
      <w:r>
        <w:rPr>
          <w:b w:val="0"/>
          <w:color w:val="243B7D"/>
          <w:spacing w:val="-5"/>
        </w:rPr>
        <w:t>2</w:t>
      </w:r>
      <w:r>
        <w:rPr>
          <w:b w:val="0"/>
          <w:color w:val="243B7D"/>
          <w:spacing w:val="-5"/>
        </w:rPr>
        <w:t>020</w:t>
      </w:r>
      <w:r>
        <w:rPr>
          <w:b w:val="0"/>
          <w:color w:val="243B7D"/>
          <w:spacing w:val="-23"/>
        </w:rPr>
        <w:t> </w:t>
      </w:r>
      <w:r>
        <w:rPr>
          <w:b w:val="0"/>
          <w:color w:val="243B7D"/>
          <w:spacing w:val="-5"/>
        </w:rPr>
        <w:t>Student</w:t>
      </w:r>
      <w:r>
        <w:rPr>
          <w:b w:val="0"/>
          <w:color w:val="243B7D"/>
          <w:spacing w:val="-23"/>
        </w:rPr>
        <w:t> </w:t>
      </w:r>
      <w:r>
        <w:rPr>
          <w:b w:val="0"/>
          <w:color w:val="243B7D"/>
          <w:spacing w:val="-5"/>
        </w:rPr>
        <w:t>Cohort</w:t>
      </w:r>
      <w:r>
        <w:rPr>
          <w:b w:val="0"/>
          <w:color w:val="243B7D"/>
          <w:spacing w:val="-23"/>
        </w:rPr>
        <w:t> </w:t>
      </w:r>
      <w:r>
        <w:rPr>
          <w:b w:val="0"/>
          <w:color w:val="243B7D"/>
          <w:spacing w:val="-4"/>
        </w:rPr>
        <w:t>and</w:t>
      </w:r>
      <w:r>
        <w:rPr>
          <w:b w:val="0"/>
          <w:color w:val="243B7D"/>
          <w:spacing w:val="-23"/>
        </w:rPr>
        <w:t> </w:t>
      </w:r>
      <w:bookmarkEnd w:id="15"/>
      <w:r>
        <w:rPr>
          <w:b w:val="0"/>
          <w:color w:val="243B7D"/>
          <w:spacing w:val="-4"/>
        </w:rPr>
        <w:t>Success</w:t>
      </w:r>
    </w:p>
    <w:p>
      <w:pPr>
        <w:pStyle w:val="BodyText"/>
        <w:spacing w:before="7"/>
        <w:rPr>
          <w:rFonts w:ascii="Domus Semibold"/>
          <w:b w:val="0"/>
          <w:sz w:val="66"/>
        </w:rPr>
      </w:pPr>
    </w:p>
    <w:p>
      <w:pPr>
        <w:spacing w:before="0"/>
        <w:ind w:left="673" w:right="0" w:firstLine="0"/>
        <w:jc w:val="both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Cohort</w:t>
      </w:r>
      <w:r>
        <w:rPr>
          <w:rFonts w:ascii="Domus Semibold"/>
          <w:b w:val="0"/>
          <w:color w:val="243B7D"/>
          <w:spacing w:val="-15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profile</w:t>
      </w:r>
      <w:r>
        <w:rPr>
          <w:rFonts w:ascii="Domus Semibold"/>
          <w:b w:val="0"/>
          <w:color w:val="243B7D"/>
          <w:spacing w:val="-15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including:</w:t>
      </w:r>
    </w:p>
    <w:p>
      <w:pPr>
        <w:pStyle w:val="BodyText"/>
        <w:spacing w:line="192" w:lineRule="auto" w:before="197"/>
        <w:ind w:left="673" w:right="3412"/>
        <w:jc w:val="both"/>
        <w:rPr>
          <w:b w:val="0"/>
        </w:rPr>
      </w:pP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range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analytical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cohort-level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annual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enrolments.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majority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sections,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intake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year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(cohort)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 2020.</w:t>
      </w:r>
    </w:p>
    <w:p>
      <w:pPr>
        <w:spacing w:before="161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Age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Profile</w:t>
      </w:r>
    </w:p>
    <w:p>
      <w:pPr>
        <w:pStyle w:val="BodyText"/>
        <w:spacing w:before="4" w:after="1"/>
        <w:rPr>
          <w:rFonts w:ascii="Domus Semibold"/>
          <w:b w:val="0"/>
          <w:sz w:val="16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1"/>
        <w:gridCol w:w="1098"/>
        <w:gridCol w:w="1098"/>
        <w:gridCol w:w="1098"/>
        <w:gridCol w:w="1098"/>
        <w:gridCol w:w="1098"/>
      </w:tblGrid>
      <w:tr>
        <w:trPr>
          <w:trHeight w:val="278" w:hRule="atLeast"/>
        </w:trPr>
        <w:tc>
          <w:tcPr>
            <w:tcW w:w="7661" w:type="dxa"/>
            <w:gridSpan w:val="6"/>
            <w:tcBorders>
              <w:top w:val="single" w:sz="6" w:space="0" w:color="FFFFFF"/>
              <w:bottom w:val="single" w:sz="6" w:space="0" w:color="FFFFFF"/>
            </w:tcBorders>
            <w:shd w:val="clear" w:color="auto" w:fill="243B7D"/>
          </w:tcPr>
          <w:p>
            <w:pPr>
              <w:pStyle w:val="TableParagraph"/>
              <w:spacing w:before="12"/>
              <w:ind w:right="81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2"/>
                <w:sz w:val="17"/>
              </w:rPr>
              <w:t>EMPA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2"/>
                <w:sz w:val="17"/>
              </w:rPr>
              <w:t>intake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year/cohort</w:t>
            </w:r>
          </w:p>
        </w:tc>
      </w:tr>
      <w:tr>
        <w:trPr>
          <w:trHeight w:val="278" w:hRule="atLeast"/>
        </w:trPr>
        <w:tc>
          <w:tcPr>
            <w:tcW w:w="2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left="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Age</w:t>
            </w:r>
            <w:r>
              <w:rPr>
                <w:rFonts w:ascii="Apercu"/>
                <w:b/>
                <w:color w:val="231F20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Range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78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2016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7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2017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2018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2019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82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2020</w:t>
            </w:r>
          </w:p>
        </w:tc>
      </w:tr>
      <w:tr>
        <w:trPr>
          <w:trHeight w:val="283" w:hRule="atLeast"/>
        </w:trPr>
        <w:tc>
          <w:tcPr>
            <w:tcW w:w="2171" w:type="dxa"/>
            <w:tcBorders>
              <w:top w:val="single" w:sz="6" w:space="0" w:color="FFFFFF"/>
              <w:bottom w:val="single" w:sz="2" w:space="0" w:color="231F20"/>
            </w:tcBorders>
          </w:tcPr>
          <w:p>
            <w:pPr>
              <w:pStyle w:val="TableParagraph"/>
              <w:spacing w:before="12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&lt;30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</w:tcPr>
          <w:p>
            <w:pPr>
              <w:pStyle w:val="TableParagraph"/>
              <w:spacing w:before="12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12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30-35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12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15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36-40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12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17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26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26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41-45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23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20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22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23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46-50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22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26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25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23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51-55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28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14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12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16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56-60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11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61+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Unknown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Average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Age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48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46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44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44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42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Total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107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90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97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111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4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96</w:t>
            </w:r>
          </w:p>
        </w:tc>
      </w:tr>
    </w:tbl>
    <w:p>
      <w:pPr>
        <w:pStyle w:val="BodyText"/>
        <w:spacing w:before="10"/>
        <w:rPr>
          <w:rFonts w:ascii="Domus Semibold"/>
          <w:b w:val="0"/>
          <w:sz w:val="25"/>
        </w:rPr>
      </w:pPr>
    </w:p>
    <w:p>
      <w:pPr>
        <w:spacing w:before="0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Gender</w:t>
      </w:r>
      <w:r>
        <w:rPr>
          <w:rFonts w:ascii="Domus Semibold"/>
          <w:b w:val="0"/>
          <w:color w:val="231F20"/>
          <w:spacing w:val="-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Profile</w:t>
      </w:r>
    </w:p>
    <w:p>
      <w:pPr>
        <w:pStyle w:val="BodyText"/>
        <w:spacing w:before="8"/>
        <w:rPr>
          <w:rFonts w:ascii="Domus Semibold"/>
          <w:b w:val="0"/>
          <w:sz w:val="11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721"/>
        <w:gridCol w:w="560"/>
        <w:gridCol w:w="721"/>
        <w:gridCol w:w="560"/>
        <w:gridCol w:w="721"/>
        <w:gridCol w:w="560"/>
        <w:gridCol w:w="721"/>
        <w:gridCol w:w="561"/>
        <w:gridCol w:w="722"/>
        <w:gridCol w:w="561"/>
      </w:tblGrid>
      <w:tr>
        <w:trPr>
          <w:trHeight w:val="288" w:hRule="atLeast"/>
        </w:trPr>
        <w:tc>
          <w:tcPr>
            <w:tcW w:w="7691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right="84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2"/>
                <w:sz w:val="17"/>
              </w:rPr>
              <w:t>EMPA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2"/>
                <w:sz w:val="17"/>
              </w:rPr>
              <w:t>intake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year/cohort</w:t>
            </w:r>
          </w:p>
        </w:tc>
      </w:tr>
      <w:tr>
        <w:trPr>
          <w:trHeight w:val="288" w:hRule="atLeast"/>
        </w:trPr>
        <w:tc>
          <w:tcPr>
            <w:tcW w:w="128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left="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1"/>
                <w:sz w:val="17"/>
              </w:rPr>
              <w:t>Gender</w:t>
            </w:r>
            <w:r>
              <w:rPr>
                <w:rFonts w:ascii="Apercu"/>
                <w:b/>
                <w:color w:val="231F20"/>
                <w:spacing w:val="-9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Profile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15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2016</w:t>
            </w:r>
          </w:p>
        </w:tc>
        <w:tc>
          <w:tcPr>
            <w:tcW w:w="5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7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%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15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2017</w:t>
            </w:r>
          </w:p>
        </w:tc>
        <w:tc>
          <w:tcPr>
            <w:tcW w:w="5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7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%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16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2018</w:t>
            </w:r>
          </w:p>
        </w:tc>
        <w:tc>
          <w:tcPr>
            <w:tcW w:w="5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%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161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2019</w:t>
            </w:r>
          </w:p>
        </w:tc>
        <w:tc>
          <w:tcPr>
            <w:tcW w:w="56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82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%</w:t>
            </w:r>
          </w:p>
        </w:tc>
        <w:tc>
          <w:tcPr>
            <w:tcW w:w="72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165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2020</w:t>
            </w:r>
          </w:p>
        </w:tc>
        <w:tc>
          <w:tcPr>
            <w:tcW w:w="56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5BCBF5"/>
          </w:tcPr>
          <w:p>
            <w:pPr>
              <w:pStyle w:val="TableParagraph"/>
              <w:ind w:right="84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%</w:t>
            </w:r>
          </w:p>
        </w:tc>
      </w:tr>
      <w:tr>
        <w:trPr>
          <w:trHeight w:val="288" w:hRule="atLeast"/>
        </w:trPr>
        <w:tc>
          <w:tcPr>
            <w:tcW w:w="128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Female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16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62</w:t>
            </w:r>
          </w:p>
        </w:tc>
        <w:tc>
          <w:tcPr>
            <w:tcW w:w="5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58%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15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52</w:t>
            </w:r>
          </w:p>
        </w:tc>
        <w:tc>
          <w:tcPr>
            <w:tcW w:w="5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58%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16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59</w:t>
            </w:r>
          </w:p>
        </w:tc>
        <w:tc>
          <w:tcPr>
            <w:tcW w:w="5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61%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16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59</w:t>
            </w:r>
          </w:p>
        </w:tc>
        <w:tc>
          <w:tcPr>
            <w:tcW w:w="56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53%</w:t>
            </w:r>
          </w:p>
        </w:tc>
        <w:tc>
          <w:tcPr>
            <w:tcW w:w="72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164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56</w:t>
            </w:r>
          </w:p>
        </w:tc>
        <w:tc>
          <w:tcPr>
            <w:tcW w:w="56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4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58%</w:t>
            </w:r>
          </w:p>
        </w:tc>
      </w:tr>
      <w:tr>
        <w:trPr>
          <w:trHeight w:val="288" w:hRule="atLeast"/>
        </w:trPr>
        <w:tc>
          <w:tcPr>
            <w:tcW w:w="128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Male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15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45</w:t>
            </w:r>
          </w:p>
        </w:tc>
        <w:tc>
          <w:tcPr>
            <w:tcW w:w="5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42%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15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38</w:t>
            </w:r>
          </w:p>
        </w:tc>
        <w:tc>
          <w:tcPr>
            <w:tcW w:w="5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42%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16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38</w:t>
            </w:r>
          </w:p>
        </w:tc>
        <w:tc>
          <w:tcPr>
            <w:tcW w:w="5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39%</w:t>
            </w:r>
          </w:p>
        </w:tc>
        <w:tc>
          <w:tcPr>
            <w:tcW w:w="72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16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52</w:t>
            </w:r>
          </w:p>
        </w:tc>
        <w:tc>
          <w:tcPr>
            <w:tcW w:w="56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47%</w:t>
            </w:r>
          </w:p>
        </w:tc>
        <w:tc>
          <w:tcPr>
            <w:tcW w:w="72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164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40</w:t>
            </w:r>
          </w:p>
        </w:tc>
        <w:tc>
          <w:tcPr>
            <w:tcW w:w="56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4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42%</w:t>
            </w:r>
          </w:p>
        </w:tc>
      </w:tr>
      <w:tr>
        <w:trPr>
          <w:trHeight w:val="288" w:hRule="atLeast"/>
        </w:trPr>
        <w:tc>
          <w:tcPr>
            <w:tcW w:w="128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Total</w:t>
            </w:r>
          </w:p>
        </w:tc>
        <w:tc>
          <w:tcPr>
            <w:tcW w:w="1281" w:type="dxa"/>
            <w:gridSpan w:val="2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left="308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107</w:t>
            </w:r>
          </w:p>
        </w:tc>
        <w:tc>
          <w:tcPr>
            <w:tcW w:w="1281" w:type="dxa"/>
            <w:gridSpan w:val="2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36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90</w:t>
            </w:r>
          </w:p>
        </w:tc>
        <w:tc>
          <w:tcPr>
            <w:tcW w:w="1281" w:type="dxa"/>
            <w:gridSpan w:val="2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left="385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97</w:t>
            </w:r>
          </w:p>
        </w:tc>
        <w:tc>
          <w:tcPr>
            <w:tcW w:w="1282" w:type="dxa"/>
            <w:gridSpan w:val="2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36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111</w:t>
            </w:r>
          </w:p>
        </w:tc>
        <w:tc>
          <w:tcPr>
            <w:tcW w:w="1283" w:type="dxa"/>
            <w:gridSpan w:val="2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left="371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96</w:t>
            </w:r>
          </w:p>
        </w:tc>
      </w:tr>
    </w:tbl>
    <w:p>
      <w:pPr>
        <w:pStyle w:val="BodyText"/>
        <w:spacing w:before="4"/>
        <w:rPr>
          <w:rFonts w:ascii="Domus Semibold"/>
          <w:b w:val="0"/>
          <w:sz w:val="29"/>
        </w:rPr>
      </w:pPr>
    </w:p>
    <w:p>
      <w:pPr>
        <w:spacing w:before="0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Years</w:t>
      </w:r>
      <w:r>
        <w:rPr>
          <w:rFonts w:ascii="Domus Semibold"/>
          <w:b w:val="0"/>
          <w:color w:val="231F20"/>
          <w:spacing w:val="-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professional</w:t>
      </w:r>
      <w:r>
        <w:rPr>
          <w:rFonts w:ascii="Domus Semibold"/>
          <w:b w:val="0"/>
          <w:color w:val="231F20"/>
          <w:spacing w:val="-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experience</w:t>
      </w:r>
    </w:p>
    <w:p>
      <w:pPr>
        <w:pStyle w:val="BodyText"/>
        <w:spacing w:line="192" w:lineRule="auto" w:before="107"/>
        <w:ind w:left="673" w:right="4102"/>
        <w:rPr>
          <w:b w:val="0"/>
        </w:rPr>
      </w:pPr>
      <w:r>
        <w:rPr>
          <w:rFonts w:ascii="Apercu Medium"/>
          <w:b w:val="0"/>
          <w:color w:val="231F20"/>
        </w:rPr>
        <w:t>Given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that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the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ANZSOG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EMPA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is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focused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on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the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public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sector,</w:t>
      </w:r>
      <w:r>
        <w:rPr>
          <w:rFonts w:ascii="Apercu Medium"/>
          <w:b w:val="0"/>
          <w:color w:val="231F20"/>
          <w:spacing w:val="-6"/>
        </w:rPr>
        <w:t> </w:t>
      </w:r>
      <w:r>
        <w:rPr>
          <w:rFonts w:ascii="Apercu Medium"/>
          <w:b w:val="0"/>
          <w:color w:val="231F20"/>
        </w:rPr>
        <w:t>the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relevant</w:t>
      </w:r>
      <w:r>
        <w:rPr>
          <w:rFonts w:ascii="Apercu Medium"/>
          <w:b w:val="0"/>
          <w:color w:val="231F20"/>
          <w:spacing w:val="-7"/>
        </w:rPr>
        <w:t> </w:t>
      </w:r>
      <w:r>
        <w:rPr>
          <w:rFonts w:ascii="Apercu Medium"/>
          <w:b w:val="0"/>
          <w:color w:val="231F20"/>
        </w:rPr>
        <w:t>data</w:t>
      </w:r>
      <w:r>
        <w:rPr>
          <w:rFonts w:ascii="Apercu Medium"/>
          <w:b w:val="0"/>
          <w:color w:val="231F20"/>
          <w:spacing w:val="-45"/>
        </w:rPr>
        <w:t> </w:t>
      </w:r>
      <w:r>
        <w:rPr>
          <w:rFonts w:ascii="Apercu Medium"/>
          <w:b w:val="0"/>
          <w:color w:val="231F20"/>
        </w:rPr>
        <w:t>captured</w:t>
      </w:r>
      <w:r>
        <w:rPr>
          <w:rFonts w:ascii="Apercu Medium"/>
          <w:b w:val="0"/>
          <w:color w:val="231F20"/>
          <w:spacing w:val="-1"/>
        </w:rPr>
        <w:t> </w:t>
      </w:r>
      <w:r>
        <w:rPr>
          <w:rFonts w:ascii="Apercu Medium"/>
          <w:b w:val="0"/>
          <w:color w:val="231F20"/>
        </w:rPr>
        <w:t>for</w:t>
      </w:r>
      <w:r>
        <w:rPr>
          <w:rFonts w:ascii="Apercu Medium"/>
          <w:b w:val="0"/>
          <w:color w:val="231F20"/>
          <w:spacing w:val="-1"/>
        </w:rPr>
        <w:t> </w:t>
      </w:r>
      <w:r>
        <w:rPr>
          <w:rFonts w:ascii="Apercu Medium"/>
          <w:b w:val="0"/>
          <w:color w:val="231F20"/>
        </w:rPr>
        <w:t>this</w:t>
      </w:r>
      <w:r>
        <w:rPr>
          <w:rFonts w:ascii="Apercu Medium"/>
          <w:b w:val="0"/>
          <w:color w:val="231F20"/>
          <w:spacing w:val="-1"/>
        </w:rPr>
        <w:t> </w:t>
      </w:r>
      <w:r>
        <w:rPr>
          <w:rFonts w:ascii="Apercu Medium"/>
          <w:b w:val="0"/>
          <w:color w:val="231F20"/>
        </w:rPr>
        <w:t>section is</w:t>
      </w:r>
      <w:r>
        <w:rPr>
          <w:rFonts w:ascii="Apercu Medium"/>
          <w:b w:val="0"/>
          <w:color w:val="231F20"/>
          <w:spacing w:val="-1"/>
        </w:rPr>
        <w:t> </w:t>
      </w:r>
      <w:r>
        <w:rPr>
          <w:b w:val="0"/>
          <w:i/>
          <w:color w:val="231F20"/>
        </w:rPr>
        <w:t>Years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</w:rPr>
        <w:t>in</w:t>
      </w:r>
      <w:r>
        <w:rPr>
          <w:b w:val="0"/>
          <w:i/>
          <w:color w:val="231F20"/>
          <w:spacing w:val="-6"/>
        </w:rPr>
        <w:t> </w:t>
      </w:r>
      <w:r>
        <w:rPr>
          <w:b w:val="0"/>
          <w:i/>
          <w:color w:val="231F20"/>
        </w:rPr>
        <w:t>the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</w:rPr>
        <w:t>Public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</w:rPr>
        <w:t>Sector</w:t>
      </w:r>
      <w:r>
        <w:rPr>
          <w:b w:val="0"/>
          <w:color w:val="231F20"/>
        </w:rPr>
        <w:t>.</w:t>
      </w:r>
    </w:p>
    <w:p>
      <w:pPr>
        <w:pStyle w:val="BodyText"/>
        <w:spacing w:before="2"/>
        <w:rPr>
          <w:b w:val="0"/>
          <w:sz w:val="10"/>
        </w:rPr>
      </w:pPr>
    </w:p>
    <w:tbl>
      <w:tblPr>
        <w:tblW w:w="0" w:type="auto"/>
        <w:jc w:val="left"/>
        <w:tblInd w:w="68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1098"/>
        <w:gridCol w:w="1098"/>
        <w:gridCol w:w="1098"/>
        <w:gridCol w:w="1098"/>
        <w:gridCol w:w="1098"/>
      </w:tblGrid>
      <w:tr>
        <w:trPr>
          <w:trHeight w:val="278" w:hRule="atLeast"/>
        </w:trPr>
        <w:tc>
          <w:tcPr>
            <w:tcW w:w="7699" w:type="dxa"/>
            <w:gridSpan w:val="6"/>
            <w:shd w:val="clear" w:color="auto" w:fill="243B7D"/>
          </w:tcPr>
          <w:p>
            <w:pPr>
              <w:pStyle w:val="TableParagraph"/>
              <w:spacing w:before="12"/>
              <w:ind w:right="66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2"/>
                <w:sz w:val="17"/>
              </w:rPr>
              <w:t>EMPA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2"/>
                <w:sz w:val="17"/>
              </w:rPr>
              <w:t>intake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year/cohort</w:t>
            </w:r>
          </w:p>
        </w:tc>
      </w:tr>
      <w:tr>
        <w:trPr>
          <w:trHeight w:val="278" w:hRule="atLeast"/>
        </w:trPr>
        <w:tc>
          <w:tcPr>
            <w:tcW w:w="2209" w:type="dxa"/>
            <w:tcBorders>
              <w:right w:val="nil"/>
            </w:tcBorders>
            <w:shd w:val="clear" w:color="auto" w:fill="5BCBF5"/>
          </w:tcPr>
          <w:p>
            <w:pPr>
              <w:pStyle w:val="TableParagraph"/>
              <w:spacing w:before="12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Years</w:t>
            </w:r>
            <w:r>
              <w:rPr>
                <w:rFonts w:ascii="Apercu"/>
                <w:b/>
                <w:color w:val="231F20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in</w:t>
            </w:r>
            <w:r>
              <w:rPr>
                <w:rFonts w:ascii="Apercu"/>
                <w:b/>
                <w:color w:val="231F20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Public</w:t>
            </w:r>
            <w:r>
              <w:rPr>
                <w:rFonts w:ascii="Apercu"/>
                <w:b/>
                <w:color w:val="231F20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Sector</w:t>
            </w:r>
          </w:p>
        </w:tc>
        <w:tc>
          <w:tcPr>
            <w:tcW w:w="1098" w:type="dxa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12"/>
              <w:ind w:right="71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2016</w:t>
            </w:r>
          </w:p>
        </w:tc>
        <w:tc>
          <w:tcPr>
            <w:tcW w:w="1098" w:type="dxa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12"/>
              <w:ind w:right="72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2017</w:t>
            </w:r>
          </w:p>
        </w:tc>
        <w:tc>
          <w:tcPr>
            <w:tcW w:w="1098" w:type="dxa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12"/>
              <w:ind w:right="72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2018</w:t>
            </w:r>
          </w:p>
        </w:tc>
        <w:tc>
          <w:tcPr>
            <w:tcW w:w="1098" w:type="dxa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12"/>
              <w:ind w:right="73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2019</w:t>
            </w:r>
          </w:p>
        </w:tc>
        <w:tc>
          <w:tcPr>
            <w:tcW w:w="1098" w:type="dxa"/>
            <w:tcBorders>
              <w:left w:val="nil"/>
            </w:tcBorders>
            <w:shd w:val="clear" w:color="auto" w:fill="5BCBF5"/>
          </w:tcPr>
          <w:p>
            <w:pPr>
              <w:pStyle w:val="TableParagraph"/>
              <w:spacing w:before="12"/>
              <w:ind w:right="67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2020</w:t>
            </w:r>
          </w:p>
        </w:tc>
      </w:tr>
      <w:tr>
        <w:trPr>
          <w:trHeight w:val="283" w:hRule="atLeast"/>
        </w:trPr>
        <w:tc>
          <w:tcPr>
            <w:tcW w:w="2209" w:type="dxa"/>
            <w:tcBorders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1-5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13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16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11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</w:t>
            </w:r>
          </w:p>
        </w:tc>
      </w:tr>
      <w:tr>
        <w:trPr>
          <w:trHeight w:val="288" w:hRule="atLeast"/>
        </w:trPr>
        <w:tc>
          <w:tcPr>
            <w:tcW w:w="220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6-10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29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20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22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25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16</w:t>
            </w:r>
          </w:p>
        </w:tc>
      </w:tr>
      <w:tr>
        <w:trPr>
          <w:trHeight w:val="288" w:hRule="atLeast"/>
        </w:trPr>
        <w:tc>
          <w:tcPr>
            <w:tcW w:w="220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11-15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26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28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22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33</w:t>
            </w:r>
          </w:p>
        </w:tc>
      </w:tr>
      <w:tr>
        <w:trPr>
          <w:trHeight w:val="288" w:hRule="atLeast"/>
        </w:trPr>
        <w:tc>
          <w:tcPr>
            <w:tcW w:w="220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16-20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16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15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16</w:t>
            </w:r>
          </w:p>
        </w:tc>
      </w:tr>
      <w:tr>
        <w:trPr>
          <w:trHeight w:val="288" w:hRule="atLeast"/>
        </w:trPr>
        <w:tc>
          <w:tcPr>
            <w:tcW w:w="220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21-25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13</w:t>
            </w:r>
          </w:p>
        </w:tc>
      </w:tr>
      <w:tr>
        <w:trPr>
          <w:trHeight w:val="288" w:hRule="atLeast"/>
        </w:trPr>
        <w:tc>
          <w:tcPr>
            <w:tcW w:w="220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26-30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</w:t>
            </w:r>
          </w:p>
        </w:tc>
      </w:tr>
      <w:tr>
        <w:trPr>
          <w:trHeight w:val="288" w:hRule="atLeast"/>
        </w:trPr>
        <w:tc>
          <w:tcPr>
            <w:tcW w:w="220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31+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220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Unknown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</w:t>
            </w:r>
          </w:p>
        </w:tc>
      </w:tr>
      <w:tr>
        <w:trPr>
          <w:trHeight w:val="288" w:hRule="atLeast"/>
        </w:trPr>
        <w:tc>
          <w:tcPr>
            <w:tcW w:w="220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Average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15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12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2209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Total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107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90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6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111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7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96</w:t>
            </w:r>
          </w:p>
        </w:tc>
      </w:tr>
    </w:tbl>
    <w:p>
      <w:pPr>
        <w:spacing w:after="0"/>
        <w:jc w:val="right"/>
        <w:rPr>
          <w:rFonts w:ascii="Apercu"/>
          <w:sz w:val="17"/>
        </w:rPr>
        <w:sectPr>
          <w:pgSz w:w="11910" w:h="16840"/>
          <w:pgMar w:header="0" w:footer="555" w:top="92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spacing w:before="63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Primary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degree</w:t>
      </w:r>
    </w:p>
    <w:p>
      <w:pPr>
        <w:pStyle w:val="BodyText"/>
        <w:spacing w:line="192" w:lineRule="auto" w:before="106"/>
        <w:ind w:left="673" w:right="3247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summary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highest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qualification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entry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 each cohort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year 2016 –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2020.</w:t>
      </w:r>
    </w:p>
    <w:p>
      <w:pPr>
        <w:pStyle w:val="BodyText"/>
        <w:spacing w:before="3"/>
        <w:rPr>
          <w:b w:val="0"/>
          <w:sz w:val="10"/>
        </w:rPr>
      </w:pPr>
    </w:p>
    <w:tbl>
      <w:tblPr>
        <w:tblW w:w="0" w:type="auto"/>
        <w:jc w:val="left"/>
        <w:tblInd w:w="68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1098"/>
        <w:gridCol w:w="1098"/>
        <w:gridCol w:w="1098"/>
        <w:gridCol w:w="1098"/>
        <w:gridCol w:w="1098"/>
      </w:tblGrid>
      <w:tr>
        <w:trPr>
          <w:trHeight w:val="283" w:hRule="atLeast"/>
        </w:trPr>
        <w:tc>
          <w:tcPr>
            <w:tcW w:w="7680" w:type="dxa"/>
            <w:gridSpan w:val="6"/>
            <w:tcBorders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before="12"/>
              <w:ind w:right="66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1"/>
                <w:sz w:val="17"/>
              </w:rPr>
              <w:t>EMPA</w:t>
            </w:r>
            <w:r>
              <w:rPr>
                <w:rFonts w:ascii="Apercu"/>
                <w:b/>
                <w:color w:val="FFFFFF"/>
                <w:spacing w:val="-9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intake/cohort</w:t>
            </w:r>
          </w:p>
        </w:tc>
      </w:tr>
      <w:tr>
        <w:trPr>
          <w:trHeight w:val="503" w:hRule="atLeast"/>
        </w:trPr>
        <w:tc>
          <w:tcPr>
            <w:tcW w:w="2190" w:type="dxa"/>
            <w:tcBorders>
              <w:top w:val="single" w:sz="2" w:space="0" w:color="231F20"/>
              <w:right w:val="nil"/>
            </w:tcBorders>
            <w:shd w:val="clear" w:color="auto" w:fill="5BCBF5"/>
          </w:tcPr>
          <w:p>
            <w:pPr>
              <w:pStyle w:val="TableParagraph"/>
              <w:spacing w:line="213" w:lineRule="auto" w:before="39"/>
              <w:ind w:left="80" w:right="688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1"/>
                <w:sz w:val="17"/>
              </w:rPr>
              <w:t>Highest Education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Qualification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ind w:right="71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2016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ind w:right="72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ind w:right="72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2018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ind w:right="73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2019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</w:tcBorders>
            <w:shd w:val="clear" w:color="auto" w:fill="5BCBF5"/>
          </w:tcPr>
          <w:p>
            <w:pPr>
              <w:pStyle w:val="TableParagraph"/>
              <w:ind w:right="67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2020</w:t>
            </w:r>
          </w:p>
        </w:tc>
      </w:tr>
      <w:tr>
        <w:trPr>
          <w:trHeight w:val="283" w:hRule="atLeast"/>
        </w:trPr>
        <w:tc>
          <w:tcPr>
            <w:tcW w:w="2190" w:type="dxa"/>
            <w:tcBorders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Doctoral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Degree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</w:t>
            </w:r>
          </w:p>
        </w:tc>
        <w:tc>
          <w:tcPr>
            <w:tcW w:w="1098" w:type="dxa"/>
            <w:tcBorders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Masters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18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20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30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19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Graduate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Diploma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16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15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12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Graduate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Certificate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Bachelor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(Honours)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12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14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Bachelor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32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35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Diploma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Certificate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</w:t>
            </w:r>
          </w:p>
        </w:tc>
      </w:tr>
      <w:tr>
        <w:trPr>
          <w:trHeight w:val="50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line="213" w:lineRule="auto" w:before="39"/>
              <w:ind w:left="87" w:right="37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Senior secondary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certificate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education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Other/Not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available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19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2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Total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3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107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2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90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6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97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73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111</w:t>
            </w:r>
          </w:p>
        </w:tc>
        <w:tc>
          <w:tcPr>
            <w:tcW w:w="1098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77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96</w:t>
            </w:r>
          </w:p>
        </w:tc>
      </w:tr>
    </w:tbl>
    <w:p>
      <w:pPr>
        <w:pStyle w:val="BodyText"/>
        <w:spacing w:before="6"/>
        <w:rPr>
          <w:b w:val="0"/>
          <w:sz w:val="21"/>
        </w:rPr>
      </w:pPr>
    </w:p>
    <w:p>
      <w:pPr>
        <w:spacing w:before="0"/>
        <w:ind w:left="673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Identified</w:t>
      </w:r>
      <w:r>
        <w:rPr>
          <w:rFonts w:ascii="Domus Semibold" w:hAnsi="Domus Semibold"/>
          <w:b w:val="0"/>
          <w:color w:val="231F20"/>
          <w:spacing w:val="-7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cohorts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–</w:t>
      </w:r>
      <w:r>
        <w:rPr>
          <w:rFonts w:ascii="Domus Semibold" w:hAnsi="Domus Semibold"/>
          <w:b w:val="0"/>
          <w:color w:val="231F20"/>
          <w:spacing w:val="-7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Aboriginal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-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Torres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Strait</w:t>
      </w:r>
      <w:r>
        <w:rPr>
          <w:rFonts w:ascii="Domus Semibold" w:hAnsi="Domus Semibold"/>
          <w:b w:val="0"/>
          <w:color w:val="231F20"/>
          <w:spacing w:val="-7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Islander,</w:t>
      </w:r>
      <w:r>
        <w:rPr>
          <w:rFonts w:ascii="Domus Semibold" w:hAnsi="Domus Semibold"/>
          <w:b w:val="0"/>
          <w:color w:val="231F20"/>
          <w:spacing w:val="-8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low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SES</w:t>
      </w:r>
    </w:p>
    <w:p>
      <w:pPr>
        <w:pStyle w:val="BodyText"/>
        <w:spacing w:line="192" w:lineRule="auto" w:before="106"/>
        <w:ind w:left="673" w:right="3099"/>
        <w:rPr>
          <w:b w:val="0"/>
        </w:rPr>
      </w:pPr>
      <w:r>
        <w:rPr>
          <w:b w:val="0"/>
          <w:color w:val="231F20"/>
        </w:rPr>
        <w:t>ANZSOG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captures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Aboriginal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Torres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Strait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Islander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(ATSI)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status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applicants.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status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information is not captured by ANZSOG due to the way in which students are nominated by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employer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before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considered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admission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captured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enrolment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processes.</w:t>
      </w:r>
    </w:p>
    <w:p>
      <w:pPr>
        <w:pStyle w:val="BodyText"/>
        <w:spacing w:line="192" w:lineRule="auto" w:before="114"/>
        <w:ind w:left="673" w:right="3283"/>
        <w:rPr>
          <w:b w:val="0"/>
        </w:rPr>
      </w:pP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line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(Standard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2.2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Equity)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Diversity,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Equity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Inclusion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(sections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3.6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&amp;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4.4)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enables</w:t>
      </w:r>
    </w:p>
    <w:p>
      <w:pPr>
        <w:pStyle w:val="BodyText"/>
        <w:spacing w:line="192" w:lineRule="auto"/>
        <w:ind w:left="673" w:right="3131"/>
        <w:rPr>
          <w:b w:val="0"/>
        </w:rPr>
      </w:pPr>
      <w:r>
        <w:rPr>
          <w:b w:val="0"/>
          <w:color w:val="231F20"/>
        </w:rPr>
        <w:t>students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identify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Aboriginal,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Torres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Strait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Islander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Māori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admission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into the EMPA program. This information supports recruitment, progression and completion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monitoring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activities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priority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cohort.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Aggregated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data</w:t>
      </w:r>
    </w:p>
    <w:p>
      <w:pPr>
        <w:pStyle w:val="BodyText"/>
        <w:spacing w:line="192" w:lineRule="auto"/>
        <w:ind w:left="673" w:right="3290"/>
        <w:rPr>
          <w:b w:val="0"/>
        </w:rPr>
      </w:pPr>
      <w:r>
        <w:rPr>
          <w:b w:val="0"/>
          <w:color w:val="231F20"/>
        </w:rPr>
        <w:t>has to date been collected and reported on Australian students identifying as Aboriginal 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Torres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Strait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Islander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presented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table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below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2020.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admission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process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record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keeping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currently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updated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collection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reporting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identifying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Māori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 included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next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annual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report.</w:t>
      </w:r>
    </w:p>
    <w:p>
      <w:pPr>
        <w:pStyle w:val="BodyText"/>
        <w:spacing w:before="2" w:after="1"/>
        <w:rPr>
          <w:b w:val="0"/>
          <w:sz w:val="10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1098"/>
        <w:gridCol w:w="1098"/>
        <w:gridCol w:w="1098"/>
        <w:gridCol w:w="1098"/>
        <w:gridCol w:w="1098"/>
      </w:tblGrid>
      <w:tr>
        <w:trPr>
          <w:trHeight w:val="278" w:hRule="atLeast"/>
        </w:trPr>
        <w:tc>
          <w:tcPr>
            <w:tcW w:w="7680" w:type="dxa"/>
            <w:gridSpan w:val="6"/>
            <w:tcBorders>
              <w:top w:val="single" w:sz="6" w:space="0" w:color="FFFFFF"/>
              <w:bottom w:val="single" w:sz="6" w:space="0" w:color="FFFFFF"/>
            </w:tcBorders>
            <w:shd w:val="clear" w:color="auto" w:fill="243B7D"/>
          </w:tcPr>
          <w:p>
            <w:pPr>
              <w:pStyle w:val="TableParagraph"/>
              <w:spacing w:before="12"/>
              <w:ind w:right="81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1"/>
                <w:sz w:val="17"/>
              </w:rPr>
              <w:t>EMPA</w:t>
            </w:r>
            <w:r>
              <w:rPr>
                <w:rFonts w:ascii="Apercu"/>
                <w:b/>
                <w:color w:val="FFFFFF"/>
                <w:spacing w:val="-9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intake/cohort</w:t>
            </w:r>
          </w:p>
        </w:tc>
      </w:tr>
      <w:tr>
        <w:trPr>
          <w:trHeight w:val="278" w:hRule="atLeast"/>
        </w:trPr>
        <w:tc>
          <w:tcPr>
            <w:tcW w:w="219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left="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1"/>
                <w:sz w:val="17"/>
              </w:rPr>
              <w:t>ATSI</w:t>
            </w:r>
            <w:r>
              <w:rPr>
                <w:rFonts w:ascii="Apercu"/>
                <w:b/>
                <w:color w:val="231F20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Status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78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2016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7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2017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2018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2019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BCBF5"/>
          </w:tcPr>
          <w:p>
            <w:pPr>
              <w:pStyle w:val="TableParagraph"/>
              <w:spacing w:before="12"/>
              <w:ind w:right="82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2020</w:t>
            </w:r>
          </w:p>
        </w:tc>
      </w:tr>
      <w:tr>
        <w:trPr>
          <w:trHeight w:val="283" w:hRule="atLeast"/>
        </w:trPr>
        <w:tc>
          <w:tcPr>
            <w:tcW w:w="2190" w:type="dxa"/>
            <w:tcBorders>
              <w:top w:val="single" w:sz="6" w:space="0" w:color="FFFFFF"/>
              <w:bottom w:val="single" w:sz="2" w:space="0" w:color="231F20"/>
            </w:tcBorders>
          </w:tcPr>
          <w:p>
            <w:pPr>
              <w:pStyle w:val="TableParagraph"/>
              <w:spacing w:before="12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Female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12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</w:tcPr>
          <w:p>
            <w:pPr>
              <w:pStyle w:val="TableParagraph"/>
              <w:spacing w:before="12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12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</w:tcPr>
          <w:p>
            <w:pPr>
              <w:pStyle w:val="TableParagraph"/>
              <w:spacing w:before="12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6" w:space="0" w:color="FFFFFF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12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Male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219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Total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8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4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3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6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7</w:t>
            </w:r>
          </w:p>
        </w:tc>
        <w:tc>
          <w:tcPr>
            <w:tcW w:w="109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3</w:t>
            </w:r>
          </w:p>
        </w:tc>
      </w:tr>
    </w:tbl>
    <w:p>
      <w:pPr>
        <w:spacing w:after="0"/>
        <w:jc w:val="right"/>
        <w:rPr>
          <w:rFonts w:ascii="Apercu"/>
          <w:sz w:val="17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spacing w:before="47"/>
        <w:ind w:left="673" w:right="0" w:firstLine="0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Student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success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profile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including:</w:t>
      </w:r>
    </w:p>
    <w:p>
      <w:pPr>
        <w:spacing w:before="245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Grade</w:t>
      </w:r>
      <w:r>
        <w:rPr>
          <w:rFonts w:ascii="Domus Semibold"/>
          <w:b w:val="0"/>
          <w:color w:val="231F20"/>
          <w:spacing w:val="-6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range</w:t>
      </w:r>
      <w:r>
        <w:rPr>
          <w:rFonts w:ascii="Domus Semibold"/>
          <w:b w:val="0"/>
          <w:color w:val="231F20"/>
          <w:spacing w:val="-5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/</w:t>
      </w:r>
      <w:r>
        <w:rPr>
          <w:rFonts w:ascii="Domus Semibold"/>
          <w:b w:val="0"/>
          <w:color w:val="231F20"/>
          <w:spacing w:val="-5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WAM</w:t>
      </w:r>
    </w:p>
    <w:p>
      <w:pPr>
        <w:pStyle w:val="BodyText"/>
        <w:spacing w:before="63"/>
        <w:ind w:left="673"/>
        <w:jc w:val="both"/>
        <w:rPr>
          <w:b w:val="0"/>
        </w:rPr>
      </w:pP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1st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&amp;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year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Grade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Range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WAM</w:t>
      </w:r>
    </w:p>
    <w:p>
      <w:pPr>
        <w:pStyle w:val="BodyText"/>
        <w:spacing w:before="4" w:after="1"/>
        <w:rPr>
          <w:b w:val="0"/>
          <w:sz w:val="9"/>
        </w:rPr>
      </w:pPr>
    </w:p>
    <w:tbl>
      <w:tblPr>
        <w:tblW w:w="0" w:type="auto"/>
        <w:jc w:val="left"/>
        <w:tblInd w:w="68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960"/>
        <w:gridCol w:w="960"/>
        <w:gridCol w:w="960"/>
        <w:gridCol w:w="960"/>
        <w:gridCol w:w="960"/>
        <w:gridCol w:w="974"/>
      </w:tblGrid>
      <w:tr>
        <w:trPr>
          <w:trHeight w:val="278" w:hRule="atLeast"/>
        </w:trPr>
        <w:tc>
          <w:tcPr>
            <w:tcW w:w="7680" w:type="dxa"/>
            <w:gridSpan w:val="7"/>
            <w:tcBorders>
              <w:left w:val="nil"/>
              <w:right w:val="nil"/>
            </w:tcBorders>
            <w:shd w:val="clear" w:color="auto" w:fill="243B7D"/>
          </w:tcPr>
          <w:p>
            <w:pPr>
              <w:pStyle w:val="TableParagraph"/>
              <w:spacing w:before="12"/>
              <w:ind w:right="76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2"/>
                <w:sz w:val="17"/>
              </w:rPr>
              <w:t>EMPA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2"/>
                <w:sz w:val="17"/>
              </w:rPr>
              <w:t>intake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year/cohort</w:t>
            </w:r>
          </w:p>
        </w:tc>
      </w:tr>
      <w:tr>
        <w:trPr>
          <w:trHeight w:val="278" w:hRule="atLeast"/>
        </w:trPr>
        <w:tc>
          <w:tcPr>
            <w:tcW w:w="1906" w:type="dxa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12"/>
              <w:ind w:left="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Subject</w:t>
            </w:r>
            <w:r>
              <w:rPr>
                <w:rFonts w:ascii="Apercu"/>
                <w:b/>
                <w:color w:val="231F20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Year</w:t>
            </w:r>
          </w:p>
        </w:tc>
        <w:tc>
          <w:tcPr>
            <w:tcW w:w="960" w:type="dxa"/>
            <w:tcBorders>
              <w:left w:val="nil"/>
              <w:right w:val="single" w:sz="2" w:space="0" w:color="231F20"/>
            </w:tcBorders>
            <w:shd w:val="clear" w:color="auto" w:fill="5BCBF5"/>
          </w:tcPr>
          <w:p>
            <w:pPr>
              <w:pStyle w:val="TableParagraph"/>
              <w:spacing w:before="12"/>
              <w:ind w:left="306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2018</w:t>
            </w:r>
          </w:p>
        </w:tc>
        <w:tc>
          <w:tcPr>
            <w:tcW w:w="960" w:type="dxa"/>
            <w:tcBorders>
              <w:left w:val="single" w:sz="2" w:space="0" w:color="231F20"/>
              <w:right w:val="nil"/>
            </w:tcBorders>
            <w:shd w:val="clear" w:color="auto" w:fill="5BCBF5"/>
          </w:tcPr>
          <w:p>
            <w:pPr>
              <w:pStyle w:val="TableParagraph"/>
              <w:spacing w:before="12"/>
              <w:ind w:left="67" w:right="68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2018</w:t>
            </w:r>
            <w:r>
              <w:rPr>
                <w:rFonts w:ascii="Apercu"/>
                <w:b/>
                <w:color w:val="231F20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WAM</w:t>
            </w:r>
          </w:p>
        </w:tc>
        <w:tc>
          <w:tcPr>
            <w:tcW w:w="960" w:type="dxa"/>
            <w:tcBorders>
              <w:left w:val="nil"/>
              <w:right w:val="single" w:sz="2" w:space="0" w:color="231F20"/>
            </w:tcBorders>
            <w:shd w:val="clear" w:color="auto" w:fill="5BCBF5"/>
          </w:tcPr>
          <w:p>
            <w:pPr>
              <w:pStyle w:val="TableParagraph"/>
              <w:spacing w:before="12"/>
              <w:ind w:left="305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2019</w:t>
            </w:r>
          </w:p>
        </w:tc>
        <w:tc>
          <w:tcPr>
            <w:tcW w:w="960" w:type="dxa"/>
            <w:tcBorders>
              <w:left w:val="single" w:sz="2" w:space="0" w:color="231F20"/>
              <w:right w:val="nil"/>
            </w:tcBorders>
            <w:shd w:val="clear" w:color="auto" w:fill="5BCBF5"/>
          </w:tcPr>
          <w:p>
            <w:pPr>
              <w:pStyle w:val="TableParagraph"/>
              <w:spacing w:before="12"/>
              <w:ind w:left="68" w:right="68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2019</w:t>
            </w:r>
            <w:r>
              <w:rPr>
                <w:rFonts w:ascii="Apercu"/>
                <w:b/>
                <w:color w:val="231F20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WAM</w:t>
            </w:r>
          </w:p>
        </w:tc>
        <w:tc>
          <w:tcPr>
            <w:tcW w:w="960" w:type="dxa"/>
            <w:tcBorders>
              <w:left w:val="nil"/>
              <w:right w:val="single" w:sz="2" w:space="0" w:color="231F20"/>
            </w:tcBorders>
            <w:shd w:val="clear" w:color="auto" w:fill="5BCBF5"/>
          </w:tcPr>
          <w:p>
            <w:pPr>
              <w:pStyle w:val="TableParagraph"/>
              <w:spacing w:before="12"/>
              <w:ind w:left="29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2020</w:t>
            </w:r>
          </w:p>
        </w:tc>
        <w:tc>
          <w:tcPr>
            <w:tcW w:w="974" w:type="dxa"/>
            <w:tcBorders>
              <w:left w:val="single" w:sz="2" w:space="0" w:color="231F20"/>
              <w:right w:val="nil"/>
            </w:tcBorders>
            <w:shd w:val="clear" w:color="auto" w:fill="5BCBF5"/>
          </w:tcPr>
          <w:p>
            <w:pPr>
              <w:pStyle w:val="TableParagraph"/>
              <w:spacing w:before="12"/>
              <w:ind w:left="60" w:right="60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2020</w:t>
            </w:r>
            <w:r>
              <w:rPr>
                <w:rFonts w:ascii="Apercu"/>
                <w:b/>
                <w:color w:val="231F20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WAM</w:t>
            </w:r>
          </w:p>
        </w:tc>
      </w:tr>
      <w:tr>
        <w:trPr>
          <w:trHeight w:val="283" w:hRule="atLeast"/>
        </w:trPr>
        <w:tc>
          <w:tcPr>
            <w:tcW w:w="1906" w:type="dxa"/>
            <w:tcBorders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960" w:type="dxa"/>
            <w:tcBorders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12"/>
              <w:ind w:left="25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40-88</w:t>
            </w:r>
          </w:p>
        </w:tc>
        <w:tc>
          <w:tcPr>
            <w:tcW w:w="960" w:type="dxa"/>
            <w:tcBorders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left="67" w:right="68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75.7</w:t>
            </w:r>
          </w:p>
        </w:tc>
        <w:tc>
          <w:tcPr>
            <w:tcW w:w="960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2"/>
              <w:ind w:left="26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67-95</w:t>
            </w:r>
          </w:p>
        </w:tc>
        <w:tc>
          <w:tcPr>
            <w:tcW w:w="960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left="68" w:right="68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77.5</w:t>
            </w:r>
          </w:p>
        </w:tc>
        <w:tc>
          <w:tcPr>
            <w:tcW w:w="960" w:type="dxa"/>
            <w:tcBorders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12"/>
              <w:ind w:left="27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56-97</w:t>
            </w:r>
          </w:p>
        </w:tc>
        <w:tc>
          <w:tcPr>
            <w:tcW w:w="974" w:type="dxa"/>
            <w:tcBorders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left="60" w:right="60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79.82</w:t>
            </w:r>
          </w:p>
        </w:tc>
      </w:tr>
      <w:tr>
        <w:trPr>
          <w:trHeight w:val="288" w:hRule="atLeast"/>
        </w:trPr>
        <w:tc>
          <w:tcPr>
            <w:tcW w:w="1906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Yr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96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left="26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62-88</w:t>
            </w:r>
          </w:p>
        </w:tc>
        <w:tc>
          <w:tcPr>
            <w:tcW w:w="9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left="67" w:right="68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75.6</w:t>
            </w:r>
          </w:p>
        </w:tc>
        <w:tc>
          <w:tcPr>
            <w:tcW w:w="96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left="25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33-90</w:t>
            </w:r>
          </w:p>
        </w:tc>
        <w:tc>
          <w:tcPr>
            <w:tcW w:w="9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68" w:right="68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73.5</w:t>
            </w:r>
          </w:p>
        </w:tc>
        <w:tc>
          <w:tcPr>
            <w:tcW w:w="960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left="25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50-96</w:t>
            </w:r>
          </w:p>
        </w:tc>
        <w:tc>
          <w:tcPr>
            <w:tcW w:w="9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left="60" w:right="60"/>
              <w:jc w:val="center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71.75</w:t>
            </w:r>
          </w:p>
        </w:tc>
      </w:tr>
    </w:tbl>
    <w:p>
      <w:pPr>
        <w:pStyle w:val="BodyText"/>
        <w:spacing w:before="12"/>
        <w:rPr>
          <w:b w:val="0"/>
          <w:sz w:val="28"/>
        </w:rPr>
      </w:pPr>
    </w:p>
    <w:p>
      <w:pPr>
        <w:pStyle w:val="BodyText"/>
        <w:spacing w:line="192" w:lineRule="auto"/>
        <w:ind w:left="673" w:right="3258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summary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number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passed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failed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subject,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year from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2020</w:t>
      </w:r>
    </w:p>
    <w:p>
      <w:pPr>
        <w:pStyle w:val="BodyText"/>
        <w:spacing w:before="2"/>
        <w:rPr>
          <w:b w:val="0"/>
          <w:sz w:val="10"/>
        </w:rPr>
      </w:pPr>
    </w:p>
    <w:tbl>
      <w:tblPr>
        <w:tblW w:w="0" w:type="auto"/>
        <w:jc w:val="left"/>
        <w:tblInd w:w="68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</w:tblGrid>
      <w:tr>
        <w:trPr>
          <w:trHeight w:val="278" w:hRule="atLeast"/>
        </w:trPr>
        <w:tc>
          <w:tcPr>
            <w:tcW w:w="7674" w:type="dxa"/>
            <w:gridSpan w:val="11"/>
            <w:tcBorders>
              <w:left w:val="nil"/>
              <w:right w:val="nil"/>
            </w:tcBorders>
            <w:shd w:val="clear" w:color="auto" w:fill="243B7D"/>
          </w:tcPr>
          <w:p>
            <w:pPr>
              <w:pStyle w:val="TableParagraph"/>
              <w:spacing w:before="12"/>
              <w:ind w:right="86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2"/>
                <w:sz w:val="17"/>
              </w:rPr>
              <w:t>EMPA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2"/>
                <w:sz w:val="17"/>
              </w:rPr>
              <w:t>intake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year/cohort</w:t>
            </w:r>
          </w:p>
        </w:tc>
      </w:tr>
      <w:tr>
        <w:trPr>
          <w:trHeight w:val="498" w:hRule="atLeast"/>
        </w:trPr>
        <w:tc>
          <w:tcPr>
            <w:tcW w:w="1264" w:type="dxa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line="213" w:lineRule="auto" w:before="34"/>
              <w:ind w:left="80" w:right="32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4"/>
                <w:sz w:val="17"/>
              </w:rPr>
              <w:t>EMPA </w:t>
            </w:r>
            <w:r>
              <w:rPr>
                <w:rFonts w:ascii="Apercu"/>
                <w:b/>
                <w:color w:val="231F20"/>
                <w:spacing w:val="-3"/>
                <w:sz w:val="17"/>
              </w:rPr>
              <w:t>Core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Subjects</w:t>
            </w: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0"/>
              <w:rPr>
                <w:b w:val="0"/>
                <w:sz w:val="16"/>
              </w:rPr>
            </w:pPr>
          </w:p>
          <w:p>
            <w:pPr>
              <w:pStyle w:val="TableParagraph"/>
              <w:spacing w:before="1"/>
              <w:ind w:left="445" w:right="445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2016</w:t>
            </w: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0"/>
              <w:rPr>
                <w:b w:val="0"/>
                <w:sz w:val="16"/>
              </w:rPr>
            </w:pPr>
          </w:p>
          <w:p>
            <w:pPr>
              <w:pStyle w:val="TableParagraph"/>
              <w:spacing w:before="1"/>
              <w:ind w:left="442" w:right="445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2017</w:t>
            </w: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0"/>
              <w:rPr>
                <w:b w:val="0"/>
                <w:sz w:val="16"/>
              </w:rPr>
            </w:pPr>
          </w:p>
          <w:p>
            <w:pPr>
              <w:pStyle w:val="TableParagraph"/>
              <w:spacing w:before="1"/>
              <w:ind w:left="421" w:right="428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2018</w:t>
            </w: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0"/>
              <w:rPr>
                <w:b w:val="0"/>
                <w:sz w:val="16"/>
              </w:rPr>
            </w:pPr>
          </w:p>
          <w:p>
            <w:pPr>
              <w:pStyle w:val="TableParagraph"/>
              <w:spacing w:before="1"/>
              <w:ind w:left="421" w:right="431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2019</w:t>
            </w: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shd w:val="clear" w:color="auto" w:fill="5BCBF5"/>
          </w:tcPr>
          <w:p>
            <w:pPr>
              <w:pStyle w:val="TableParagraph"/>
              <w:spacing w:before="0"/>
              <w:rPr>
                <w:b w:val="0"/>
                <w:sz w:val="16"/>
              </w:rPr>
            </w:pPr>
          </w:p>
          <w:p>
            <w:pPr>
              <w:pStyle w:val="TableParagraph"/>
              <w:spacing w:before="1"/>
              <w:ind w:left="421" w:right="436"/>
              <w:jc w:val="center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2020</w:t>
            </w:r>
          </w:p>
        </w:tc>
      </w:tr>
      <w:tr>
        <w:trPr>
          <w:trHeight w:val="283" w:hRule="atLeast"/>
        </w:trPr>
        <w:tc>
          <w:tcPr>
            <w:tcW w:w="1264" w:type="dxa"/>
            <w:tcBorders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Subject</w:t>
            </w:r>
          </w:p>
        </w:tc>
        <w:tc>
          <w:tcPr>
            <w:tcW w:w="641" w:type="dxa"/>
            <w:tcBorders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12"/>
              <w:ind w:right="78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Pass</w:t>
            </w:r>
          </w:p>
        </w:tc>
        <w:tc>
          <w:tcPr>
            <w:tcW w:w="641" w:type="dxa"/>
            <w:tcBorders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left="291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Fail</w:t>
            </w:r>
          </w:p>
        </w:tc>
        <w:tc>
          <w:tcPr>
            <w:tcW w:w="641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2"/>
              <w:ind w:right="80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Pass</w:t>
            </w:r>
          </w:p>
        </w:tc>
        <w:tc>
          <w:tcPr>
            <w:tcW w:w="641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left="29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Fail</w:t>
            </w:r>
          </w:p>
        </w:tc>
        <w:tc>
          <w:tcPr>
            <w:tcW w:w="641" w:type="dxa"/>
            <w:tcBorders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12"/>
              <w:ind w:right="81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Pass</w:t>
            </w:r>
          </w:p>
        </w:tc>
        <w:tc>
          <w:tcPr>
            <w:tcW w:w="641" w:type="dxa"/>
            <w:tcBorders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right="83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Fail</w:t>
            </w:r>
          </w:p>
        </w:tc>
        <w:tc>
          <w:tcPr>
            <w:tcW w:w="641" w:type="dxa"/>
            <w:tcBorders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2"/>
              <w:ind w:right="83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Pass</w:t>
            </w:r>
          </w:p>
        </w:tc>
        <w:tc>
          <w:tcPr>
            <w:tcW w:w="641" w:type="dxa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12"/>
              <w:ind w:right="85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Fail</w:t>
            </w:r>
          </w:p>
        </w:tc>
        <w:tc>
          <w:tcPr>
            <w:tcW w:w="641" w:type="dxa"/>
            <w:tcBorders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spacing w:before="12"/>
              <w:ind w:right="85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Pass</w:t>
            </w:r>
          </w:p>
        </w:tc>
        <w:tc>
          <w:tcPr>
            <w:tcW w:w="641" w:type="dxa"/>
            <w:tcBorders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12"/>
              <w:ind w:left="285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43B7D"/>
                <w:sz w:val="17"/>
              </w:rPr>
              <w:t>Fail</w:t>
            </w:r>
          </w:p>
        </w:tc>
      </w:tr>
      <w:tr>
        <w:trPr>
          <w:trHeight w:val="288" w:hRule="atLeast"/>
        </w:trPr>
        <w:tc>
          <w:tcPr>
            <w:tcW w:w="126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DPV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108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90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97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110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92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126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GME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7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109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88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101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90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ind w:right="85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61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126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DPPP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108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86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98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99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9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76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126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DMUU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105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83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96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98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66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126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MPSO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102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88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92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104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72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126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GBR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97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105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84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9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93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104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126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LPSC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101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106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79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98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95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8" w:hRule="atLeast"/>
        </w:trPr>
        <w:tc>
          <w:tcPr>
            <w:tcW w:w="1264" w:type="dxa"/>
            <w:tcBorders>
              <w:top w:val="single" w:sz="2" w:space="0" w:color="231F20"/>
              <w:left w:val="nil"/>
              <w:bottom w:val="single" w:sz="2" w:space="0" w:color="231F20"/>
              <w:right w:val="nil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WBP</w:t>
            </w: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6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100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7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104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87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88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110</w:t>
            </w:r>
          </w:p>
        </w:tc>
        <w:tc>
          <w:tcPr>
            <w:tcW w:w="64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  <w:shd w:val="clear" w:color="auto" w:fill="FFF7E5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before="138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Progression</w:t>
      </w:r>
    </w:p>
    <w:p>
      <w:pPr>
        <w:pStyle w:val="BodyText"/>
        <w:spacing w:line="192" w:lineRule="auto" w:before="106"/>
        <w:ind w:left="673" w:right="4064"/>
        <w:jc w:val="both"/>
        <w:rPr>
          <w:b w:val="0"/>
        </w:rPr>
      </w:pP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monitors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entire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cohort,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following statistics apply:</w:t>
      </w:r>
    </w:p>
    <w:p>
      <w:pPr>
        <w:pStyle w:val="BodyText"/>
        <w:spacing w:line="290" w:lineRule="auto" w:before="70"/>
        <w:ind w:left="673" w:right="5280"/>
        <w:jc w:val="both"/>
        <w:rPr>
          <w:b w:val="0"/>
        </w:rPr>
      </w:pPr>
      <w:r>
        <w:rPr>
          <w:b w:val="0"/>
          <w:color w:val="231F20"/>
        </w:rPr>
        <w:t>80%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years.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90%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years.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97%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years.</w:t>
      </w:r>
    </w:p>
    <w:p>
      <w:pPr>
        <w:pStyle w:val="BodyText"/>
        <w:spacing w:before="3"/>
        <w:ind w:left="673"/>
        <w:jc w:val="both"/>
        <w:rPr>
          <w:b w:val="0"/>
        </w:rPr>
      </w:pPr>
      <w:r>
        <w:rPr>
          <w:b w:val="0"/>
          <w:color w:val="231F20"/>
        </w:rPr>
        <w:t>3%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require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extension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4+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years</w:t>
      </w:r>
    </w:p>
    <w:p>
      <w:pPr>
        <w:spacing w:before="149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Completion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rates</w:t>
      </w:r>
    </w:p>
    <w:p>
      <w:pPr>
        <w:pStyle w:val="BodyText"/>
        <w:spacing w:line="192" w:lineRule="auto" w:before="106"/>
        <w:ind w:left="673" w:right="3620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summary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completion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intakes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2016 to 2019.</w:t>
      </w:r>
    </w:p>
    <w:p>
      <w:pPr>
        <w:pStyle w:val="BodyText"/>
        <w:spacing w:before="3"/>
        <w:rPr>
          <w:b w:val="0"/>
          <w:sz w:val="10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1"/>
        <w:gridCol w:w="1260"/>
        <w:gridCol w:w="501"/>
        <w:gridCol w:w="1681"/>
        <w:gridCol w:w="455"/>
        <w:gridCol w:w="1592"/>
      </w:tblGrid>
      <w:tr>
        <w:trPr>
          <w:trHeight w:val="72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before="8"/>
              <w:rPr>
                <w:b w:val="0"/>
                <w:sz w:val="31"/>
              </w:rPr>
            </w:pPr>
          </w:p>
          <w:p>
            <w:pPr>
              <w:pStyle w:val="TableParagraph"/>
              <w:spacing w:before="1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2"/>
                <w:sz w:val="17"/>
              </w:rPr>
              <w:t>EMPA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2"/>
                <w:sz w:val="17"/>
              </w:rPr>
              <w:t>intake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year/cohort</w:t>
            </w:r>
          </w:p>
        </w:tc>
        <w:tc>
          <w:tcPr>
            <w:tcW w:w="12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line="213" w:lineRule="auto" w:before="39"/>
              <w:ind w:left="153" w:right="240" w:firstLine="203"/>
              <w:jc w:val="both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1"/>
                <w:sz w:val="17"/>
              </w:rPr>
              <w:t>students</w:t>
            </w:r>
            <w:r>
              <w:rPr>
                <w:rFonts w:ascii="Apercu"/>
                <w:b/>
                <w:color w:val="FFFFFF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completed</w:t>
            </w:r>
            <w:r>
              <w:rPr>
                <w:rFonts w:ascii="Apercu"/>
                <w:b/>
                <w:color w:val="FFFFFF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all</w:t>
            </w:r>
            <w:r>
              <w:rPr>
                <w:rFonts w:ascii="Apercu"/>
                <w:b/>
                <w:color w:val="FFFFFF"/>
                <w:spacing w:val="-7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subjects</w:t>
            </w:r>
          </w:p>
        </w:tc>
        <w:tc>
          <w:tcPr>
            <w:tcW w:w="50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before="8"/>
              <w:rPr>
                <w:b w:val="0"/>
                <w:sz w:val="31"/>
              </w:rPr>
            </w:pPr>
          </w:p>
          <w:p>
            <w:pPr>
              <w:pStyle w:val="TableParagraph"/>
              <w:spacing w:before="1"/>
              <w:ind w:right="7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%</w:t>
            </w:r>
          </w:p>
        </w:tc>
        <w:tc>
          <w:tcPr>
            <w:tcW w:w="168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line="213" w:lineRule="auto" w:before="39"/>
              <w:ind w:left="312" w:right="228" w:firstLine="477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pacing w:val="-1"/>
                <w:sz w:val="17"/>
              </w:rPr>
              <w:t>students</w:t>
            </w:r>
            <w:r>
              <w:rPr>
                <w:rFonts w:ascii="Apercu"/>
                <w:b/>
                <w:color w:val="FFFFFF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not completed</w:t>
            </w:r>
            <w:r>
              <w:rPr>
                <w:rFonts w:ascii="Apercu"/>
                <w:b/>
                <w:color w:val="FFFFFF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all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subjects</w:t>
            </w:r>
          </w:p>
        </w:tc>
        <w:tc>
          <w:tcPr>
            <w:tcW w:w="45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before="8"/>
              <w:rPr>
                <w:b w:val="0"/>
                <w:sz w:val="31"/>
              </w:rPr>
            </w:pPr>
          </w:p>
          <w:p>
            <w:pPr>
              <w:pStyle w:val="TableParagraph"/>
              <w:spacing w:before="1"/>
              <w:ind w:right="79"/>
              <w:jc w:val="righ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%</w:t>
            </w:r>
          </w:p>
        </w:tc>
        <w:tc>
          <w:tcPr>
            <w:tcW w:w="159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spacing w:before="12"/>
              <w:rPr>
                <w:b w:val="0"/>
                <w:sz w:val="17"/>
              </w:rPr>
            </w:pPr>
          </w:p>
          <w:p>
            <w:pPr>
              <w:pStyle w:val="TableParagraph"/>
              <w:spacing w:line="213" w:lineRule="auto" w:before="1"/>
              <w:ind w:left="630" w:right="64" w:firstLine="345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cohort</w:t>
            </w:r>
            <w:r>
              <w:rPr>
                <w:rFonts w:ascii="Apercu"/>
                <w:b/>
                <w:color w:val="FFFFFF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FFFFFF"/>
                <w:spacing w:val="-1"/>
                <w:sz w:val="17"/>
              </w:rPr>
              <w:t>enrolments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2016</w:t>
            </w:r>
          </w:p>
        </w:tc>
        <w:tc>
          <w:tcPr>
            <w:tcW w:w="12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24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101</w:t>
            </w:r>
          </w:p>
        </w:tc>
        <w:tc>
          <w:tcPr>
            <w:tcW w:w="50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9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94</w:t>
            </w:r>
          </w:p>
        </w:tc>
        <w:tc>
          <w:tcPr>
            <w:tcW w:w="168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22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</w:t>
            </w:r>
          </w:p>
        </w:tc>
        <w:tc>
          <w:tcPr>
            <w:tcW w:w="45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</w:t>
            </w:r>
          </w:p>
        </w:tc>
        <w:tc>
          <w:tcPr>
            <w:tcW w:w="159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107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2017</w:t>
            </w:r>
          </w:p>
        </w:tc>
        <w:tc>
          <w:tcPr>
            <w:tcW w:w="12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24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85</w:t>
            </w:r>
          </w:p>
        </w:tc>
        <w:tc>
          <w:tcPr>
            <w:tcW w:w="50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91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94</w:t>
            </w:r>
          </w:p>
        </w:tc>
        <w:tc>
          <w:tcPr>
            <w:tcW w:w="168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22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</w:t>
            </w:r>
          </w:p>
        </w:tc>
        <w:tc>
          <w:tcPr>
            <w:tcW w:w="45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6</w:t>
            </w:r>
          </w:p>
        </w:tc>
        <w:tc>
          <w:tcPr>
            <w:tcW w:w="159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90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2018</w:t>
            </w:r>
          </w:p>
        </w:tc>
        <w:tc>
          <w:tcPr>
            <w:tcW w:w="12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24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89</w:t>
            </w:r>
          </w:p>
        </w:tc>
        <w:tc>
          <w:tcPr>
            <w:tcW w:w="50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92</w:t>
            </w:r>
          </w:p>
        </w:tc>
        <w:tc>
          <w:tcPr>
            <w:tcW w:w="168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22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</w:t>
            </w:r>
          </w:p>
        </w:tc>
        <w:tc>
          <w:tcPr>
            <w:tcW w:w="45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</w:t>
            </w:r>
          </w:p>
        </w:tc>
        <w:tc>
          <w:tcPr>
            <w:tcW w:w="159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3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97</w:t>
            </w:r>
          </w:p>
        </w:tc>
      </w:tr>
      <w:tr>
        <w:trPr>
          <w:trHeight w:val="288" w:hRule="atLeast"/>
        </w:trPr>
        <w:tc>
          <w:tcPr>
            <w:tcW w:w="217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2019</w:t>
            </w:r>
          </w:p>
        </w:tc>
        <w:tc>
          <w:tcPr>
            <w:tcW w:w="12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24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95</w:t>
            </w:r>
          </w:p>
        </w:tc>
        <w:tc>
          <w:tcPr>
            <w:tcW w:w="50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86</w:t>
            </w:r>
          </w:p>
        </w:tc>
        <w:tc>
          <w:tcPr>
            <w:tcW w:w="168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228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16</w:t>
            </w:r>
          </w:p>
        </w:tc>
        <w:tc>
          <w:tcPr>
            <w:tcW w:w="45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right="79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14</w:t>
            </w:r>
          </w:p>
        </w:tc>
        <w:tc>
          <w:tcPr>
            <w:tcW w:w="159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7E5"/>
          </w:tcPr>
          <w:p>
            <w:pPr>
              <w:pStyle w:val="TableParagraph"/>
              <w:ind w:right="80"/>
              <w:jc w:val="right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111</w:t>
            </w:r>
          </w:p>
        </w:tc>
      </w:tr>
    </w:tbl>
    <w:p>
      <w:pPr>
        <w:spacing w:after="0"/>
        <w:jc w:val="right"/>
        <w:rPr>
          <w:sz w:val="17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spacing w:before="63"/>
        <w:ind w:left="673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Student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Cohort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Data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by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University</w:t>
      </w:r>
    </w:p>
    <w:p>
      <w:pPr>
        <w:pStyle w:val="BodyText"/>
        <w:spacing w:line="192" w:lineRule="auto" w:before="106"/>
        <w:ind w:left="673" w:right="3053"/>
        <w:rPr>
          <w:b w:val="0"/>
        </w:rPr>
      </w:pPr>
      <w:r>
        <w:rPr>
          <w:b w:val="0"/>
          <w:color w:val="231F20"/>
        </w:rPr>
        <w:t>A range of analytical and cohort-level information is provided on students enrolled with each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conferring university partner. In the majority of sections, data is provided on each intake year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(cohort) of the EMPA from 2016 to 2020 and covers cohort age, gender, years of professional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experience,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level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representation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First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Peoples’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and SES cohorts. Data also includes information pertinent to your enrolled students’ success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profile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by year.</w:t>
      </w:r>
    </w:p>
    <w:p>
      <w:pPr>
        <w:pStyle w:val="BodyText"/>
        <w:spacing w:before="71"/>
        <w:ind w:left="673"/>
        <w:rPr>
          <w:b w:val="0"/>
        </w:rPr>
      </w:pPr>
      <w:r>
        <w:rPr>
          <w:b w:val="0"/>
          <w:color w:val="231F20"/>
        </w:rPr>
        <w:t>This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exclusively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partner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online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Canvas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portal.</w:t>
      </w:r>
    </w:p>
    <w:p>
      <w:pPr>
        <w:spacing w:after="0"/>
        <w:sectPr>
          <w:pgSz w:w="11910" w:h="16840"/>
          <w:pgMar w:header="0" w:footer="555" w:top="1580" w:bottom="740" w:left="460" w:right="0"/>
        </w:sectPr>
      </w:pPr>
    </w:p>
    <w:p>
      <w:pPr>
        <w:pStyle w:val="ListParagraph"/>
        <w:numPr>
          <w:ilvl w:val="0"/>
          <w:numId w:val="19"/>
        </w:numPr>
        <w:tabs>
          <w:tab w:pos="1162" w:val="left" w:leader="none"/>
        </w:tabs>
        <w:spacing w:line="240" w:lineRule="auto" w:before="9" w:after="0"/>
        <w:ind w:left="1161" w:right="0" w:hanging="489"/>
        <w:jc w:val="left"/>
        <w:rPr>
          <w:rFonts w:ascii="Domus Semibold"/>
          <w:b w:val="0"/>
          <w:sz w:val="56"/>
        </w:rPr>
      </w:pPr>
      <w:bookmarkStart w:name="6. Governance and Quality Assurance" w:id="18"/>
      <w:bookmarkEnd w:id="18"/>
      <w:r>
        <w:rPr/>
      </w:r>
      <w:bookmarkStart w:name="6. Governance and Quality Assurance" w:id="19"/>
      <w:bookmarkEnd w:id="19"/>
      <w:r>
        <w:rPr>
          <w:rFonts w:ascii="Domus Semibold"/>
          <w:b w:val="0"/>
          <w:color w:val="243B7D"/>
          <w:spacing w:val="-5"/>
          <w:sz w:val="56"/>
        </w:rPr>
        <w:t>G</w:t>
      </w:r>
      <w:r>
        <w:rPr>
          <w:rFonts w:ascii="Domus Semibold"/>
          <w:b w:val="0"/>
          <w:color w:val="243B7D"/>
          <w:spacing w:val="-5"/>
          <w:sz w:val="56"/>
        </w:rPr>
        <w:t>overnance</w:t>
      </w:r>
      <w:r>
        <w:rPr>
          <w:rFonts w:ascii="Domus Semibold"/>
          <w:b w:val="0"/>
          <w:color w:val="243B7D"/>
          <w:spacing w:val="-23"/>
          <w:sz w:val="56"/>
        </w:rPr>
        <w:t> </w:t>
      </w:r>
      <w:r>
        <w:rPr>
          <w:rFonts w:ascii="Domus Semibold"/>
          <w:b w:val="0"/>
          <w:color w:val="243B7D"/>
          <w:spacing w:val="-5"/>
          <w:sz w:val="56"/>
        </w:rPr>
        <w:t>and</w:t>
      </w:r>
      <w:r>
        <w:rPr>
          <w:rFonts w:ascii="Domus Semibold"/>
          <w:b w:val="0"/>
          <w:color w:val="243B7D"/>
          <w:spacing w:val="-23"/>
          <w:sz w:val="56"/>
        </w:rPr>
        <w:t> </w:t>
      </w:r>
      <w:r>
        <w:rPr>
          <w:rFonts w:ascii="Domus Semibold"/>
          <w:b w:val="0"/>
          <w:color w:val="243B7D"/>
          <w:spacing w:val="-5"/>
          <w:sz w:val="56"/>
        </w:rPr>
        <w:t>Quality</w:t>
      </w:r>
      <w:r>
        <w:rPr>
          <w:rFonts w:ascii="Domus Semibold"/>
          <w:b w:val="0"/>
          <w:color w:val="243B7D"/>
          <w:spacing w:val="-22"/>
          <w:sz w:val="56"/>
        </w:rPr>
        <w:t> </w:t>
      </w:r>
      <w:r>
        <w:rPr>
          <w:rFonts w:ascii="Domus Semibold"/>
          <w:b w:val="0"/>
          <w:color w:val="243B7D"/>
          <w:spacing w:val="-5"/>
          <w:sz w:val="56"/>
        </w:rPr>
        <w:t>Assurance</w:t>
      </w:r>
    </w:p>
    <w:p>
      <w:pPr>
        <w:pStyle w:val="BodyText"/>
        <w:spacing w:before="7"/>
        <w:rPr>
          <w:rFonts w:ascii="Domus Semibold"/>
          <w:b w:val="0"/>
          <w:sz w:val="66"/>
        </w:rPr>
      </w:pPr>
    </w:p>
    <w:p>
      <w:pPr>
        <w:pStyle w:val="ListParagraph"/>
        <w:numPr>
          <w:ilvl w:val="1"/>
          <w:numId w:val="19"/>
        </w:numPr>
        <w:tabs>
          <w:tab w:pos="1144" w:val="left" w:leader="none"/>
        </w:tabs>
        <w:spacing w:line="240" w:lineRule="auto" w:before="0" w:after="0"/>
        <w:ind w:left="1143" w:right="0" w:hanging="471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4"/>
          <w:sz w:val="40"/>
        </w:rPr>
        <w:t>EMPA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4"/>
          <w:sz w:val="40"/>
        </w:rPr>
        <w:t>Policies</w:t>
      </w:r>
    </w:p>
    <w:p>
      <w:pPr>
        <w:pStyle w:val="BodyText"/>
        <w:spacing w:before="153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objectives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to:</w:t>
      </w:r>
    </w:p>
    <w:p>
      <w:pPr>
        <w:pStyle w:val="BodyText"/>
        <w:spacing w:line="192" w:lineRule="auto" w:before="102"/>
        <w:ind w:left="843" w:right="328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form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coherent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aligns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functions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partners’ expectations</w:t>
      </w:r>
    </w:p>
    <w:p>
      <w:pPr>
        <w:pStyle w:val="BodyText"/>
        <w:spacing w:line="192" w:lineRule="auto" w:before="114"/>
        <w:ind w:left="843" w:right="3487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map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lifecycle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admission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enrolment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qualification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6"/>
        </w:rPr>
        <w:t> </w:t>
      </w:r>
      <w:r>
        <w:rPr>
          <w:b w:val="0"/>
          <w:color w:val="231F20"/>
        </w:rPr>
        <w:t>differentiate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responsibilities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those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universities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0"/>
        </w:rPr>
        <w:t> </w:t>
      </w:r>
      <w:r>
        <w:rPr>
          <w:b w:val="0"/>
          <w:color w:val="231F20"/>
        </w:rPr>
        <w:t>formalise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policy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frame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underpin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operational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procedures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</w:p>
    <w:p>
      <w:pPr>
        <w:pStyle w:val="BodyText"/>
        <w:spacing w:line="192" w:lineRule="auto" w:before="215"/>
        <w:ind w:left="673" w:right="4884"/>
        <w:rPr>
          <w:b w:val="0"/>
        </w:rPr>
      </w:pPr>
      <w:r>
        <w:rPr>
          <w:b w:val="0"/>
          <w:color w:val="231F20"/>
        </w:rPr>
        <w:t>ANZSOG’s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24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categorised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five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operational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functions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(refer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 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 Map):</w:t>
      </w:r>
    </w:p>
    <w:p>
      <w:pPr>
        <w:pStyle w:val="ListParagraph"/>
        <w:numPr>
          <w:ilvl w:val="0"/>
          <w:numId w:val="20"/>
        </w:numPr>
        <w:tabs>
          <w:tab w:pos="901" w:val="left" w:leader="none"/>
        </w:tabs>
        <w:spacing w:line="240" w:lineRule="auto" w:before="70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pacing w:val="-1"/>
          <w:sz w:val="19"/>
        </w:rPr>
        <w:t>Program</w:t>
      </w:r>
      <w:r>
        <w:rPr>
          <w:rFonts w:ascii="Apercu Light"/>
          <w:b w:val="0"/>
          <w:color w:val="231F20"/>
          <w:spacing w:val="-9"/>
          <w:sz w:val="19"/>
        </w:rPr>
        <w:t> </w:t>
      </w:r>
      <w:r>
        <w:rPr>
          <w:rFonts w:ascii="Apercu Light"/>
          <w:b w:val="0"/>
          <w:color w:val="231F20"/>
          <w:spacing w:val="-1"/>
          <w:sz w:val="19"/>
        </w:rPr>
        <w:t>Structure</w:t>
      </w:r>
    </w:p>
    <w:p>
      <w:pPr>
        <w:pStyle w:val="ListParagraph"/>
        <w:numPr>
          <w:ilvl w:val="0"/>
          <w:numId w:val="20"/>
        </w:numPr>
        <w:tabs>
          <w:tab w:pos="901" w:val="left" w:leader="none"/>
        </w:tabs>
        <w:spacing w:line="240" w:lineRule="auto" w:before="59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pacing w:val="-1"/>
          <w:sz w:val="19"/>
        </w:rPr>
        <w:t>Program</w:t>
      </w:r>
      <w:r>
        <w:rPr>
          <w:rFonts w:ascii="Apercu Light"/>
          <w:b w:val="0"/>
          <w:color w:val="231F20"/>
          <w:spacing w:val="-7"/>
          <w:sz w:val="19"/>
        </w:rPr>
        <w:t> </w:t>
      </w:r>
      <w:r>
        <w:rPr>
          <w:rFonts w:ascii="Apercu Light"/>
          <w:b w:val="0"/>
          <w:color w:val="231F20"/>
          <w:spacing w:val="-1"/>
          <w:sz w:val="19"/>
        </w:rPr>
        <w:t>Administration</w:t>
      </w:r>
    </w:p>
    <w:p>
      <w:pPr>
        <w:pStyle w:val="ListParagraph"/>
        <w:numPr>
          <w:ilvl w:val="0"/>
          <w:numId w:val="20"/>
        </w:numPr>
        <w:tabs>
          <w:tab w:pos="901" w:val="left" w:leader="none"/>
        </w:tabs>
        <w:spacing w:line="240" w:lineRule="auto" w:before="58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Student</w:t>
      </w:r>
      <w:r>
        <w:rPr>
          <w:rFonts w:ascii="Apercu Light"/>
          <w:b w:val="0"/>
          <w:color w:val="231F20"/>
          <w:spacing w:val="-6"/>
          <w:sz w:val="19"/>
        </w:rPr>
        <w:t> </w:t>
      </w:r>
      <w:r>
        <w:rPr>
          <w:rFonts w:ascii="Apercu Light"/>
          <w:b w:val="0"/>
          <w:color w:val="231F20"/>
          <w:sz w:val="19"/>
        </w:rPr>
        <w:t>Engagement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and</w:t>
      </w:r>
      <w:r>
        <w:rPr>
          <w:rFonts w:ascii="Apercu Light"/>
          <w:b w:val="0"/>
          <w:color w:val="231F20"/>
          <w:spacing w:val="-5"/>
          <w:sz w:val="19"/>
        </w:rPr>
        <w:t> </w:t>
      </w:r>
      <w:r>
        <w:rPr>
          <w:rFonts w:ascii="Apercu Light"/>
          <w:b w:val="0"/>
          <w:color w:val="231F20"/>
          <w:sz w:val="19"/>
        </w:rPr>
        <w:t>Participation</w:t>
      </w:r>
    </w:p>
    <w:p>
      <w:pPr>
        <w:pStyle w:val="ListParagraph"/>
        <w:numPr>
          <w:ilvl w:val="0"/>
          <w:numId w:val="20"/>
        </w:numPr>
        <w:tabs>
          <w:tab w:pos="901" w:val="left" w:leader="none"/>
        </w:tabs>
        <w:spacing w:line="240" w:lineRule="auto" w:before="59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Academic</w:t>
      </w:r>
      <w:r>
        <w:rPr>
          <w:rFonts w:ascii="Apercu Light"/>
          <w:b w:val="0"/>
          <w:color w:val="231F20"/>
          <w:spacing w:val="-9"/>
          <w:sz w:val="19"/>
        </w:rPr>
        <w:t> </w:t>
      </w:r>
      <w:r>
        <w:rPr>
          <w:rFonts w:ascii="Apercu Light"/>
          <w:b w:val="0"/>
          <w:color w:val="231F20"/>
          <w:sz w:val="19"/>
        </w:rPr>
        <w:t>Standards</w:t>
      </w:r>
    </w:p>
    <w:p>
      <w:pPr>
        <w:pStyle w:val="ListParagraph"/>
        <w:numPr>
          <w:ilvl w:val="0"/>
          <w:numId w:val="20"/>
        </w:numPr>
        <w:tabs>
          <w:tab w:pos="901" w:val="left" w:leader="none"/>
        </w:tabs>
        <w:spacing w:line="240" w:lineRule="auto" w:before="58" w:after="0"/>
        <w:ind w:left="900" w:right="0" w:hanging="228"/>
        <w:jc w:val="left"/>
        <w:rPr>
          <w:rFonts w:ascii="Apercu Light"/>
          <w:b w:val="0"/>
          <w:sz w:val="19"/>
        </w:rPr>
      </w:pPr>
      <w:r>
        <w:rPr>
          <w:rFonts w:ascii="Apercu Light"/>
          <w:b w:val="0"/>
          <w:color w:val="231F20"/>
          <w:sz w:val="19"/>
        </w:rPr>
        <w:t>Academic</w:t>
      </w:r>
      <w:r>
        <w:rPr>
          <w:rFonts w:ascii="Apercu Light"/>
          <w:b w:val="0"/>
          <w:color w:val="231F20"/>
          <w:spacing w:val="-4"/>
          <w:sz w:val="19"/>
        </w:rPr>
        <w:t> </w:t>
      </w:r>
      <w:r>
        <w:rPr>
          <w:rFonts w:ascii="Apercu Light"/>
          <w:b w:val="0"/>
          <w:color w:val="231F20"/>
          <w:sz w:val="19"/>
        </w:rPr>
        <w:t>Attainment</w:t>
      </w:r>
    </w:p>
    <w:p>
      <w:pPr>
        <w:pStyle w:val="ListParagraph"/>
        <w:numPr>
          <w:ilvl w:val="0"/>
          <w:numId w:val="21"/>
        </w:numPr>
        <w:tabs>
          <w:tab w:pos="891" w:val="left" w:leader="none"/>
        </w:tabs>
        <w:spacing w:line="240" w:lineRule="auto" w:before="149" w:after="0"/>
        <w:ind w:left="890" w:right="0" w:hanging="218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Program</w:t>
      </w:r>
      <w:r>
        <w:rPr>
          <w:rFonts w:ascii="Domus Semibold"/>
          <w:b w:val="0"/>
          <w:color w:val="231F20"/>
          <w:spacing w:val="-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Structure</w:t>
      </w:r>
    </w:p>
    <w:p>
      <w:pPr>
        <w:pStyle w:val="BodyText"/>
        <w:spacing w:line="192" w:lineRule="auto" w:before="107"/>
        <w:ind w:left="673" w:right="3260"/>
        <w:rPr>
          <w:b w:val="0"/>
        </w:rPr>
      </w:pPr>
      <w:r>
        <w:rPr>
          <w:b w:val="0"/>
          <w:color w:val="231F20"/>
        </w:rPr>
        <w:t>There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two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together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define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arrangements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between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partners,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design:</w:t>
      </w:r>
    </w:p>
    <w:p>
      <w:pPr>
        <w:spacing w:line="192" w:lineRule="auto" w:before="113"/>
        <w:ind w:left="843" w:right="3329" w:hanging="171"/>
        <w:jc w:val="left"/>
        <w:rPr>
          <w:b w:val="0"/>
          <w:sz w:val="19"/>
        </w:rPr>
      </w:pPr>
      <w:r>
        <w:rPr>
          <w:rFonts w:ascii="Apercu" w:hAnsi="Apercu"/>
          <w:b/>
          <w:color w:val="231F20"/>
          <w:sz w:val="19"/>
        </w:rPr>
        <w:t>›</w:t>
      </w:r>
      <w:r>
        <w:rPr>
          <w:rFonts w:ascii="Apercu" w:hAnsi="Apercu"/>
          <w:b/>
          <w:color w:val="231F20"/>
          <w:spacing w:val="1"/>
          <w:sz w:val="19"/>
        </w:rPr>
        <w:t> </w:t>
      </w:r>
      <w:r>
        <w:rPr>
          <w:rFonts w:ascii="Apercu" w:hAnsi="Apercu"/>
          <w:b/>
          <w:color w:val="231F20"/>
          <w:sz w:val="19"/>
        </w:rPr>
        <w:t>Delivery with Conferring University Partners </w:t>
      </w:r>
      <w:r>
        <w:rPr>
          <w:b w:val="0"/>
          <w:color w:val="231F20"/>
          <w:sz w:val="19"/>
        </w:rPr>
        <w:t>- outlines ANZSOG’s commitment to</w:t>
      </w:r>
      <w:r>
        <w:rPr>
          <w:b w:val="0"/>
          <w:color w:val="231F20"/>
          <w:spacing w:val="1"/>
          <w:sz w:val="19"/>
        </w:rPr>
        <w:t> </w:t>
      </w:r>
      <w:r>
        <w:rPr>
          <w:b w:val="0"/>
          <w:color w:val="231F20"/>
          <w:sz w:val="19"/>
        </w:rPr>
        <w:t>fulfilling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its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responsibilities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as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a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provider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of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the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EMPA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core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program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in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line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with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third-party</w:t>
      </w:r>
      <w:r>
        <w:rPr>
          <w:b w:val="0"/>
          <w:color w:val="231F20"/>
          <w:spacing w:val="-45"/>
          <w:sz w:val="19"/>
        </w:rPr>
        <w:t> </w:t>
      </w:r>
      <w:r>
        <w:rPr>
          <w:b w:val="0"/>
          <w:color w:val="231F20"/>
          <w:sz w:val="19"/>
        </w:rPr>
        <w:t>arrangements.</w:t>
      </w:r>
      <w:r>
        <w:rPr>
          <w:b w:val="0"/>
          <w:color w:val="231F20"/>
          <w:spacing w:val="-1"/>
          <w:sz w:val="19"/>
        </w:rPr>
        <w:t> </w:t>
      </w:r>
      <w:r>
        <w:rPr>
          <w:b w:val="0"/>
          <w:color w:val="231F20"/>
          <w:sz w:val="19"/>
        </w:rPr>
        <w:t>(Appendix 1: HESF 5.4)</w:t>
      </w:r>
    </w:p>
    <w:p>
      <w:pPr>
        <w:pStyle w:val="BodyText"/>
        <w:spacing w:line="192" w:lineRule="auto" w:before="114"/>
        <w:ind w:left="843" w:right="3392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rFonts w:ascii="Apercu" w:hAnsi="Apercu"/>
          <w:b/>
          <w:color w:val="231F20"/>
        </w:rPr>
        <w:t>Program</w:t>
      </w:r>
      <w:r>
        <w:rPr>
          <w:rFonts w:ascii="Apercu" w:hAnsi="Apercu"/>
          <w:b/>
          <w:color w:val="231F20"/>
          <w:spacing w:val="-6"/>
        </w:rPr>
        <w:t> </w:t>
      </w:r>
      <w:r>
        <w:rPr>
          <w:rFonts w:ascii="Apercu" w:hAnsi="Apercu"/>
          <w:b/>
          <w:color w:val="231F20"/>
        </w:rPr>
        <w:t>Design</w:t>
      </w:r>
      <w:r>
        <w:rPr>
          <w:rFonts w:ascii="Apercu" w:hAnsi="Apercu"/>
          <w:b/>
          <w:color w:val="231F20"/>
          <w:spacing w:val="-5"/>
        </w:rPr>
        <w:t> </w:t>
      </w:r>
      <w:r>
        <w:rPr>
          <w:rFonts w:ascii="Apercu" w:hAnsi="Apercu"/>
          <w:b/>
          <w:color w:val="231F20"/>
        </w:rPr>
        <w:t>and</w:t>
      </w:r>
      <w:r>
        <w:rPr>
          <w:rFonts w:ascii="Apercu" w:hAnsi="Apercu"/>
          <w:b/>
          <w:color w:val="231F20"/>
          <w:spacing w:val="-6"/>
        </w:rPr>
        <w:t> </w:t>
      </w:r>
      <w:r>
        <w:rPr>
          <w:rFonts w:ascii="Apercu" w:hAnsi="Apercu"/>
          <w:b/>
          <w:color w:val="231F20"/>
        </w:rPr>
        <w:t>Learning</w:t>
      </w:r>
      <w:r>
        <w:rPr>
          <w:rFonts w:ascii="Apercu" w:hAnsi="Apercu"/>
          <w:b/>
          <w:color w:val="231F20"/>
          <w:spacing w:val="-5"/>
        </w:rPr>
        <w:t> </w:t>
      </w:r>
      <w:r>
        <w:rPr>
          <w:rFonts w:ascii="Apercu" w:hAnsi="Apercu"/>
          <w:b/>
          <w:color w:val="231F20"/>
        </w:rPr>
        <w:t>Design</w:t>
      </w:r>
      <w:r>
        <w:rPr>
          <w:rFonts w:ascii="Apercu" w:hAnsi="Apercu"/>
          <w:b/>
          <w:color w:val="231F20"/>
          <w:spacing w:val="-6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describes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 EMPA and identifies the role of policies and procedures in the administration 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program.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(Appendix 1: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3.1, 5.4,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6.3)</w:t>
      </w:r>
    </w:p>
    <w:p>
      <w:pPr>
        <w:pStyle w:val="ListParagraph"/>
        <w:numPr>
          <w:ilvl w:val="0"/>
          <w:numId w:val="21"/>
        </w:numPr>
        <w:tabs>
          <w:tab w:pos="918" w:val="left" w:leader="none"/>
        </w:tabs>
        <w:spacing w:line="240" w:lineRule="auto" w:before="161" w:after="0"/>
        <w:ind w:left="917" w:right="0" w:hanging="245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Program</w:t>
      </w:r>
      <w:r>
        <w:rPr>
          <w:rFonts w:ascii="Domus Semibold"/>
          <w:b w:val="0"/>
          <w:color w:val="231F20"/>
          <w:spacing w:val="-6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Administration</w:t>
      </w:r>
    </w:p>
    <w:p>
      <w:pPr>
        <w:pStyle w:val="BodyText"/>
        <w:spacing w:line="192" w:lineRule="auto" w:before="107"/>
        <w:ind w:left="673" w:right="3441"/>
        <w:rPr>
          <w:b w:val="0"/>
        </w:rPr>
      </w:pPr>
      <w:r>
        <w:rPr>
          <w:b w:val="0"/>
          <w:color w:val="231F20"/>
        </w:rPr>
        <w:t>There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seven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underpin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logistical,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administrative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provision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requirements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program:</w:t>
      </w:r>
    </w:p>
    <w:p>
      <w:pPr>
        <w:pStyle w:val="BodyText"/>
        <w:spacing w:line="192" w:lineRule="auto" w:before="113"/>
        <w:ind w:left="843" w:right="3112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9"/>
        </w:rPr>
        <w:t> </w:t>
      </w:r>
      <w:r>
        <w:rPr>
          <w:rFonts w:ascii="Apercu" w:hAnsi="Apercu"/>
          <w:b/>
          <w:color w:val="231F20"/>
        </w:rPr>
        <w:t>Admission</w:t>
      </w:r>
      <w:r>
        <w:rPr>
          <w:rFonts w:ascii="Apercu" w:hAnsi="Apercu"/>
          <w:b/>
          <w:color w:val="231F20"/>
          <w:spacing w:val="-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requirements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admission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 HESF 1.1, 1.2)</w:t>
      </w:r>
    </w:p>
    <w:p>
      <w:pPr>
        <w:pStyle w:val="BodyText"/>
        <w:spacing w:line="192" w:lineRule="auto" w:before="114"/>
        <w:ind w:left="843" w:right="3829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rFonts w:ascii="Apercu" w:hAnsi="Apercu"/>
          <w:b/>
          <w:color w:val="231F20"/>
        </w:rPr>
        <w:t>Enrolment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requirements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enrolling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 HESF 1.1,1.2)</w:t>
      </w:r>
    </w:p>
    <w:p>
      <w:pPr>
        <w:pStyle w:val="BodyText"/>
        <w:spacing w:line="192" w:lineRule="auto" w:before="113"/>
        <w:ind w:left="843" w:right="328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26"/>
        </w:rPr>
        <w:t> </w:t>
      </w:r>
      <w:r>
        <w:rPr>
          <w:rFonts w:ascii="Apercu" w:hAnsi="Apercu"/>
          <w:b/>
          <w:color w:val="231F20"/>
        </w:rPr>
        <w:t>Facilities</w:t>
      </w:r>
      <w:r>
        <w:rPr>
          <w:rFonts w:ascii="Apercu" w:hAnsi="Apercu"/>
          <w:b/>
          <w:color w:val="231F20"/>
          <w:spacing w:val="-9"/>
        </w:rPr>
        <w:t> </w:t>
      </w:r>
      <w:r>
        <w:rPr>
          <w:rFonts w:ascii="Apercu" w:hAnsi="Apercu"/>
          <w:b/>
          <w:color w:val="231F20"/>
        </w:rPr>
        <w:t>and</w:t>
      </w:r>
      <w:r>
        <w:rPr>
          <w:rFonts w:ascii="Apercu" w:hAnsi="Apercu"/>
          <w:b/>
          <w:color w:val="231F20"/>
          <w:spacing w:val="-10"/>
        </w:rPr>
        <w:t> </w:t>
      </w:r>
      <w:r>
        <w:rPr>
          <w:rFonts w:ascii="Apercu" w:hAnsi="Apercu"/>
          <w:b/>
          <w:color w:val="231F20"/>
        </w:rPr>
        <w:t>Infrastructure</w:t>
      </w:r>
      <w:r>
        <w:rPr>
          <w:rFonts w:ascii="Apercu" w:hAnsi="Apercu"/>
          <w:b/>
          <w:color w:val="231F20"/>
          <w:spacing w:val="-10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approach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facilitating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onsite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classes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using venues and supporting infrastructure of conferring university partners or other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organisations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2.1)</w:t>
      </w:r>
    </w:p>
    <w:p>
      <w:pPr>
        <w:pStyle w:val="BodyText"/>
        <w:spacing w:line="192" w:lineRule="auto" w:before="114"/>
        <w:ind w:left="843" w:right="3424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rFonts w:ascii="Apercu" w:hAnsi="Apercu"/>
          <w:b/>
          <w:color w:val="231F20"/>
        </w:rPr>
        <w:t>Information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Communications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Technology</w:t>
      </w:r>
      <w:r>
        <w:rPr>
          <w:rFonts w:ascii="Apercu" w:hAnsi="Apercu"/>
          <w:b/>
          <w:color w:val="231F20"/>
          <w:spacing w:val="-8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aligns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authorised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Learning Management System (LMS) and supporting network facilities with ANZSOG’s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Information Security Policy and Provision and Acceptable Use of ICT Policy. (Appendix 1: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2.1, 3.3, 7.3)</w:t>
      </w:r>
    </w:p>
    <w:p>
      <w:pPr>
        <w:pStyle w:val="BodyText"/>
        <w:spacing w:line="192" w:lineRule="auto" w:before="113"/>
        <w:ind w:left="843" w:right="3095" w:hanging="171"/>
        <w:rPr>
          <w:b w:val="0"/>
        </w:rPr>
      </w:pPr>
      <w:r>
        <w:rPr>
          <w:rFonts w:ascii="Apercu" w:hAnsi="Apercu"/>
          <w:b/>
          <w:color w:val="231F20"/>
        </w:rPr>
        <w:t>› Information for Prospective and Current Students </w:t>
      </w:r>
      <w:r>
        <w:rPr>
          <w:b w:val="0"/>
          <w:color w:val="231F20"/>
        </w:rPr>
        <w:t>- outlines ANZSOG’s standards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approach to providing current and prospective students in the EMPA program with clear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timely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enable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informed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decision-making.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1.1,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7.1,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7.2)</w:t>
      </w:r>
    </w:p>
    <w:p>
      <w:pPr>
        <w:pStyle w:val="BodyText"/>
        <w:spacing w:line="192" w:lineRule="auto" w:before="114"/>
        <w:ind w:left="843" w:right="2818" w:hanging="171"/>
        <w:rPr>
          <w:b w:val="0"/>
        </w:rPr>
      </w:pPr>
      <w:r>
        <w:rPr>
          <w:rFonts w:ascii="Apercu" w:hAnsi="Apercu"/>
          <w:b/>
          <w:color w:val="231F20"/>
          <w:spacing w:val="-1"/>
        </w:rPr>
        <w:t>›</w:t>
      </w:r>
      <w:r>
        <w:rPr>
          <w:rFonts w:ascii="Apercu" w:hAnsi="Apercu"/>
          <w:b/>
          <w:color w:val="231F20"/>
          <w:spacing w:val="28"/>
        </w:rPr>
        <w:t> </w:t>
      </w:r>
      <w:r>
        <w:rPr>
          <w:rFonts w:ascii="Apercu" w:hAnsi="Apercu"/>
          <w:b/>
          <w:color w:val="231F20"/>
          <w:spacing w:val="-1"/>
        </w:rPr>
        <w:t>Information</w:t>
      </w:r>
      <w:r>
        <w:rPr>
          <w:rFonts w:ascii="Apercu" w:hAnsi="Apercu"/>
          <w:b/>
          <w:color w:val="231F20"/>
          <w:spacing w:val="-11"/>
        </w:rPr>
        <w:t> </w:t>
      </w:r>
      <w:r>
        <w:rPr>
          <w:rFonts w:ascii="Apercu" w:hAnsi="Apercu"/>
          <w:b/>
          <w:color w:val="231F20"/>
          <w:spacing w:val="-1"/>
        </w:rPr>
        <w:t>Management</w:t>
      </w:r>
      <w:r>
        <w:rPr>
          <w:rFonts w:ascii="Apercu" w:hAnsi="Apercu"/>
          <w:b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-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outlines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ANZSOG’s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approach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secure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effective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management of information and documents related to the EMPA program in line 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Security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Policy.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7.3)</w:t>
      </w:r>
    </w:p>
    <w:p>
      <w:pPr>
        <w:spacing w:after="0" w:line="192" w:lineRule="auto"/>
        <w:sectPr>
          <w:pgSz w:w="11910" w:h="16840"/>
          <w:pgMar w:header="0" w:footer="555" w:top="92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4"/>
        </w:rPr>
      </w:pPr>
    </w:p>
    <w:p>
      <w:pPr>
        <w:pStyle w:val="BodyText"/>
        <w:spacing w:line="192" w:lineRule="auto" w:before="141"/>
        <w:ind w:left="843" w:right="3269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rFonts w:ascii="Apercu" w:hAnsi="Apercu"/>
          <w:b/>
          <w:color w:val="231F20"/>
        </w:rPr>
        <w:t>Privacy</w:t>
      </w:r>
      <w:r>
        <w:rPr>
          <w:rFonts w:ascii="Apercu" w:hAnsi="Apercu"/>
          <w:b/>
          <w:color w:val="231F20"/>
          <w:spacing w:val="-5"/>
        </w:rPr>
        <w:t> </w:t>
      </w:r>
      <w:r>
        <w:rPr>
          <w:rFonts w:ascii="Apercu" w:hAnsi="Apercu"/>
          <w:b/>
          <w:color w:val="231F20"/>
        </w:rPr>
        <w:t>Statement</w:t>
      </w:r>
      <w:r>
        <w:rPr>
          <w:rFonts w:ascii="Apercu" w:hAnsi="Apercu"/>
          <w:b/>
          <w:color w:val="231F20"/>
          <w:spacing w:val="-5"/>
        </w:rPr>
        <w:t> </w:t>
      </w:r>
      <w:r>
        <w:rPr>
          <w:rFonts w:ascii="Apercu" w:hAnsi="Apercu"/>
          <w:b/>
          <w:color w:val="231F20"/>
        </w:rPr>
        <w:t>Policy</w:t>
      </w:r>
      <w:r>
        <w:rPr>
          <w:rFonts w:ascii="Apercu" w:hAnsi="Apercu"/>
          <w:b/>
          <w:color w:val="231F20"/>
          <w:spacing w:val="-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privacy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statement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enrolled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44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3.3,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7.3)</w:t>
      </w:r>
    </w:p>
    <w:p>
      <w:pPr>
        <w:pStyle w:val="ListParagraph"/>
        <w:numPr>
          <w:ilvl w:val="0"/>
          <w:numId w:val="21"/>
        </w:numPr>
        <w:tabs>
          <w:tab w:pos="921" w:val="left" w:leader="none"/>
        </w:tabs>
        <w:spacing w:line="240" w:lineRule="auto" w:before="161" w:after="0"/>
        <w:ind w:left="920" w:right="0" w:hanging="248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Student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Engagement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and</w:t>
      </w:r>
      <w:r>
        <w:rPr>
          <w:rFonts w:ascii="Domus Semibold"/>
          <w:b w:val="0"/>
          <w:color w:val="231F20"/>
          <w:spacing w:val="-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Participation</w:t>
      </w:r>
    </w:p>
    <w:p>
      <w:pPr>
        <w:pStyle w:val="BodyText"/>
        <w:spacing w:line="192" w:lineRule="auto" w:before="107"/>
        <w:ind w:left="673" w:right="3623"/>
        <w:rPr>
          <w:b w:val="0"/>
        </w:rPr>
      </w:pPr>
      <w:r>
        <w:rPr>
          <w:b w:val="0"/>
          <w:color w:val="231F20"/>
        </w:rPr>
        <w:t>An inherent learning requirement of the EMPA program is the opportunity for students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drawn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administration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roles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multiple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jurisdictions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fully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participate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aspects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professional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peer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networks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engagement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academics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practitioners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fields.</w:t>
      </w:r>
    </w:p>
    <w:p>
      <w:pPr>
        <w:pStyle w:val="BodyText"/>
        <w:spacing w:line="192" w:lineRule="auto" w:before="101"/>
        <w:ind w:left="673" w:right="3118"/>
        <w:rPr>
          <w:b w:val="0"/>
        </w:rPr>
      </w:pP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contribute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sector workforce and ANZSOG is committed to recruitment into the program that is inclusive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far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possible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addresses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equity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challenges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progression.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fosters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supportive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safe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environment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responsive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students’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needs</w:t>
      </w:r>
    </w:p>
    <w:p>
      <w:pPr>
        <w:pStyle w:val="BodyText"/>
        <w:spacing w:line="232" w:lineRule="exact"/>
        <w:ind w:left="673"/>
        <w:rPr>
          <w:b w:val="0"/>
        </w:rPr>
      </w:pP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concerns.</w:t>
      </w:r>
    </w:p>
    <w:p>
      <w:pPr>
        <w:pStyle w:val="BodyText"/>
        <w:spacing w:line="192" w:lineRule="auto" w:before="102"/>
        <w:ind w:left="673" w:right="3168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six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supporting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objectives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relation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engagement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participation are:</w:t>
      </w:r>
    </w:p>
    <w:p>
      <w:pPr>
        <w:pStyle w:val="BodyText"/>
        <w:spacing w:line="192" w:lineRule="auto" w:before="114"/>
        <w:ind w:left="843" w:right="3530" w:hanging="171"/>
        <w:rPr>
          <w:b w:val="0"/>
        </w:rPr>
      </w:pPr>
      <w:r>
        <w:rPr>
          <w:rFonts w:ascii="Apercu" w:hAnsi="Apercu"/>
          <w:b/>
          <w:color w:val="231F20"/>
        </w:rPr>
        <w:t>› Attendance </w:t>
      </w:r>
      <w:r>
        <w:rPr>
          <w:b w:val="0"/>
          <w:color w:val="231F20"/>
        </w:rPr>
        <w:t>- outlines the expectations for student attendance in core subjects of the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program. 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 HESF 1.3)</w:t>
      </w:r>
    </w:p>
    <w:p>
      <w:pPr>
        <w:pStyle w:val="BodyText"/>
        <w:spacing w:line="192" w:lineRule="auto" w:before="113"/>
        <w:ind w:left="843" w:right="3138" w:hanging="171"/>
        <w:rPr>
          <w:b w:val="0"/>
        </w:rPr>
      </w:pPr>
      <w:r>
        <w:rPr>
          <w:rFonts w:ascii="Apercu" w:hAnsi="Apercu"/>
          <w:b/>
          <w:color w:val="231F20"/>
        </w:rPr>
        <w:t>› Diversity, Equity and Inclusion </w:t>
      </w:r>
      <w:r>
        <w:rPr>
          <w:b w:val="0"/>
          <w:color w:val="231F20"/>
        </w:rPr>
        <w:t>- outlines ANZSOG’s commitment to support and promote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inclusion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enrolled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1.3,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2.2)</w:t>
      </w:r>
    </w:p>
    <w:p>
      <w:pPr>
        <w:pStyle w:val="BodyText"/>
        <w:spacing w:line="192" w:lineRule="auto" w:before="114"/>
        <w:ind w:left="843" w:right="279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rFonts w:ascii="Apercu" w:hAnsi="Apercu"/>
          <w:b/>
          <w:color w:val="231F20"/>
        </w:rPr>
        <w:t>Orientation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and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Progression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approach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orientation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progression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1.3)</w:t>
      </w:r>
    </w:p>
    <w:p>
      <w:pPr>
        <w:pStyle w:val="BodyText"/>
        <w:spacing w:line="192" w:lineRule="auto" w:before="113"/>
        <w:ind w:left="843" w:right="3492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1"/>
        </w:rPr>
        <w:t> </w:t>
      </w:r>
      <w:r>
        <w:rPr>
          <w:rFonts w:ascii="Apercu" w:hAnsi="Apercu"/>
          <w:b/>
          <w:color w:val="231F20"/>
        </w:rPr>
        <w:t>Student Complaints and Grievances </w:t>
      </w:r>
      <w:r>
        <w:rPr>
          <w:b w:val="0"/>
          <w:color w:val="231F20"/>
        </w:rPr>
        <w:t>- outlines requirements for the submission,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management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resolution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complaints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grievances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regarding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aspect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their experience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EMPA. 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 HESF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2.4)</w:t>
      </w:r>
    </w:p>
    <w:p>
      <w:pPr>
        <w:spacing w:line="247" w:lineRule="exact" w:before="70"/>
        <w:ind w:left="673" w:right="0" w:firstLine="0"/>
        <w:jc w:val="left"/>
        <w:rPr>
          <w:b w:val="0"/>
          <w:sz w:val="19"/>
        </w:rPr>
      </w:pPr>
      <w:r>
        <w:rPr>
          <w:rFonts w:ascii="Apercu" w:hAnsi="Apercu"/>
          <w:b/>
          <w:color w:val="231F20"/>
          <w:sz w:val="19"/>
        </w:rPr>
        <w:t>›</w:t>
      </w:r>
      <w:r>
        <w:rPr>
          <w:rFonts w:ascii="Apercu" w:hAnsi="Apercu"/>
          <w:b/>
          <w:color w:val="231F20"/>
          <w:spacing w:val="33"/>
          <w:sz w:val="19"/>
        </w:rPr>
        <w:t> </w:t>
      </w:r>
      <w:r>
        <w:rPr>
          <w:rFonts w:ascii="Apercu" w:hAnsi="Apercu"/>
          <w:b/>
          <w:color w:val="231F20"/>
          <w:sz w:val="19"/>
        </w:rPr>
        <w:t>Student</w:t>
      </w:r>
      <w:r>
        <w:rPr>
          <w:rFonts w:ascii="Apercu" w:hAnsi="Apercu"/>
          <w:b/>
          <w:color w:val="231F20"/>
          <w:spacing w:val="-6"/>
          <w:sz w:val="19"/>
        </w:rPr>
        <w:t> </w:t>
      </w:r>
      <w:r>
        <w:rPr>
          <w:rFonts w:ascii="Apercu" w:hAnsi="Apercu"/>
          <w:b/>
          <w:color w:val="231F20"/>
          <w:sz w:val="19"/>
        </w:rPr>
        <w:t>Disability</w:t>
      </w:r>
      <w:r>
        <w:rPr>
          <w:rFonts w:ascii="Apercu" w:hAnsi="Apercu"/>
          <w:b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-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outlines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ANZSOG’s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approach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to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supporting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EMPA</w:t>
      </w:r>
      <w:r>
        <w:rPr>
          <w:b w:val="0"/>
          <w:color w:val="231F20"/>
          <w:spacing w:val="-6"/>
          <w:sz w:val="19"/>
        </w:rPr>
        <w:t> </w:t>
      </w:r>
      <w:r>
        <w:rPr>
          <w:b w:val="0"/>
          <w:color w:val="231F20"/>
          <w:sz w:val="19"/>
        </w:rPr>
        <w:t>students</w:t>
      </w:r>
      <w:r>
        <w:rPr>
          <w:b w:val="0"/>
          <w:color w:val="231F20"/>
          <w:spacing w:val="-7"/>
          <w:sz w:val="19"/>
        </w:rPr>
        <w:t> </w:t>
      </w:r>
      <w:r>
        <w:rPr>
          <w:b w:val="0"/>
          <w:color w:val="231F20"/>
          <w:sz w:val="19"/>
        </w:rPr>
        <w:t>with</w:t>
      </w:r>
    </w:p>
    <w:p>
      <w:pPr>
        <w:pStyle w:val="BodyText"/>
        <w:spacing w:line="247" w:lineRule="exact"/>
        <w:ind w:left="843"/>
        <w:rPr>
          <w:b w:val="0"/>
        </w:rPr>
      </w:pP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disability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achieve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inherent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requirements.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2.2)</w:t>
      </w:r>
    </w:p>
    <w:p>
      <w:pPr>
        <w:pStyle w:val="BodyText"/>
        <w:spacing w:line="192" w:lineRule="auto" w:before="102"/>
        <w:ind w:left="843" w:right="3574" w:hanging="171"/>
        <w:rPr>
          <w:b w:val="0"/>
        </w:rPr>
      </w:pPr>
      <w:r>
        <w:rPr>
          <w:rFonts w:ascii="Apercu" w:hAnsi="Apercu"/>
          <w:b/>
          <w:color w:val="231F20"/>
        </w:rPr>
        <w:t>› Wellbeing and Safety </w:t>
      </w:r>
      <w:r>
        <w:rPr>
          <w:b w:val="0"/>
          <w:color w:val="231F20"/>
        </w:rPr>
        <w:t>- outlines ANZSOG’s commitment to providing a safe learning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environment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supports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wellbeing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enrolled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 HESF 2.3)</w:t>
      </w:r>
    </w:p>
    <w:p>
      <w:pPr>
        <w:pStyle w:val="ListParagraph"/>
        <w:numPr>
          <w:ilvl w:val="0"/>
          <w:numId w:val="21"/>
        </w:numPr>
        <w:tabs>
          <w:tab w:pos="933" w:val="left" w:leader="none"/>
        </w:tabs>
        <w:spacing w:line="240" w:lineRule="auto" w:before="161" w:after="0"/>
        <w:ind w:left="932" w:right="0" w:hanging="26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Academic</w:t>
      </w:r>
      <w:r>
        <w:rPr>
          <w:rFonts w:ascii="Domus Semibold"/>
          <w:b w:val="0"/>
          <w:color w:val="231F20"/>
          <w:spacing w:val="-4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Standards</w:t>
      </w:r>
    </w:p>
    <w:p>
      <w:pPr>
        <w:pStyle w:val="BodyText"/>
        <w:spacing w:line="192" w:lineRule="auto" w:before="107"/>
        <w:ind w:left="673" w:right="3267"/>
        <w:rPr>
          <w:b w:val="0"/>
        </w:rPr>
      </w:pPr>
      <w:r>
        <w:rPr>
          <w:b w:val="0"/>
          <w:color w:val="231F20"/>
        </w:rPr>
        <w:t>The EMPA program is a leading international program in the public administration field.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ANZSOG seeks to maintain and continuously improve the academic quality of the core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six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policies,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aligned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framework:</w:t>
      </w:r>
    </w:p>
    <w:p>
      <w:pPr>
        <w:pStyle w:val="BodyText"/>
        <w:spacing w:line="192" w:lineRule="auto" w:before="113"/>
        <w:ind w:left="843" w:right="3091" w:hanging="171"/>
        <w:rPr>
          <w:b w:val="0"/>
        </w:rPr>
      </w:pPr>
      <w:r>
        <w:rPr>
          <w:rFonts w:ascii="Apercu" w:hAnsi="Apercu"/>
          <w:b/>
          <w:color w:val="231F20"/>
        </w:rPr>
        <w:t>› Academic Integrity </w:t>
      </w:r>
      <w:r>
        <w:rPr>
          <w:b w:val="0"/>
          <w:color w:val="231F20"/>
        </w:rPr>
        <w:t>- outlines ANZSOG’s academic integrity standards and approach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dealing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misconduct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relation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 HESF 2.4, 5.2)</w:t>
      </w:r>
    </w:p>
    <w:p>
      <w:pPr>
        <w:pStyle w:val="BodyText"/>
        <w:spacing w:line="192" w:lineRule="auto" w:before="114"/>
        <w:ind w:left="843" w:right="3669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rFonts w:ascii="Apercu" w:hAnsi="Apercu"/>
          <w:b/>
          <w:color w:val="231F20"/>
        </w:rPr>
        <w:t>Academic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Recruitment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approach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recruitment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responsibilities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3.2)</w:t>
      </w:r>
    </w:p>
    <w:p>
      <w:pPr>
        <w:pStyle w:val="BodyText"/>
        <w:spacing w:line="192" w:lineRule="auto" w:before="113"/>
        <w:ind w:left="843" w:right="3854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 Code of Conduct </w:t>
      </w:r>
      <w:r>
        <w:rPr>
          <w:b w:val="0"/>
          <w:color w:val="231F20"/>
        </w:rPr>
        <w:t>- aligns to the ANZSOG Code of Conduct Policy and expands on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ethical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expectations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enrolled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particularly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relation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requirements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2015.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5.2,</w:t>
      </w:r>
    </w:p>
    <w:p>
      <w:pPr>
        <w:pStyle w:val="BodyText"/>
        <w:spacing w:line="192" w:lineRule="auto" w:before="114"/>
        <w:ind w:left="843" w:right="328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rFonts w:ascii="Apercu" w:hAnsi="Apercu"/>
          <w:b/>
          <w:color w:val="231F20"/>
        </w:rPr>
        <w:t>Learning</w:t>
      </w:r>
      <w:r>
        <w:rPr>
          <w:rFonts w:ascii="Apercu" w:hAnsi="Apercu"/>
          <w:b/>
          <w:color w:val="231F20"/>
          <w:spacing w:val="-8"/>
        </w:rPr>
        <w:t> </w:t>
      </w:r>
      <w:r>
        <w:rPr>
          <w:rFonts w:ascii="Apercu" w:hAnsi="Apercu"/>
          <w:b/>
          <w:color w:val="231F20"/>
        </w:rPr>
        <w:t>Resources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and</w:t>
      </w:r>
      <w:r>
        <w:rPr>
          <w:rFonts w:ascii="Apercu" w:hAnsi="Apercu"/>
          <w:b/>
          <w:color w:val="231F20"/>
          <w:spacing w:val="-8"/>
        </w:rPr>
        <w:t> </w:t>
      </w:r>
      <w:r>
        <w:rPr>
          <w:rFonts w:ascii="Apercu" w:hAnsi="Apercu"/>
          <w:b/>
          <w:color w:val="231F20"/>
        </w:rPr>
        <w:t>Education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Support</w:t>
      </w:r>
      <w:r>
        <w:rPr>
          <w:rFonts w:ascii="Apercu" w:hAnsi="Apercu"/>
          <w:b/>
          <w:color w:val="231F20"/>
          <w:spacing w:val="-8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approach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access to quality learning resources and education support relevant to the needs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enrolled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3.3)</w:t>
      </w:r>
    </w:p>
    <w:p>
      <w:pPr>
        <w:pStyle w:val="BodyText"/>
        <w:spacing w:line="192" w:lineRule="auto" w:before="114"/>
        <w:ind w:left="843" w:right="3330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rFonts w:ascii="Apercu" w:hAnsi="Apercu"/>
          <w:b/>
          <w:color w:val="231F20"/>
        </w:rPr>
        <w:t>Monitoring,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Review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and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rFonts w:ascii="Apercu" w:hAnsi="Apercu"/>
          <w:b/>
          <w:color w:val="231F20"/>
        </w:rPr>
        <w:t>Improvement</w:t>
      </w:r>
      <w:r>
        <w:rPr>
          <w:rFonts w:ascii="Apercu" w:hAnsi="Apercu"/>
          <w:b/>
          <w:color w:val="231F20"/>
          <w:spacing w:val="-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approach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ongoing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cyclical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review,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monitoring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improvement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external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referencing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benchmarking. (Appendix 1: HESF 5.3)</w:t>
      </w:r>
    </w:p>
    <w:p>
      <w:pPr>
        <w:pStyle w:val="BodyText"/>
        <w:spacing w:line="192" w:lineRule="auto" w:before="113"/>
        <w:ind w:left="843" w:right="3529" w:hanging="171"/>
        <w:rPr>
          <w:b w:val="0"/>
        </w:rPr>
      </w:pPr>
      <w:r>
        <w:rPr>
          <w:rFonts w:ascii="Apercu" w:hAnsi="Apercu"/>
          <w:b/>
          <w:color w:val="231F20"/>
        </w:rPr>
        <w:t>› Research Ethics </w:t>
      </w:r>
      <w:r>
        <w:rPr>
          <w:b w:val="0"/>
          <w:color w:val="231F20"/>
        </w:rPr>
        <w:t>- outlines ethical standards for research conducted by or under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auspices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HESF2.4,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5.2)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5"/>
        </w:rPr>
      </w:pPr>
    </w:p>
    <w:p>
      <w:pPr>
        <w:pStyle w:val="ListParagraph"/>
        <w:numPr>
          <w:ilvl w:val="0"/>
          <w:numId w:val="21"/>
        </w:numPr>
        <w:tabs>
          <w:tab w:pos="919" w:val="left" w:leader="none"/>
        </w:tabs>
        <w:spacing w:line="240" w:lineRule="auto" w:before="63" w:after="0"/>
        <w:ind w:left="918" w:right="0" w:hanging="246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Academic</w:t>
      </w:r>
      <w:r>
        <w:rPr>
          <w:rFonts w:ascii="Domus Semibold"/>
          <w:b w:val="0"/>
          <w:color w:val="231F20"/>
          <w:spacing w:val="-6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Attainment</w:t>
      </w:r>
    </w:p>
    <w:p>
      <w:pPr>
        <w:pStyle w:val="BodyText"/>
        <w:spacing w:line="192" w:lineRule="auto" w:before="106"/>
        <w:ind w:left="673" w:right="3085"/>
        <w:rPr>
          <w:b w:val="0"/>
        </w:rPr>
      </w:pPr>
      <w:r>
        <w:rPr>
          <w:b w:val="0"/>
          <w:color w:val="231F20"/>
        </w:rPr>
        <w:t>ANZSOG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rigorous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designing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conducting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assessments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evaluate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1"/>
        </w:rPr>
        <w:t>performance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and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achievement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line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partners’ assessment and moderation practice in the elective program. The following three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policies outline ANZSOG’s approach to academic attainment in the core program, and its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relationship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overall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 completion:</w:t>
      </w:r>
    </w:p>
    <w:p>
      <w:pPr>
        <w:pStyle w:val="BodyText"/>
        <w:spacing w:line="192" w:lineRule="auto" w:before="114"/>
        <w:ind w:left="843" w:right="3095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rFonts w:ascii="Apercu" w:hAnsi="Apercu"/>
          <w:b/>
          <w:color w:val="231F20"/>
        </w:rPr>
        <w:t>Assessment</w:t>
      </w:r>
      <w:r>
        <w:rPr>
          <w:rFonts w:ascii="Apercu" w:hAnsi="Apercu"/>
          <w:b/>
          <w:color w:val="231F20"/>
          <w:spacing w:val="-5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outlines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requirements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design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assessments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 HESF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1.4)</w:t>
      </w:r>
    </w:p>
    <w:p>
      <w:pPr>
        <w:pStyle w:val="BodyText"/>
        <w:spacing w:line="192" w:lineRule="auto" w:before="114"/>
        <w:ind w:left="843" w:right="3463" w:hanging="171"/>
        <w:rPr>
          <w:b w:val="0"/>
        </w:rPr>
      </w:pPr>
      <w:r>
        <w:rPr>
          <w:rFonts w:ascii="Apercu" w:hAnsi="Apercu"/>
          <w:b/>
          <w:color w:val="231F20"/>
        </w:rPr>
        <w:t>› Moderation </w:t>
      </w:r>
      <w:r>
        <w:rPr>
          <w:b w:val="0"/>
          <w:color w:val="231F20"/>
        </w:rPr>
        <w:t>- outlines requirements for the moderation of core subject assessments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submitted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promote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ensure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consistency.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1: HESF 1.4)</w:t>
      </w:r>
    </w:p>
    <w:p>
      <w:pPr>
        <w:pStyle w:val="BodyText"/>
        <w:spacing w:line="192" w:lineRule="auto" w:before="113"/>
        <w:ind w:left="843" w:right="3562" w:hanging="171"/>
        <w:rPr>
          <w:b w:val="0"/>
        </w:rPr>
      </w:pPr>
      <w:r>
        <w:rPr>
          <w:rFonts w:ascii="Apercu" w:hAnsi="Apercu"/>
          <w:b/>
          <w:color w:val="231F20"/>
        </w:rPr>
        <w:t>› Qualification and Certification </w:t>
      </w:r>
      <w:r>
        <w:rPr>
          <w:b w:val="0"/>
          <w:color w:val="231F20"/>
        </w:rPr>
        <w:t>- outlines ANZSOG’s role regarding certification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being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awarded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Master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level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qualification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accredited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awarded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partners.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(Appendix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1.5)</w:t>
      </w:r>
    </w:p>
    <w:p>
      <w:pPr>
        <w:pStyle w:val="BodyText"/>
        <w:spacing w:line="192" w:lineRule="auto" w:before="114"/>
        <w:ind w:left="673" w:right="3380"/>
        <w:rPr>
          <w:b w:val="0"/>
        </w:rPr>
      </w:pPr>
      <w:r>
        <w:rPr>
          <w:b w:val="0"/>
          <w:color w:val="231F20"/>
        </w:rPr>
        <w:t>All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accessible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staff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via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EMPA Learning Management System. EMPA students are also informed of policies relevant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needs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Orientation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Module.</w:t>
      </w:r>
    </w:p>
    <w:p>
      <w:pPr>
        <w:pStyle w:val="ListParagraph"/>
        <w:numPr>
          <w:ilvl w:val="1"/>
          <w:numId w:val="19"/>
        </w:numPr>
        <w:tabs>
          <w:tab w:pos="1202" w:val="left" w:leader="none"/>
        </w:tabs>
        <w:spacing w:line="240" w:lineRule="auto" w:before="123" w:after="0"/>
        <w:ind w:left="1201" w:right="0" w:hanging="529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5"/>
          <w:sz w:val="40"/>
        </w:rPr>
        <w:t>EMPA</w:t>
      </w:r>
      <w:r>
        <w:rPr>
          <w:rFonts w:ascii="Domus Semibold"/>
          <w:b w:val="0"/>
          <w:color w:val="243B7D"/>
          <w:spacing w:val="-14"/>
          <w:sz w:val="40"/>
        </w:rPr>
        <w:t> </w:t>
      </w:r>
      <w:r>
        <w:rPr>
          <w:rFonts w:ascii="Domus Semibold"/>
          <w:b w:val="0"/>
          <w:color w:val="243B7D"/>
          <w:spacing w:val="-5"/>
          <w:sz w:val="40"/>
        </w:rPr>
        <w:t>Procedures</w:t>
      </w:r>
    </w:p>
    <w:p>
      <w:pPr>
        <w:pStyle w:val="BodyText"/>
        <w:spacing w:line="192" w:lineRule="auto" w:before="197"/>
        <w:ind w:left="673" w:right="3192"/>
        <w:rPr>
          <w:b w:val="0"/>
        </w:rPr>
      </w:pP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outlined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seven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procedures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(refer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Appendix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3)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guide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staff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on policy implementation. These are mapped across functional areas of program lifecycle,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satisfaction,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made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students and staff via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LMS portal.</w:t>
      </w:r>
    </w:p>
    <w:p>
      <w:pPr>
        <w:pStyle w:val="BodyText"/>
        <w:spacing w:before="70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procedures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cover: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7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Entry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Orientation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Progression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Moderation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Breaches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Ethical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Standards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Resolving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Complaints</w:t>
      </w:r>
    </w:p>
    <w:p>
      <w:pPr>
        <w:pStyle w:val="BodyText"/>
        <w:spacing w:before="58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2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Disability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Support</w:t>
      </w:r>
    </w:p>
    <w:p>
      <w:pPr>
        <w:pStyle w:val="BodyText"/>
        <w:spacing w:before="59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Continuous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Improvement</w:t>
      </w:r>
    </w:p>
    <w:p>
      <w:pPr>
        <w:pStyle w:val="BodyText"/>
        <w:spacing w:line="192" w:lineRule="auto" w:before="215"/>
        <w:ind w:left="673" w:right="4272"/>
        <w:rPr>
          <w:b w:val="0"/>
        </w:rPr>
      </w:pPr>
      <w:r>
        <w:rPr>
          <w:b w:val="0"/>
          <w:color w:val="231F20"/>
        </w:rPr>
        <w:t>Procedures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Entry,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Disability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Continuous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Improvement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currently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being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updated.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pStyle w:val="ListParagraph"/>
        <w:numPr>
          <w:ilvl w:val="1"/>
          <w:numId w:val="19"/>
        </w:numPr>
        <w:tabs>
          <w:tab w:pos="1206" w:val="left" w:leader="none"/>
        </w:tabs>
        <w:spacing w:line="470" w:lineRule="exact" w:before="47" w:after="0"/>
        <w:ind w:left="1205" w:right="0" w:hanging="533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EMPA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Academic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Advisory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Council</w:t>
      </w:r>
    </w:p>
    <w:p>
      <w:pPr>
        <w:spacing w:line="470" w:lineRule="exact" w:before="0"/>
        <w:ind w:left="673" w:right="0" w:firstLine="0"/>
        <w:jc w:val="left"/>
        <w:rPr>
          <w:rFonts w:ascii="Domus Semibold" w:hAnsi="Domus Semibold"/>
          <w:b w:val="0"/>
          <w:sz w:val="40"/>
        </w:rPr>
      </w:pPr>
      <w:r>
        <w:rPr>
          <w:rFonts w:ascii="Domus Semibold" w:hAnsi="Domus Semibold"/>
          <w:b w:val="0"/>
          <w:color w:val="243B7D"/>
          <w:spacing w:val="-7"/>
          <w:sz w:val="40"/>
        </w:rPr>
        <w:t>–</w:t>
      </w:r>
      <w:r>
        <w:rPr>
          <w:rFonts w:ascii="Domus Semibold" w:hAnsi="Domus Semibold"/>
          <w:b w:val="0"/>
          <w:color w:val="243B7D"/>
          <w:spacing w:val="-12"/>
          <w:sz w:val="40"/>
        </w:rPr>
        <w:t> </w:t>
      </w:r>
      <w:r>
        <w:rPr>
          <w:rFonts w:ascii="Domus Semibold" w:hAnsi="Domus Semibold"/>
          <w:b w:val="0"/>
          <w:color w:val="243B7D"/>
          <w:spacing w:val="-7"/>
          <w:sz w:val="40"/>
        </w:rPr>
        <w:t>Terms of</w:t>
      </w:r>
      <w:r>
        <w:rPr>
          <w:rFonts w:ascii="Domus Semibold" w:hAnsi="Domus Semibold"/>
          <w:b w:val="0"/>
          <w:color w:val="243B7D"/>
          <w:spacing w:val="-6"/>
          <w:sz w:val="40"/>
        </w:rPr>
        <w:t> </w:t>
      </w:r>
      <w:r>
        <w:rPr>
          <w:rFonts w:ascii="Domus Semibold" w:hAnsi="Domus Semibold"/>
          <w:b w:val="0"/>
          <w:color w:val="243B7D"/>
          <w:spacing w:val="-7"/>
          <w:sz w:val="40"/>
        </w:rPr>
        <w:t>Reference</w:t>
      </w:r>
    </w:p>
    <w:p>
      <w:pPr>
        <w:pStyle w:val="ListParagraph"/>
        <w:numPr>
          <w:ilvl w:val="0"/>
          <w:numId w:val="22"/>
        </w:numPr>
        <w:tabs>
          <w:tab w:pos="891" w:val="left" w:leader="none"/>
        </w:tabs>
        <w:spacing w:line="240" w:lineRule="auto" w:before="245" w:after="0"/>
        <w:ind w:left="890" w:right="0" w:hanging="218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Purpose</w:t>
      </w:r>
    </w:p>
    <w:p>
      <w:pPr>
        <w:pStyle w:val="BodyText"/>
        <w:spacing w:line="192" w:lineRule="auto" w:before="106"/>
        <w:ind w:left="673" w:right="3115"/>
        <w:rPr>
          <w:b w:val="0"/>
        </w:rPr>
      </w:pPr>
      <w:r>
        <w:rPr>
          <w:b w:val="0"/>
          <w:color w:val="231F20"/>
        </w:rPr>
        <w:t>The Academic Advisory Council is ANZSOG’s principal advisory committee to ANZSOG’s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academic leadership team on learning and teaching and other matters relevant to the quality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excellence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micro-credentials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future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accredited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programs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might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be developed on a bilateral or multi-lateral basis with university partners. The Academic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supported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by 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secretariat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within ANZSOG.</w:t>
      </w:r>
    </w:p>
    <w:p>
      <w:pPr>
        <w:pStyle w:val="BodyText"/>
        <w:spacing w:line="192" w:lineRule="auto" w:before="114"/>
        <w:ind w:left="673" w:right="3160"/>
        <w:rPr>
          <w:b w:val="0"/>
        </w:rPr>
      </w:pPr>
      <w:r>
        <w:rPr>
          <w:b w:val="0"/>
          <w:color w:val="231F20"/>
        </w:rPr>
        <w:t>A core function of the Academic Advisory Council is to provide quality assurance, through its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operations and oversight of the delivery of an annual report to partner universities that enrol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students and confer the EMPA award. The key framework of assurance is to ensure learning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teaching,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practices,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procedures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align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Standards.</w:t>
      </w:r>
    </w:p>
    <w:p>
      <w:pPr>
        <w:pStyle w:val="ListParagraph"/>
        <w:numPr>
          <w:ilvl w:val="0"/>
          <w:numId w:val="22"/>
        </w:numPr>
        <w:tabs>
          <w:tab w:pos="918" w:val="left" w:leader="none"/>
        </w:tabs>
        <w:spacing w:line="240" w:lineRule="auto" w:before="161" w:after="0"/>
        <w:ind w:left="917" w:right="0" w:hanging="245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Role</w:t>
      </w:r>
    </w:p>
    <w:p>
      <w:pPr>
        <w:pStyle w:val="BodyText"/>
        <w:spacing w:before="63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role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to:</w:t>
      </w:r>
    </w:p>
    <w:p>
      <w:pPr>
        <w:pStyle w:val="BodyText"/>
        <w:spacing w:line="192" w:lineRule="auto" w:before="102"/>
        <w:ind w:left="843" w:right="3231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3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advice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recommendations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team,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particularly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practice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relating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aspects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review of EMPA subjects that contribute to university programs, admission of students,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teaching,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assessment,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where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relevant,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requirements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graduation.</w:t>
      </w:r>
    </w:p>
    <w:p>
      <w:pPr>
        <w:pStyle w:val="BodyText"/>
        <w:spacing w:line="192" w:lineRule="auto" w:before="113"/>
        <w:ind w:left="843" w:right="3668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aggregate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cohort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monitoring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supporting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progression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conclusion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semester.</w:t>
      </w:r>
    </w:p>
    <w:p>
      <w:pPr>
        <w:pStyle w:val="BodyText"/>
        <w:spacing w:line="192" w:lineRule="auto" w:before="114"/>
        <w:ind w:left="843" w:right="3283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Act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representative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body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regarding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education quality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standards.</w:t>
      </w:r>
    </w:p>
    <w:p>
      <w:pPr>
        <w:pStyle w:val="BodyText"/>
        <w:spacing w:line="192" w:lineRule="auto" w:before="113"/>
        <w:ind w:left="843" w:right="3858" w:hanging="171"/>
        <w:jc w:val="both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Chair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encourage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discussion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meetings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context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objectives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future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accredited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products</w:t>
      </w:r>
    </w:p>
    <w:p>
      <w:pPr>
        <w:pStyle w:val="ListParagraph"/>
        <w:numPr>
          <w:ilvl w:val="0"/>
          <w:numId w:val="22"/>
        </w:numPr>
        <w:tabs>
          <w:tab w:pos="921" w:val="left" w:leader="none"/>
        </w:tabs>
        <w:spacing w:line="240" w:lineRule="auto" w:before="162" w:after="0"/>
        <w:ind w:left="920" w:right="0" w:hanging="248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Functions</w:t>
      </w:r>
    </w:p>
    <w:p>
      <w:pPr>
        <w:pStyle w:val="BodyText"/>
        <w:spacing w:before="63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functions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support:</w:t>
      </w:r>
    </w:p>
    <w:p>
      <w:pPr>
        <w:pStyle w:val="ListParagraph"/>
        <w:numPr>
          <w:ilvl w:val="0"/>
          <w:numId w:val="23"/>
        </w:numPr>
        <w:tabs>
          <w:tab w:pos="856" w:val="left" w:leader="none"/>
        </w:tabs>
        <w:spacing w:line="240" w:lineRule="auto" w:before="203" w:after="0"/>
        <w:ind w:left="855" w:right="0" w:hanging="183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Teaching</w:t>
      </w:r>
      <w:r>
        <w:rPr>
          <w:rFonts w:ascii="Apercu"/>
          <w:b/>
          <w:color w:val="231F20"/>
          <w:spacing w:val="-10"/>
          <w:sz w:val="20"/>
        </w:rPr>
        <w:t> </w:t>
      </w:r>
      <w:r>
        <w:rPr>
          <w:rFonts w:ascii="Apercu"/>
          <w:b/>
          <w:color w:val="231F20"/>
          <w:sz w:val="20"/>
        </w:rPr>
        <w:t>and</w:t>
      </w:r>
      <w:r>
        <w:rPr>
          <w:rFonts w:ascii="Apercu"/>
          <w:b/>
          <w:color w:val="231F20"/>
          <w:spacing w:val="-10"/>
          <w:sz w:val="20"/>
        </w:rPr>
        <w:t> </w:t>
      </w:r>
      <w:r>
        <w:rPr>
          <w:rFonts w:ascii="Apercu"/>
          <w:b/>
          <w:color w:val="231F20"/>
          <w:sz w:val="20"/>
        </w:rPr>
        <w:t>Learning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Quality</w:t>
      </w:r>
    </w:p>
    <w:p>
      <w:pPr>
        <w:pStyle w:val="BodyText"/>
        <w:spacing w:line="192" w:lineRule="auto" w:before="156"/>
        <w:ind w:left="843" w:right="3729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1"/>
        </w:rPr>
        <w:t> </w:t>
      </w:r>
      <w:r>
        <w:rPr>
          <w:b w:val="0"/>
          <w:color w:val="231F20"/>
        </w:rPr>
        <w:t>Advise ANZSOG’s academic leadership team, including the Deputy Dean, University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Relations,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Director,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about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teaching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matters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related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subjects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program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advise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updates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revisions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subjects</w:t>
      </w:r>
    </w:p>
    <w:p>
      <w:pPr>
        <w:pStyle w:val="BodyText"/>
        <w:spacing w:line="192" w:lineRule="auto" w:before="102"/>
        <w:ind w:left="843" w:right="3677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Review and advise on ANZSOG EMPA Annual Quality Assurance Reporting particularly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relation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cohort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data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key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performance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indicators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882" w:val="left" w:leader="none"/>
        </w:tabs>
        <w:spacing w:line="240" w:lineRule="auto" w:before="98" w:after="0"/>
        <w:ind w:left="881" w:right="0" w:hanging="209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Program</w:t>
      </w:r>
      <w:r>
        <w:rPr>
          <w:rFonts w:ascii="Apercu"/>
          <w:b/>
          <w:color w:val="231F20"/>
          <w:spacing w:val="-12"/>
          <w:sz w:val="20"/>
        </w:rPr>
        <w:t> </w:t>
      </w:r>
      <w:r>
        <w:rPr>
          <w:rFonts w:ascii="Apercu"/>
          <w:b/>
          <w:color w:val="231F20"/>
          <w:sz w:val="20"/>
        </w:rPr>
        <w:t>Structure</w:t>
      </w:r>
      <w:r>
        <w:rPr>
          <w:rFonts w:ascii="Apercu"/>
          <w:b/>
          <w:color w:val="231F20"/>
          <w:spacing w:val="-11"/>
          <w:sz w:val="20"/>
        </w:rPr>
        <w:t> </w:t>
      </w:r>
      <w:r>
        <w:rPr>
          <w:rFonts w:ascii="Apercu"/>
          <w:b/>
          <w:color w:val="231F20"/>
          <w:sz w:val="20"/>
        </w:rPr>
        <w:t>and</w:t>
      </w:r>
      <w:r>
        <w:rPr>
          <w:rFonts w:ascii="Apercu"/>
          <w:b/>
          <w:color w:val="231F20"/>
          <w:spacing w:val="-12"/>
          <w:sz w:val="20"/>
        </w:rPr>
        <w:t> </w:t>
      </w:r>
      <w:r>
        <w:rPr>
          <w:rFonts w:ascii="Apercu"/>
          <w:b/>
          <w:color w:val="231F20"/>
          <w:sz w:val="20"/>
        </w:rPr>
        <w:t>Governance</w:t>
      </w:r>
      <w:r>
        <w:rPr>
          <w:rFonts w:ascii="Apercu"/>
          <w:b/>
          <w:color w:val="231F20"/>
          <w:spacing w:val="-11"/>
          <w:sz w:val="20"/>
        </w:rPr>
        <w:t> </w:t>
      </w:r>
      <w:r>
        <w:rPr>
          <w:rFonts w:ascii="Apercu"/>
          <w:b/>
          <w:color w:val="231F20"/>
          <w:sz w:val="20"/>
        </w:rPr>
        <w:t>Considerations</w:t>
      </w:r>
    </w:p>
    <w:p>
      <w:pPr>
        <w:pStyle w:val="BodyText"/>
        <w:spacing w:line="192" w:lineRule="auto" w:before="156"/>
        <w:ind w:left="843" w:right="3290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Review major subject amendments and advise on their compliance with the requirements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 the Australian Qualifications Framework (AQF) and New Zealand Qualifications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Framework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(NZQF)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jurisdictions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6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advise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procedures</w:t>
      </w:r>
    </w:p>
    <w:p>
      <w:pPr>
        <w:pStyle w:val="BodyText"/>
        <w:spacing w:line="192" w:lineRule="auto" w:before="102"/>
        <w:ind w:left="843" w:right="4020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advise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range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appropriate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electives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offer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universities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as part 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EMPA</w:t>
      </w:r>
    </w:p>
    <w:p>
      <w:pPr>
        <w:pStyle w:val="BodyText"/>
        <w:spacing w:line="192" w:lineRule="auto" w:before="113"/>
        <w:ind w:left="843" w:right="3693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Consider and recommend administrative efficiencies to help minimise the regulatory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burden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 partner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universities and ANZSOG</w:t>
      </w:r>
    </w:p>
    <w:p>
      <w:pPr>
        <w:pStyle w:val="BodyText"/>
        <w:spacing w:line="192" w:lineRule="auto" w:before="114"/>
        <w:ind w:left="843" w:right="3541" w:hanging="171"/>
        <w:rPr>
          <w:b w:val="0"/>
        </w:rPr>
      </w:pPr>
      <w:r>
        <w:rPr>
          <w:rFonts w:ascii="Apercu" w:hAnsi="Apercu"/>
          <w:b/>
          <w:color w:val="231F20"/>
        </w:rPr>
        <w:t>› </w:t>
      </w:r>
      <w:r>
        <w:rPr>
          <w:b w:val="0"/>
          <w:color w:val="231F20"/>
        </w:rPr>
        <w:t>Provide advice on potential amendments to the EMPA design, such as delivery options,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blended learning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elective offerings.</w:t>
      </w:r>
    </w:p>
    <w:p>
      <w:pPr>
        <w:pStyle w:val="ListParagraph"/>
        <w:numPr>
          <w:ilvl w:val="0"/>
          <w:numId w:val="23"/>
        </w:numPr>
        <w:tabs>
          <w:tab w:pos="890" w:val="left" w:leader="none"/>
        </w:tabs>
        <w:spacing w:line="240" w:lineRule="auto" w:before="215" w:after="0"/>
        <w:ind w:left="889" w:right="0" w:hanging="217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Additional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Partner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Collaboration</w:t>
      </w:r>
      <w:r>
        <w:rPr>
          <w:rFonts w:ascii="Apercu"/>
          <w:b/>
          <w:color w:val="231F20"/>
          <w:spacing w:val="-5"/>
          <w:sz w:val="20"/>
        </w:rPr>
        <w:t> </w:t>
      </w:r>
      <w:r>
        <w:rPr>
          <w:rFonts w:ascii="Apercu"/>
          <w:b/>
          <w:color w:val="231F20"/>
          <w:sz w:val="20"/>
        </w:rPr>
        <w:t>Opportunities</w:t>
      </w:r>
    </w:p>
    <w:p>
      <w:pPr>
        <w:pStyle w:val="BodyText"/>
        <w:spacing w:before="112"/>
        <w:ind w:left="673"/>
        <w:rPr>
          <w:b w:val="0"/>
        </w:rPr>
      </w:pPr>
      <w:r>
        <w:rPr>
          <w:rFonts w:ascii="Apercu" w:hAnsi="Apercu"/>
          <w:b/>
          <w:color w:val="231F20"/>
          <w:spacing w:val="-1"/>
        </w:rPr>
        <w:t>›</w:t>
      </w:r>
      <w:r>
        <w:rPr>
          <w:rFonts w:ascii="Apercu" w:hAnsi="Apercu"/>
          <w:b/>
          <w:color w:val="231F20"/>
          <w:spacing w:val="27"/>
        </w:rPr>
        <w:t> </w:t>
      </w:r>
      <w:r>
        <w:rPr>
          <w:b w:val="0"/>
          <w:color w:val="231F20"/>
          <w:spacing w:val="-1"/>
        </w:rPr>
        <w:t>Facilitating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shared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approach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to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the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EMPA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partners</w:t>
      </w:r>
    </w:p>
    <w:p>
      <w:pPr>
        <w:pStyle w:val="BodyText"/>
        <w:spacing w:line="192" w:lineRule="auto" w:before="102"/>
        <w:ind w:left="843" w:right="3231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Monitor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demand-driven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opportunities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ongoing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renewal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enhancement</w:t>
      </w:r>
    </w:p>
    <w:p>
      <w:pPr>
        <w:pStyle w:val="BodyText"/>
        <w:spacing w:line="192" w:lineRule="auto" w:before="113"/>
        <w:ind w:left="843" w:right="3377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1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advice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approaches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enhance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value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proposition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 partners</w:t>
      </w:r>
    </w:p>
    <w:p>
      <w:pPr>
        <w:pStyle w:val="BodyText"/>
        <w:spacing w:line="192" w:lineRule="auto" w:before="114"/>
        <w:ind w:left="843" w:right="3159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5"/>
        </w:rPr>
        <w:t> </w:t>
      </w:r>
      <w:r>
        <w:rPr>
          <w:b w:val="0"/>
          <w:color w:val="231F20"/>
        </w:rPr>
        <w:t>Provide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advice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provision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potential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accredited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micro-credentialing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embedded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qualification/s,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where appropriate.</w:t>
      </w:r>
    </w:p>
    <w:p>
      <w:pPr>
        <w:pStyle w:val="ListParagraph"/>
        <w:numPr>
          <w:ilvl w:val="0"/>
          <w:numId w:val="23"/>
        </w:numPr>
        <w:tabs>
          <w:tab w:pos="894" w:val="left" w:leader="none"/>
        </w:tabs>
        <w:spacing w:line="240" w:lineRule="auto" w:before="215" w:after="0"/>
        <w:ind w:left="893" w:right="0" w:hanging="221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Membership</w:t>
      </w:r>
      <w:r>
        <w:rPr>
          <w:rFonts w:ascii="Apercu"/>
          <w:b/>
          <w:color w:val="231F20"/>
          <w:spacing w:val="-5"/>
          <w:sz w:val="20"/>
        </w:rPr>
        <w:t> </w:t>
      </w:r>
      <w:r>
        <w:rPr>
          <w:rFonts w:ascii="Apercu"/>
          <w:b/>
          <w:color w:val="231F20"/>
          <w:sz w:val="20"/>
        </w:rPr>
        <w:t>Composition</w:t>
      </w:r>
    </w:p>
    <w:p>
      <w:pPr>
        <w:pStyle w:val="BodyText"/>
        <w:spacing w:before="112"/>
        <w:ind w:left="67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full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composition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comprise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maximum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9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members:</w:t>
      </w:r>
    </w:p>
    <w:p>
      <w:pPr>
        <w:pStyle w:val="BodyText"/>
        <w:spacing w:line="192" w:lineRule="auto" w:before="102"/>
        <w:ind w:left="843" w:right="4270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8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expertise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administration,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related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field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(Chair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x 1 nominated by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ANZSOG)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40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academics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(up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5)</w:t>
      </w:r>
    </w:p>
    <w:p>
      <w:pPr>
        <w:pStyle w:val="BodyText"/>
        <w:spacing w:line="192" w:lineRule="auto" w:before="102"/>
        <w:ind w:left="843" w:right="3392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4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officer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partner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those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represented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academics</w:t>
      </w:r>
    </w:p>
    <w:p>
      <w:pPr>
        <w:pStyle w:val="BodyText"/>
        <w:spacing w:line="192" w:lineRule="auto" w:before="114"/>
        <w:ind w:left="843" w:right="3082" w:hanging="171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2"/>
        </w:rPr>
        <w:t> </w:t>
      </w:r>
      <w:r>
        <w:rPr>
          <w:b w:val="0"/>
          <w:color w:val="231F20"/>
        </w:rPr>
        <w:t>Independent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practitioner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selected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among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alumni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nominated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Alumni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Advisory Council</w:t>
      </w:r>
    </w:p>
    <w:p>
      <w:pPr>
        <w:pStyle w:val="BodyText"/>
        <w:spacing w:before="70"/>
        <w:ind w:left="673"/>
        <w:rPr>
          <w:b w:val="0"/>
        </w:rPr>
      </w:pPr>
      <w:r>
        <w:rPr>
          <w:rFonts w:ascii="Apercu" w:hAnsi="Apercu"/>
          <w:b/>
          <w:color w:val="231F20"/>
        </w:rPr>
        <w:t>›</w:t>
      </w:r>
      <w:r>
        <w:rPr>
          <w:rFonts w:ascii="Apercu" w:hAnsi="Apercu"/>
          <w:b/>
          <w:color w:val="231F20"/>
          <w:spacing w:val="30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Director.</w:t>
      </w:r>
    </w:p>
    <w:p>
      <w:pPr>
        <w:pStyle w:val="BodyText"/>
        <w:spacing w:line="192" w:lineRule="auto" w:before="215"/>
        <w:ind w:left="673" w:right="3364"/>
        <w:rPr>
          <w:b w:val="0"/>
        </w:rPr>
      </w:pPr>
      <w:r>
        <w:rPr>
          <w:b w:val="0"/>
          <w:color w:val="231F20"/>
        </w:rPr>
        <w:t>Consistent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multi-government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ownership,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members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should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dispersed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various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states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territories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Zealand.</w:t>
      </w:r>
    </w:p>
    <w:p>
      <w:pPr>
        <w:pStyle w:val="BodyText"/>
        <w:spacing w:line="192" w:lineRule="auto" w:before="113"/>
        <w:ind w:left="673" w:right="3188"/>
        <w:rPr>
          <w:b w:val="0"/>
        </w:rPr>
      </w:pP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must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(university partner or independent member). The Advisory Council may seek advice from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members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specific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expertise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but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co-opt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additional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members.</w:t>
      </w:r>
    </w:p>
    <w:p>
      <w:pPr>
        <w:spacing w:after="0" w:line="192" w:lineRule="auto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885" w:val="left" w:leader="none"/>
        </w:tabs>
        <w:spacing w:line="240" w:lineRule="auto" w:before="98" w:after="0"/>
        <w:ind w:left="884" w:right="0" w:hanging="212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Membership</w:t>
      </w:r>
      <w:r>
        <w:rPr>
          <w:rFonts w:ascii="Apercu"/>
          <w:b/>
          <w:color w:val="231F20"/>
          <w:spacing w:val="-8"/>
          <w:sz w:val="20"/>
        </w:rPr>
        <w:t> </w:t>
      </w:r>
      <w:r>
        <w:rPr>
          <w:rFonts w:ascii="Apercu"/>
          <w:b/>
          <w:color w:val="231F20"/>
          <w:sz w:val="20"/>
        </w:rPr>
        <w:t>Selection</w:t>
      </w:r>
      <w:r>
        <w:rPr>
          <w:rFonts w:ascii="Apercu"/>
          <w:b/>
          <w:color w:val="231F20"/>
          <w:spacing w:val="-8"/>
          <w:sz w:val="20"/>
        </w:rPr>
        <w:t> </w:t>
      </w:r>
      <w:r>
        <w:rPr>
          <w:rFonts w:ascii="Apercu"/>
          <w:b/>
          <w:color w:val="231F20"/>
          <w:sz w:val="20"/>
        </w:rPr>
        <w:t>and</w:t>
      </w:r>
      <w:r>
        <w:rPr>
          <w:rFonts w:ascii="Apercu"/>
          <w:b/>
          <w:color w:val="231F20"/>
          <w:spacing w:val="-7"/>
          <w:sz w:val="20"/>
        </w:rPr>
        <w:t> </w:t>
      </w:r>
      <w:r>
        <w:rPr>
          <w:rFonts w:ascii="Apercu"/>
          <w:b/>
          <w:color w:val="231F20"/>
          <w:sz w:val="20"/>
        </w:rPr>
        <w:t>Terms</w:t>
      </w:r>
    </w:p>
    <w:p>
      <w:pPr>
        <w:pStyle w:val="BodyText"/>
        <w:spacing w:line="192" w:lineRule="auto" w:before="156"/>
        <w:ind w:left="673" w:right="3508"/>
        <w:rPr>
          <w:b w:val="0"/>
        </w:rPr>
      </w:pPr>
      <w:r>
        <w:rPr>
          <w:b w:val="0"/>
          <w:color w:val="231F20"/>
        </w:rPr>
        <w:t>Conferring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notified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vacancies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terms and partners not currently represented on the Council will be invited to nominate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 representative. ANZSOG’s Dean and CEO, and the EMPA Academic Director, will review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nominations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oversee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appointment process.</w:t>
      </w:r>
    </w:p>
    <w:p>
      <w:pPr>
        <w:pStyle w:val="BodyText"/>
        <w:spacing w:line="192" w:lineRule="auto" w:before="113"/>
        <w:ind w:left="673" w:right="3566"/>
        <w:rPr>
          <w:b w:val="0"/>
        </w:rPr>
      </w:pPr>
      <w:r>
        <w:rPr>
          <w:b w:val="0"/>
          <w:color w:val="231F20"/>
        </w:rPr>
        <w:t>Where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temporary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vacancy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arises,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absent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nominate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proxy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approved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consultation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period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</w:p>
    <w:p>
      <w:pPr>
        <w:pStyle w:val="BodyText"/>
        <w:spacing w:line="192" w:lineRule="auto"/>
        <w:ind w:left="673" w:right="2793"/>
        <w:rPr>
          <w:b w:val="0"/>
        </w:rPr>
      </w:pPr>
      <w:r>
        <w:rPr>
          <w:b w:val="0"/>
          <w:color w:val="231F20"/>
        </w:rPr>
        <w:t>absence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standing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member.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convene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infrequently,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members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encouraged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avoid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far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practical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regular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use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proxies.</w:t>
      </w:r>
    </w:p>
    <w:p>
      <w:pPr>
        <w:pStyle w:val="BodyText"/>
        <w:spacing w:line="192" w:lineRule="auto" w:before="114"/>
        <w:ind w:left="673" w:right="3928"/>
        <w:rPr>
          <w:b w:val="0"/>
        </w:rPr>
      </w:pPr>
      <w:r>
        <w:rPr>
          <w:b w:val="0"/>
          <w:color w:val="231F20"/>
        </w:rPr>
        <w:t>Academic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members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serve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three-year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term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apply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reselection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 one additional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term.</w:t>
      </w:r>
    </w:p>
    <w:p>
      <w:pPr>
        <w:pStyle w:val="BodyText"/>
        <w:spacing w:line="192" w:lineRule="auto" w:before="113"/>
        <w:ind w:left="673" w:right="3474"/>
        <w:jc w:val="both"/>
        <w:rPr>
          <w:b w:val="0"/>
        </w:rPr>
      </w:pPr>
      <w:r>
        <w:rPr>
          <w:b w:val="0"/>
          <w:color w:val="231F20"/>
        </w:rPr>
        <w:t>After the maximum membership term of six years, Council members must step down for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at least one term before being eligible again for Council membership. Council members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begin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term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first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meeting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year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term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last.</w:t>
      </w:r>
    </w:p>
    <w:p>
      <w:pPr>
        <w:pStyle w:val="BodyText"/>
        <w:spacing w:line="192" w:lineRule="auto"/>
        <w:ind w:left="673" w:right="3317"/>
        <w:jc w:val="both"/>
        <w:rPr>
          <w:b w:val="0"/>
        </w:rPr>
      </w:pPr>
      <w:r>
        <w:rPr>
          <w:b w:val="0"/>
          <w:color w:val="231F20"/>
        </w:rPr>
        <w:t>Academic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members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meet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minimum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twice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calendar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year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(time,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location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meeting platform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 be advised).</w:t>
      </w:r>
    </w:p>
    <w:p>
      <w:pPr>
        <w:pStyle w:val="BodyText"/>
        <w:spacing w:before="13"/>
        <w:rPr>
          <w:b w:val="0"/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890" w:val="left" w:leader="none"/>
        </w:tabs>
        <w:spacing w:line="240" w:lineRule="auto" w:before="0" w:after="0"/>
        <w:ind w:left="889" w:right="0" w:hanging="217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Meetings</w:t>
      </w:r>
    </w:p>
    <w:p>
      <w:pPr>
        <w:pStyle w:val="BodyText"/>
        <w:spacing w:line="192" w:lineRule="auto" w:before="156"/>
        <w:ind w:left="673" w:right="3392"/>
        <w:rPr>
          <w:b w:val="0"/>
        </w:rPr>
      </w:pPr>
      <w:r>
        <w:rPr>
          <w:b w:val="0"/>
          <w:color w:val="231F20"/>
        </w:rPr>
        <w:t>The Academic Advisory Council will convene twice yearly at the conclusion of semester,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second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semester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meeting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prioritising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tabling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Annual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Report.</w:t>
      </w:r>
    </w:p>
    <w:p>
      <w:pPr>
        <w:pStyle w:val="BodyText"/>
        <w:spacing w:line="192" w:lineRule="auto" w:before="113"/>
        <w:ind w:left="673" w:right="3447"/>
        <w:rPr>
          <w:b w:val="0"/>
        </w:rPr>
      </w:pPr>
      <w:r>
        <w:rPr>
          <w:b w:val="0"/>
          <w:color w:val="231F20"/>
        </w:rPr>
        <w:t>Extraordinary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meetings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convened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discretion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agreement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Academic Director and AAC Chair where any significant matters of concern to ANZSOG,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owners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need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addressed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outside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standard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meetings.</w:t>
      </w:r>
    </w:p>
    <w:p>
      <w:pPr>
        <w:pStyle w:val="BodyText"/>
        <w:spacing w:line="192" w:lineRule="auto" w:before="114"/>
        <w:ind w:left="673" w:right="3464"/>
        <w:rPr>
          <w:b w:val="0"/>
        </w:rPr>
      </w:pPr>
      <w:r>
        <w:rPr>
          <w:b w:val="0"/>
          <w:color w:val="231F20"/>
        </w:rPr>
        <w:t>The quorum shall be one-half of the current members of the committee, if one-half 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whole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number,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next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whole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number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shall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used.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Vacant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positions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</w:p>
    <w:p>
      <w:pPr>
        <w:pStyle w:val="BodyText"/>
        <w:spacing w:line="192" w:lineRule="auto"/>
        <w:ind w:left="673" w:right="3201"/>
        <w:rPr>
          <w:b w:val="0"/>
        </w:rPr>
      </w:pPr>
      <w:r>
        <w:rPr>
          <w:b w:val="0"/>
          <w:color w:val="231F20"/>
        </w:rPr>
        <w:t>committee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count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toward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total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which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one-half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required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reach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quorum.</w:t>
      </w:r>
    </w:p>
    <w:p>
      <w:pPr>
        <w:pStyle w:val="BodyText"/>
        <w:spacing w:line="192" w:lineRule="auto" w:before="113"/>
        <w:ind w:left="673" w:right="3201"/>
        <w:rPr>
          <w:b w:val="0"/>
        </w:rPr>
      </w:pPr>
      <w:r>
        <w:rPr>
          <w:b w:val="0"/>
          <w:color w:val="231F20"/>
        </w:rPr>
        <w:t>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representative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partners,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staff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faculty,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representatives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governments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alumni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directly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represented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attend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meetings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observers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request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Director.</w:t>
      </w:r>
    </w:p>
    <w:p>
      <w:pPr>
        <w:pStyle w:val="BodyText"/>
        <w:spacing w:before="13"/>
        <w:rPr>
          <w:b w:val="0"/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876" w:val="left" w:leader="none"/>
        </w:tabs>
        <w:spacing w:line="240" w:lineRule="auto" w:before="0" w:after="0"/>
        <w:ind w:left="875" w:right="0" w:hanging="203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Meeting</w:t>
      </w:r>
      <w:r>
        <w:rPr>
          <w:rFonts w:ascii="Apercu"/>
          <w:b/>
          <w:color w:val="231F20"/>
          <w:spacing w:val="-5"/>
          <w:sz w:val="20"/>
        </w:rPr>
        <w:t> </w:t>
      </w:r>
      <w:r>
        <w:rPr>
          <w:rFonts w:ascii="Apercu"/>
          <w:b/>
          <w:color w:val="231F20"/>
          <w:sz w:val="20"/>
        </w:rPr>
        <w:t>Agendas</w:t>
      </w:r>
      <w:r>
        <w:rPr>
          <w:rFonts w:ascii="Apercu"/>
          <w:b/>
          <w:color w:val="231F20"/>
          <w:spacing w:val="-5"/>
          <w:sz w:val="20"/>
        </w:rPr>
        <w:t> </w:t>
      </w:r>
      <w:r>
        <w:rPr>
          <w:rFonts w:ascii="Apercu"/>
          <w:b/>
          <w:color w:val="231F20"/>
          <w:sz w:val="20"/>
        </w:rPr>
        <w:t>and</w:t>
      </w:r>
      <w:r>
        <w:rPr>
          <w:rFonts w:ascii="Apercu"/>
          <w:b/>
          <w:color w:val="231F20"/>
          <w:spacing w:val="-5"/>
          <w:sz w:val="20"/>
        </w:rPr>
        <w:t> </w:t>
      </w:r>
      <w:r>
        <w:rPr>
          <w:rFonts w:ascii="Apercu"/>
          <w:b/>
          <w:color w:val="231F20"/>
          <w:sz w:val="20"/>
        </w:rPr>
        <w:t>Minutes</w:t>
      </w:r>
    </w:p>
    <w:p>
      <w:pPr>
        <w:pStyle w:val="BodyText"/>
        <w:spacing w:line="192" w:lineRule="auto" w:before="156"/>
        <w:ind w:left="673" w:right="3429"/>
        <w:rPr>
          <w:b w:val="0"/>
        </w:rPr>
      </w:pPr>
      <w:r>
        <w:rPr>
          <w:b w:val="0"/>
          <w:color w:val="231F20"/>
        </w:rPr>
        <w:t>Meeting agendas and supporting papers will be circulated no less than one week prior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scheduled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AAC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meeting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made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conferring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partners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Canvas portal.</w:t>
      </w:r>
    </w:p>
    <w:p>
      <w:pPr>
        <w:pStyle w:val="BodyText"/>
        <w:spacing w:line="247" w:lineRule="exact" w:before="70"/>
        <w:ind w:left="673"/>
        <w:rPr>
          <w:b w:val="0"/>
        </w:rPr>
      </w:pPr>
      <w:r>
        <w:rPr>
          <w:b w:val="0"/>
          <w:color w:val="231F20"/>
        </w:rPr>
        <w:t>All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members,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directly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represented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Council,</w:t>
      </w:r>
    </w:p>
    <w:p>
      <w:pPr>
        <w:pStyle w:val="BodyText"/>
        <w:spacing w:line="192" w:lineRule="auto" w:before="16"/>
        <w:ind w:left="673" w:right="3363"/>
        <w:rPr>
          <w:b w:val="0"/>
        </w:rPr>
      </w:pPr>
      <w:r>
        <w:rPr>
          <w:b w:val="0"/>
          <w:color w:val="231F20"/>
        </w:rPr>
        <w:t>may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request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item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agenda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consideration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either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Director,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Chair or member.</w:t>
      </w:r>
    </w:p>
    <w:p>
      <w:pPr>
        <w:pStyle w:val="BodyText"/>
        <w:spacing w:line="192" w:lineRule="auto" w:before="113"/>
        <w:ind w:left="673" w:right="3492"/>
        <w:jc w:val="both"/>
        <w:rPr>
          <w:b w:val="0"/>
        </w:rPr>
      </w:pP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summary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minutes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actions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arising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made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members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Canvas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portal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within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working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days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conclusion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meeting.</w:t>
      </w:r>
    </w:p>
    <w:p>
      <w:pPr>
        <w:pStyle w:val="BodyText"/>
        <w:spacing w:before="13"/>
        <w:rPr>
          <w:b w:val="0"/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888" w:val="left" w:leader="none"/>
        </w:tabs>
        <w:spacing w:line="240" w:lineRule="auto" w:before="0" w:after="0"/>
        <w:ind w:left="887" w:right="0" w:hanging="215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Secretariat</w:t>
      </w:r>
      <w:r>
        <w:rPr>
          <w:rFonts w:ascii="Apercu"/>
          <w:b/>
          <w:color w:val="231F20"/>
          <w:spacing w:val="-3"/>
          <w:sz w:val="20"/>
        </w:rPr>
        <w:t> </w:t>
      </w:r>
      <w:r>
        <w:rPr>
          <w:rFonts w:ascii="Apercu"/>
          <w:b/>
          <w:color w:val="231F20"/>
          <w:sz w:val="20"/>
        </w:rPr>
        <w:t>Support</w:t>
      </w:r>
    </w:p>
    <w:p>
      <w:pPr>
        <w:pStyle w:val="BodyText"/>
        <w:spacing w:line="192" w:lineRule="auto" w:before="156"/>
        <w:ind w:left="673" w:right="3297"/>
        <w:jc w:val="both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Secretariat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maintain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minutes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meetings,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record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reports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associated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papers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information.</w:t>
      </w:r>
    </w:p>
    <w:p>
      <w:pPr>
        <w:pStyle w:val="BodyText"/>
        <w:spacing w:line="192" w:lineRule="auto" w:before="113"/>
        <w:ind w:left="673" w:right="3545"/>
        <w:jc w:val="both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Secretariat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support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implementation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actions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arising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meetings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required.</w:t>
      </w:r>
    </w:p>
    <w:p>
      <w:pPr>
        <w:spacing w:after="0" w:line="192" w:lineRule="auto"/>
        <w:jc w:val="both"/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pStyle w:val="ListParagraph"/>
        <w:numPr>
          <w:ilvl w:val="1"/>
          <w:numId w:val="19"/>
        </w:numPr>
        <w:tabs>
          <w:tab w:pos="1223" w:val="left" w:leader="none"/>
        </w:tabs>
        <w:spacing w:line="240" w:lineRule="auto" w:before="47" w:after="0"/>
        <w:ind w:left="1222" w:right="0" w:hanging="550"/>
        <w:jc w:val="left"/>
        <w:rPr>
          <w:rFonts w:ascii="Domus Semibold"/>
          <w:b w:val="0"/>
          <w:sz w:val="40"/>
        </w:rPr>
      </w:pPr>
      <w:r>
        <w:rPr>
          <w:rFonts w:ascii="Domus Semibold"/>
          <w:b w:val="0"/>
          <w:color w:val="243B7D"/>
          <w:spacing w:val="-3"/>
          <w:sz w:val="40"/>
        </w:rPr>
        <w:t>EMPA</w:t>
      </w:r>
      <w:r>
        <w:rPr>
          <w:rFonts w:ascii="Domus Semibold"/>
          <w:b w:val="0"/>
          <w:color w:val="243B7D"/>
          <w:spacing w:val="-17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Academic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3"/>
          <w:sz w:val="40"/>
        </w:rPr>
        <w:t>Advisory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2"/>
          <w:sz w:val="40"/>
        </w:rPr>
        <w:t>Council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2"/>
          <w:sz w:val="40"/>
        </w:rPr>
        <w:t>-</w:t>
      </w:r>
      <w:r>
        <w:rPr>
          <w:rFonts w:ascii="Domus Semibold"/>
          <w:b w:val="0"/>
          <w:color w:val="243B7D"/>
          <w:spacing w:val="-16"/>
          <w:sz w:val="40"/>
        </w:rPr>
        <w:t> </w:t>
      </w:r>
      <w:r>
        <w:rPr>
          <w:rFonts w:ascii="Domus Semibold"/>
          <w:b w:val="0"/>
          <w:color w:val="243B7D"/>
          <w:spacing w:val="-2"/>
          <w:sz w:val="40"/>
        </w:rPr>
        <w:t>Members</w:t>
      </w:r>
    </w:p>
    <w:p>
      <w:pPr>
        <w:pStyle w:val="BodyText"/>
        <w:spacing w:line="192" w:lineRule="auto" w:before="197"/>
        <w:ind w:left="673" w:right="1162"/>
        <w:rPr>
          <w:b w:val="0"/>
        </w:rPr>
      </w:pPr>
      <w:r>
        <w:rPr>
          <w:b w:val="0"/>
          <w:color w:val="231F20"/>
        </w:rPr>
        <w:t>The EMPA Academic Advisory Council (EAAC) was established last year as the conferring university partners’ principle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advisory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body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EMPA’s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governance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framework.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External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input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academics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quality assurance leaders from university partners, and a former student and public sector leader provide ongoing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assurance and critique of the program’s standards, compliance and academic quality, as well as alignment of subject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content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needs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leaders.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EAAC’s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terms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reference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viewed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Appendix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report. The EAAC will also review and provide feedback on the EMPA annual Academic Governance reports prior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dissemination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 university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partners and public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sector leaders.</w:t>
      </w:r>
    </w:p>
    <w:p>
      <w:pPr>
        <w:pStyle w:val="BodyText"/>
        <w:spacing w:line="192" w:lineRule="auto" w:before="114"/>
        <w:ind w:left="673" w:right="1162"/>
        <w:rPr>
          <w:b w:val="0"/>
        </w:rPr>
      </w:pPr>
      <w:r>
        <w:rPr>
          <w:b w:val="0"/>
          <w:color w:val="231F20"/>
        </w:rPr>
        <w:t>EAAC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members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serve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three-year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term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first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consists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following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partner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representatives.</w:t>
      </w:r>
    </w:p>
    <w:p>
      <w:pPr>
        <w:pStyle w:val="BodyText"/>
        <w:spacing w:before="14"/>
        <w:rPr>
          <w:b w:val="0"/>
          <w:sz w:val="20"/>
        </w:rPr>
      </w:pPr>
      <w:r>
        <w:rPr/>
        <w:pict>
          <v:shape style="position:absolute;margin-left:56.692902pt;margin-top:16.386400pt;width:481.9pt;height:.1pt;mso-position-horizontal-relative:page;mso-position-vertical-relative:paragraph;z-index:-15711232;mso-wrap-distance-left:0;mso-wrap-distance-right:0" id="docshape162" coordorigin="1134,328" coordsize="9638,0" path="m1134,328l10772,328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225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43B7D"/>
          <w:sz w:val="28"/>
        </w:rPr>
        <w:t>Mr.</w:t>
      </w:r>
      <w:r>
        <w:rPr>
          <w:rFonts w:ascii="Domus Semibold"/>
          <w:b w:val="0"/>
          <w:color w:val="243B7D"/>
          <w:spacing w:val="-8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David</w:t>
      </w:r>
      <w:r>
        <w:rPr>
          <w:rFonts w:ascii="Domus Semibold"/>
          <w:b w:val="0"/>
          <w:color w:val="243B7D"/>
          <w:spacing w:val="-7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de</w:t>
      </w:r>
      <w:r>
        <w:rPr>
          <w:rFonts w:ascii="Domus Semibold"/>
          <w:b w:val="0"/>
          <w:color w:val="243B7D"/>
          <w:spacing w:val="-6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Carvalho</w:t>
      </w:r>
    </w:p>
    <w:p>
      <w:pPr>
        <w:pStyle w:val="BodyText"/>
        <w:spacing w:line="192" w:lineRule="auto" w:before="163"/>
        <w:ind w:left="3225" w:right="1774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720001</wp:posOffset>
            </wp:positionH>
            <wp:positionV relativeFrom="paragraph">
              <wp:posOffset>-154269</wp:posOffset>
            </wp:positionV>
            <wp:extent cx="1410004" cy="1409992"/>
            <wp:effectExtent l="0" t="0" r="0" b="0"/>
            <wp:wrapNone/>
            <wp:docPr id="3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04" cy="14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David de Carvalho joined ACARA in March 2019, bringing to ACARA a wealth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leadership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Commonwealth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state government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level.</w:t>
      </w:r>
    </w:p>
    <w:p>
      <w:pPr>
        <w:pStyle w:val="BodyText"/>
        <w:spacing w:line="192" w:lineRule="auto" w:before="113"/>
        <w:ind w:left="3225" w:right="1220"/>
        <w:rPr>
          <w:b w:val="0"/>
        </w:rPr>
      </w:pPr>
      <w:r>
        <w:rPr>
          <w:b w:val="0"/>
          <w:color w:val="231F20"/>
        </w:rPr>
        <w:t>Mr de Carvalho was Chief Executive Officer of NESA from January 2017 until February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2019. Prior to that, he was Deputy Secretary at the NSW Department of Family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Community Services. David has also led the National Catholic Education Commission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Head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Division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federal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Department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Education.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started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career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secondary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teacher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served</w:t>
      </w:r>
    </w:p>
    <w:p>
      <w:pPr>
        <w:pStyle w:val="BodyText"/>
        <w:spacing w:line="192" w:lineRule="auto" w:before="1"/>
        <w:ind w:left="3225" w:right="1296"/>
        <w:rPr>
          <w:b w:val="0"/>
        </w:rPr>
      </w:pPr>
      <w:r>
        <w:rPr>
          <w:b w:val="0"/>
          <w:color w:val="231F20"/>
        </w:rPr>
        <w:t>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boards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Educational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Curriculum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Corporation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(now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Education Services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Australia).</w:t>
      </w:r>
    </w:p>
    <w:p>
      <w:pPr>
        <w:pStyle w:val="BodyText"/>
        <w:spacing w:before="70"/>
        <w:ind w:left="3225"/>
        <w:rPr>
          <w:b w:val="0"/>
        </w:rPr>
      </w:pPr>
      <w:r>
        <w:rPr>
          <w:b w:val="0"/>
          <w:color w:val="231F20"/>
        </w:rPr>
        <w:t>Role: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CEO</w:t>
      </w:r>
    </w:p>
    <w:p>
      <w:pPr>
        <w:pStyle w:val="BodyText"/>
        <w:spacing w:before="58"/>
        <w:ind w:left="3225"/>
        <w:rPr>
          <w:b w:val="0"/>
        </w:rPr>
      </w:pPr>
      <w:r>
        <w:rPr>
          <w:b w:val="0"/>
          <w:color w:val="231F20"/>
        </w:rPr>
        <w:t>University/Agency: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Curriculum,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Assessment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Reporting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Authority</w:t>
      </w:r>
    </w:p>
    <w:p>
      <w:pPr>
        <w:pStyle w:val="BodyText"/>
        <w:spacing w:before="3"/>
        <w:rPr>
          <w:b w:val="0"/>
          <w:sz w:val="20"/>
        </w:rPr>
      </w:pPr>
      <w:r>
        <w:rPr/>
        <w:pict>
          <v:shape style="position:absolute;margin-left:56.692902pt;margin-top:15.8337pt;width:481.9pt;height:.1pt;mso-position-horizontal-relative:page;mso-position-vertical-relative:paragraph;z-index:-15710720;mso-wrap-distance-left:0;mso-wrap-distance-right:0" id="docshape163" coordorigin="1134,317" coordsize="9638,0" path="m1134,317l10772,317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225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43B7D"/>
          <w:sz w:val="28"/>
        </w:rPr>
        <w:t>Professor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Carolyn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Hendriks</w:t>
      </w:r>
    </w:p>
    <w:p>
      <w:pPr>
        <w:pStyle w:val="BodyText"/>
        <w:spacing w:line="192" w:lineRule="auto" w:before="163"/>
        <w:ind w:left="3225" w:right="1545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720001</wp:posOffset>
            </wp:positionH>
            <wp:positionV relativeFrom="paragraph">
              <wp:posOffset>-149884</wp:posOffset>
            </wp:positionV>
            <wp:extent cx="1410004" cy="1409992"/>
            <wp:effectExtent l="0" t="0" r="0" b="0"/>
            <wp:wrapNone/>
            <wp:docPr id="3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04" cy="14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Carolyn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Hendriks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background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political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science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environmental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engineering.</w:t>
      </w:r>
    </w:p>
    <w:p>
      <w:pPr>
        <w:pStyle w:val="BodyText"/>
        <w:spacing w:line="192" w:lineRule="auto" w:before="113"/>
        <w:ind w:left="3225" w:right="1755"/>
        <w:rPr>
          <w:b w:val="0"/>
        </w:rPr>
      </w:pPr>
      <w:r>
        <w:rPr>
          <w:b w:val="0"/>
          <w:color w:val="231F20"/>
        </w:rPr>
        <w:t>Her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examines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democratic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aspects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contemporary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governance,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participation,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deliberation,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inclusion,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representation.</w:t>
      </w:r>
    </w:p>
    <w:p>
      <w:pPr>
        <w:pStyle w:val="BodyText"/>
        <w:spacing w:line="192" w:lineRule="auto" w:before="114"/>
        <w:ind w:left="3225" w:right="1482"/>
        <w:rPr>
          <w:b w:val="0"/>
        </w:rPr>
      </w:pPr>
      <w:r>
        <w:rPr>
          <w:b w:val="0"/>
          <w:color w:val="231F20"/>
        </w:rPr>
        <w:t>She has taught and published widely on the application and politics of inclusive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 deliberative forms of citizen engagement. She has led numerous empirical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projects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Germany,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Netherlands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role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interests,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power,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networks,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markets,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elites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participatory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modes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governing.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Carolyn’s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recent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publications consider pathways for strengthening public deliberation and citizen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engagement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mainstream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spaces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representative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democracy,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such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legislative</w:t>
      </w:r>
    </w:p>
    <w:p>
      <w:pPr>
        <w:pStyle w:val="BodyText"/>
        <w:spacing w:line="192" w:lineRule="auto"/>
        <w:ind w:left="3225" w:right="1272"/>
        <w:rPr>
          <w:b w:val="0"/>
        </w:rPr>
      </w:pPr>
      <w:r>
        <w:rPr>
          <w:b w:val="0"/>
          <w:color w:val="231F20"/>
        </w:rPr>
        <w:t>committees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constituency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service.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During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2019-2020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Carolyn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Visiting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Democracy Fellow at the Ash Center for Democratic Governance and Innovation 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Harvard University. During her fellowship she examined democratic work undertaken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by grass roots initiatives that self-organise to solve public problems, such as civic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enterprises,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cooperatives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self-help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groups.</w:t>
      </w:r>
    </w:p>
    <w:p>
      <w:pPr>
        <w:pStyle w:val="BodyText"/>
        <w:spacing w:line="290" w:lineRule="auto" w:before="71"/>
        <w:ind w:left="3225" w:right="4312"/>
        <w:rPr>
          <w:b w:val="0"/>
        </w:rPr>
      </w:pPr>
      <w:r>
        <w:rPr>
          <w:b w:val="0"/>
          <w:color w:val="231F20"/>
        </w:rPr>
        <w:t>Role: Crawford School of Public Policy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University/Agency: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1"/>
        </w:rPr>
        <w:t>Australian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University</w:t>
      </w:r>
    </w:p>
    <w:p>
      <w:pPr>
        <w:pStyle w:val="BodyText"/>
        <w:spacing w:before="3"/>
        <w:rPr>
          <w:b w:val="0"/>
          <w:sz w:val="16"/>
        </w:rPr>
      </w:pPr>
      <w:r>
        <w:rPr/>
        <w:pict>
          <v:shape style="position:absolute;margin-left:56.692902pt;margin-top:12.926pt;width:481.9pt;height:.1pt;mso-position-horizontal-relative:page;mso-position-vertical-relative:paragraph;z-index:-15710208;mso-wrap-distance-left:0;mso-wrap-distance-right:0" id="docshape164" coordorigin="1134,259" coordsize="9638,0" path="m1134,259l10772,259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7"/>
        </w:rPr>
      </w:pPr>
    </w:p>
    <w:p>
      <w:pPr>
        <w:pStyle w:val="BodyText"/>
        <w:spacing w:line="20" w:lineRule="exact"/>
        <w:ind w:left="673"/>
        <w:rPr>
          <w:sz w:val="2"/>
        </w:rPr>
      </w:pPr>
      <w:r>
        <w:rPr>
          <w:sz w:val="2"/>
        </w:rPr>
        <w:pict>
          <v:group style="width:481.9pt;height:.25pt;mso-position-horizontal-relative:char;mso-position-vertical-relative:line" id="docshapegroup165" coordorigin="0,0" coordsize="9638,5">
            <v:line style="position:absolute" from="0,3" to="9638,3" stroked="true" strokeweight=".25pt" strokecolor="#243b7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b w:val="0"/>
          <w:sz w:val="6"/>
        </w:rPr>
      </w:pPr>
    </w:p>
    <w:p>
      <w:pPr>
        <w:spacing w:before="62"/>
        <w:ind w:left="3225" w:right="0" w:firstLine="0"/>
        <w:jc w:val="left"/>
        <w:rPr>
          <w:rFonts w:ascii="Domus Semibold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759420</wp:posOffset>
            </wp:positionH>
            <wp:positionV relativeFrom="paragraph">
              <wp:posOffset>92568</wp:posOffset>
            </wp:positionV>
            <wp:extent cx="1370585" cy="1409992"/>
            <wp:effectExtent l="0" t="0" r="0" b="0"/>
            <wp:wrapNone/>
            <wp:docPr id="4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585" cy="14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/>
          <w:b w:val="0"/>
          <w:color w:val="243B7D"/>
          <w:sz w:val="28"/>
        </w:rPr>
        <w:t>Professor</w:t>
      </w:r>
      <w:r>
        <w:rPr>
          <w:rFonts w:ascii="Domus Semibold"/>
          <w:b w:val="0"/>
          <w:color w:val="243B7D"/>
          <w:spacing w:val="-5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Richard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James</w:t>
      </w:r>
    </w:p>
    <w:p>
      <w:pPr>
        <w:pStyle w:val="BodyText"/>
        <w:spacing w:line="192" w:lineRule="auto" w:before="164"/>
        <w:ind w:left="3225" w:right="1424"/>
        <w:rPr>
          <w:b w:val="0"/>
        </w:rPr>
      </w:pPr>
      <w:r>
        <w:rPr>
          <w:b w:val="0"/>
          <w:color w:val="231F20"/>
        </w:rPr>
        <w:t>Professor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Richard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James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Vice-Chancellor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(Academic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Undergraduate)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Deputy Provost. He holds a chair in the field of higher education and is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researcher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commentator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Australia.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</w:p>
    <w:p>
      <w:pPr>
        <w:pStyle w:val="BodyText"/>
        <w:spacing w:line="232" w:lineRule="exact"/>
        <w:ind w:left="3225"/>
        <w:rPr>
          <w:b w:val="0"/>
        </w:rPr>
      </w:pPr>
      <w:r>
        <w:rPr>
          <w:b w:val="0"/>
          <w:color w:val="231F20"/>
        </w:rPr>
        <w:t>Fellow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Council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Educational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Leaders.</w:t>
      </w:r>
    </w:p>
    <w:p>
      <w:pPr>
        <w:pStyle w:val="BodyText"/>
        <w:spacing w:line="192" w:lineRule="auto" w:before="101"/>
        <w:ind w:left="3225" w:right="1156"/>
        <w:rPr>
          <w:b w:val="0"/>
        </w:rPr>
      </w:pPr>
      <w:r>
        <w:rPr>
          <w:b w:val="0"/>
          <w:color w:val="231F20"/>
        </w:rPr>
        <w:t>Professor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James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inaugural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Australian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Higher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Standards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Panel (HESP) that prepared the standards framework used by the Tertiary Education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Quality and Standards Agency for regulatory purposes. He is a member of the Quality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Indicators for Learning and Teaching (QILT) Advisory Group that guides performance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measurement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Australian universities.</w:t>
      </w:r>
    </w:p>
    <w:p>
      <w:pPr>
        <w:pStyle w:val="BodyText"/>
        <w:spacing w:line="192" w:lineRule="auto" w:before="114"/>
        <w:ind w:left="3225" w:right="1301"/>
        <w:rPr>
          <w:b w:val="0"/>
        </w:rPr>
      </w:pPr>
      <w:r>
        <w:rPr>
          <w:b w:val="0"/>
          <w:color w:val="231F20"/>
        </w:rPr>
        <w:t>Richard has wide-ranging research interests in higher education that centre on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experience.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spans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access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equity,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transition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university,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finances,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engagement,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academic standards. He has published widely on the effects of social class on higher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education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aspirations and participation.</w:t>
      </w:r>
    </w:p>
    <w:p>
      <w:pPr>
        <w:pStyle w:val="BodyText"/>
        <w:spacing w:line="290" w:lineRule="auto" w:before="70"/>
        <w:ind w:left="3225" w:right="2793"/>
        <w:rPr>
          <w:b w:val="0"/>
        </w:rPr>
      </w:pPr>
      <w:r>
        <w:rPr>
          <w:b w:val="0"/>
          <w:color w:val="231F20"/>
        </w:rPr>
        <w:t>Role: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Vice-Chancellor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Provost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University/Agency: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Melbourne</w:t>
      </w:r>
    </w:p>
    <w:p>
      <w:pPr>
        <w:pStyle w:val="BodyText"/>
        <w:spacing w:before="4"/>
        <w:rPr>
          <w:b w:val="0"/>
          <w:sz w:val="16"/>
        </w:rPr>
      </w:pPr>
      <w:r>
        <w:rPr/>
        <w:pict>
          <v:shape style="position:absolute;margin-left:56.692902pt;margin-top:12.98477pt;width:481.9pt;height:.1pt;mso-position-horizontal-relative:page;mso-position-vertical-relative:paragraph;z-index:-15708160;mso-wrap-distance-left:0;mso-wrap-distance-right:0" id="docshape166" coordorigin="1134,260" coordsize="9638,0" path="m1134,260l10772,260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225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43B7D"/>
          <w:sz w:val="28"/>
        </w:rPr>
        <w:t>Associate</w:t>
      </w:r>
      <w:r>
        <w:rPr>
          <w:rFonts w:ascii="Domus Semibold" w:hAnsi="Domus Semibold"/>
          <w:b w:val="0"/>
          <w:color w:val="243B7D"/>
          <w:spacing w:val="-6"/>
          <w:sz w:val="28"/>
        </w:rPr>
        <w:t> </w:t>
      </w:r>
      <w:r>
        <w:rPr>
          <w:rFonts w:ascii="Domus Semibold" w:hAnsi="Domus Semibold"/>
          <w:b w:val="0"/>
          <w:color w:val="243B7D"/>
          <w:sz w:val="28"/>
        </w:rPr>
        <w:t>Professor</w:t>
      </w:r>
      <w:r>
        <w:rPr>
          <w:rFonts w:ascii="Domus Semibold" w:hAnsi="Domus Semibold"/>
          <w:b w:val="0"/>
          <w:color w:val="243B7D"/>
          <w:spacing w:val="-5"/>
          <w:sz w:val="28"/>
        </w:rPr>
        <w:t> </w:t>
      </w:r>
      <w:r>
        <w:rPr>
          <w:rFonts w:ascii="Domus Semibold" w:hAnsi="Domus Semibold"/>
          <w:b w:val="0"/>
          <w:color w:val="243B7D"/>
          <w:sz w:val="28"/>
        </w:rPr>
        <w:t>Karl</w:t>
      </w:r>
      <w:r>
        <w:rPr>
          <w:rFonts w:ascii="Domus Semibold" w:hAnsi="Domus Semibold"/>
          <w:b w:val="0"/>
          <w:color w:val="243B7D"/>
          <w:spacing w:val="-6"/>
          <w:sz w:val="28"/>
        </w:rPr>
        <w:t> </w:t>
      </w:r>
      <w:r>
        <w:rPr>
          <w:rFonts w:ascii="Domus Semibold" w:hAnsi="Domus Semibold"/>
          <w:b w:val="0"/>
          <w:color w:val="243B7D"/>
          <w:sz w:val="28"/>
        </w:rPr>
        <w:t>Löfgren</w:t>
      </w:r>
    </w:p>
    <w:p>
      <w:pPr>
        <w:pStyle w:val="BodyText"/>
        <w:spacing w:line="192" w:lineRule="auto" w:before="163"/>
        <w:ind w:left="3225" w:right="1540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720001</wp:posOffset>
            </wp:positionH>
            <wp:positionV relativeFrom="paragraph">
              <wp:posOffset>-150679</wp:posOffset>
            </wp:positionV>
            <wp:extent cx="1410004" cy="1410004"/>
            <wp:effectExtent l="0" t="0" r="0" b="0"/>
            <wp:wrapNone/>
            <wp:docPr id="4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04" cy="141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Dr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Karl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Löfgren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Head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Associate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Government, Victoria University of Wellington, Aotearoa-New Zealand. He has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previously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held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positions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Copenhagen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(Denmark),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Malmö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1"/>
        </w:rPr>
        <w:t>University (Sweden) </w:t>
      </w:r>
      <w:r>
        <w:rPr>
          <w:b w:val="0"/>
          <w:color w:val="231F20"/>
        </w:rPr>
        <w:t>and Roskilde University (Denmark). Current research interests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include digital governance and service delivery, public management, and policy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implementation/organisational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changes/reforms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organisations.</w:t>
      </w:r>
    </w:p>
    <w:p>
      <w:pPr>
        <w:pStyle w:val="BodyText"/>
        <w:spacing w:line="290" w:lineRule="auto" w:before="70"/>
        <w:ind w:left="3225" w:right="4326"/>
        <w:rPr>
          <w:b w:val="0"/>
        </w:rPr>
      </w:pPr>
      <w:r>
        <w:rPr>
          <w:b w:val="0"/>
          <w:color w:val="231F20"/>
        </w:rPr>
        <w:t>Role: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Head,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University/Agency: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Victoria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University</w:t>
      </w:r>
    </w:p>
    <w:p>
      <w:pPr>
        <w:pStyle w:val="BodyText"/>
        <w:spacing w:before="4"/>
        <w:rPr>
          <w:b w:val="0"/>
          <w:sz w:val="16"/>
        </w:rPr>
      </w:pPr>
      <w:r>
        <w:rPr/>
        <w:pict>
          <v:shape style="position:absolute;margin-left:56.692902pt;margin-top:12.97957pt;width:481.9pt;height:.1pt;mso-position-horizontal-relative:page;mso-position-vertical-relative:paragraph;z-index:-15707648;mso-wrap-distance-left:0;mso-wrap-distance-right:0" id="docshape167" coordorigin="1134,260" coordsize="9638,0" path="m1134,260l10772,260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225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43B7D"/>
          <w:sz w:val="28"/>
        </w:rPr>
        <w:t>Professor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John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Phillimore</w:t>
      </w:r>
    </w:p>
    <w:p>
      <w:pPr>
        <w:pStyle w:val="BodyText"/>
        <w:spacing w:line="192" w:lineRule="auto" w:before="163"/>
        <w:ind w:left="3225" w:right="1680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720001</wp:posOffset>
            </wp:positionH>
            <wp:positionV relativeFrom="paragraph">
              <wp:posOffset>-157477</wp:posOffset>
            </wp:positionV>
            <wp:extent cx="1410004" cy="1409992"/>
            <wp:effectExtent l="0" t="0" r="0" b="0"/>
            <wp:wrapNone/>
            <wp:docPr id="4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04" cy="14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Professor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John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Phillimore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joined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Curtin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July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2007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 John Curtin Institute of Public Policy (JCIPP). A Rhodes Scholar, he did his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undergraduate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degree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politics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history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</w:t>
      </w:r>
    </w:p>
    <w:p>
      <w:pPr>
        <w:pStyle w:val="BodyText"/>
        <w:spacing w:line="192" w:lineRule="auto"/>
        <w:ind w:left="3225" w:right="1238"/>
        <w:rPr>
          <w:b w:val="0"/>
        </w:rPr>
      </w:pPr>
      <w:r>
        <w:rPr>
          <w:b w:val="0"/>
          <w:color w:val="231F20"/>
        </w:rPr>
        <w:t>first-class honours in Politics and Economics at Oxford University. From 1987 to 1991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he studied at the Science Policy Research Unit at the University of Sussex in the UK,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where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coursework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Masters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degree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DPhil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technology,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vocational</w:t>
      </w:r>
    </w:p>
    <w:p>
      <w:pPr>
        <w:pStyle w:val="BodyText"/>
        <w:spacing w:line="192" w:lineRule="auto"/>
        <w:ind w:left="3225" w:right="1169"/>
        <w:rPr>
          <w:b w:val="0"/>
        </w:rPr>
      </w:pPr>
      <w:r>
        <w:rPr>
          <w:b w:val="0"/>
          <w:color w:val="231F20"/>
        </w:rPr>
        <w:t>training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industrial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relations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Australia.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1991-2001,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Sustainability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Technology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Policy,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Murdoch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University.</w:t>
      </w:r>
    </w:p>
    <w:p>
      <w:pPr>
        <w:pStyle w:val="BodyText"/>
        <w:spacing w:line="192" w:lineRule="auto" w:before="114"/>
        <w:ind w:left="3225" w:right="1687"/>
        <w:rPr>
          <w:b w:val="0"/>
        </w:rPr>
      </w:pPr>
      <w:r>
        <w:rPr>
          <w:b w:val="0"/>
          <w:color w:val="231F20"/>
        </w:rPr>
        <w:t>John has also worked for many years at senior levels in the Western Australian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government.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worked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Chief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Staff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several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ministers,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</w:p>
    <w:p>
      <w:pPr>
        <w:pStyle w:val="BodyText"/>
        <w:spacing w:line="192" w:lineRule="auto"/>
        <w:ind w:left="3225" w:right="1193"/>
        <w:rPr>
          <w:b w:val="0"/>
        </w:rPr>
      </w:pPr>
      <w:r>
        <w:rPr>
          <w:b w:val="0"/>
          <w:color w:val="231F20"/>
        </w:rPr>
        <w:t>mid-1980s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early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2000s.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Intergovernmental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Relations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from 2005 to 2007, providing advice to the Premier and Cabinet on COAG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Commonwealth-State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issues.</w:t>
      </w:r>
    </w:p>
    <w:p>
      <w:pPr>
        <w:pStyle w:val="BodyText"/>
        <w:spacing w:line="290" w:lineRule="auto" w:before="70"/>
        <w:ind w:left="3225" w:right="2793"/>
        <w:rPr>
          <w:b w:val="0"/>
        </w:rPr>
      </w:pPr>
      <w:r>
        <w:rPr>
          <w:b w:val="0"/>
          <w:color w:val="231F20"/>
        </w:rPr>
        <w:t>Role: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John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Curtin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Institute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University/Agency: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Curtin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</w:t>
      </w:r>
    </w:p>
    <w:p>
      <w:pPr>
        <w:pStyle w:val="BodyText"/>
        <w:spacing w:before="3"/>
        <w:rPr>
          <w:b w:val="0"/>
          <w:sz w:val="16"/>
        </w:rPr>
      </w:pPr>
      <w:r>
        <w:rPr/>
        <w:pict>
          <v:shape style="position:absolute;margin-left:56.692902pt;margin-top:12.926pt;width:481.9pt;height:.1pt;mso-position-horizontal-relative:page;mso-position-vertical-relative:paragraph;z-index:-15707136;mso-wrap-distance-left:0;mso-wrap-distance-right:0" id="docshape168" coordorigin="1134,259" coordsize="9638,0" path="m1134,259l10772,259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7"/>
        </w:rPr>
      </w:pPr>
    </w:p>
    <w:p>
      <w:pPr>
        <w:pStyle w:val="BodyText"/>
        <w:spacing w:line="20" w:lineRule="exact"/>
        <w:ind w:left="673"/>
        <w:rPr>
          <w:sz w:val="2"/>
        </w:rPr>
      </w:pPr>
      <w:r>
        <w:rPr>
          <w:sz w:val="2"/>
        </w:rPr>
        <w:pict>
          <v:group style="width:481.9pt;height:.25pt;mso-position-horizontal-relative:char;mso-position-vertical-relative:line" id="docshapegroup169" coordorigin="0,0" coordsize="9638,5">
            <v:line style="position:absolute" from="0,3" to="9638,3" stroked="true" strokeweight=".25pt" strokecolor="#243b7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b w:val="0"/>
          <w:sz w:val="6"/>
        </w:rPr>
      </w:pPr>
    </w:p>
    <w:p>
      <w:pPr>
        <w:spacing w:before="62"/>
        <w:ind w:left="3225" w:right="0" w:firstLine="0"/>
        <w:jc w:val="left"/>
        <w:rPr>
          <w:rFonts w:ascii="Domus Semibold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720001</wp:posOffset>
            </wp:positionH>
            <wp:positionV relativeFrom="paragraph">
              <wp:posOffset>98562</wp:posOffset>
            </wp:positionV>
            <wp:extent cx="1410004" cy="1409992"/>
            <wp:effectExtent l="0" t="0" r="0" b="0"/>
            <wp:wrapNone/>
            <wp:docPr id="4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04" cy="14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/>
          <w:b w:val="0"/>
          <w:color w:val="243B7D"/>
          <w:sz w:val="28"/>
        </w:rPr>
        <w:t>Professor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Juliet</w:t>
      </w:r>
      <w:r>
        <w:rPr>
          <w:rFonts w:ascii="Domus Semibold"/>
          <w:b w:val="0"/>
          <w:color w:val="243B7D"/>
          <w:spacing w:val="-3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Pietsch</w:t>
      </w:r>
    </w:p>
    <w:p>
      <w:pPr>
        <w:pStyle w:val="BodyText"/>
        <w:spacing w:line="192" w:lineRule="auto" w:before="164"/>
        <w:ind w:left="3225" w:right="1264"/>
        <w:rPr>
          <w:b w:val="0"/>
        </w:rPr>
      </w:pPr>
      <w:r>
        <w:rPr>
          <w:b w:val="0"/>
          <w:color w:val="231F20"/>
        </w:rPr>
        <w:t>Professor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Juliet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Pietsch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leading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scholar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specialist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fields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migration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politics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political behaviour in Australia and Southeast Asia. She has published more than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60 research publications, including six single-authored and co-authored books 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edited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collections.</w:t>
      </w:r>
    </w:p>
    <w:p>
      <w:pPr>
        <w:pStyle w:val="BodyText"/>
        <w:spacing w:line="192" w:lineRule="auto" w:before="113"/>
        <w:ind w:left="3225" w:right="1255"/>
        <w:rPr>
          <w:b w:val="0"/>
        </w:rPr>
      </w:pPr>
      <w:r>
        <w:rPr>
          <w:b w:val="0"/>
          <w:color w:val="231F20"/>
        </w:rPr>
        <w:t>Juliet has also played a lead investigator role on six ARC grants - collectively worth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more than $1.6 million - that involve the development of research data infrastructure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for the study of migration and political behaviours. In particular, she has been a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Principal investigator on the Australian Election Studies series, the ANU Poll,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Values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Survey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author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first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ongoing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series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reports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entitled Trends in Australian Political Opinion: Results from the Australian Election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Study. She has held Visiting Fellowships at Stanford University, Concordia University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 University of Oxford.</w:t>
      </w:r>
    </w:p>
    <w:p>
      <w:pPr>
        <w:pStyle w:val="BodyText"/>
        <w:spacing w:line="290" w:lineRule="auto" w:before="71"/>
        <w:ind w:left="3225" w:right="4326"/>
        <w:rPr>
          <w:b w:val="0"/>
        </w:rPr>
      </w:pPr>
      <w:r>
        <w:rPr>
          <w:b w:val="0"/>
          <w:color w:val="231F20"/>
        </w:rPr>
        <w:t>Role: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Head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School,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Business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University/Agency: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University</w:t>
      </w:r>
    </w:p>
    <w:p>
      <w:pPr>
        <w:pStyle w:val="BodyText"/>
        <w:spacing w:before="3"/>
        <w:rPr>
          <w:b w:val="0"/>
          <w:sz w:val="16"/>
        </w:rPr>
      </w:pPr>
      <w:r>
        <w:rPr/>
        <w:pict>
          <v:shape style="position:absolute;margin-left:56.693001pt;margin-top:12.94967pt;width:481.9pt;height:.1pt;mso-position-horizontal-relative:page;mso-position-vertical-relative:paragraph;z-index:-15704576;mso-wrap-distance-left:0;mso-wrap-distance-right:0" id="docshape170" coordorigin="1134,259" coordsize="9638,0" path="m1134,259l10772,259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225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43B7D"/>
          <w:sz w:val="28"/>
        </w:rPr>
        <w:t>Dr</w:t>
      </w:r>
      <w:r>
        <w:rPr>
          <w:rFonts w:ascii="Domus Semibold"/>
          <w:b w:val="0"/>
          <w:color w:val="243B7D"/>
          <w:spacing w:val="-5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Chris</w:t>
      </w:r>
      <w:r>
        <w:rPr>
          <w:rFonts w:ascii="Domus Semibold"/>
          <w:b w:val="0"/>
          <w:color w:val="243B7D"/>
          <w:spacing w:val="-5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Walker</w:t>
      </w:r>
    </w:p>
    <w:p>
      <w:pPr>
        <w:pStyle w:val="BodyText"/>
        <w:spacing w:line="192" w:lineRule="auto" w:before="163"/>
        <w:ind w:left="3225" w:right="1165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720001</wp:posOffset>
            </wp:positionH>
            <wp:positionV relativeFrom="paragraph">
              <wp:posOffset>-153264</wp:posOffset>
            </wp:positionV>
            <wp:extent cx="1410004" cy="1410004"/>
            <wp:effectExtent l="0" t="0" r="0" b="0"/>
            <wp:wrapNone/>
            <wp:docPr id="4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04" cy="141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Christopher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Walker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Associate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Dean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Relations)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of the Executive Masters of Public Administration (EMPA) of the Australia and New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Zealand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School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5"/>
        </w:rPr>
        <w:t> </w:t>
      </w:r>
      <w:hyperlink r:id="rId33">
        <w:r>
          <w:rPr>
            <w:b w:val="0"/>
            <w:color w:val="243B7D"/>
            <w:u w:val="single" w:color="243B7D"/>
          </w:rPr>
          <w:t>(ANZSOG)</w:t>
        </w:r>
      </w:hyperlink>
      <w:r>
        <w:rPr>
          <w:b w:val="0"/>
          <w:color w:val="231F20"/>
        </w:rPr>
        <w:t>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Chris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member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executive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leadership team and responsible for developing and maintaining relations with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ANZSOG’s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partner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universities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Australia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Zealand.</w:t>
      </w:r>
    </w:p>
    <w:p>
      <w:pPr>
        <w:pStyle w:val="BodyText"/>
        <w:spacing w:line="192" w:lineRule="auto"/>
        <w:ind w:left="3225" w:right="2178"/>
        <w:jc w:val="both"/>
        <w:rPr>
          <w:b w:val="0"/>
        </w:rPr>
      </w:pPr>
      <w:r>
        <w:rPr>
          <w:b w:val="0"/>
          <w:color w:val="231F20"/>
        </w:rPr>
        <w:t>Chris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contributes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strategic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relations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international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centers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expertise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sector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management,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leadership,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regulation 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public policy.</w:t>
      </w:r>
    </w:p>
    <w:p>
      <w:pPr>
        <w:pStyle w:val="BodyText"/>
        <w:spacing w:line="192" w:lineRule="auto" w:before="114"/>
        <w:ind w:left="3225" w:right="1385"/>
        <w:rPr>
          <w:b w:val="0"/>
        </w:rPr>
      </w:pPr>
      <w:r>
        <w:rPr>
          <w:b w:val="0"/>
          <w:color w:val="231F20"/>
        </w:rPr>
        <w:t>As Academic Director, Chris leads the management and delivery of ANZSOG’s core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program,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involves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oversight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ongoing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program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development,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review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input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into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teaching.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Chris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responsible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oversight</w:t>
      </w:r>
    </w:p>
    <w:p>
      <w:pPr>
        <w:pStyle w:val="BodyText"/>
        <w:spacing w:line="192" w:lineRule="auto"/>
        <w:ind w:left="3225" w:right="1734"/>
        <w:jc w:val="both"/>
        <w:rPr>
          <w:b w:val="0"/>
        </w:rPr>
      </w:pP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student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matters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well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liaison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negotiation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expert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faculty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engaged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drawn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Aotearoa-New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Zealand,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Singapore,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Europe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US.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Chris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Lead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subject</w:t>
      </w:r>
    </w:p>
    <w:p>
      <w:pPr>
        <w:pStyle w:val="BodyText"/>
        <w:spacing w:line="232" w:lineRule="exact"/>
        <w:ind w:left="3225"/>
        <w:rPr>
          <w:b w:val="0"/>
        </w:rPr>
      </w:pPr>
      <w:r>
        <w:rPr>
          <w:b w:val="0"/>
          <w:color w:val="231F20"/>
        </w:rPr>
        <w:t>Delivery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Public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Policies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Programs.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Chris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Adjunct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Professor,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Griffith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University.</w:t>
      </w:r>
    </w:p>
    <w:p>
      <w:pPr>
        <w:pStyle w:val="BodyText"/>
        <w:spacing w:line="290" w:lineRule="auto" w:before="58"/>
        <w:ind w:left="3225" w:right="4588"/>
        <w:rPr>
          <w:b w:val="0"/>
        </w:rPr>
      </w:pPr>
      <w:r>
        <w:rPr>
          <w:b w:val="0"/>
          <w:color w:val="231F20"/>
        </w:rPr>
        <w:t>Role: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Deputy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Dean,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EMPA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Director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University/Agency: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ANZSOG</w:t>
      </w:r>
    </w:p>
    <w:p>
      <w:pPr>
        <w:pStyle w:val="BodyText"/>
        <w:spacing w:before="4"/>
        <w:rPr>
          <w:b w:val="0"/>
          <w:sz w:val="16"/>
        </w:rPr>
      </w:pPr>
      <w:r>
        <w:rPr/>
        <w:pict>
          <v:shape style="position:absolute;margin-left:56.693001pt;margin-top:12.98427pt;width:481.9pt;height:.1pt;mso-position-horizontal-relative:page;mso-position-vertical-relative:paragraph;z-index:-15704064;mso-wrap-distance-left:0;mso-wrap-distance-right:0" id="docshape171" coordorigin="1134,260" coordsize="9638,0" path="m1134,260l10772,260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before="171"/>
        <w:ind w:left="3225" w:right="0" w:firstLine="0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43B7D"/>
          <w:sz w:val="28"/>
        </w:rPr>
        <w:t>Ms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Rachael</w:t>
      </w:r>
      <w:r>
        <w:rPr>
          <w:rFonts w:ascii="Domus Semibold"/>
          <w:b w:val="0"/>
          <w:color w:val="243B7D"/>
          <w:spacing w:val="-4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Weiss</w:t>
      </w:r>
    </w:p>
    <w:p>
      <w:pPr>
        <w:pStyle w:val="BodyText"/>
        <w:spacing w:line="192" w:lineRule="auto" w:before="163"/>
        <w:ind w:left="3225" w:right="1261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720001</wp:posOffset>
            </wp:positionH>
            <wp:positionV relativeFrom="paragraph">
              <wp:posOffset>-157349</wp:posOffset>
            </wp:positionV>
            <wp:extent cx="1410004" cy="1409992"/>
            <wp:effectExtent l="0" t="0" r="0" b="0"/>
            <wp:wrapNone/>
            <wp:docPr id="5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04" cy="14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Rachael Weiss is the University Quality Manager at The University of Sydney where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oversees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implementation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development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University’s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agenda.</w:t>
      </w:r>
    </w:p>
    <w:p>
      <w:pPr>
        <w:pStyle w:val="BodyText"/>
        <w:spacing w:line="192" w:lineRule="auto"/>
        <w:ind w:left="3225" w:right="1015"/>
        <w:rPr>
          <w:b w:val="0"/>
        </w:rPr>
      </w:pPr>
      <w:r>
        <w:rPr>
          <w:b w:val="0"/>
          <w:color w:val="231F20"/>
        </w:rPr>
        <w:t>Her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accreditation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career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spans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fifteen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years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Australia,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UK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Ireland.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Rachael is on the academic board of AFTRS and has managed TEQSA re-registrations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New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South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Wales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Sydney.</w:t>
      </w:r>
    </w:p>
    <w:p>
      <w:pPr>
        <w:pStyle w:val="BodyText"/>
        <w:spacing w:line="290" w:lineRule="auto" w:before="70"/>
        <w:ind w:left="3225" w:right="4326"/>
        <w:rPr>
          <w:b w:val="0"/>
        </w:rPr>
      </w:pPr>
      <w:r>
        <w:rPr>
          <w:b w:val="0"/>
          <w:color w:val="231F20"/>
        </w:rPr>
        <w:t>Role: University Quality Manager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University/Agency: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University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Sydney</w:t>
      </w:r>
    </w:p>
    <w:p>
      <w:pPr>
        <w:pStyle w:val="BodyText"/>
        <w:spacing w:before="4"/>
        <w:rPr>
          <w:b w:val="0"/>
          <w:sz w:val="16"/>
        </w:rPr>
      </w:pPr>
      <w:r>
        <w:rPr/>
        <w:pict>
          <v:shape style="position:absolute;margin-left:56.693001pt;margin-top:12.97677pt;width:481.9pt;height:.1pt;mso-position-horizontal-relative:page;mso-position-vertical-relative:paragraph;z-index:-15703552;mso-wrap-distance-left:0;mso-wrap-distance-right:0" id="docshape172" coordorigin="1134,260" coordsize="9638,0" path="m1134,260l10772,260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7"/>
        </w:rPr>
      </w:pPr>
    </w:p>
    <w:p>
      <w:pPr>
        <w:pStyle w:val="BodyText"/>
        <w:spacing w:line="20" w:lineRule="exact"/>
        <w:ind w:left="673"/>
        <w:rPr>
          <w:sz w:val="2"/>
        </w:rPr>
      </w:pPr>
      <w:r>
        <w:rPr>
          <w:sz w:val="2"/>
        </w:rPr>
        <w:pict>
          <v:group style="width:481.9pt;height:.25pt;mso-position-horizontal-relative:char;mso-position-vertical-relative:line" id="docshapegroup173" coordorigin="0,0" coordsize="9638,5">
            <v:line style="position:absolute" from="0,3" to="9638,3" stroked="true" strokeweight=".25pt" strokecolor="#243b7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b w:val="0"/>
          <w:sz w:val="6"/>
        </w:rPr>
      </w:pPr>
    </w:p>
    <w:p>
      <w:pPr>
        <w:spacing w:before="62"/>
        <w:ind w:left="3225" w:right="0" w:firstLine="0"/>
        <w:jc w:val="left"/>
        <w:rPr>
          <w:rFonts w:ascii="Domus Semibold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720001</wp:posOffset>
            </wp:positionH>
            <wp:positionV relativeFrom="paragraph">
              <wp:posOffset>98562</wp:posOffset>
            </wp:positionV>
            <wp:extent cx="1410004" cy="1409992"/>
            <wp:effectExtent l="0" t="0" r="0" b="0"/>
            <wp:wrapNone/>
            <wp:docPr id="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04" cy="14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/>
          <w:b w:val="0"/>
          <w:color w:val="243B7D"/>
          <w:sz w:val="28"/>
        </w:rPr>
        <w:t>Dr</w:t>
      </w:r>
      <w:r>
        <w:rPr>
          <w:rFonts w:ascii="Domus Semibold"/>
          <w:b w:val="0"/>
          <w:color w:val="243B7D"/>
          <w:spacing w:val="-7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Samantha</w:t>
      </w:r>
      <w:r>
        <w:rPr>
          <w:rFonts w:ascii="Domus Semibold"/>
          <w:b w:val="0"/>
          <w:color w:val="243B7D"/>
          <w:spacing w:val="-11"/>
          <w:sz w:val="28"/>
        </w:rPr>
        <w:t> </w:t>
      </w:r>
      <w:r>
        <w:rPr>
          <w:rFonts w:ascii="Domus Semibold"/>
          <w:b w:val="0"/>
          <w:color w:val="243B7D"/>
          <w:sz w:val="28"/>
        </w:rPr>
        <w:t>Young</w:t>
      </w:r>
    </w:p>
    <w:p>
      <w:pPr>
        <w:pStyle w:val="BodyText"/>
        <w:spacing w:line="192" w:lineRule="auto" w:before="164"/>
        <w:ind w:left="3225" w:right="1462"/>
        <w:rPr>
          <w:b w:val="0"/>
        </w:rPr>
      </w:pPr>
      <w:r>
        <w:rPr>
          <w:b w:val="0"/>
          <w:color w:val="231F20"/>
        </w:rPr>
        <w:t>Dr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Samantha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Young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over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fifteen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years’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experience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sector,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as an academic, and governance and regulatory specialist. Since joining Monash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University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Director,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2017,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Young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institutional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quality</w:t>
      </w:r>
    </w:p>
    <w:p>
      <w:pPr>
        <w:pStyle w:val="BodyText"/>
        <w:spacing w:line="192" w:lineRule="auto"/>
        <w:ind w:left="3225" w:right="2156"/>
        <w:rPr>
          <w:b w:val="0"/>
        </w:rPr>
      </w:pPr>
      <w:r>
        <w:rPr>
          <w:b w:val="0"/>
          <w:color w:val="231F20"/>
        </w:rPr>
        <w:t>and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policy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functions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University’s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presences,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recent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establishment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of Monash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Indonesia.</w:t>
      </w:r>
    </w:p>
    <w:p>
      <w:pPr>
        <w:pStyle w:val="BodyText"/>
        <w:spacing w:line="192" w:lineRule="auto" w:before="113"/>
        <w:ind w:left="3225" w:right="1263"/>
        <w:rPr>
          <w:b w:val="0"/>
        </w:rPr>
      </w:pPr>
      <w:r>
        <w:rPr>
          <w:b w:val="0"/>
          <w:color w:val="231F20"/>
        </w:rPr>
        <w:t>Prior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current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role,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Samantha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held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senior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quality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assurance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roles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both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TEQSA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and RMIT University. She has expertise in establishing governance systems for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management of higher education standards in transnational education partnerships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across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diverse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jurisdictions,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including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Malaysia,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China,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Hong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Kong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Vietnam.</w:t>
      </w:r>
    </w:p>
    <w:p>
      <w:pPr>
        <w:pStyle w:val="BodyText"/>
        <w:spacing w:line="290" w:lineRule="auto" w:before="70"/>
        <w:ind w:left="3225" w:right="4938"/>
        <w:rPr>
          <w:b w:val="0"/>
        </w:rPr>
      </w:pPr>
      <w:r>
        <w:rPr>
          <w:b w:val="0"/>
          <w:color w:val="231F20"/>
        </w:rPr>
        <w:t>Role: Director, Quality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University/Agency: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1"/>
        </w:rPr>
        <w:t>Monash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"/>
        </w:rPr>
        <w:t>University</w:t>
      </w:r>
    </w:p>
    <w:p>
      <w:pPr>
        <w:pStyle w:val="BodyText"/>
        <w:spacing w:before="4"/>
        <w:rPr>
          <w:b w:val="0"/>
          <w:sz w:val="16"/>
        </w:rPr>
      </w:pPr>
      <w:r>
        <w:rPr/>
        <w:pict>
          <v:shape style="position:absolute;margin-left:56.692902pt;margin-top:12.976pt;width:481.9pt;height:.1pt;mso-position-horizontal-relative:page;mso-position-vertical-relative:paragraph;z-index:-15700992;mso-wrap-distance-left:0;mso-wrap-distance-right:0" id="docshape174" coordorigin="1134,260" coordsize="9638,0" path="m1134,260l10772,260e" filled="false" stroked="true" strokeweight=".25pt" strokecolor="#243b7d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555" w:top="1580" w:bottom="740" w:left="460" w:right="0"/>
        </w:sectPr>
      </w:pPr>
    </w:p>
    <w:p>
      <w:pPr>
        <w:pStyle w:val="Heading1"/>
        <w:rPr>
          <w:b w:val="0"/>
        </w:rPr>
      </w:pPr>
      <w:r>
        <w:rPr/>
        <w:pict>
          <v:rect style="position:absolute;margin-left:0pt;margin-top:.001015pt;width:595.275pt;height:841.889pt;mso-position-horizontal-relative:page;mso-position-vertical-relative:page;z-index:-19452928" id="docshape175" filled="true" fillcolor="#5bcbf5" stroked="false">
            <v:fill type="solid"/>
            <w10:wrap type="none"/>
          </v:rect>
        </w:pict>
      </w:r>
      <w:bookmarkStart w:name="_TOC_250031" w:id="20"/>
      <w:bookmarkStart w:name="7. Appendices" w:id="21"/>
      <w:r>
        <w:rPr/>
      </w:r>
      <w:r>
        <w:rPr>
          <w:b w:val="0"/>
          <w:color w:val="243B7D"/>
          <w:spacing w:val="-9"/>
        </w:rPr>
        <w:t>7.</w:t>
      </w:r>
      <w:r>
        <w:rPr>
          <w:b w:val="0"/>
          <w:color w:val="243B7D"/>
          <w:spacing w:val="-11"/>
        </w:rPr>
        <w:t> </w:t>
      </w:r>
      <w:bookmarkEnd w:id="20"/>
      <w:r>
        <w:rPr>
          <w:b w:val="0"/>
          <w:color w:val="243B7D"/>
          <w:spacing w:val="-9"/>
        </w:rPr>
        <w:t>Appendices</w:t>
      </w: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rPr>
          <w:rFonts w:ascii="Domus Semibold"/>
          <w:b w:val="0"/>
          <w:sz w:val="60"/>
        </w:rPr>
      </w:pPr>
    </w:p>
    <w:p>
      <w:pPr>
        <w:pStyle w:val="BodyText"/>
        <w:spacing w:before="8"/>
        <w:rPr>
          <w:rFonts w:ascii="Domus Semibold"/>
          <w:b w:val="0"/>
          <w:sz w:val="64"/>
        </w:rPr>
      </w:pPr>
    </w:p>
    <w:p>
      <w:pPr>
        <w:tabs>
          <w:tab w:pos="662" w:val="left" w:leader="none"/>
        </w:tabs>
        <w:spacing w:before="0"/>
        <w:ind w:left="106" w:right="0" w:firstLine="0"/>
        <w:jc w:val="left"/>
        <w:rPr>
          <w:rFonts w:ascii="Domus Semibold"/>
          <w:b w:val="0"/>
          <w:sz w:val="22"/>
        </w:rPr>
      </w:pPr>
      <w:r>
        <w:rPr>
          <w:rFonts w:ascii="Apercu"/>
          <w:b/>
          <w:color w:val="231F20"/>
          <w:position w:val="-1"/>
          <w:sz w:val="22"/>
        </w:rPr>
        <w:t>62</w:t>
        <w:tab/>
      </w:r>
      <w:r>
        <w:rPr>
          <w:rFonts w:ascii="Domus Semibold"/>
          <w:b w:val="0"/>
          <w:color w:val="231F20"/>
          <w:sz w:val="22"/>
        </w:rPr>
        <w:t>ANZSOG.EDU.AU</w:t>
      </w:r>
    </w:p>
    <w:p>
      <w:pPr>
        <w:spacing w:after="0"/>
        <w:jc w:val="left"/>
        <w:rPr>
          <w:rFonts w:ascii="Domus Semibold"/>
          <w:sz w:val="22"/>
        </w:rPr>
        <w:sectPr>
          <w:footerReference w:type="default" r:id="rId72"/>
          <w:pgSz w:w="11910" w:h="16840"/>
          <w:pgMar w:footer="0" w:header="0" w:top="920" w:bottom="280" w:left="460" w:right="0"/>
        </w:sectPr>
      </w:pPr>
    </w:p>
    <w:p>
      <w:pPr>
        <w:spacing w:before="9"/>
        <w:ind w:left="673" w:right="0" w:firstLine="0"/>
        <w:jc w:val="left"/>
        <w:rPr>
          <w:rFonts w:ascii="Domus Semibold"/>
          <w:b w:val="0"/>
          <w:sz w:val="56"/>
        </w:rPr>
      </w:pPr>
      <w:r>
        <w:rPr>
          <w:rFonts w:ascii="Domus Semibold"/>
          <w:b w:val="0"/>
          <w:color w:val="243B7D"/>
          <w:sz w:val="56"/>
        </w:rPr>
        <w:t>Appendix</w:t>
      </w:r>
      <w:r>
        <w:rPr>
          <w:rFonts w:ascii="Domus Semibold"/>
          <w:b w:val="0"/>
          <w:color w:val="243B7D"/>
          <w:spacing w:val="-27"/>
          <w:sz w:val="56"/>
        </w:rPr>
        <w:t> </w:t>
      </w:r>
      <w:r>
        <w:rPr>
          <w:rFonts w:ascii="Domus Semibold"/>
          <w:b w:val="0"/>
          <w:color w:val="243B7D"/>
          <w:sz w:val="56"/>
        </w:rPr>
        <w:t>1</w:t>
      </w:r>
    </w:p>
    <w:p>
      <w:pPr>
        <w:pStyle w:val="BodyText"/>
        <w:spacing w:before="1"/>
        <w:rPr>
          <w:rFonts w:ascii="Domus Semibold"/>
          <w:b w:val="0"/>
          <w:sz w:val="71"/>
        </w:rPr>
      </w:pPr>
    </w:p>
    <w:p>
      <w:pPr>
        <w:spacing w:line="228" w:lineRule="auto" w:before="0"/>
        <w:ind w:left="673" w:right="1162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ANZSOG</w:t>
      </w:r>
      <w:r>
        <w:rPr>
          <w:rFonts w:ascii="Domus Semibold" w:hAnsi="Domus Semibold"/>
          <w:b w:val="0"/>
          <w:color w:val="231F20"/>
          <w:spacing w:val="-7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EMPA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Program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–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Alignment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to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Australian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Higher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Education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Standards</w:t>
      </w:r>
      <w:r>
        <w:rPr>
          <w:rFonts w:ascii="Domus Semibold" w:hAnsi="Domus Semibold"/>
          <w:b w:val="0"/>
          <w:color w:val="231F20"/>
          <w:spacing w:val="-5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Framework</w:t>
      </w:r>
    </w:p>
    <w:p>
      <w:pPr>
        <w:spacing w:before="212"/>
        <w:ind w:left="673" w:right="0" w:firstLine="0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HESF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Domain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1: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Student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Participation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and</w:t>
      </w:r>
      <w:r>
        <w:rPr>
          <w:rFonts w:ascii="Apercu"/>
          <w:b/>
          <w:color w:val="231F20"/>
          <w:spacing w:val="-3"/>
          <w:sz w:val="20"/>
        </w:rPr>
        <w:t> </w:t>
      </w:r>
      <w:r>
        <w:rPr>
          <w:rFonts w:ascii="Apercu"/>
          <w:b/>
          <w:color w:val="231F20"/>
          <w:sz w:val="20"/>
        </w:rPr>
        <w:t>Attainment</w:t>
      </w:r>
    </w:p>
    <w:p>
      <w:pPr>
        <w:pStyle w:val="BodyText"/>
        <w:spacing w:after="1"/>
        <w:rPr>
          <w:rFonts w:ascii="Apercu"/>
          <w:b/>
          <w:sz w:val="13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1580"/>
        <w:gridCol w:w="3500"/>
        <w:gridCol w:w="3080"/>
      </w:tblGrid>
      <w:tr>
        <w:trPr>
          <w:trHeight w:val="288" w:hRule="atLeast"/>
        </w:trPr>
        <w:tc>
          <w:tcPr>
            <w:tcW w:w="146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Standards</w:t>
            </w:r>
          </w:p>
        </w:tc>
        <w:tc>
          <w:tcPr>
            <w:tcW w:w="158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51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ANZSOG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Policy</w:t>
            </w:r>
          </w:p>
        </w:tc>
        <w:tc>
          <w:tcPr>
            <w:tcW w:w="350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0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Policy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Statement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Key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Points</w:t>
            </w:r>
          </w:p>
        </w:tc>
        <w:tc>
          <w:tcPr>
            <w:tcW w:w="308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3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Alignment</w:t>
            </w:r>
          </w:p>
        </w:tc>
      </w:tr>
      <w:tr>
        <w:trPr>
          <w:trHeight w:val="3368" w:hRule="atLeast"/>
        </w:trPr>
        <w:tc>
          <w:tcPr>
            <w:tcW w:w="146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numPr>
                <w:ilvl w:val="1"/>
                <w:numId w:val="24"/>
              </w:numPr>
              <w:tabs>
                <w:tab w:pos="301" w:val="left" w:leader="none"/>
              </w:tabs>
              <w:spacing w:line="240" w:lineRule="auto" w:before="17" w:after="0"/>
              <w:ind w:left="300" w:right="0" w:hanging="221"/>
              <w:jc w:val="lef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Admission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322" w:val="left" w:leader="none"/>
              </w:tabs>
              <w:spacing w:line="213" w:lineRule="auto" w:before="109" w:after="0"/>
              <w:ind w:left="80" w:right="256" w:firstLine="0"/>
              <w:jc w:val="left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Credit and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2"/>
                <w:sz w:val="17"/>
              </w:rPr>
              <w:t>Recognition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of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Prior</w:t>
            </w:r>
            <w:r>
              <w:rPr>
                <w:rFonts w:ascii="Apercu"/>
                <w:b/>
                <w:color w:val="231F20"/>
                <w:spacing w:val="-9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Learning</w:t>
            </w:r>
          </w:p>
        </w:tc>
        <w:tc>
          <w:tcPr>
            <w:tcW w:w="158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51" w:right="634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Admission,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Enrolment</w:t>
            </w:r>
          </w:p>
          <w:p>
            <w:pPr>
              <w:pStyle w:val="TableParagraph"/>
              <w:spacing w:line="213" w:lineRule="auto" w:before="115"/>
              <w:ind w:left="151" w:right="10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(Refer also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Information for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Prospective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Current </w:t>
            </w:r>
            <w:r>
              <w:rPr>
                <w:b w:val="0"/>
                <w:color w:val="231F20"/>
                <w:sz w:val="17"/>
              </w:rPr>
              <w:t>Students,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Privacy Statement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Policy)</w:t>
            </w:r>
          </w:p>
        </w:tc>
        <w:tc>
          <w:tcPr>
            <w:tcW w:w="350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07" w:right="25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Covers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eligibility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requirements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entry including for non-public sector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applicants and alternative pathways,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application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form,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information</w:t>
            </w:r>
          </w:p>
          <w:p>
            <w:pPr>
              <w:pStyle w:val="TableParagraph"/>
              <w:spacing w:line="213" w:lineRule="auto" w:before="4"/>
              <w:ind w:left="107" w:right="23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and supporting documentation, privacy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statement,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nominated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preferred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university, application progress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notification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 outcome.</w:t>
            </w:r>
          </w:p>
        </w:tc>
        <w:tc>
          <w:tcPr>
            <w:tcW w:w="308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9" w:right="8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 student intake for the EMPA is very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specific to the needs of senior public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sector leaders across jurisdictions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departments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Australia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Aotearoa-</w:t>
            </w:r>
          </w:p>
          <w:p>
            <w:pPr>
              <w:pStyle w:val="TableParagraph"/>
              <w:spacing w:line="213" w:lineRule="auto" w:before="4"/>
              <w:ind w:left="89" w:right="29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New Zealand and therefore have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high expectations of the quality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relevancy of the program. ANZSOG’s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processes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address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</w:t>
            </w:r>
          </w:p>
          <w:p>
            <w:pPr>
              <w:pStyle w:val="TableParagraph"/>
              <w:spacing w:line="213" w:lineRule="auto" w:before="4"/>
              <w:ind w:left="89" w:right="21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Standard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1.1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ensuring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that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provision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all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relevant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information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guiding</w:t>
            </w:r>
          </w:p>
          <w:p>
            <w:pPr>
              <w:pStyle w:val="TableParagraph"/>
              <w:spacing w:line="213" w:lineRule="auto" w:before="2"/>
              <w:ind w:left="89" w:right="8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 prospective student to apply is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accurate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timely,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that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processes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 progressing applications across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three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stakeholder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parties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clear</w:t>
            </w:r>
          </w:p>
          <w:p>
            <w:pPr>
              <w:pStyle w:val="TableParagraph"/>
              <w:spacing w:line="229" w:lineRule="exact" w:before="0"/>
              <w:ind w:left="8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applicant,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fair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transparent.</w:t>
            </w:r>
          </w:p>
        </w:tc>
      </w:tr>
      <w:tr>
        <w:trPr>
          <w:trHeight w:val="3808" w:hRule="atLeast"/>
        </w:trPr>
        <w:tc>
          <w:tcPr>
            <w:tcW w:w="146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14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1.3 Orientation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2"/>
                <w:sz w:val="17"/>
              </w:rPr>
              <w:t>and</w:t>
            </w:r>
            <w:r>
              <w:rPr>
                <w:rFonts w:ascii="Apercu"/>
                <w:b/>
                <w:color w:val="231F20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2"/>
                <w:sz w:val="17"/>
              </w:rPr>
              <w:t>Progression</w:t>
            </w:r>
          </w:p>
        </w:tc>
        <w:tc>
          <w:tcPr>
            <w:tcW w:w="158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51" w:right="10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Attendance,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Orientation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Progression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Policy</w:t>
            </w:r>
          </w:p>
        </w:tc>
        <w:tc>
          <w:tcPr>
            <w:tcW w:w="350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07" w:right="13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Attendance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-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Evidence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leave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required,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mandatory requirements - minimum 75%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attendance of subject delivery without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penalty, provision of substitute work where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permitted by subject lead and EMPA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 Director, failure to attend 75%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complete subject work will not pass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should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withdraw,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notification</w:t>
            </w:r>
          </w:p>
          <w:p>
            <w:pPr>
              <w:pStyle w:val="TableParagraph"/>
              <w:spacing w:line="213" w:lineRule="auto" w:before="8"/>
              <w:ind w:left="107" w:right="46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sponsoring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agency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failure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meet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75%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 requirements.</w:t>
            </w:r>
          </w:p>
          <w:p>
            <w:pPr>
              <w:pStyle w:val="TableParagraph"/>
              <w:spacing w:line="213" w:lineRule="auto" w:before="116"/>
              <w:ind w:left="107" w:right="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Orientation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Progression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-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Outlines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topics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covered in ANZSOG EMPA orientation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provision of the orientation module 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Management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System.</w:t>
            </w:r>
          </w:p>
          <w:p>
            <w:pPr>
              <w:pStyle w:val="TableParagraph"/>
              <w:spacing w:line="213" w:lineRule="auto" w:before="4"/>
              <w:ind w:left="107" w:right="44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Outlines program approach to student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progression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and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responsibilities.</w:t>
            </w:r>
          </w:p>
        </w:tc>
        <w:tc>
          <w:tcPr>
            <w:tcW w:w="308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9" w:right="9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ANZSOG’s policies and processes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address all subsections of HESF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 1.3 through strategies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 program orientation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transition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from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diverse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lower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cohorts,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</w:p>
          <w:p>
            <w:pPr>
              <w:pStyle w:val="TableParagraph"/>
              <w:spacing w:line="213" w:lineRule="auto" w:before="6"/>
              <w:ind w:left="89" w:right="25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 disability. This includes provision of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 comprehensive orientation module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accessed via the EMPA learning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management system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discussed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at the orientation event each year.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 monitors annual student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cohort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trends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relation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retention,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progression and completion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these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partners through the EMPA Annual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Governance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report.</w:t>
            </w:r>
          </w:p>
        </w:tc>
      </w:tr>
      <w:tr>
        <w:trPr>
          <w:trHeight w:val="3482" w:hRule="atLeast"/>
        </w:trPr>
        <w:tc>
          <w:tcPr>
            <w:tcW w:w="146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247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1.4 Learning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Outcomes and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Assessment</w:t>
            </w:r>
          </w:p>
        </w:tc>
        <w:tc>
          <w:tcPr>
            <w:tcW w:w="158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33" w:lineRule="exact"/>
              <w:ind w:left="15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Assessment,</w:t>
            </w:r>
          </w:p>
          <w:p>
            <w:pPr>
              <w:pStyle w:val="TableParagraph"/>
              <w:spacing w:line="233" w:lineRule="exact" w:before="0"/>
              <w:ind w:left="15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Moderation</w:t>
            </w:r>
          </w:p>
          <w:p>
            <w:pPr>
              <w:pStyle w:val="TableParagraph"/>
              <w:spacing w:line="213" w:lineRule="auto" w:before="109"/>
              <w:ind w:left="151" w:right="123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(See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also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Program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Learning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Design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</w:t>
            </w:r>
          </w:p>
          <w:p>
            <w:pPr>
              <w:pStyle w:val="TableParagraph"/>
              <w:spacing w:line="213" w:lineRule="auto" w:before="3"/>
              <w:ind w:left="151" w:right="339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in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reference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to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3.1)</w:t>
            </w:r>
          </w:p>
        </w:tc>
        <w:tc>
          <w:tcPr>
            <w:tcW w:w="350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07" w:right="22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Assessment - covers design, inherent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requirements aligned to capabilities, types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 assessment tasks, submission, extension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deadline,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penalties,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limit,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feedback,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grading and marking, return of assessment,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special consideration, review and appeals,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monitoring and review, references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Moderation and Information Management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recording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grades.</w:t>
            </w:r>
          </w:p>
          <w:p>
            <w:pPr>
              <w:pStyle w:val="TableParagraph"/>
              <w:spacing w:line="213" w:lineRule="auto" w:before="123"/>
              <w:ind w:left="107" w:right="66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Moderation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-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ANZSOG's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commitment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consistency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fairness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through</w:t>
            </w:r>
          </w:p>
          <w:p>
            <w:pPr>
              <w:pStyle w:val="TableParagraph"/>
              <w:spacing w:line="213" w:lineRule="auto" w:before="2"/>
              <w:ind w:left="107" w:right="21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moderation, which will be conducted in all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subjects.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Outlines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key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principles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moderation.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Three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forms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moderation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moderation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responsibilities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outlined.</w:t>
            </w:r>
          </w:p>
        </w:tc>
        <w:tc>
          <w:tcPr>
            <w:tcW w:w="308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9" w:right="12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 specifies clear, relevant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achievable learning outcomes for each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 subject unit mapped against a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clear and integrated set of program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capabilities at an executive master’s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level. These have been developed in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collaboration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leaders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reflect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similar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level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complexity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skill attainment as learning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outcomes specified at a masters level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our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partners.</w:t>
            </w:r>
          </w:p>
        </w:tc>
      </w:tr>
    </w:tbl>
    <w:p>
      <w:pPr>
        <w:spacing w:after="0" w:line="213" w:lineRule="auto"/>
        <w:rPr>
          <w:sz w:val="17"/>
        </w:rPr>
        <w:sectPr>
          <w:footerReference w:type="default" r:id="rId73"/>
          <w:pgSz w:w="11910" w:h="16840"/>
          <w:pgMar w:footer="475" w:header="0" w:top="920" w:bottom="660" w:left="460" w:right="0"/>
          <w:pgNumType w:start="63"/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12" w:after="1"/>
        <w:rPr>
          <w:rFonts w:ascii="Apercu"/>
          <w:b/>
          <w:sz w:val="25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1497"/>
        <w:gridCol w:w="3532"/>
        <w:gridCol w:w="3098"/>
      </w:tblGrid>
      <w:tr>
        <w:trPr>
          <w:trHeight w:val="1828" w:hRule="atLeast"/>
        </w:trPr>
        <w:tc>
          <w:tcPr>
            <w:tcW w:w="150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102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1"/>
                <w:sz w:val="17"/>
              </w:rPr>
              <w:t>1.5 Qualifications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and</w:t>
            </w:r>
            <w:r>
              <w:rPr>
                <w:rFonts w:ascii="Apercu"/>
                <w:b/>
                <w:color w:val="231F20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Certification</w:t>
            </w:r>
          </w:p>
        </w:tc>
        <w:tc>
          <w:tcPr>
            <w:tcW w:w="149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13" w:right="141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Qualification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Certification</w:t>
            </w:r>
          </w:p>
        </w:tc>
        <w:tc>
          <w:tcPr>
            <w:tcW w:w="353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52" w:right="9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Successful program completion entitles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 students to conferral of the EMPA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degree. National qualifications frameworks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considerations.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responsibilities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issuing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testamur.</w:t>
            </w:r>
          </w:p>
        </w:tc>
        <w:tc>
          <w:tcPr>
            <w:tcW w:w="3098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02" w:right="25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Aligns to HESF 1.5 but limited as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 is not the conferring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institution of the qualification.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ANZSOG’s policy therefore outlines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EMPA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certification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awarded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Master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level qualification by the conferring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 partner accredited under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HESF.</w:t>
            </w:r>
          </w:p>
        </w:tc>
      </w:tr>
    </w:tbl>
    <w:p>
      <w:pPr>
        <w:pStyle w:val="BodyText"/>
        <w:spacing w:before="12"/>
        <w:rPr>
          <w:rFonts w:ascii="Apercu"/>
          <w:b/>
          <w:sz w:val="5"/>
        </w:rPr>
      </w:pPr>
    </w:p>
    <w:p>
      <w:pPr>
        <w:spacing w:before="98"/>
        <w:ind w:left="673" w:right="0" w:firstLine="0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HESF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Domain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2: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Learning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Environment</w:t>
      </w:r>
    </w:p>
    <w:p>
      <w:pPr>
        <w:pStyle w:val="BodyText"/>
        <w:spacing w:before="1"/>
        <w:rPr>
          <w:rFonts w:ascii="Apercu"/>
          <w:b/>
          <w:sz w:val="13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493"/>
        <w:gridCol w:w="3192"/>
        <w:gridCol w:w="3475"/>
      </w:tblGrid>
      <w:tr>
        <w:trPr>
          <w:trHeight w:val="288" w:hRule="atLeast"/>
        </w:trPr>
        <w:tc>
          <w:tcPr>
            <w:tcW w:w="1474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Standards</w:t>
            </w:r>
          </w:p>
        </w:tc>
        <w:tc>
          <w:tcPr>
            <w:tcW w:w="149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42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ANZSOG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Policy</w:t>
            </w:r>
          </w:p>
        </w:tc>
        <w:tc>
          <w:tcPr>
            <w:tcW w:w="319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85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Policy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Statement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Key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Points</w:t>
            </w:r>
          </w:p>
        </w:tc>
        <w:tc>
          <w:tcPr>
            <w:tcW w:w="347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3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Alignment</w:t>
            </w:r>
          </w:p>
        </w:tc>
      </w:tr>
      <w:tr>
        <w:trPr>
          <w:trHeight w:val="7002" w:hRule="atLeast"/>
        </w:trPr>
        <w:tc>
          <w:tcPr>
            <w:tcW w:w="147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126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1"/>
                <w:sz w:val="17"/>
              </w:rPr>
              <w:t>2.1 Facilities </w:t>
            </w:r>
            <w:r>
              <w:rPr>
                <w:rFonts w:ascii="Apercu"/>
                <w:b/>
                <w:color w:val="231F20"/>
                <w:sz w:val="17"/>
              </w:rPr>
              <w:t>and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Infrastructure</w:t>
            </w:r>
          </w:p>
        </w:tc>
        <w:tc>
          <w:tcPr>
            <w:tcW w:w="149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42" w:right="30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Facilities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Infrastructure,</w:t>
            </w:r>
          </w:p>
          <w:p>
            <w:pPr>
              <w:pStyle w:val="TableParagraph"/>
              <w:spacing w:before="94"/>
              <w:ind w:left="14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ICT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</w:t>
            </w:r>
          </w:p>
        </w:tc>
        <w:tc>
          <w:tcPr>
            <w:tcW w:w="319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85" w:right="12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Facilities &amp; Instructure - Expectations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 students to comply with facilities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use conditions. Outlines types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facilities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types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activities,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list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booking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considerations.</w:t>
            </w:r>
          </w:p>
          <w:p>
            <w:pPr>
              <w:pStyle w:val="TableParagraph"/>
              <w:spacing w:line="213" w:lineRule="auto" w:before="5"/>
              <w:ind w:left="185" w:right="9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Guidelines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selection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external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venues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delivery.</w:t>
            </w:r>
          </w:p>
          <w:p>
            <w:pPr>
              <w:pStyle w:val="TableParagraph"/>
              <w:spacing w:line="213" w:lineRule="auto" w:before="115"/>
              <w:ind w:left="185" w:right="7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ICT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-Details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types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LMS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 students and lists acceptable use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standards.</w:t>
            </w:r>
          </w:p>
        </w:tc>
        <w:tc>
          <w:tcPr>
            <w:tcW w:w="347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79" w:right="21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ANZSOG’s policy and processes address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2.1.1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regarding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use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fit-for-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purpose venues that have normally been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conducted onsite at conferring university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 campuses. On occasion where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other venues have been used the ANZSOG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EMPA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Delivery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Team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has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ensured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that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these</w:t>
            </w:r>
          </w:p>
          <w:p>
            <w:pPr>
              <w:pStyle w:val="TableParagraph"/>
              <w:spacing w:line="213" w:lineRule="auto" w:before="7"/>
              <w:ind w:left="79" w:right="11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venues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comply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above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requirements.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types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activities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undertaken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at external venues are outlined in the core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guides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venue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chosen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these activities and student interaction as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required by HESF Standard 2.1.3. Through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arrangements with conferring university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partners, EMPA students have access to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library and digital resource facilities at their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 university for undertaking both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elective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subjects.</w:t>
            </w:r>
          </w:p>
          <w:p>
            <w:pPr>
              <w:pStyle w:val="TableParagraph"/>
              <w:spacing w:line="213" w:lineRule="auto" w:before="125"/>
              <w:ind w:left="79" w:right="13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ANZSOG’s policies and processes address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2.1.2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regarding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secure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access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 electronic information. In addition to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 ICT policy related to use of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EMPA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LMS,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ANZSOG’s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broader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organisational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 Information Security, and Provision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Acceptable Use of ICT, overseen by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ANZSOG’s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Chief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Information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Officer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frame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security for the whole organisation including</w:t>
            </w:r>
            <w:r>
              <w:rPr>
                <w:b w:val="0"/>
                <w:color w:val="231F20"/>
                <w:spacing w:val="-4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EMPA.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Facilities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Infrastructure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addresses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use</w:t>
            </w:r>
          </w:p>
          <w:p>
            <w:pPr>
              <w:pStyle w:val="TableParagraph"/>
              <w:spacing w:line="213" w:lineRule="auto" w:before="12"/>
              <w:ind w:left="79" w:right="49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external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digital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networks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support.</w:t>
            </w:r>
          </w:p>
        </w:tc>
      </w:tr>
    </w:tbl>
    <w:p>
      <w:pPr>
        <w:spacing w:after="0" w:line="213" w:lineRule="auto"/>
        <w:rPr>
          <w:sz w:val="17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12" w:after="1"/>
        <w:rPr>
          <w:rFonts w:ascii="Apercu"/>
          <w:b/>
          <w:sz w:val="25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4"/>
        <w:gridCol w:w="1570"/>
        <w:gridCol w:w="3145"/>
        <w:gridCol w:w="3475"/>
      </w:tblGrid>
      <w:tr>
        <w:trPr>
          <w:trHeight w:val="5682" w:hRule="atLeast"/>
        </w:trPr>
        <w:tc>
          <w:tcPr>
            <w:tcW w:w="144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41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1"/>
                <w:sz w:val="17"/>
              </w:rPr>
              <w:t>2.2 Diversity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and</w:t>
            </w:r>
            <w:r>
              <w:rPr>
                <w:rFonts w:ascii="Apercu"/>
                <w:b/>
                <w:color w:val="231F20"/>
                <w:spacing w:val="-2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Equity</w:t>
            </w:r>
          </w:p>
        </w:tc>
        <w:tc>
          <w:tcPr>
            <w:tcW w:w="157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72" w:right="13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Diversity, Equity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Inclusion,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Student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Disability</w:t>
            </w:r>
          </w:p>
        </w:tc>
        <w:tc>
          <w:tcPr>
            <w:tcW w:w="314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33" w:lineRule="exact"/>
              <w:ind w:left="13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Diversity,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Equity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Inclusion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-</w:t>
            </w:r>
          </w:p>
          <w:p>
            <w:pPr>
              <w:pStyle w:val="TableParagraph"/>
              <w:spacing w:line="213" w:lineRule="auto" w:before="9"/>
              <w:ind w:left="138" w:right="19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EMPA policies and practices to reflect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principles of equity, fairness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impartiality, promotion of equivalent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opportunities for admission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program, removing unfair barriers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participation, surveying of student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cohorts where possible to map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participation and progression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completion to inform sponsoring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agencies,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teaching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design</w:t>
            </w:r>
          </w:p>
          <w:p>
            <w:pPr>
              <w:pStyle w:val="TableParagraph"/>
              <w:spacing w:line="213" w:lineRule="auto" w:before="10"/>
              <w:ind w:left="138" w:right="8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incorporate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diverse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perspectives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experience, discriminating or harassing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behaviours will be promptly addressed,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 encourage to familiarise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abide by diversity policies of sponsor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agency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university.</w:t>
            </w:r>
          </w:p>
          <w:p>
            <w:pPr>
              <w:pStyle w:val="TableParagraph"/>
              <w:spacing w:line="213" w:lineRule="auto" w:before="120"/>
              <w:ind w:left="138" w:right="22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Student Disability - ANZSOG supports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right of people with disabilities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participate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higher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education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expect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fairness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equitable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and/or reasonable adjustment where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enable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participation.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Outlines ANZSOG's commitment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accessibility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program.</w:t>
            </w:r>
          </w:p>
        </w:tc>
        <w:tc>
          <w:tcPr>
            <w:tcW w:w="347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79" w:right="35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 has responsibilities to its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government owners to advance their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priorities for promoting opportunities for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students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from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Aboriginal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Torres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Strait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Islander,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lower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backgrounds.</w:t>
            </w:r>
          </w:p>
          <w:p>
            <w:pPr>
              <w:pStyle w:val="TableParagraph"/>
              <w:spacing w:line="213" w:lineRule="auto" w:before="5"/>
              <w:ind w:left="79" w:right="23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These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responsibilities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also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align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 Standard 2.2. ANZSOG works within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both frameworks and is continually seeking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 improve its support for these cohorts.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 staff have undertaken cultural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competency training in relation to First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Peoples to a higher level of sensitivity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students.</w:t>
            </w:r>
            <w:r>
              <w:rPr>
                <w:b w:val="0"/>
                <w:color w:val="231F20"/>
                <w:spacing w:val="2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Cultural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competency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 relation to First Peoples is also available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encouraged for subject leaders.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 the learning and teaching context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 has created a Learning Action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Protocol that draws attention to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manner</w:t>
            </w:r>
            <w:r>
              <w:rPr>
                <w:b w:val="0"/>
                <w:color w:val="231F20"/>
                <w:spacing w:val="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which</w:t>
            </w:r>
            <w:r>
              <w:rPr>
                <w:b w:val="0"/>
                <w:color w:val="231F20"/>
                <w:spacing w:val="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Indigenous</w:t>
            </w:r>
            <w:r>
              <w:rPr>
                <w:b w:val="0"/>
                <w:color w:val="231F20"/>
                <w:spacing w:val="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knowledge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understanding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linked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content.</w:t>
            </w:r>
          </w:p>
        </w:tc>
      </w:tr>
      <w:tr>
        <w:trPr>
          <w:trHeight w:val="4688" w:hRule="atLeast"/>
        </w:trPr>
        <w:tc>
          <w:tcPr>
            <w:tcW w:w="144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336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2"/>
                <w:sz w:val="17"/>
              </w:rPr>
              <w:t>2.3 Wellbeing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and</w:t>
            </w:r>
            <w:r>
              <w:rPr>
                <w:rFonts w:ascii="Apercu"/>
                <w:b/>
                <w:color w:val="231F20"/>
                <w:spacing w:val="-2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Safety</w:t>
            </w:r>
          </w:p>
        </w:tc>
        <w:tc>
          <w:tcPr>
            <w:tcW w:w="157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72" w:right="63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Wellbeing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and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Safety</w:t>
            </w:r>
          </w:p>
        </w:tc>
        <w:tc>
          <w:tcPr>
            <w:tcW w:w="314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38" w:right="33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 will endeavour to maintain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highest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possible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care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relation</w:t>
            </w:r>
          </w:p>
          <w:p>
            <w:pPr>
              <w:pStyle w:val="TableParagraph"/>
              <w:spacing w:line="213" w:lineRule="auto" w:before="3"/>
              <w:ind w:left="138" w:right="34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to core program activities, while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recognising the main duty of care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wellbeing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held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employer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sponsoring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agent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student. Outlines ANZSOG staff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student responsibilities. Detail’s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health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safety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responsibilities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</w:p>
          <w:p>
            <w:pPr>
              <w:pStyle w:val="TableParagraph"/>
              <w:spacing w:line="213" w:lineRule="auto" w:before="7"/>
              <w:ind w:left="138" w:right="17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 staff, academic leaders,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students.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Explains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ANZSOG’s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approach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risk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management,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well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incident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recording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reporting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practices.</w:t>
            </w:r>
          </w:p>
          <w:p>
            <w:pPr>
              <w:pStyle w:val="TableParagraph"/>
              <w:spacing w:line="213" w:lineRule="auto" w:before="118"/>
              <w:ind w:left="138" w:right="45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(Refer also to Code of Conduct,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Facilities </w:t>
            </w:r>
            <w:r>
              <w:rPr>
                <w:b w:val="0"/>
                <w:color w:val="231F20"/>
                <w:sz w:val="17"/>
              </w:rPr>
              <w:t>and Infrastructure Policy,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ICT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Policy,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Complaints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Grievances)</w:t>
            </w:r>
          </w:p>
        </w:tc>
        <w:tc>
          <w:tcPr>
            <w:tcW w:w="347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79" w:right="19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guided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has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tailored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its approach to providing for the Wellbeing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Safety of EMPA students to align with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scale, scope and nature of EMPA core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 offerings. This is limited by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relevant to the delivery of face-to-face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intensive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sessions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external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venues,</w:t>
            </w:r>
          </w:p>
          <w:p>
            <w:pPr>
              <w:pStyle w:val="TableParagraph"/>
              <w:spacing w:line="213" w:lineRule="auto" w:before="7"/>
              <w:ind w:left="79" w:right="45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and accounting for recent adjustments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online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online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security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considerations. ANZSOG ensures a safe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environment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during selection of delivery venues (re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Facilities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Infrastructure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Policy),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</w:p>
          <w:p>
            <w:pPr>
              <w:pStyle w:val="TableParagraph"/>
              <w:spacing w:line="213" w:lineRule="auto" w:before="6"/>
              <w:ind w:left="79" w:right="20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respectful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behaviour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between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staff and students (re Code of Conduct),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online security and safety (re ICT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Policy). Students may raise concerns over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safety issues via the Student Complaints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Grievances process. EMPA also advises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 to refer to their conferring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universities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equivalent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policies.</w:t>
            </w:r>
          </w:p>
        </w:tc>
      </w:tr>
      <w:tr>
        <w:trPr>
          <w:trHeight w:val="2268" w:hRule="atLeast"/>
        </w:trPr>
        <w:tc>
          <w:tcPr>
            <w:tcW w:w="144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15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2.4 Student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Grievances and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Complaints</w:t>
            </w:r>
          </w:p>
        </w:tc>
        <w:tc>
          <w:tcPr>
            <w:tcW w:w="157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72" w:right="24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Complaints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Grievances</w:t>
            </w:r>
          </w:p>
          <w:p>
            <w:pPr>
              <w:pStyle w:val="TableParagraph"/>
              <w:spacing w:line="213" w:lineRule="auto" w:before="116"/>
              <w:ind w:left="172" w:right="179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(Refer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also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Code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 Conduct)</w:t>
            </w:r>
          </w:p>
        </w:tc>
        <w:tc>
          <w:tcPr>
            <w:tcW w:w="314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38" w:right="6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Details complaints and grievance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lodgement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requirements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ANZSOG’s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approach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processing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complaint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notification of an outcome. Also defines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vexatious complaints and unreasonable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complainant conduct. Explains how a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complaint can be withdrawn, alternative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avenues for students to provide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feedback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ANZSOG’s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approach</w:t>
            </w:r>
          </w:p>
          <w:p>
            <w:pPr>
              <w:pStyle w:val="TableParagraph"/>
              <w:spacing w:line="234" w:lineRule="exact" w:before="0"/>
              <w:ind w:left="13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complaints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reporting.</w:t>
            </w:r>
          </w:p>
        </w:tc>
        <w:tc>
          <w:tcPr>
            <w:tcW w:w="347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79" w:right="51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 addresses HESF Standard 2.4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recognising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student’s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right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make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complaint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lodge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grievance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about</w:t>
            </w:r>
          </w:p>
          <w:p>
            <w:pPr>
              <w:pStyle w:val="TableParagraph"/>
              <w:spacing w:line="213" w:lineRule="auto" w:before="3"/>
              <w:ind w:left="79" w:right="7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any aspect of the EMPA and facilitating an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impartial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process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do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so.</w:t>
            </w:r>
            <w:r>
              <w:rPr>
                <w:b w:val="0"/>
                <w:color w:val="231F20"/>
                <w:spacing w:val="3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provides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clear guidance and reference to associated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procedures and articulates what students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expect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relation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communication</w:t>
            </w:r>
          </w:p>
          <w:p>
            <w:pPr>
              <w:pStyle w:val="TableParagraph"/>
              <w:spacing w:line="230" w:lineRule="exact" w:before="0"/>
              <w:ind w:lef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responses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about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issues.</w:t>
            </w:r>
          </w:p>
        </w:tc>
      </w:tr>
    </w:tbl>
    <w:p>
      <w:pPr>
        <w:spacing w:after="0" w:line="230" w:lineRule="exact"/>
        <w:rPr>
          <w:sz w:val="17"/>
        </w:rPr>
        <w:sectPr>
          <w:pgSz w:w="11910" w:h="16840"/>
          <w:pgMar w:header="0" w:footer="475" w:top="1580" w:bottom="660" w:left="460" w:right="0"/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3"/>
        <w:rPr>
          <w:rFonts w:ascii="Apercu"/>
          <w:b/>
          <w:sz w:val="14"/>
        </w:rPr>
      </w:pPr>
    </w:p>
    <w:p>
      <w:pPr>
        <w:spacing w:before="98"/>
        <w:ind w:left="673" w:right="0" w:firstLine="0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HESF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Domain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3: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Teaching</w:t>
      </w:r>
    </w:p>
    <w:p>
      <w:pPr>
        <w:pStyle w:val="BodyText"/>
        <w:spacing w:before="1"/>
        <w:rPr>
          <w:rFonts w:ascii="Apercu"/>
          <w:b/>
          <w:sz w:val="13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1543"/>
        <w:gridCol w:w="3123"/>
        <w:gridCol w:w="3439"/>
      </w:tblGrid>
      <w:tr>
        <w:trPr>
          <w:trHeight w:val="288" w:hRule="atLeast"/>
        </w:trPr>
        <w:tc>
          <w:tcPr>
            <w:tcW w:w="1527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Standards</w:t>
            </w:r>
          </w:p>
        </w:tc>
        <w:tc>
          <w:tcPr>
            <w:tcW w:w="154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ANZSOG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Policy</w:t>
            </w:r>
          </w:p>
        </w:tc>
        <w:tc>
          <w:tcPr>
            <w:tcW w:w="312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2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Policy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Statement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Key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Points</w:t>
            </w:r>
          </w:p>
        </w:tc>
        <w:tc>
          <w:tcPr>
            <w:tcW w:w="3439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2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3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Alignment</w:t>
            </w:r>
          </w:p>
        </w:tc>
      </w:tr>
      <w:tr>
        <w:trPr>
          <w:trHeight w:val="3083" w:hRule="atLeast"/>
        </w:trPr>
        <w:tc>
          <w:tcPr>
            <w:tcW w:w="152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3.1</w:t>
            </w:r>
            <w:r>
              <w:rPr>
                <w:rFonts w:ascii="Apercu"/>
                <w:b/>
                <w:color w:val="231F20"/>
                <w:spacing w:val="-4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Course</w:t>
            </w:r>
            <w:r>
              <w:rPr>
                <w:rFonts w:ascii="Apercu"/>
                <w:b/>
                <w:color w:val="231F20"/>
                <w:spacing w:val="-3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Design</w:t>
            </w:r>
          </w:p>
        </w:tc>
        <w:tc>
          <w:tcPr>
            <w:tcW w:w="154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9" w:right="29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Program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Learning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Design</w:t>
            </w:r>
          </w:p>
        </w:tc>
        <w:tc>
          <w:tcPr>
            <w:tcW w:w="312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2" w:right="1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Specifies two-year part-time degree,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focus on public sector leaders,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collaborative delivery arrangements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 conferring universities, ANZSOG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internal core program governance 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reference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policies,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selection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admission,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graduate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attributes,</w:t>
            </w:r>
          </w:p>
          <w:p>
            <w:pPr>
              <w:pStyle w:val="TableParagraph"/>
              <w:spacing w:line="208" w:lineRule="auto" w:before="7"/>
              <w:ind w:left="82" w:right="7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leading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academics,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leading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practitioners,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standards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support.</w:t>
            </w:r>
          </w:p>
          <w:p>
            <w:pPr>
              <w:pStyle w:val="TableParagraph"/>
              <w:spacing w:line="208" w:lineRule="auto" w:before="2"/>
              <w:ind w:left="82" w:right="18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Program Structure and Learning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Design, Program Administration,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Engagement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Participation,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 Standards, and Academic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Attainment.</w:t>
            </w:r>
          </w:p>
        </w:tc>
        <w:tc>
          <w:tcPr>
            <w:tcW w:w="343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2" w:right="195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ANZSOG’s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procedures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 subject unit design and delivery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addressing HESF Standard 3.1, and these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demonstrated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/core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guides.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Aligns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Procedures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Map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lists main areas of ANZSOG program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responsibilities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against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functions.</w:t>
            </w:r>
          </w:p>
        </w:tc>
      </w:tr>
      <w:tr>
        <w:trPr>
          <w:trHeight w:val="3943" w:hRule="atLeast"/>
        </w:trPr>
        <w:tc>
          <w:tcPr>
            <w:tcW w:w="152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3.2</w:t>
            </w:r>
            <w:r>
              <w:rPr>
                <w:rFonts w:ascii="Apercu"/>
                <w:b/>
                <w:color w:val="231F20"/>
                <w:spacing w:val="-9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Staffing</w:t>
            </w:r>
          </w:p>
        </w:tc>
        <w:tc>
          <w:tcPr>
            <w:tcW w:w="154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9" w:right="52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Recruitment</w:t>
            </w:r>
          </w:p>
        </w:tc>
        <w:tc>
          <w:tcPr>
            <w:tcW w:w="312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2" w:right="31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Recruitment drawn from conferring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other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domestic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international</w:t>
            </w:r>
          </w:p>
          <w:p>
            <w:pPr>
              <w:pStyle w:val="TableParagraph"/>
              <w:spacing w:line="208" w:lineRule="auto" w:before="2"/>
              <w:ind w:left="82" w:right="11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universities,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sufficient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leaders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 core program, hold doctorates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have relevant and commensurate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research and academic experience,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availability for EMPA students,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internal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review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processes.</w:t>
            </w:r>
          </w:p>
          <w:p>
            <w:pPr>
              <w:pStyle w:val="TableParagraph"/>
              <w:spacing w:line="208" w:lineRule="auto" w:before="6"/>
              <w:ind w:left="82" w:right="19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One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leader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per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</w:t>
            </w:r>
            <w:r>
              <w:rPr>
                <w:b w:val="0"/>
                <w:color w:val="231F20"/>
                <w:spacing w:val="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 more if required depending 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cohort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numbers,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teaching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contribution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 public administration practitioners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 arrangement, education level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 leads, ANZSOG vetting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processes on qualifications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experience, availability for academic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 during subject delivery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assessment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duration.</w:t>
            </w:r>
          </w:p>
        </w:tc>
        <w:tc>
          <w:tcPr>
            <w:tcW w:w="343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2" w:right="30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Identifies the staffing complement for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each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course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study,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profile including teaching and research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expertise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faculty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engaged</w:t>
            </w:r>
            <w:r>
              <w:rPr>
                <w:b w:val="0"/>
                <w:color w:val="231F20"/>
                <w:spacing w:val="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EMPA core subjects, and evidence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experienced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practitioners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who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contribute</w:t>
            </w:r>
          </w:p>
          <w:p>
            <w:pPr>
              <w:pStyle w:val="TableParagraph"/>
              <w:spacing w:line="208" w:lineRule="auto" w:before="6"/>
              <w:ind w:left="82" w:right="16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contemporary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content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expertise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 subjects. This evidences ANZSOG’s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commitment to meeting all subsections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HESF Standard 3.2 Staffing.(Refer EMPA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Leaders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professional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biographies</w:t>
            </w:r>
          </w:p>
          <w:p>
            <w:pPr>
              <w:pStyle w:val="TableParagraph"/>
              <w:spacing w:line="226" w:lineRule="exact" w:before="0"/>
              <w:ind w:left="8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section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4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this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report).</w:t>
            </w:r>
          </w:p>
        </w:tc>
      </w:tr>
      <w:tr>
        <w:trPr>
          <w:trHeight w:val="5562" w:hRule="atLeast"/>
        </w:trPr>
        <w:tc>
          <w:tcPr>
            <w:tcW w:w="152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0" w:right="306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3.3 Learning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2"/>
                <w:sz w:val="17"/>
              </w:rPr>
              <w:t>Resources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and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Educational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Support</w:t>
            </w:r>
          </w:p>
        </w:tc>
        <w:tc>
          <w:tcPr>
            <w:tcW w:w="154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9" w:right="7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Resources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Education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</w:p>
          <w:p>
            <w:pPr>
              <w:pStyle w:val="TableParagraph"/>
              <w:spacing w:line="208" w:lineRule="auto" w:before="117"/>
              <w:ind w:left="89" w:right="216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2"/>
                <w:sz w:val="17"/>
              </w:rPr>
              <w:t>(Refer also </w:t>
            </w:r>
            <w:r>
              <w:rPr>
                <w:b w:val="0"/>
                <w:color w:val="231F20"/>
                <w:spacing w:val="-1"/>
                <w:sz w:val="17"/>
              </w:rPr>
              <w:t>EMPA</w:t>
            </w:r>
            <w:r>
              <w:rPr>
                <w:b w:val="0"/>
                <w:color w:val="231F20"/>
                <w:spacing w:val="-4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ICT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Policy)</w:t>
            </w:r>
          </w:p>
        </w:tc>
        <w:tc>
          <w:tcPr>
            <w:tcW w:w="3123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2" w:right="41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Quality resources are provided that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are relevant to the subject content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level,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current,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authoritative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academically rigorous. Accessibility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types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resources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outlined, and special reference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orientation materials. Students are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encouraged to notify their subject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leaders if they require additional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educational support or to seek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guidance from the EMPA support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staff to locate the information or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assistance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they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need.</w:t>
            </w:r>
          </w:p>
        </w:tc>
        <w:tc>
          <w:tcPr>
            <w:tcW w:w="343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08" w:lineRule="auto" w:before="42"/>
              <w:ind w:left="82" w:right="7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 policies and processes address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relation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3.3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planning,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delivering, monitoring and reviewing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quality and types of academic support</w:t>
            </w:r>
          </w:p>
          <w:p>
            <w:pPr>
              <w:pStyle w:val="TableParagraph"/>
              <w:spacing w:line="208" w:lineRule="auto" w:before="4"/>
              <w:ind w:left="82" w:right="20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and resources provided to EMPA students.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 learning resources are specific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outcomes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appropriate to the students’ level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study and capacity to fulfil assessment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requirements.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enable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timely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open</w:t>
            </w:r>
          </w:p>
          <w:p>
            <w:pPr>
              <w:pStyle w:val="TableParagraph"/>
              <w:spacing w:line="208" w:lineRule="auto" w:before="6"/>
              <w:ind w:left="8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access for all EMPA students to appropriate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 resources made available through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3"/>
                <w:sz w:val="17"/>
              </w:rPr>
              <w:t>ANZSOG’s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3"/>
                <w:sz w:val="17"/>
              </w:rPr>
              <w:t>Learning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3"/>
                <w:sz w:val="17"/>
              </w:rPr>
              <w:t>Management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System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(LMS).</w:t>
            </w:r>
          </w:p>
          <w:p>
            <w:pPr>
              <w:pStyle w:val="TableParagraph"/>
              <w:spacing w:line="208" w:lineRule="auto" w:before="117"/>
              <w:ind w:left="82" w:right="14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Education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includes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opportunity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 EMPA students to undertake practice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assessment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tasks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receive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feedback.</w:t>
            </w:r>
          </w:p>
          <w:p>
            <w:pPr>
              <w:pStyle w:val="TableParagraph"/>
              <w:spacing w:line="208" w:lineRule="auto" w:before="3"/>
              <w:ind w:left="82" w:right="10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This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can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take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such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forms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self-assessment,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peer-assessment,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in-class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feedback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</w:t>
            </w:r>
          </w:p>
          <w:p>
            <w:pPr>
              <w:pStyle w:val="TableParagraph"/>
              <w:spacing w:line="208" w:lineRule="auto" w:before="2"/>
              <w:ind w:left="82" w:right="20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 provision of examples of high standard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work.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During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formal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teaching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session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 core subject, and up until completion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all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assessments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submission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final</w:t>
            </w:r>
          </w:p>
          <w:p>
            <w:pPr>
              <w:pStyle w:val="TableParagraph"/>
              <w:spacing w:line="208" w:lineRule="auto" w:before="4"/>
              <w:ind w:left="82" w:right="2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grades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feedback,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leaders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are available to enrolled students seeking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 advice and support.</w:t>
            </w:r>
          </w:p>
        </w:tc>
      </w:tr>
    </w:tbl>
    <w:p>
      <w:pPr>
        <w:spacing w:after="0" w:line="208" w:lineRule="auto"/>
        <w:rPr>
          <w:sz w:val="17"/>
        </w:rPr>
        <w:sectPr>
          <w:pgSz w:w="11910" w:h="16840"/>
          <w:pgMar w:header="0" w:footer="475" w:top="1580" w:bottom="660" w:left="460" w:right="0"/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3"/>
        <w:rPr>
          <w:rFonts w:ascii="Apercu"/>
          <w:b/>
          <w:sz w:val="14"/>
        </w:rPr>
      </w:pPr>
    </w:p>
    <w:p>
      <w:pPr>
        <w:spacing w:before="98"/>
        <w:ind w:left="673" w:right="0" w:firstLine="0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HESF</w:t>
      </w:r>
      <w:r>
        <w:rPr>
          <w:rFonts w:ascii="Apercu"/>
          <w:b/>
          <w:color w:val="231F20"/>
          <w:spacing w:val="-12"/>
          <w:sz w:val="20"/>
        </w:rPr>
        <w:t> </w:t>
      </w:r>
      <w:r>
        <w:rPr>
          <w:rFonts w:ascii="Apercu"/>
          <w:b/>
          <w:color w:val="231F20"/>
          <w:sz w:val="20"/>
        </w:rPr>
        <w:t>Domain</w:t>
      </w:r>
      <w:r>
        <w:rPr>
          <w:rFonts w:ascii="Apercu"/>
          <w:b/>
          <w:color w:val="231F20"/>
          <w:spacing w:val="-11"/>
          <w:sz w:val="20"/>
        </w:rPr>
        <w:t> </w:t>
      </w:r>
      <w:r>
        <w:rPr>
          <w:rFonts w:ascii="Apercu"/>
          <w:b/>
          <w:color w:val="231F20"/>
          <w:sz w:val="20"/>
        </w:rPr>
        <w:t>4:</w:t>
      </w:r>
      <w:r>
        <w:rPr>
          <w:rFonts w:ascii="Apercu"/>
          <w:b/>
          <w:color w:val="231F20"/>
          <w:spacing w:val="-12"/>
          <w:sz w:val="20"/>
        </w:rPr>
        <w:t> </w:t>
      </w:r>
      <w:r>
        <w:rPr>
          <w:rFonts w:ascii="Apercu"/>
          <w:b/>
          <w:color w:val="231F20"/>
          <w:sz w:val="20"/>
        </w:rPr>
        <w:t>Research</w:t>
      </w:r>
      <w:r>
        <w:rPr>
          <w:rFonts w:ascii="Apercu"/>
          <w:b/>
          <w:color w:val="231F20"/>
          <w:spacing w:val="-11"/>
          <w:sz w:val="20"/>
        </w:rPr>
        <w:t> </w:t>
      </w:r>
      <w:r>
        <w:rPr>
          <w:rFonts w:ascii="Apercu"/>
          <w:b/>
          <w:color w:val="231F20"/>
          <w:sz w:val="20"/>
        </w:rPr>
        <w:t>and</w:t>
      </w:r>
      <w:r>
        <w:rPr>
          <w:rFonts w:ascii="Apercu"/>
          <w:b/>
          <w:color w:val="231F20"/>
          <w:spacing w:val="-12"/>
          <w:sz w:val="20"/>
        </w:rPr>
        <w:t> </w:t>
      </w:r>
      <w:r>
        <w:rPr>
          <w:rFonts w:ascii="Apercu"/>
          <w:b/>
          <w:color w:val="231F20"/>
          <w:sz w:val="20"/>
        </w:rPr>
        <w:t>Research</w:t>
      </w:r>
      <w:r>
        <w:rPr>
          <w:rFonts w:ascii="Apercu"/>
          <w:b/>
          <w:color w:val="231F20"/>
          <w:spacing w:val="-11"/>
          <w:sz w:val="20"/>
        </w:rPr>
        <w:t> </w:t>
      </w:r>
      <w:r>
        <w:rPr>
          <w:rFonts w:ascii="Apercu"/>
          <w:b/>
          <w:color w:val="231F20"/>
          <w:sz w:val="20"/>
        </w:rPr>
        <w:t>Training</w:t>
      </w:r>
    </w:p>
    <w:p>
      <w:pPr>
        <w:spacing w:line="192" w:lineRule="auto" w:before="156"/>
        <w:ind w:left="673" w:right="2506" w:firstLine="0"/>
        <w:jc w:val="left"/>
        <w:rPr>
          <w:b w:val="0"/>
          <w:i/>
          <w:sz w:val="19"/>
        </w:rPr>
      </w:pPr>
      <w:r>
        <w:rPr>
          <w:b w:val="0"/>
          <w:i/>
          <w:color w:val="231F20"/>
          <w:sz w:val="19"/>
        </w:rPr>
        <w:t>Domain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4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of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the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Higher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Education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Standards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Framework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(2015)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is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not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applicable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to</w:t>
      </w:r>
      <w:r>
        <w:rPr>
          <w:b w:val="0"/>
          <w:i/>
          <w:color w:val="231F20"/>
          <w:spacing w:val="-3"/>
          <w:sz w:val="19"/>
        </w:rPr>
        <w:t> </w:t>
      </w:r>
      <w:r>
        <w:rPr>
          <w:b w:val="0"/>
          <w:i/>
          <w:color w:val="231F20"/>
          <w:sz w:val="19"/>
        </w:rPr>
        <w:t>the</w:t>
      </w:r>
      <w:r>
        <w:rPr>
          <w:b w:val="0"/>
          <w:i/>
          <w:color w:val="231F20"/>
          <w:spacing w:val="-4"/>
          <w:sz w:val="19"/>
        </w:rPr>
        <w:t> </w:t>
      </w:r>
      <w:r>
        <w:rPr>
          <w:b w:val="0"/>
          <w:i/>
          <w:color w:val="231F20"/>
          <w:sz w:val="19"/>
        </w:rPr>
        <w:t>course-work</w:t>
      </w:r>
      <w:r>
        <w:rPr>
          <w:b w:val="0"/>
          <w:i/>
          <w:color w:val="231F20"/>
          <w:spacing w:val="-44"/>
          <w:sz w:val="19"/>
        </w:rPr>
        <w:t> </w:t>
      </w:r>
      <w:r>
        <w:rPr>
          <w:b w:val="0"/>
          <w:i/>
          <w:color w:val="231F20"/>
          <w:sz w:val="19"/>
        </w:rPr>
        <w:t>delivery of the ANZSOG EMPA. Project research undertaken within the EMPA Work Based Project</w:t>
      </w:r>
      <w:r>
        <w:rPr>
          <w:b w:val="0"/>
          <w:i/>
          <w:color w:val="231F20"/>
          <w:spacing w:val="1"/>
          <w:sz w:val="19"/>
        </w:rPr>
        <w:t> </w:t>
      </w:r>
      <w:r>
        <w:rPr>
          <w:b w:val="0"/>
          <w:i/>
          <w:color w:val="231F20"/>
          <w:sz w:val="19"/>
        </w:rPr>
        <w:t>core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subject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is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covered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in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HESF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s.52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Academic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and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Research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Integrity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in</w:t>
      </w:r>
      <w:r>
        <w:rPr>
          <w:b w:val="0"/>
          <w:i/>
          <w:color w:val="231F20"/>
          <w:spacing w:val="-5"/>
          <w:sz w:val="19"/>
        </w:rPr>
        <w:t> </w:t>
      </w:r>
      <w:r>
        <w:rPr>
          <w:b w:val="0"/>
          <w:i/>
          <w:color w:val="231F20"/>
          <w:sz w:val="19"/>
        </w:rPr>
        <w:t>this</w:t>
      </w:r>
      <w:r>
        <w:rPr>
          <w:b w:val="0"/>
          <w:i/>
          <w:color w:val="231F20"/>
          <w:spacing w:val="-6"/>
          <w:sz w:val="19"/>
        </w:rPr>
        <w:t> </w:t>
      </w:r>
      <w:r>
        <w:rPr>
          <w:b w:val="0"/>
          <w:i/>
          <w:color w:val="231F20"/>
          <w:sz w:val="19"/>
        </w:rPr>
        <w:t>table.</w:t>
      </w:r>
    </w:p>
    <w:p>
      <w:pPr>
        <w:pStyle w:val="BodyText"/>
        <w:spacing w:before="12"/>
        <w:rPr>
          <w:b w:val="0"/>
          <w:i/>
          <w:sz w:val="14"/>
        </w:rPr>
      </w:pPr>
    </w:p>
    <w:p>
      <w:pPr>
        <w:spacing w:before="0"/>
        <w:ind w:left="673" w:right="0" w:firstLine="0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HESF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Domain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5: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Institutionnal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Quality</w:t>
      </w:r>
      <w:r>
        <w:rPr>
          <w:rFonts w:ascii="Apercu"/>
          <w:b/>
          <w:color w:val="231F20"/>
          <w:spacing w:val="-6"/>
          <w:sz w:val="20"/>
        </w:rPr>
        <w:t> </w:t>
      </w:r>
      <w:r>
        <w:rPr>
          <w:rFonts w:ascii="Apercu"/>
          <w:b/>
          <w:color w:val="231F20"/>
          <w:sz w:val="20"/>
        </w:rPr>
        <w:t>Assurance</w:t>
      </w:r>
    </w:p>
    <w:p>
      <w:pPr>
        <w:pStyle w:val="BodyText"/>
        <w:spacing w:before="1"/>
        <w:rPr>
          <w:rFonts w:ascii="Apercu"/>
          <w:b/>
          <w:sz w:val="13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1590"/>
        <w:gridCol w:w="3114"/>
        <w:gridCol w:w="3477"/>
      </w:tblGrid>
      <w:tr>
        <w:trPr>
          <w:trHeight w:val="288" w:hRule="atLeast"/>
        </w:trPr>
        <w:tc>
          <w:tcPr>
            <w:tcW w:w="145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Standards</w:t>
            </w:r>
          </w:p>
        </w:tc>
        <w:tc>
          <w:tcPr>
            <w:tcW w:w="159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65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ANZSOG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Policy</w:t>
            </w:r>
          </w:p>
        </w:tc>
        <w:tc>
          <w:tcPr>
            <w:tcW w:w="3114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11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Policy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Statement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Key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Points</w:t>
            </w:r>
          </w:p>
        </w:tc>
        <w:tc>
          <w:tcPr>
            <w:tcW w:w="3477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3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3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Alignment</w:t>
            </w:r>
          </w:p>
        </w:tc>
      </w:tr>
      <w:tr>
        <w:trPr>
          <w:trHeight w:val="2609" w:hRule="atLeast"/>
        </w:trPr>
        <w:tc>
          <w:tcPr>
            <w:tcW w:w="145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29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5.1 Course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Approval and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Accreditation</w:t>
            </w:r>
          </w:p>
        </w:tc>
        <w:tc>
          <w:tcPr>
            <w:tcW w:w="8181" w:type="dxa"/>
            <w:gridSpan w:val="3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65" w:right="39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As defined in ANZSOG’s university partner service agreements, ANZSOG is a third-party provider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collaborating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universities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who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ultimately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responsible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ensuring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accreditation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degree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executive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master’s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level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program.</w:t>
            </w:r>
          </w:p>
          <w:p>
            <w:pPr>
              <w:pStyle w:val="TableParagraph"/>
              <w:spacing w:line="213" w:lineRule="auto" w:before="116"/>
              <w:ind w:left="165" w:right="22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Relevant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defining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these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arrangements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Delivery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 (refer HESF 5.4 in this table) and the Program and Learning Design Policy specified in HESF 6.3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Governance in this table.</w:t>
            </w:r>
          </w:p>
          <w:p>
            <w:pPr>
              <w:pStyle w:val="TableParagraph"/>
              <w:spacing w:line="213" w:lineRule="auto" w:before="117"/>
              <w:ind w:left="165" w:right="26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 provides quality assured learning activities and assessment in the delivery of the EMPA program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that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aligned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Australian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Qualifications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Framework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(AQF)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Aotearoa-New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Zealand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Qualifications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Framework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(NZQF)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standards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include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regular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review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cycles.</w:t>
            </w:r>
          </w:p>
          <w:p>
            <w:pPr>
              <w:pStyle w:val="TableParagraph"/>
              <w:spacing w:before="95"/>
              <w:ind w:left="16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nine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core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offerings,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including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applied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research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Work-Based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subject.</w:t>
            </w:r>
          </w:p>
        </w:tc>
      </w:tr>
      <w:tr>
        <w:trPr>
          <w:trHeight w:val="6235" w:hRule="atLeast"/>
        </w:trPr>
        <w:tc>
          <w:tcPr>
            <w:tcW w:w="145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328"/>
              <w:jc w:val="both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5.2 Academic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2"/>
                <w:sz w:val="17"/>
              </w:rPr>
              <w:t>and Research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Integrity</w:t>
            </w:r>
          </w:p>
        </w:tc>
        <w:tc>
          <w:tcPr>
            <w:tcW w:w="159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65" w:right="687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Academic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Integrity,</w:t>
            </w:r>
          </w:p>
          <w:p>
            <w:pPr>
              <w:pStyle w:val="TableParagraph"/>
              <w:spacing w:line="213" w:lineRule="auto" w:before="2"/>
              <w:ind w:left="165" w:right="9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Code of Conduct,</w:t>
            </w:r>
            <w:r>
              <w:rPr>
                <w:b w:val="0"/>
                <w:color w:val="231F20"/>
                <w:spacing w:val="-4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Research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Ethics</w:t>
            </w:r>
          </w:p>
        </w:tc>
        <w:tc>
          <w:tcPr>
            <w:tcW w:w="3114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11" w:right="10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Academic Integrity – Defines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misconduct</w:t>
            </w:r>
            <w:r>
              <w:rPr>
                <w:b w:val="0"/>
                <w:color w:val="231F20"/>
                <w:spacing w:val="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  <w:r>
              <w:rPr>
                <w:b w:val="0"/>
                <w:color w:val="231F20"/>
                <w:spacing w:val="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examples,</w:t>
            </w:r>
            <w:r>
              <w:rPr>
                <w:b w:val="0"/>
                <w:color w:val="231F20"/>
                <w:spacing w:val="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how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reports are to be made and managed,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penalties,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staff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responsibilities,</w:t>
            </w:r>
          </w:p>
          <w:p>
            <w:pPr>
              <w:pStyle w:val="TableParagraph"/>
              <w:spacing w:line="213" w:lineRule="auto" w:before="4"/>
              <w:ind w:left="111" w:right="8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responsibilities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Breaches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will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be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addressed in line with the Breaches in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Ethical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procedures.</w:t>
            </w:r>
          </w:p>
          <w:p>
            <w:pPr>
              <w:pStyle w:val="TableParagraph"/>
              <w:spacing w:line="213" w:lineRule="auto" w:before="116"/>
              <w:ind w:left="111" w:right="24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Code of Conduct - Reference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expectations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staff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outlined in the ANZSOG Code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Conduct,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other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relevant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policies.</w:t>
            </w:r>
          </w:p>
          <w:p>
            <w:pPr>
              <w:pStyle w:val="TableParagraph"/>
              <w:spacing w:line="213" w:lineRule="auto" w:before="6"/>
              <w:ind w:left="111" w:right="26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Commits to dissemination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awareness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building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around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standards,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context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application.</w:t>
            </w:r>
          </w:p>
          <w:p>
            <w:pPr>
              <w:pStyle w:val="TableParagraph"/>
              <w:spacing w:line="213" w:lineRule="auto" w:before="3"/>
              <w:ind w:left="111" w:right="4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Breaches will be address through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approach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outlined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Integrity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Breaches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Ethical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procedures.</w:t>
            </w:r>
          </w:p>
          <w:p>
            <w:pPr>
              <w:pStyle w:val="TableParagraph"/>
              <w:spacing w:line="213" w:lineRule="auto" w:before="118"/>
              <w:ind w:left="111" w:right="43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Research Ethics - Lists program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activities requiring research ethics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considerations,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level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types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 risk. Defines responsibilities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Human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Research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Ethics</w:t>
            </w:r>
          </w:p>
          <w:p>
            <w:pPr>
              <w:pStyle w:val="TableParagraph"/>
              <w:spacing w:line="213" w:lineRule="auto" w:before="5"/>
              <w:ind w:left="111" w:right="7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Committee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applicant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requirements.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Covers supervision, compliance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breach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matters.</w:t>
            </w:r>
          </w:p>
        </w:tc>
        <w:tc>
          <w:tcPr>
            <w:tcW w:w="347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3" w:right="8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In line with HESF requirements ANZSOG has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 established organisational framework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“maintain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integrity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 students and staff”. This framework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includes three guiding policies addressing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 integrity, research ethics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general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code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conduct;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Breaches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</w:p>
          <w:p>
            <w:pPr>
              <w:pStyle w:val="TableParagraph"/>
              <w:spacing w:line="213" w:lineRule="auto" w:before="7"/>
              <w:ind w:left="83" w:right="138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Ethical Standards Procedures establishing a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system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mechanisms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promote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awareness of expectations, guide responses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 different forms of ethical breaches,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direct record keeping and reporting 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breaches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integrity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research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ethics. ANZSOG also has a Human Research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Ethics Committee to oversee and approve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ethical conduct of research in the EMPA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Work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Based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Project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subject.</w:t>
            </w:r>
          </w:p>
          <w:p>
            <w:pPr>
              <w:pStyle w:val="TableParagraph"/>
              <w:spacing w:line="213" w:lineRule="auto" w:before="124"/>
              <w:ind w:left="83" w:right="7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reference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record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keeping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reporting,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EMPA delivery team maintains a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confidential central academic misconduct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register and records all instances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 misconduct (including research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misconduct). At the end of each academic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year, the Academic Director reports on all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 misconduct across the nine core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subjects in a calendar year to ANZSOG’s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Advisory Council.</w:t>
            </w:r>
          </w:p>
        </w:tc>
      </w:tr>
    </w:tbl>
    <w:p>
      <w:pPr>
        <w:spacing w:after="0" w:line="213" w:lineRule="auto"/>
        <w:rPr>
          <w:sz w:val="17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12" w:after="1"/>
        <w:rPr>
          <w:rFonts w:ascii="Apercu"/>
          <w:b/>
          <w:sz w:val="25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1582"/>
        <w:gridCol w:w="2995"/>
        <w:gridCol w:w="3566"/>
      </w:tblGrid>
      <w:tr>
        <w:trPr>
          <w:trHeight w:val="3482" w:hRule="atLeast"/>
        </w:trPr>
        <w:tc>
          <w:tcPr>
            <w:tcW w:w="149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243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1"/>
                <w:sz w:val="17"/>
              </w:rPr>
              <w:t>5.3 Monitoring,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Review and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Improvement</w:t>
            </w:r>
          </w:p>
        </w:tc>
        <w:tc>
          <w:tcPr>
            <w:tcW w:w="158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26" w:right="72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Monitoring, Review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Improvement</w:t>
            </w:r>
          </w:p>
        </w:tc>
        <w:tc>
          <w:tcPr>
            <w:tcW w:w="299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22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Establishes EMPA annual review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approach and identification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amendments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updates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 quality. Oversight role of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 Advisory Council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approval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sign-off.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Commits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5-year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independent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expert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review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cycle.</w:t>
            </w:r>
          </w:p>
        </w:tc>
        <w:tc>
          <w:tcPr>
            <w:tcW w:w="35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71" w:right="247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ANZSOG’s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policies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and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procedures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address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 Standard 5.3. through governance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arrangements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including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mechanisms</w:t>
            </w:r>
          </w:p>
          <w:p>
            <w:pPr>
              <w:pStyle w:val="TableParagraph"/>
              <w:spacing w:line="213" w:lineRule="auto" w:before="3"/>
              <w:ind w:left="171" w:right="27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for oversight of academic quality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administration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within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through cyclical engagement with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 partners through the Academic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Advisory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Council.</w:t>
            </w:r>
          </w:p>
          <w:p>
            <w:pPr>
              <w:pStyle w:val="TableParagraph"/>
              <w:spacing w:line="213" w:lineRule="auto" w:before="118"/>
              <w:ind w:left="171" w:right="9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Core subjects’ content, learning activities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assessments are reviewed annually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updated as required by Subject Leads,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reviewed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independently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 expert panels every 5 years to assure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ongoing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compliance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academic</w:t>
            </w:r>
          </w:p>
          <w:p>
            <w:pPr>
              <w:pStyle w:val="TableParagraph"/>
              <w:spacing w:line="231" w:lineRule="exact" w:before="0"/>
              <w:ind w:left="17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program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quality.</w:t>
            </w:r>
          </w:p>
        </w:tc>
      </w:tr>
      <w:tr>
        <w:trPr>
          <w:trHeight w:val="2048" w:hRule="atLeast"/>
        </w:trPr>
        <w:tc>
          <w:tcPr>
            <w:tcW w:w="149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108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5.4 Delivery with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other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parties</w:t>
            </w:r>
          </w:p>
        </w:tc>
        <w:tc>
          <w:tcPr>
            <w:tcW w:w="158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26" w:right="7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Delivery with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University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Partners</w:t>
            </w:r>
          </w:p>
          <w:p>
            <w:pPr>
              <w:pStyle w:val="TableParagraph"/>
              <w:spacing w:line="213" w:lineRule="auto" w:before="116"/>
              <w:ind w:left="126" w:right="28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(Refer also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Learning Design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Policy)</w:t>
            </w:r>
          </w:p>
        </w:tc>
        <w:tc>
          <w:tcPr>
            <w:tcW w:w="2995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237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Partner agreement provisions,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annual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reporting,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updates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sponsoring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agents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where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required,</w:t>
            </w:r>
          </w:p>
          <w:p>
            <w:pPr>
              <w:pStyle w:val="TableParagraph"/>
              <w:spacing w:line="213" w:lineRule="auto" w:before="3"/>
              <w:ind w:left="80" w:right="16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quality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equivalence,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quality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assurance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review cycles commitment,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alignment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AQF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NZQF,</w:t>
            </w:r>
          </w:p>
          <w:p>
            <w:pPr>
              <w:pStyle w:val="TableParagraph"/>
              <w:spacing w:line="213" w:lineRule="auto" w:before="3"/>
              <w:ind w:left="80" w:right="688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work-based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learning,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exclusive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delivery arrangements with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partners.</w:t>
            </w:r>
          </w:p>
        </w:tc>
        <w:tc>
          <w:tcPr>
            <w:tcW w:w="356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71" w:right="32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As ANZSOG’s university partners confer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degree, ANZSOG’s policies outline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provisions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within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agreements,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supporting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schedules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satisfy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</w:t>
            </w:r>
          </w:p>
          <w:p>
            <w:pPr>
              <w:pStyle w:val="TableParagraph"/>
              <w:spacing w:line="213" w:lineRule="auto" w:before="4"/>
              <w:ind w:left="171" w:right="15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5.4 requirements. Additionally, this policy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commits ANZSOG to providing partners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Annual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Governance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Report.</w:t>
            </w:r>
          </w:p>
        </w:tc>
      </w:tr>
    </w:tbl>
    <w:p>
      <w:pPr>
        <w:spacing w:after="0" w:line="213" w:lineRule="auto"/>
        <w:rPr>
          <w:sz w:val="17"/>
        </w:rPr>
        <w:sectPr>
          <w:pgSz w:w="11910" w:h="16840"/>
          <w:pgMar w:header="0" w:footer="475" w:top="1580" w:bottom="660" w:left="460" w:right="0"/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3"/>
        <w:rPr>
          <w:rFonts w:ascii="Apercu"/>
          <w:b/>
          <w:sz w:val="14"/>
        </w:rPr>
      </w:pPr>
    </w:p>
    <w:p>
      <w:pPr>
        <w:spacing w:before="98"/>
        <w:ind w:left="673" w:right="0" w:firstLine="0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HESF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Domain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6: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Governance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and</w:t>
      </w:r>
      <w:r>
        <w:rPr>
          <w:rFonts w:ascii="Apercu"/>
          <w:b/>
          <w:color w:val="231F20"/>
          <w:spacing w:val="-4"/>
          <w:sz w:val="20"/>
        </w:rPr>
        <w:t> </w:t>
      </w:r>
      <w:r>
        <w:rPr>
          <w:rFonts w:ascii="Apercu"/>
          <w:b/>
          <w:color w:val="231F20"/>
          <w:sz w:val="20"/>
        </w:rPr>
        <w:t>Accountability</w:t>
      </w:r>
    </w:p>
    <w:p>
      <w:pPr>
        <w:pStyle w:val="BodyText"/>
        <w:spacing w:before="1"/>
        <w:rPr>
          <w:rFonts w:ascii="Apercu"/>
          <w:b/>
          <w:sz w:val="13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  <w:gridCol w:w="1430"/>
        <w:gridCol w:w="3127"/>
        <w:gridCol w:w="3541"/>
      </w:tblGrid>
      <w:tr>
        <w:trPr>
          <w:trHeight w:val="288" w:hRule="atLeast"/>
        </w:trPr>
        <w:tc>
          <w:tcPr>
            <w:tcW w:w="153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Standards</w:t>
            </w:r>
          </w:p>
        </w:tc>
        <w:tc>
          <w:tcPr>
            <w:tcW w:w="143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ANZSOG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Policy</w:t>
            </w:r>
          </w:p>
        </w:tc>
        <w:tc>
          <w:tcPr>
            <w:tcW w:w="3127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86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Policy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Statement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Key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Points</w:t>
            </w:r>
          </w:p>
        </w:tc>
        <w:tc>
          <w:tcPr>
            <w:tcW w:w="354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26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3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Alignment</w:t>
            </w:r>
          </w:p>
        </w:tc>
      </w:tr>
      <w:tr>
        <w:trPr>
          <w:trHeight w:val="508" w:hRule="atLeast"/>
        </w:trPr>
        <w:tc>
          <w:tcPr>
            <w:tcW w:w="153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391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2"/>
                <w:sz w:val="17"/>
              </w:rPr>
              <w:t>6.1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Corporate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Governance</w:t>
            </w:r>
          </w:p>
        </w:tc>
        <w:tc>
          <w:tcPr>
            <w:tcW w:w="8098" w:type="dxa"/>
            <w:gridSpan w:val="3"/>
            <w:vMerge w:val="restart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58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 Australia and New Zealand School of Government Limited – ANZSOG – was established in 2002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consortium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governments,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universities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business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schools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not-for-profit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public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company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limited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 guarantee.</w:t>
            </w:r>
          </w:p>
          <w:p>
            <w:pPr>
              <w:pStyle w:val="TableParagraph"/>
              <w:spacing w:line="213" w:lineRule="auto" w:before="116"/>
              <w:ind w:left="80" w:right="64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Board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Directors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has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overall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responsibility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organisation,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setting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direction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overseeing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effectiveness of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delivery against strategy.</w:t>
            </w:r>
          </w:p>
        </w:tc>
      </w:tr>
      <w:tr>
        <w:trPr>
          <w:trHeight w:val="768" w:hRule="atLeast"/>
        </w:trPr>
        <w:tc>
          <w:tcPr>
            <w:tcW w:w="153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279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6.2 Corporate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1"/>
                <w:sz w:val="17"/>
              </w:rPr>
              <w:t>Monitoring and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Accountability</w:t>
            </w:r>
          </w:p>
        </w:tc>
        <w:tc>
          <w:tcPr>
            <w:tcW w:w="8098" w:type="dxa"/>
            <w:gridSpan w:val="3"/>
            <w:vMerge/>
            <w:tcBorders>
              <w:top w:val="nil"/>
              <w:bottom w:val="single" w:sz="2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8" w:hRule="atLeast"/>
        </w:trPr>
        <w:tc>
          <w:tcPr>
            <w:tcW w:w="153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401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1"/>
                <w:sz w:val="17"/>
              </w:rPr>
              <w:t>6.3 Academic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Governance</w:t>
            </w:r>
          </w:p>
        </w:tc>
        <w:tc>
          <w:tcPr>
            <w:tcW w:w="143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18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Program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Learning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Design</w:t>
            </w:r>
          </w:p>
          <w:p>
            <w:pPr>
              <w:pStyle w:val="TableParagraph"/>
              <w:spacing w:line="213" w:lineRule="auto" w:before="115"/>
              <w:ind w:left="80" w:right="40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(Refer also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Delivery with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Partners)</w:t>
            </w:r>
          </w:p>
        </w:tc>
        <w:tc>
          <w:tcPr>
            <w:tcW w:w="312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86" w:right="31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Details ANZSOG approaches to -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 Governance and Quality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Assurance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addressing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Australian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Qualifications Framework (AQF),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university,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Aotearoa-</w:t>
            </w:r>
          </w:p>
          <w:p>
            <w:pPr>
              <w:pStyle w:val="TableParagraph"/>
              <w:spacing w:line="213" w:lineRule="auto" w:before="5"/>
              <w:ind w:left="186" w:right="106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1"/>
                <w:sz w:val="17"/>
              </w:rPr>
              <w:t>New Zealand Qualifications </w:t>
            </w:r>
            <w:r>
              <w:rPr>
                <w:b w:val="0"/>
                <w:color w:val="231F20"/>
                <w:sz w:val="17"/>
              </w:rPr>
              <w:t>Framework</w:t>
            </w:r>
            <w:r>
              <w:rPr>
                <w:b w:val="0"/>
                <w:color w:val="231F20"/>
                <w:spacing w:val="-4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(NZQF), and arrangements with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expectations of sponsor/sponsoring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agency and conferring university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partners.</w:t>
            </w:r>
          </w:p>
        </w:tc>
        <w:tc>
          <w:tcPr>
            <w:tcW w:w="354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26" w:right="24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ANZSOG’s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procedures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address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 Standards 6.3 and all subsections,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subsection 5.4 regarding institutional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quality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assurance.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particular,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this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governs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agreements,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supporting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schedules</w:t>
            </w:r>
          </w:p>
          <w:p>
            <w:pPr>
              <w:pStyle w:val="TableParagraph"/>
              <w:spacing w:line="213" w:lineRule="auto" w:before="5"/>
              <w:ind w:left="126" w:right="831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annual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reporting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arrangements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with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conferring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partners,</w:t>
            </w:r>
          </w:p>
          <w:p>
            <w:pPr>
              <w:pStyle w:val="TableParagraph"/>
              <w:spacing w:line="213" w:lineRule="auto" w:before="2"/>
              <w:ind w:left="126" w:right="44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university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representation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Academic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Advisory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Council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advising</w:t>
            </w:r>
          </w:p>
          <w:p>
            <w:pPr>
              <w:pStyle w:val="TableParagraph"/>
              <w:spacing w:line="213" w:lineRule="auto" w:before="2"/>
              <w:ind w:left="126" w:right="16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on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all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subject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unit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quality</w:t>
            </w:r>
            <w:r>
              <w:rPr>
                <w:b w:val="0"/>
                <w:color w:val="231F20"/>
                <w:spacing w:val="-3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review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matters.</w:t>
            </w:r>
          </w:p>
        </w:tc>
      </w:tr>
    </w:tbl>
    <w:p>
      <w:pPr>
        <w:spacing w:before="185"/>
        <w:ind w:left="673" w:right="0" w:firstLine="0"/>
        <w:jc w:val="left"/>
        <w:rPr>
          <w:rFonts w:ascii="Apercu"/>
          <w:b/>
          <w:sz w:val="20"/>
        </w:rPr>
      </w:pPr>
      <w:r>
        <w:rPr>
          <w:rFonts w:ascii="Apercu"/>
          <w:b/>
          <w:color w:val="231F20"/>
          <w:sz w:val="20"/>
        </w:rPr>
        <w:t>HESF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Domain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7: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Representation,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Information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and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Information</w:t>
      </w:r>
      <w:r>
        <w:rPr>
          <w:rFonts w:ascii="Apercu"/>
          <w:b/>
          <w:color w:val="231F20"/>
          <w:spacing w:val="-9"/>
          <w:sz w:val="20"/>
        </w:rPr>
        <w:t> </w:t>
      </w:r>
      <w:r>
        <w:rPr>
          <w:rFonts w:ascii="Apercu"/>
          <w:b/>
          <w:color w:val="231F20"/>
          <w:sz w:val="20"/>
        </w:rPr>
        <w:t>Management</w:t>
      </w:r>
    </w:p>
    <w:p>
      <w:pPr>
        <w:pStyle w:val="BodyText"/>
        <w:spacing w:after="1"/>
        <w:rPr>
          <w:rFonts w:ascii="Apercu"/>
          <w:b/>
          <w:sz w:val="13"/>
        </w:rPr>
      </w:pPr>
    </w:p>
    <w:tbl>
      <w:tblPr>
        <w:tblW w:w="0" w:type="auto"/>
        <w:jc w:val="left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1589"/>
        <w:gridCol w:w="3079"/>
        <w:gridCol w:w="3512"/>
      </w:tblGrid>
      <w:tr>
        <w:trPr>
          <w:trHeight w:val="288" w:hRule="atLeast"/>
        </w:trPr>
        <w:tc>
          <w:tcPr>
            <w:tcW w:w="1451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8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Standards</w:t>
            </w:r>
          </w:p>
        </w:tc>
        <w:tc>
          <w:tcPr>
            <w:tcW w:w="1589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65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ANZSOG</w:t>
            </w:r>
            <w:r>
              <w:rPr>
                <w:rFonts w:ascii="Apercu"/>
                <w:b/>
                <w:color w:val="FFFFFF"/>
                <w:spacing w:val="-6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Policy</w:t>
            </w:r>
          </w:p>
        </w:tc>
        <w:tc>
          <w:tcPr>
            <w:tcW w:w="3079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12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Policy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Statement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Key</w:t>
            </w:r>
            <w:r>
              <w:rPr>
                <w:rFonts w:ascii="Apercu"/>
                <w:b/>
                <w:color w:val="FFFFFF"/>
                <w:spacing w:val="-10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Points</w:t>
            </w:r>
          </w:p>
        </w:tc>
        <w:tc>
          <w:tcPr>
            <w:tcW w:w="3512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243B7D"/>
          </w:tcPr>
          <w:p>
            <w:pPr>
              <w:pStyle w:val="TableParagraph"/>
              <w:ind w:left="10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FFFFFF"/>
                <w:sz w:val="17"/>
              </w:rPr>
              <w:t>HESF</w:t>
            </w:r>
            <w:r>
              <w:rPr>
                <w:rFonts w:ascii="Apercu"/>
                <w:b/>
                <w:color w:val="FFFFFF"/>
                <w:spacing w:val="-3"/>
                <w:sz w:val="17"/>
              </w:rPr>
              <w:t> </w:t>
            </w:r>
            <w:r>
              <w:rPr>
                <w:rFonts w:ascii="Apercu"/>
                <w:b/>
                <w:color w:val="FFFFFF"/>
                <w:sz w:val="17"/>
              </w:rPr>
              <w:t>Alignment</w:t>
            </w:r>
          </w:p>
        </w:tc>
      </w:tr>
      <w:tr>
        <w:trPr>
          <w:trHeight w:val="2268" w:hRule="atLeast"/>
        </w:trPr>
        <w:tc>
          <w:tcPr>
            <w:tcW w:w="145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33" w:lineRule="exact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7.1</w:t>
            </w:r>
          </w:p>
          <w:p>
            <w:pPr>
              <w:pStyle w:val="TableParagraph"/>
              <w:spacing w:line="233" w:lineRule="exact" w:before="0"/>
              <w:ind w:left="80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Representation</w:t>
            </w:r>
          </w:p>
          <w:p>
            <w:pPr>
              <w:pStyle w:val="TableParagraph"/>
              <w:spacing w:line="213" w:lineRule="auto" w:before="109"/>
              <w:ind w:left="80" w:right="173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z w:val="17"/>
              </w:rPr>
              <w:t>7.2 Information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pacing w:val="-2"/>
                <w:sz w:val="17"/>
              </w:rPr>
              <w:t>for Prospective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and Current</w:t>
            </w:r>
            <w:r>
              <w:rPr>
                <w:rFonts w:ascii="Apercu"/>
                <w:b/>
                <w:color w:val="231F20"/>
                <w:spacing w:val="1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Students</w:t>
            </w:r>
          </w:p>
        </w:tc>
        <w:tc>
          <w:tcPr>
            <w:tcW w:w="158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65" w:right="15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Information for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Prospective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2"/>
                <w:sz w:val="17"/>
              </w:rPr>
              <w:t>Current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Students</w:t>
            </w:r>
          </w:p>
          <w:p>
            <w:pPr>
              <w:pStyle w:val="TableParagraph"/>
              <w:spacing w:line="213" w:lineRule="auto" w:before="116"/>
              <w:ind w:left="165" w:right="643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2"/>
                <w:sz w:val="17"/>
              </w:rPr>
              <w:t>(Refer also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</w:p>
          <w:p>
            <w:pPr>
              <w:pStyle w:val="TableParagraph"/>
              <w:spacing w:line="227" w:lineRule="exact" w:before="0"/>
              <w:ind w:left="165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Admission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policy)</w:t>
            </w:r>
          </w:p>
        </w:tc>
        <w:tc>
          <w:tcPr>
            <w:tcW w:w="307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12" w:right="93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Outlines how information provided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should be targeted to the range of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decisions prospective and enrolled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will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need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make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reference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 the ANZSOG EMPA core program,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how the information can be accessed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quality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control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information.</w:t>
            </w:r>
          </w:p>
        </w:tc>
        <w:tc>
          <w:tcPr>
            <w:tcW w:w="351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00" w:right="132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ANZSOG’s policies and procedures address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HESF</w:t>
            </w:r>
            <w:r>
              <w:rPr>
                <w:b w:val="0"/>
                <w:color w:val="231F20"/>
                <w:spacing w:val="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Standard</w:t>
            </w:r>
            <w:r>
              <w:rPr>
                <w:b w:val="0"/>
                <w:color w:val="231F20"/>
                <w:spacing w:val="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7.1</w:t>
            </w:r>
            <w:r>
              <w:rPr>
                <w:b w:val="0"/>
                <w:color w:val="231F20"/>
                <w:spacing w:val="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7.2</w:t>
            </w:r>
            <w:r>
              <w:rPr>
                <w:b w:val="0"/>
                <w:color w:val="231F20"/>
                <w:spacing w:val="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by</w:t>
            </w:r>
            <w:r>
              <w:rPr>
                <w:b w:val="0"/>
                <w:color w:val="231F20"/>
                <w:spacing w:val="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ensuring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regular internal review of information and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promotional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material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provided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students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ensure that content is accurate and informs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prospective students’ decision-making in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relation to the EMPA program’s relevance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quality to fulfill their professional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learning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goals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guide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their</w:t>
            </w:r>
            <w:r>
              <w:rPr>
                <w:b w:val="0"/>
                <w:color w:val="231F20"/>
                <w:spacing w:val="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application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enrolment process.</w:t>
            </w:r>
          </w:p>
        </w:tc>
      </w:tr>
      <w:tr>
        <w:trPr>
          <w:trHeight w:val="3262" w:hRule="atLeast"/>
        </w:trPr>
        <w:tc>
          <w:tcPr>
            <w:tcW w:w="145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80" w:right="181"/>
              <w:rPr>
                <w:rFonts w:ascii="Apercu"/>
                <w:b/>
                <w:sz w:val="17"/>
              </w:rPr>
            </w:pPr>
            <w:r>
              <w:rPr>
                <w:rFonts w:ascii="Apercu"/>
                <w:b/>
                <w:color w:val="231F20"/>
                <w:spacing w:val="-1"/>
                <w:sz w:val="17"/>
              </w:rPr>
              <w:t>7.3 Information</w:t>
            </w:r>
            <w:r>
              <w:rPr>
                <w:rFonts w:ascii="Apercu"/>
                <w:b/>
                <w:color w:val="231F20"/>
                <w:spacing w:val="-40"/>
                <w:sz w:val="17"/>
              </w:rPr>
              <w:t> </w:t>
            </w:r>
            <w:r>
              <w:rPr>
                <w:rFonts w:ascii="Apercu"/>
                <w:b/>
                <w:color w:val="231F20"/>
                <w:sz w:val="17"/>
              </w:rPr>
              <w:t>Management</w:t>
            </w:r>
          </w:p>
        </w:tc>
        <w:tc>
          <w:tcPr>
            <w:tcW w:w="158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65" w:right="96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Information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Management,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Privacy Statement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</w:t>
            </w:r>
          </w:p>
          <w:p>
            <w:pPr>
              <w:pStyle w:val="TableParagraph"/>
              <w:spacing w:line="213" w:lineRule="auto" w:before="117"/>
              <w:ind w:left="165" w:right="643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2"/>
                <w:sz w:val="17"/>
              </w:rPr>
              <w:t>(Refer also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ICT</w:t>
            </w:r>
          </w:p>
          <w:p>
            <w:pPr>
              <w:pStyle w:val="TableParagraph"/>
              <w:spacing w:line="213" w:lineRule="auto" w:before="2"/>
              <w:ind w:left="165" w:right="283"/>
              <w:rPr>
                <w:b w:val="0"/>
                <w:sz w:val="17"/>
              </w:rPr>
            </w:pPr>
            <w:r>
              <w:rPr>
                <w:b w:val="0"/>
                <w:color w:val="231F20"/>
                <w:spacing w:val="-2"/>
                <w:sz w:val="17"/>
              </w:rPr>
              <w:t>Policy, </w:t>
            </w:r>
            <w:r>
              <w:rPr>
                <w:b w:val="0"/>
                <w:color w:val="231F20"/>
                <w:spacing w:val="-1"/>
                <w:sz w:val="17"/>
              </w:rPr>
              <w:t>ANZSOG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Information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Security Policy,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 Records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Management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Policy)</w:t>
            </w:r>
          </w:p>
        </w:tc>
        <w:tc>
          <w:tcPr>
            <w:tcW w:w="3079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12" w:right="20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Covers responsibilities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reference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 EMPA core program information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management for both academic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leaders and EMPA delivery team staff,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outlines the types of information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covered by the policy and refers to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other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relevant</w:t>
            </w:r>
            <w:r>
              <w:rPr>
                <w:b w:val="0"/>
                <w:color w:val="231F20"/>
                <w:spacing w:val="-8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organisational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information</w:t>
            </w:r>
            <w:r>
              <w:rPr>
                <w:b w:val="0"/>
                <w:color w:val="231F20"/>
                <w:spacing w:val="-3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policies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authority.</w:t>
            </w:r>
          </w:p>
          <w:p>
            <w:pPr>
              <w:pStyle w:val="TableParagraph"/>
              <w:spacing w:line="213" w:lineRule="auto" w:before="121"/>
              <w:ind w:left="112" w:right="220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ANZSOG acknowledges its legislative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responsibilities regarding privacy,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freedom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of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information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1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retention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periods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for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student</w:t>
            </w:r>
            <w:r>
              <w:rPr>
                <w:b w:val="0"/>
                <w:color w:val="231F20"/>
                <w:spacing w:val="-7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records</w:t>
            </w:r>
            <w:r>
              <w:rPr>
                <w:b w:val="0"/>
                <w:color w:val="231F20"/>
                <w:spacing w:val="-6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including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data collected via the EMPA Learning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Management</w:t>
            </w:r>
            <w:r>
              <w:rPr>
                <w:b w:val="0"/>
                <w:color w:val="231F20"/>
                <w:spacing w:val="-2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System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(LMS).</w:t>
            </w:r>
          </w:p>
        </w:tc>
        <w:tc>
          <w:tcPr>
            <w:tcW w:w="3512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213" w:lineRule="auto" w:before="39"/>
              <w:ind w:left="100" w:right="169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In line with HESF requirements ANZSOG is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fully transparent to conferring university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partners and external stakeholders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pacing w:val="-1"/>
                <w:sz w:val="17"/>
              </w:rPr>
              <w:t>regarding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administration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delivery, and academic quality and annual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cohort data. The EMPA Annual Academic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Governance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Report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is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available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to</w:t>
            </w:r>
            <w:r>
              <w:rPr>
                <w:b w:val="0"/>
                <w:color w:val="231F20"/>
                <w:spacing w:val="-5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</w:t>
            </w:r>
            <w:r>
              <w:rPr>
                <w:b w:val="0"/>
                <w:color w:val="231F20"/>
                <w:spacing w:val="-4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public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via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the </w:t>
            </w:r>
            <w:hyperlink r:id="rId33">
              <w:r>
                <w:rPr>
                  <w:b w:val="0"/>
                  <w:color w:val="243B7D"/>
                  <w:sz w:val="17"/>
                  <w:u w:val="single" w:color="243B7D"/>
                </w:rPr>
                <w:t>ANZSOG</w:t>
              </w:r>
              <w:r>
                <w:rPr>
                  <w:b w:val="0"/>
                  <w:color w:val="243B7D"/>
                  <w:spacing w:val="-1"/>
                  <w:sz w:val="17"/>
                  <w:u w:val="single" w:color="243B7D"/>
                </w:rPr>
                <w:t> </w:t>
              </w:r>
              <w:r>
                <w:rPr>
                  <w:b w:val="0"/>
                  <w:color w:val="243B7D"/>
                  <w:sz w:val="17"/>
                  <w:u w:val="single" w:color="243B7D"/>
                </w:rPr>
                <w:t>website</w:t>
              </w:r>
            </w:hyperlink>
            <w:r>
              <w:rPr>
                <w:b w:val="0"/>
                <w:color w:val="231F20"/>
                <w:sz w:val="17"/>
              </w:rPr>
              <w:t>.</w:t>
            </w:r>
          </w:p>
          <w:p>
            <w:pPr>
              <w:pStyle w:val="TableParagraph"/>
              <w:spacing w:line="213" w:lineRule="auto" w:before="121"/>
              <w:ind w:left="100" w:right="394"/>
              <w:rPr>
                <w:b w:val="0"/>
                <w:sz w:val="17"/>
              </w:rPr>
            </w:pPr>
            <w:r>
              <w:rPr>
                <w:b w:val="0"/>
                <w:color w:val="231F20"/>
                <w:sz w:val="17"/>
              </w:rPr>
              <w:t>For internal records management, an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updated</w:t>
            </w:r>
            <w:r>
              <w:rPr>
                <w:b w:val="0"/>
                <w:color w:val="231F20"/>
                <w:spacing w:val="-1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ANZSOG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Records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Retention</w:t>
            </w:r>
            <w:r>
              <w:rPr>
                <w:b w:val="0"/>
                <w:color w:val="231F20"/>
                <w:spacing w:val="-9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and</w:t>
            </w:r>
            <w:r>
              <w:rPr>
                <w:b w:val="0"/>
                <w:color w:val="231F20"/>
                <w:spacing w:val="-40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Disposal Authority is being finalised that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will cover all information regarding the</w:t>
            </w:r>
            <w:r>
              <w:rPr>
                <w:b w:val="0"/>
                <w:color w:val="231F20"/>
                <w:spacing w:val="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EMPA</w:t>
            </w:r>
            <w:r>
              <w:rPr>
                <w:b w:val="0"/>
                <w:color w:val="231F20"/>
                <w:spacing w:val="-1"/>
                <w:sz w:val="17"/>
              </w:rPr>
              <w:t> </w:t>
            </w:r>
            <w:r>
              <w:rPr>
                <w:b w:val="0"/>
                <w:color w:val="231F20"/>
                <w:sz w:val="17"/>
              </w:rPr>
              <w:t>program.</w:t>
            </w:r>
          </w:p>
        </w:tc>
      </w:tr>
    </w:tbl>
    <w:p>
      <w:pPr>
        <w:spacing w:after="0" w:line="213" w:lineRule="auto"/>
        <w:rPr>
          <w:sz w:val="17"/>
        </w:rPr>
        <w:sectPr>
          <w:pgSz w:w="11910" w:h="16840"/>
          <w:pgMar w:header="0" w:footer="475" w:top="1580" w:bottom="660" w:left="460" w:right="0"/>
        </w:sectPr>
      </w:pPr>
    </w:p>
    <w:p>
      <w:pPr>
        <w:spacing w:line="596" w:lineRule="exact" w:before="9"/>
        <w:ind w:left="673" w:right="0" w:firstLine="0"/>
        <w:jc w:val="left"/>
        <w:rPr>
          <w:rFonts w:ascii="Domus Semibold"/>
          <w:b w:val="0"/>
          <w:sz w:val="56"/>
        </w:rPr>
      </w:pPr>
      <w:r>
        <w:rPr>
          <w:rFonts w:ascii="Domus Semibold"/>
          <w:b w:val="0"/>
          <w:color w:val="243B7D"/>
          <w:sz w:val="56"/>
        </w:rPr>
        <w:t>Appendix</w:t>
      </w:r>
      <w:r>
        <w:rPr>
          <w:rFonts w:ascii="Domus Semibold"/>
          <w:b w:val="0"/>
          <w:color w:val="243B7D"/>
          <w:spacing w:val="-27"/>
          <w:sz w:val="56"/>
        </w:rPr>
        <w:t> </w:t>
      </w:r>
      <w:r>
        <w:rPr>
          <w:rFonts w:ascii="Domus Semibold"/>
          <w:b w:val="0"/>
          <w:color w:val="243B7D"/>
          <w:sz w:val="56"/>
        </w:rPr>
        <w:t>2</w:t>
      </w:r>
    </w:p>
    <w:p>
      <w:pPr>
        <w:spacing w:line="596" w:lineRule="exact" w:before="0"/>
        <w:ind w:left="673" w:right="0" w:firstLine="0"/>
        <w:jc w:val="left"/>
        <w:rPr>
          <w:rFonts w:ascii="Domus Semibold"/>
          <w:b w:val="0"/>
          <w:sz w:val="56"/>
        </w:rPr>
      </w:pPr>
      <w:r>
        <w:rPr>
          <w:rFonts w:ascii="Domus Semibold"/>
          <w:b w:val="0"/>
          <w:color w:val="243B7D"/>
          <w:spacing w:val="-5"/>
          <w:sz w:val="56"/>
        </w:rPr>
        <w:t>EMPA</w:t>
      </w:r>
      <w:r>
        <w:rPr>
          <w:rFonts w:ascii="Domus Semibold"/>
          <w:b w:val="0"/>
          <w:color w:val="243B7D"/>
          <w:spacing w:val="-22"/>
          <w:sz w:val="56"/>
        </w:rPr>
        <w:t> </w:t>
      </w:r>
      <w:r>
        <w:rPr>
          <w:rFonts w:ascii="Domus Semibold"/>
          <w:b w:val="0"/>
          <w:color w:val="243B7D"/>
          <w:spacing w:val="-5"/>
          <w:sz w:val="56"/>
        </w:rPr>
        <w:t>Policies</w:t>
      </w:r>
      <w:r>
        <w:rPr>
          <w:rFonts w:ascii="Domus Semibold"/>
          <w:b w:val="0"/>
          <w:color w:val="243B7D"/>
          <w:spacing w:val="-21"/>
          <w:sz w:val="56"/>
        </w:rPr>
        <w:t> </w:t>
      </w:r>
      <w:r>
        <w:rPr>
          <w:rFonts w:ascii="Domus Semibold"/>
          <w:b w:val="0"/>
          <w:color w:val="243B7D"/>
          <w:spacing w:val="-4"/>
          <w:sz w:val="56"/>
        </w:rPr>
        <w:t>Map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5"/>
        <w:rPr>
          <w:rFonts w:ascii="Domus Semibold"/>
          <w:b w:val="0"/>
          <w:sz w:val="23"/>
        </w:rPr>
      </w:pPr>
    </w:p>
    <w:tbl>
      <w:tblPr>
        <w:tblW w:w="0" w:type="auto"/>
        <w:jc w:val="left"/>
        <w:tblInd w:w="683" w:type="dxa"/>
        <w:tblBorders>
          <w:top w:val="single" w:sz="8" w:space="0" w:color="243B7D"/>
          <w:left w:val="single" w:sz="8" w:space="0" w:color="243B7D"/>
          <w:bottom w:val="single" w:sz="8" w:space="0" w:color="243B7D"/>
          <w:right w:val="single" w:sz="8" w:space="0" w:color="243B7D"/>
          <w:insideH w:val="single" w:sz="8" w:space="0" w:color="243B7D"/>
          <w:insideV w:val="single" w:sz="8" w:space="0" w:color="243B7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1"/>
        <w:gridCol w:w="1435"/>
        <w:gridCol w:w="1293"/>
        <w:gridCol w:w="1436"/>
        <w:gridCol w:w="2728"/>
      </w:tblGrid>
      <w:tr>
        <w:trPr>
          <w:trHeight w:val="3675" w:hRule="atLeast"/>
        </w:trPr>
        <w:tc>
          <w:tcPr>
            <w:tcW w:w="4166" w:type="dxa"/>
            <w:gridSpan w:val="2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209"/>
              <w:ind w:left="29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43B7D"/>
                <w:w w:val="85"/>
                <w:sz w:val="28"/>
              </w:rPr>
              <w:t>Program</w:t>
            </w:r>
            <w:r>
              <w:rPr>
                <w:rFonts w:ascii="Arial"/>
                <w:b/>
                <w:color w:val="243B7D"/>
                <w:spacing w:val="29"/>
                <w:w w:val="85"/>
                <w:sz w:val="28"/>
              </w:rPr>
              <w:t> </w:t>
            </w:r>
            <w:r>
              <w:rPr>
                <w:rFonts w:ascii="Arial"/>
                <w:b/>
                <w:color w:val="243B7D"/>
                <w:w w:val="85"/>
                <w:sz w:val="28"/>
              </w:rPr>
              <w:t>Administration</w:t>
            </w:r>
          </w:p>
          <w:p>
            <w:pPr>
              <w:pStyle w:val="TableParagraph"/>
              <w:spacing w:line="290" w:lineRule="auto" w:before="58"/>
              <w:ind w:left="293" w:right="2984"/>
              <w:rPr>
                <w:b w:val="0"/>
                <w:sz w:val="19"/>
              </w:rPr>
            </w:pPr>
            <w:r>
              <w:rPr>
                <w:b w:val="0"/>
                <w:color w:val="243B7D"/>
                <w:sz w:val="19"/>
              </w:rPr>
              <w:t>Admission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pacing w:val="-1"/>
                <w:sz w:val="19"/>
              </w:rPr>
              <w:t>Enrolment</w:t>
            </w:r>
          </w:p>
          <w:p>
            <w:pPr>
              <w:pStyle w:val="TableParagraph"/>
              <w:spacing w:line="290" w:lineRule="auto" w:before="1"/>
              <w:ind w:left="293" w:right="1622"/>
              <w:rPr>
                <w:b w:val="0"/>
                <w:sz w:val="19"/>
              </w:rPr>
            </w:pPr>
            <w:r>
              <w:rPr>
                <w:b w:val="0"/>
                <w:color w:val="243B7D"/>
                <w:spacing w:val="-2"/>
                <w:sz w:val="19"/>
              </w:rPr>
              <w:t>Facilities </w:t>
            </w:r>
            <w:r>
              <w:rPr>
                <w:b w:val="0"/>
                <w:color w:val="243B7D"/>
                <w:spacing w:val="-1"/>
                <w:sz w:val="19"/>
              </w:rPr>
              <w:t>and Infrastructure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ICT</w:t>
            </w:r>
          </w:p>
          <w:p>
            <w:pPr>
              <w:pStyle w:val="TableParagraph"/>
              <w:spacing w:line="192" w:lineRule="auto" w:before="45"/>
              <w:ind w:left="293" w:right="568"/>
              <w:rPr>
                <w:b w:val="0"/>
                <w:sz w:val="19"/>
              </w:rPr>
            </w:pPr>
            <w:r>
              <w:rPr>
                <w:b w:val="0"/>
                <w:color w:val="243B7D"/>
                <w:spacing w:val="-1"/>
                <w:sz w:val="19"/>
              </w:rPr>
              <w:t>Information</w:t>
            </w:r>
            <w:r>
              <w:rPr>
                <w:b w:val="0"/>
                <w:color w:val="243B7D"/>
                <w:spacing w:val="-1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for</w:t>
            </w:r>
            <w:r>
              <w:rPr>
                <w:b w:val="0"/>
                <w:color w:val="243B7D"/>
                <w:spacing w:val="-10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Prospective</w:t>
            </w:r>
            <w:r>
              <w:rPr>
                <w:b w:val="0"/>
                <w:color w:val="243B7D"/>
                <w:spacing w:val="-10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and</w:t>
            </w:r>
            <w:r>
              <w:rPr>
                <w:b w:val="0"/>
                <w:color w:val="243B7D"/>
                <w:spacing w:val="-1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Current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Students</w:t>
            </w:r>
          </w:p>
          <w:p>
            <w:pPr>
              <w:pStyle w:val="TableParagraph"/>
              <w:spacing w:line="290" w:lineRule="auto" w:before="70"/>
              <w:ind w:left="293" w:right="1790"/>
              <w:rPr>
                <w:b w:val="0"/>
                <w:sz w:val="19"/>
              </w:rPr>
            </w:pPr>
            <w:r>
              <w:rPr>
                <w:b w:val="0"/>
                <w:color w:val="243B7D"/>
                <w:spacing w:val="-1"/>
                <w:sz w:val="19"/>
              </w:rPr>
              <w:t>Information Management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Privacy</w:t>
            </w:r>
            <w:r>
              <w:rPr>
                <w:b w:val="0"/>
                <w:color w:val="243B7D"/>
                <w:spacing w:val="-2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Statement</w:t>
            </w:r>
          </w:p>
        </w:tc>
        <w:tc>
          <w:tcPr>
            <w:tcW w:w="1293" w:type="dxa"/>
            <w:tcBorders>
              <w:top w:val="nil"/>
            </w:tcBorders>
            <w:shd w:val="clear" w:color="auto" w:fill="5BCBF5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164" w:type="dxa"/>
            <w:gridSpan w:val="2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209"/>
              <w:ind w:left="29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43B7D"/>
                <w:w w:val="85"/>
                <w:sz w:val="28"/>
              </w:rPr>
              <w:t>Academic</w:t>
            </w:r>
            <w:r>
              <w:rPr>
                <w:rFonts w:ascii="Arial"/>
                <w:b/>
                <w:color w:val="243B7D"/>
                <w:spacing w:val="-5"/>
                <w:w w:val="85"/>
                <w:sz w:val="28"/>
              </w:rPr>
              <w:t> </w:t>
            </w:r>
            <w:r>
              <w:rPr>
                <w:rFonts w:ascii="Arial"/>
                <w:b/>
                <w:color w:val="243B7D"/>
                <w:w w:val="85"/>
                <w:sz w:val="28"/>
              </w:rPr>
              <w:t>Standards</w:t>
            </w:r>
          </w:p>
          <w:p>
            <w:pPr>
              <w:pStyle w:val="TableParagraph"/>
              <w:spacing w:line="290" w:lineRule="auto" w:before="58"/>
              <w:ind w:left="295" w:right="1962"/>
              <w:rPr>
                <w:b w:val="0"/>
                <w:sz w:val="19"/>
              </w:rPr>
            </w:pPr>
            <w:r>
              <w:rPr>
                <w:b w:val="0"/>
                <w:color w:val="243B7D"/>
                <w:sz w:val="19"/>
              </w:rPr>
              <w:t>Academic Integrity</w:t>
            </w:r>
            <w:r>
              <w:rPr>
                <w:b w:val="0"/>
                <w:color w:val="243B7D"/>
                <w:spacing w:val="1"/>
                <w:sz w:val="19"/>
              </w:rPr>
              <w:t> </w:t>
            </w:r>
            <w:r>
              <w:rPr>
                <w:b w:val="0"/>
                <w:color w:val="243B7D"/>
                <w:spacing w:val="-1"/>
                <w:sz w:val="19"/>
              </w:rPr>
              <w:t>Academic Recruitment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Code of Conduct</w:t>
            </w:r>
          </w:p>
          <w:p>
            <w:pPr>
              <w:pStyle w:val="TableParagraph"/>
              <w:spacing w:line="290" w:lineRule="auto" w:before="2"/>
              <w:ind w:left="295" w:right="301"/>
              <w:rPr>
                <w:b w:val="0"/>
                <w:sz w:val="19"/>
              </w:rPr>
            </w:pPr>
            <w:r>
              <w:rPr>
                <w:b w:val="0"/>
                <w:color w:val="243B7D"/>
                <w:sz w:val="19"/>
              </w:rPr>
              <w:t>Learning</w:t>
            </w:r>
            <w:r>
              <w:rPr>
                <w:b w:val="0"/>
                <w:color w:val="243B7D"/>
                <w:spacing w:val="-9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Resources</w:t>
            </w:r>
            <w:r>
              <w:rPr>
                <w:b w:val="0"/>
                <w:color w:val="243B7D"/>
                <w:spacing w:val="-9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and</w:t>
            </w:r>
            <w:r>
              <w:rPr>
                <w:b w:val="0"/>
                <w:color w:val="243B7D"/>
                <w:spacing w:val="-9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Education</w:t>
            </w:r>
            <w:r>
              <w:rPr>
                <w:b w:val="0"/>
                <w:color w:val="243B7D"/>
                <w:spacing w:val="-9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Support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Monitoring, Review and Improvement</w:t>
            </w:r>
            <w:r>
              <w:rPr>
                <w:b w:val="0"/>
                <w:color w:val="243B7D"/>
                <w:spacing w:val="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Research</w:t>
            </w:r>
            <w:r>
              <w:rPr>
                <w:b w:val="0"/>
                <w:color w:val="243B7D"/>
                <w:spacing w:val="-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Ethics</w:t>
            </w:r>
          </w:p>
        </w:tc>
      </w:tr>
      <w:tr>
        <w:trPr>
          <w:trHeight w:val="295" w:hRule="atLeast"/>
        </w:trPr>
        <w:tc>
          <w:tcPr>
            <w:tcW w:w="2731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9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72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1038" w:hRule="atLeast"/>
        </w:trPr>
        <w:tc>
          <w:tcPr>
            <w:tcW w:w="2731" w:type="dxa"/>
            <w:tcBorders>
              <w:left w:val="nil"/>
            </w:tcBorders>
            <w:shd w:val="clear" w:color="auto" w:fill="5BCBF5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164" w:type="dxa"/>
            <w:gridSpan w:val="3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6" w:lineRule="exact" w:before="0"/>
              <w:ind w:left="29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43B7D"/>
                <w:w w:val="85"/>
                <w:sz w:val="28"/>
              </w:rPr>
              <w:t>Program</w:t>
            </w:r>
            <w:r>
              <w:rPr>
                <w:rFonts w:ascii="Arial"/>
                <w:b/>
                <w:color w:val="243B7D"/>
                <w:spacing w:val="12"/>
                <w:w w:val="85"/>
                <w:sz w:val="28"/>
              </w:rPr>
              <w:t> </w:t>
            </w:r>
            <w:r>
              <w:rPr>
                <w:rFonts w:ascii="Arial"/>
                <w:b/>
                <w:color w:val="243B7D"/>
                <w:w w:val="85"/>
                <w:sz w:val="28"/>
              </w:rPr>
              <w:t>Structure</w:t>
            </w:r>
          </w:p>
          <w:p>
            <w:pPr>
              <w:pStyle w:val="TableParagraph"/>
              <w:spacing w:line="192" w:lineRule="auto" w:before="100"/>
              <w:ind w:left="293" w:right="292"/>
              <w:rPr>
                <w:b w:val="0"/>
                <w:sz w:val="19"/>
              </w:rPr>
            </w:pPr>
            <w:r>
              <w:rPr>
                <w:b w:val="0"/>
                <w:color w:val="243B7D"/>
                <w:sz w:val="19"/>
              </w:rPr>
              <w:t>Delivery</w:t>
            </w:r>
            <w:r>
              <w:rPr>
                <w:b w:val="0"/>
                <w:color w:val="243B7D"/>
                <w:spacing w:val="-6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with</w:t>
            </w:r>
            <w:r>
              <w:rPr>
                <w:b w:val="0"/>
                <w:color w:val="243B7D"/>
                <w:spacing w:val="-6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Conferring</w:t>
            </w:r>
            <w:r>
              <w:rPr>
                <w:b w:val="0"/>
                <w:color w:val="243B7D"/>
                <w:spacing w:val="-6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University</w:t>
            </w:r>
            <w:r>
              <w:rPr>
                <w:b w:val="0"/>
                <w:color w:val="243B7D"/>
                <w:spacing w:val="-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Partners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Program</w:t>
            </w:r>
            <w:r>
              <w:rPr>
                <w:b w:val="0"/>
                <w:color w:val="243B7D"/>
                <w:spacing w:val="-2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and</w:t>
            </w:r>
            <w:r>
              <w:rPr>
                <w:b w:val="0"/>
                <w:color w:val="243B7D"/>
                <w:spacing w:val="-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Learning</w:t>
            </w:r>
            <w:r>
              <w:rPr>
                <w:b w:val="0"/>
                <w:color w:val="243B7D"/>
                <w:spacing w:val="-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Design</w:t>
            </w:r>
          </w:p>
        </w:tc>
        <w:tc>
          <w:tcPr>
            <w:tcW w:w="2728" w:type="dxa"/>
            <w:tcBorders>
              <w:right w:val="nil"/>
            </w:tcBorders>
            <w:shd w:val="clear" w:color="auto" w:fill="5BCBF5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35" w:hRule="atLeast"/>
        </w:trPr>
        <w:tc>
          <w:tcPr>
            <w:tcW w:w="2731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9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6" w:type="dxa"/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72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735" w:hRule="atLeast"/>
        </w:trPr>
        <w:tc>
          <w:tcPr>
            <w:tcW w:w="4166" w:type="dxa"/>
            <w:gridSpan w:val="2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Domus Semibold"/>
                <w:b w:val="0"/>
                <w:sz w:val="30"/>
              </w:rPr>
            </w:pPr>
          </w:p>
          <w:p>
            <w:pPr>
              <w:pStyle w:val="TableParagraph"/>
              <w:spacing w:before="0"/>
              <w:rPr>
                <w:rFonts w:ascii="Domus Semibold"/>
                <w:b w:val="0"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Domus Semibold"/>
                <w:b w:val="0"/>
                <w:sz w:val="27"/>
              </w:rPr>
            </w:pPr>
          </w:p>
          <w:p>
            <w:pPr>
              <w:pStyle w:val="TableParagraph"/>
              <w:spacing w:line="163" w:lineRule="auto" w:before="0"/>
              <w:ind w:left="29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43B7D"/>
                <w:w w:val="85"/>
                <w:sz w:val="28"/>
              </w:rPr>
              <w:t>Student</w:t>
            </w:r>
            <w:r>
              <w:rPr>
                <w:rFonts w:ascii="Arial"/>
                <w:b/>
                <w:color w:val="243B7D"/>
                <w:spacing w:val="20"/>
                <w:w w:val="85"/>
                <w:sz w:val="28"/>
              </w:rPr>
              <w:t> </w:t>
            </w:r>
            <w:r>
              <w:rPr>
                <w:rFonts w:ascii="Arial"/>
                <w:b/>
                <w:color w:val="243B7D"/>
                <w:w w:val="85"/>
                <w:sz w:val="28"/>
              </w:rPr>
              <w:t>Engagement</w:t>
            </w:r>
            <w:r>
              <w:rPr>
                <w:rFonts w:ascii="Arial"/>
                <w:b/>
                <w:color w:val="243B7D"/>
                <w:spacing w:val="20"/>
                <w:w w:val="85"/>
                <w:sz w:val="28"/>
              </w:rPr>
              <w:t> </w:t>
            </w:r>
            <w:r>
              <w:rPr>
                <w:rFonts w:ascii="Arial"/>
                <w:b/>
                <w:color w:val="243B7D"/>
                <w:w w:val="85"/>
                <w:sz w:val="28"/>
              </w:rPr>
              <w:t>and</w:t>
            </w:r>
            <w:r>
              <w:rPr>
                <w:rFonts w:ascii="Arial"/>
                <w:b/>
                <w:color w:val="243B7D"/>
                <w:spacing w:val="-63"/>
                <w:w w:val="85"/>
                <w:sz w:val="28"/>
              </w:rPr>
              <w:t> </w:t>
            </w:r>
            <w:r>
              <w:rPr>
                <w:rFonts w:ascii="Arial"/>
                <w:b/>
                <w:color w:val="243B7D"/>
                <w:sz w:val="28"/>
              </w:rPr>
              <w:t>Participation</w:t>
            </w:r>
          </w:p>
          <w:p>
            <w:pPr>
              <w:pStyle w:val="TableParagraph"/>
              <w:spacing w:before="78"/>
              <w:ind w:left="293"/>
              <w:rPr>
                <w:b w:val="0"/>
                <w:sz w:val="19"/>
              </w:rPr>
            </w:pPr>
            <w:r>
              <w:rPr>
                <w:b w:val="0"/>
                <w:color w:val="243B7D"/>
                <w:sz w:val="19"/>
              </w:rPr>
              <w:t>Attendance</w:t>
            </w:r>
          </w:p>
          <w:p>
            <w:pPr>
              <w:pStyle w:val="TableParagraph"/>
              <w:spacing w:line="290" w:lineRule="auto" w:before="58"/>
              <w:ind w:left="293" w:right="1441"/>
              <w:rPr>
                <w:b w:val="0"/>
                <w:sz w:val="19"/>
              </w:rPr>
            </w:pPr>
            <w:r>
              <w:rPr>
                <w:b w:val="0"/>
                <w:color w:val="243B7D"/>
                <w:sz w:val="19"/>
              </w:rPr>
              <w:t>Diversity,</w:t>
            </w:r>
            <w:r>
              <w:rPr>
                <w:b w:val="0"/>
                <w:color w:val="243B7D"/>
                <w:spacing w:val="-1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Equity</w:t>
            </w:r>
            <w:r>
              <w:rPr>
                <w:b w:val="0"/>
                <w:color w:val="243B7D"/>
                <w:spacing w:val="-10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and</w:t>
            </w:r>
            <w:r>
              <w:rPr>
                <w:b w:val="0"/>
                <w:color w:val="243B7D"/>
                <w:spacing w:val="-10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Inclusion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Orientation and Progression</w:t>
            </w:r>
            <w:r>
              <w:rPr>
                <w:b w:val="0"/>
                <w:color w:val="243B7D"/>
                <w:spacing w:val="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Student</w:t>
            </w:r>
            <w:r>
              <w:rPr>
                <w:b w:val="0"/>
                <w:color w:val="243B7D"/>
                <w:spacing w:val="-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Disability</w:t>
            </w:r>
          </w:p>
          <w:p>
            <w:pPr>
              <w:pStyle w:val="TableParagraph"/>
              <w:spacing w:line="290" w:lineRule="auto" w:before="2"/>
              <w:ind w:left="293" w:right="928"/>
              <w:rPr>
                <w:b w:val="0"/>
                <w:sz w:val="19"/>
              </w:rPr>
            </w:pPr>
            <w:r>
              <w:rPr>
                <w:b w:val="0"/>
                <w:color w:val="243B7D"/>
                <w:sz w:val="19"/>
              </w:rPr>
              <w:t>Student</w:t>
            </w:r>
            <w:r>
              <w:rPr>
                <w:b w:val="0"/>
                <w:color w:val="243B7D"/>
                <w:spacing w:val="-1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Complaints</w:t>
            </w:r>
            <w:r>
              <w:rPr>
                <w:b w:val="0"/>
                <w:color w:val="243B7D"/>
                <w:spacing w:val="-10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and</w:t>
            </w:r>
            <w:r>
              <w:rPr>
                <w:b w:val="0"/>
                <w:color w:val="243B7D"/>
                <w:spacing w:val="-10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Grievances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Wellbing</w:t>
            </w:r>
            <w:r>
              <w:rPr>
                <w:b w:val="0"/>
                <w:color w:val="243B7D"/>
                <w:spacing w:val="-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and</w:t>
            </w:r>
            <w:r>
              <w:rPr>
                <w:b w:val="0"/>
                <w:color w:val="243B7D"/>
                <w:spacing w:val="-1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Safety</w:t>
            </w:r>
          </w:p>
        </w:tc>
        <w:tc>
          <w:tcPr>
            <w:tcW w:w="1293" w:type="dxa"/>
            <w:tcBorders>
              <w:bottom w:val="nil"/>
            </w:tcBorders>
            <w:shd w:val="clear" w:color="auto" w:fill="5BCBF5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164" w:type="dxa"/>
            <w:gridSpan w:val="2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rPr>
                <w:rFonts w:ascii="Domus Semibold"/>
                <w:b w:val="0"/>
                <w:sz w:val="30"/>
              </w:rPr>
            </w:pPr>
          </w:p>
          <w:p>
            <w:pPr>
              <w:pStyle w:val="TableParagraph"/>
              <w:spacing w:before="0"/>
              <w:rPr>
                <w:rFonts w:ascii="Domus Semibold"/>
                <w:b w:val="0"/>
                <w:sz w:val="30"/>
              </w:rPr>
            </w:pPr>
          </w:p>
          <w:p>
            <w:pPr>
              <w:pStyle w:val="TableParagraph"/>
              <w:spacing w:before="0"/>
              <w:rPr>
                <w:rFonts w:ascii="Domus Semibold"/>
                <w:b w:val="0"/>
                <w:sz w:val="30"/>
              </w:rPr>
            </w:pPr>
          </w:p>
          <w:p>
            <w:pPr>
              <w:pStyle w:val="TableParagraph"/>
              <w:spacing w:before="0"/>
              <w:rPr>
                <w:rFonts w:ascii="Domus Semibold"/>
                <w:b w:val="0"/>
                <w:sz w:val="30"/>
              </w:rPr>
            </w:pPr>
          </w:p>
          <w:p>
            <w:pPr>
              <w:pStyle w:val="TableParagraph"/>
              <w:spacing w:before="0"/>
              <w:rPr>
                <w:rFonts w:ascii="Domus Semibold"/>
                <w:b w:val="0"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Domus Semibold"/>
                <w:b w:val="0"/>
                <w:sz w:val="32"/>
              </w:rPr>
            </w:pPr>
          </w:p>
          <w:p>
            <w:pPr>
              <w:pStyle w:val="TableParagraph"/>
              <w:spacing w:before="0"/>
              <w:ind w:left="29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43B7D"/>
                <w:spacing w:val="-1"/>
                <w:w w:val="90"/>
                <w:sz w:val="28"/>
              </w:rPr>
              <w:t>Academic</w:t>
            </w:r>
            <w:r>
              <w:rPr>
                <w:rFonts w:ascii="Arial"/>
                <w:b/>
                <w:color w:val="243B7D"/>
                <w:spacing w:val="-17"/>
                <w:w w:val="90"/>
                <w:sz w:val="28"/>
              </w:rPr>
              <w:t> </w:t>
            </w:r>
            <w:r>
              <w:rPr>
                <w:rFonts w:ascii="Arial"/>
                <w:b/>
                <w:color w:val="243B7D"/>
                <w:w w:val="90"/>
                <w:sz w:val="28"/>
              </w:rPr>
              <w:t>Attainment</w:t>
            </w:r>
          </w:p>
          <w:p>
            <w:pPr>
              <w:pStyle w:val="TableParagraph"/>
              <w:spacing w:line="290" w:lineRule="auto" w:before="58"/>
              <w:ind w:left="295" w:right="2879"/>
              <w:rPr>
                <w:b w:val="0"/>
                <w:sz w:val="19"/>
              </w:rPr>
            </w:pPr>
            <w:r>
              <w:rPr>
                <w:b w:val="0"/>
                <w:color w:val="243B7D"/>
                <w:spacing w:val="-2"/>
                <w:sz w:val="19"/>
              </w:rPr>
              <w:t>Assessment</w:t>
            </w:r>
            <w:r>
              <w:rPr>
                <w:b w:val="0"/>
                <w:color w:val="243B7D"/>
                <w:spacing w:val="-4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Moderation</w:t>
            </w:r>
          </w:p>
          <w:p>
            <w:pPr>
              <w:pStyle w:val="TableParagraph"/>
              <w:spacing w:before="1"/>
              <w:ind w:left="295"/>
              <w:rPr>
                <w:b w:val="0"/>
                <w:sz w:val="19"/>
              </w:rPr>
            </w:pPr>
            <w:r>
              <w:rPr>
                <w:b w:val="0"/>
                <w:color w:val="243B7D"/>
                <w:sz w:val="19"/>
              </w:rPr>
              <w:t>Qualifications</w:t>
            </w:r>
            <w:r>
              <w:rPr>
                <w:b w:val="0"/>
                <w:color w:val="243B7D"/>
                <w:spacing w:val="-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and</w:t>
            </w:r>
            <w:r>
              <w:rPr>
                <w:b w:val="0"/>
                <w:color w:val="243B7D"/>
                <w:spacing w:val="-5"/>
                <w:sz w:val="19"/>
              </w:rPr>
              <w:t> </w:t>
            </w:r>
            <w:r>
              <w:rPr>
                <w:b w:val="0"/>
                <w:color w:val="243B7D"/>
                <w:sz w:val="19"/>
              </w:rPr>
              <w:t>Certification</w:t>
            </w:r>
          </w:p>
        </w:tc>
      </w:tr>
    </w:tbl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9"/>
        <w:rPr>
          <w:rFonts w:ascii="Domus Semibold"/>
          <w:b w:val="0"/>
          <w:sz w:val="21"/>
        </w:rPr>
      </w:pPr>
    </w:p>
    <w:p>
      <w:pPr>
        <w:pStyle w:val="BodyText"/>
        <w:spacing w:line="192" w:lineRule="auto" w:before="138"/>
        <w:ind w:left="673" w:right="1220"/>
        <w:rPr>
          <w:b w:val="0"/>
        </w:rPr>
      </w:pPr>
      <w:r>
        <w:rPr/>
        <w:pict>
          <v:rect style="position:absolute;margin-left:36.849998pt;margin-top:-497.427399pt;width:522.52pt;height:490.395pt;mso-position-horizontal-relative:page;mso-position-vertical-relative:paragraph;z-index:-19452416" id="docshape178" filled="true" fillcolor="#5bcbf5" stroked="false">
            <v:fill type="solid"/>
            <w10:wrap type="none"/>
          </v:rect>
        </w:pict>
      </w:r>
      <w:r>
        <w:rPr>
          <w:b w:val="0"/>
          <w:color w:val="231F20"/>
        </w:rPr>
        <w:t>Note: These policies address all standards relevant to ANZSOG's role as a third-party provider of the EMPA program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line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seven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domains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HESF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2015.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categories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reference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functional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responsibilities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undertakes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 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EMPA programs delivery.</w:t>
      </w:r>
    </w:p>
    <w:p>
      <w:pPr>
        <w:spacing w:after="0" w:line="192" w:lineRule="auto"/>
        <w:sectPr>
          <w:pgSz w:w="11910" w:h="16840"/>
          <w:pgMar w:header="0" w:footer="475" w:top="920" w:bottom="740" w:left="460" w:right="0"/>
        </w:sectPr>
      </w:pPr>
    </w:p>
    <w:p>
      <w:pPr>
        <w:spacing w:line="596" w:lineRule="exact" w:before="9"/>
        <w:ind w:left="673" w:right="0" w:firstLine="0"/>
        <w:jc w:val="left"/>
        <w:rPr>
          <w:rFonts w:ascii="Domus Semibold"/>
          <w:b w:val="0"/>
          <w:sz w:val="56"/>
        </w:rPr>
      </w:pPr>
      <w:r>
        <w:rPr>
          <w:rFonts w:ascii="Domus Semibold"/>
          <w:b w:val="0"/>
          <w:color w:val="243B7D"/>
          <w:sz w:val="56"/>
        </w:rPr>
        <w:t>Appendix</w:t>
      </w:r>
      <w:r>
        <w:rPr>
          <w:rFonts w:ascii="Domus Semibold"/>
          <w:b w:val="0"/>
          <w:color w:val="243B7D"/>
          <w:spacing w:val="-27"/>
          <w:sz w:val="56"/>
        </w:rPr>
        <w:t> </w:t>
      </w:r>
      <w:r>
        <w:rPr>
          <w:rFonts w:ascii="Domus Semibold"/>
          <w:b w:val="0"/>
          <w:color w:val="243B7D"/>
          <w:sz w:val="56"/>
        </w:rPr>
        <w:t>3</w:t>
      </w:r>
    </w:p>
    <w:p>
      <w:pPr>
        <w:spacing w:line="596" w:lineRule="exact" w:before="0"/>
        <w:ind w:left="673" w:right="0" w:firstLine="0"/>
        <w:jc w:val="left"/>
        <w:rPr>
          <w:rFonts w:ascii="Domus Semibold"/>
          <w:b w:val="0"/>
          <w:sz w:val="56"/>
        </w:rPr>
      </w:pPr>
      <w:r>
        <w:rPr>
          <w:rFonts w:ascii="Domus Semibold"/>
          <w:b w:val="0"/>
          <w:color w:val="243B7D"/>
          <w:spacing w:val="-6"/>
          <w:sz w:val="56"/>
        </w:rPr>
        <w:t>EMPA</w:t>
      </w:r>
      <w:r>
        <w:rPr>
          <w:rFonts w:ascii="Domus Semibold"/>
          <w:b w:val="0"/>
          <w:color w:val="243B7D"/>
          <w:spacing w:val="-22"/>
          <w:sz w:val="56"/>
        </w:rPr>
        <w:t> </w:t>
      </w:r>
      <w:r>
        <w:rPr>
          <w:rFonts w:ascii="Domus Semibold"/>
          <w:b w:val="0"/>
          <w:color w:val="243B7D"/>
          <w:spacing w:val="-6"/>
          <w:sz w:val="56"/>
        </w:rPr>
        <w:t>Procedures</w:t>
      </w:r>
      <w:r>
        <w:rPr>
          <w:rFonts w:ascii="Domus Semibold"/>
          <w:b w:val="0"/>
          <w:color w:val="243B7D"/>
          <w:spacing w:val="-21"/>
          <w:sz w:val="56"/>
        </w:rPr>
        <w:t> </w:t>
      </w:r>
      <w:r>
        <w:rPr>
          <w:rFonts w:ascii="Domus Semibold"/>
          <w:b w:val="0"/>
          <w:color w:val="243B7D"/>
          <w:spacing w:val="-5"/>
          <w:sz w:val="56"/>
        </w:rPr>
        <w:t>Map</w:t>
      </w:r>
    </w:p>
    <w:p>
      <w:pPr>
        <w:pStyle w:val="BodyText"/>
        <w:spacing w:before="4"/>
        <w:rPr>
          <w:rFonts w:ascii="Domus Semibold"/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538025</wp:posOffset>
            </wp:positionH>
            <wp:positionV relativeFrom="paragraph">
              <wp:posOffset>239286</wp:posOffset>
            </wp:positionV>
            <wp:extent cx="6504526" cy="4061650"/>
            <wp:effectExtent l="0" t="0" r="0" b="0"/>
            <wp:wrapTopAndBottom/>
            <wp:docPr id="5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526" cy="40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Domus Semibold"/>
          <w:sz w:val="29"/>
        </w:rPr>
        <w:sectPr>
          <w:pgSz w:w="11910" w:h="16840"/>
          <w:pgMar w:header="0" w:footer="475" w:top="920" w:bottom="740" w:left="460" w:right="0"/>
        </w:sectPr>
      </w:pPr>
    </w:p>
    <w:p>
      <w:pPr>
        <w:spacing w:before="9"/>
        <w:ind w:left="673" w:right="0" w:firstLine="0"/>
        <w:jc w:val="left"/>
        <w:rPr>
          <w:rFonts w:ascii="Domus Semibold"/>
          <w:b w:val="0"/>
          <w:sz w:val="56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50880" id="docshapegroup179" coordorigin="1131,2438" coordsize="9643,12506">
            <v:line style="position:absolute" from="2050,12779" to="3902,12779" stroked="true" strokeweight="2.362pt" strokecolor="#44526a">
              <v:stroke dashstyle="solid"/>
            </v:line>
            <v:line style="position:absolute" from="2043,7717" to="3768,7717" stroked="true" strokeweight="2.362pt" strokecolor="#44526a">
              <v:stroke dashstyle="solid"/>
            </v:line>
            <v:rect style="position:absolute;left:1133;top:2440;width:9638;height:12501" id="docshape180" filled="false" stroked="true" strokeweight=".25pt" strokecolor="#231f20">
              <v:stroke dashstyle="solid"/>
            </v:rect>
            <v:rect style="position:absolute;left:1388;top:3798;width:2920;height:1276" id="docshape181" filled="true" fillcolor="#ffffff" stroked="false">
              <v:fill type="solid"/>
            </v:rect>
            <w10:wrap type="none"/>
          </v:group>
        </w:pict>
      </w:r>
      <w:r>
        <w:rPr>
          <w:rFonts w:ascii="Domus Semibold"/>
          <w:b w:val="0"/>
          <w:color w:val="243B7D"/>
          <w:sz w:val="56"/>
        </w:rPr>
        <w:t>Appendix</w:t>
      </w:r>
      <w:r>
        <w:rPr>
          <w:rFonts w:ascii="Domus Semibold"/>
          <w:b w:val="0"/>
          <w:color w:val="243B7D"/>
          <w:spacing w:val="-27"/>
          <w:sz w:val="56"/>
        </w:rPr>
        <w:t> </w:t>
      </w:r>
      <w:r>
        <w:rPr>
          <w:rFonts w:ascii="Domus Semibold"/>
          <w:b w:val="0"/>
          <w:color w:val="243B7D"/>
          <w:sz w:val="56"/>
        </w:rPr>
        <w:t>4</w:t>
      </w:r>
    </w:p>
    <w:p>
      <w:pPr>
        <w:pStyle w:val="BodyText"/>
        <w:spacing w:before="180"/>
        <w:ind w:left="673"/>
        <w:rPr>
          <w:b w:val="0"/>
        </w:rPr>
      </w:pPr>
      <w:r>
        <w:rPr>
          <w:b w:val="0"/>
          <w:color w:val="231F20"/>
        </w:rPr>
        <w:t>Attachment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before="94"/>
        <w:ind w:left="1335" w:right="0" w:firstLine="0"/>
        <w:jc w:val="left"/>
        <w:rPr>
          <w:rFonts w:ascii="Arial"/>
          <w:b/>
          <w:sz w:val="31"/>
        </w:rPr>
      </w:pPr>
      <w:r>
        <w:rPr/>
        <w:pict>
          <v:shape style="position:absolute;margin-left:89.783401pt;margin-top:38.042625pt;width:56.7pt;height:10.6pt;mso-position-horizontal-relative:page;mso-position-vertical-relative:paragraph;z-index:-19451392" type="#_x0000_t202" id="docshape182" filled="false" stroked="false">
            <v:textbox inset="0,0,0,0">
              <w:txbxContent>
                <w:p>
                  <w:pPr>
                    <w:pStyle w:val="BodyText"/>
                    <w:spacing w:line="211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393838"/>
                      <w:spacing w:val="-1"/>
                    </w:rPr>
                    <w:t>Attachment</w:t>
                  </w:r>
                  <w:r>
                    <w:rPr>
                      <w:rFonts w:ascii="Arial"/>
                      <w:color w:val="393838"/>
                      <w:spacing w:val="-13"/>
                    </w:rPr>
                    <w:t> </w:t>
                  </w:r>
                  <w:r>
                    <w:rPr>
                      <w:rFonts w:ascii="Arial"/>
                      <w:color w:val="393838"/>
                      <w:spacing w:val="-1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31"/>
        </w:rPr>
        <w:t>Appendix</w:t>
      </w:r>
      <w:r>
        <w:rPr>
          <w:rFonts w:ascii="Arial"/>
          <w:b/>
          <w:spacing w:val="13"/>
          <w:sz w:val="31"/>
        </w:rPr>
        <w:t> </w:t>
      </w:r>
      <w:r>
        <w:rPr>
          <w:rFonts w:ascii="Arial"/>
          <w:b/>
          <w:sz w:val="31"/>
        </w:rPr>
        <w:t>4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spacing w:line="278" w:lineRule="auto" w:before="300"/>
        <w:ind w:left="1686" w:right="1997" w:firstLine="0"/>
        <w:jc w:val="left"/>
        <w:rPr>
          <w:rFonts w:ascii="Arial"/>
          <w:b/>
          <w:sz w:val="56"/>
        </w:rPr>
      </w:pPr>
      <w:r>
        <w:rPr>
          <w:rFonts w:ascii="Arial"/>
          <w:b/>
          <w:color w:val="393838"/>
          <w:sz w:val="56"/>
        </w:rPr>
        <w:t>COMPLIANCE</w:t>
      </w:r>
      <w:r>
        <w:rPr>
          <w:rFonts w:ascii="Arial"/>
          <w:b/>
          <w:color w:val="393838"/>
          <w:spacing w:val="10"/>
          <w:sz w:val="56"/>
        </w:rPr>
        <w:t> </w:t>
      </w:r>
      <w:r>
        <w:rPr>
          <w:rFonts w:ascii="Arial"/>
          <w:b/>
          <w:color w:val="393838"/>
          <w:sz w:val="56"/>
        </w:rPr>
        <w:t>REVIEW:</w:t>
      </w:r>
      <w:r>
        <w:rPr>
          <w:rFonts w:ascii="Arial"/>
          <w:b/>
          <w:color w:val="393838"/>
          <w:spacing w:val="1"/>
          <w:sz w:val="56"/>
        </w:rPr>
        <w:t> </w:t>
      </w:r>
      <w:r>
        <w:rPr>
          <w:rFonts w:ascii="Arial"/>
          <w:b/>
          <w:color w:val="393838"/>
          <w:sz w:val="56"/>
        </w:rPr>
        <w:t>EXECUTIVE</w:t>
      </w:r>
      <w:r>
        <w:rPr>
          <w:rFonts w:ascii="Arial"/>
          <w:b/>
          <w:color w:val="393838"/>
          <w:spacing w:val="17"/>
          <w:sz w:val="56"/>
        </w:rPr>
        <w:t> </w:t>
      </w:r>
      <w:r>
        <w:rPr>
          <w:rFonts w:ascii="Arial"/>
          <w:b/>
          <w:color w:val="393838"/>
          <w:sz w:val="56"/>
        </w:rPr>
        <w:t>MASTER</w:t>
      </w:r>
      <w:r>
        <w:rPr>
          <w:rFonts w:ascii="Arial"/>
          <w:b/>
          <w:color w:val="393838"/>
          <w:spacing w:val="17"/>
          <w:sz w:val="56"/>
        </w:rPr>
        <w:t> </w:t>
      </w:r>
      <w:r>
        <w:rPr>
          <w:rFonts w:ascii="Arial"/>
          <w:b/>
          <w:color w:val="393838"/>
          <w:sz w:val="56"/>
        </w:rPr>
        <w:t>OF</w:t>
      </w:r>
      <w:r>
        <w:rPr>
          <w:rFonts w:ascii="Arial"/>
          <w:b/>
          <w:color w:val="393838"/>
          <w:spacing w:val="1"/>
          <w:sz w:val="56"/>
        </w:rPr>
        <w:t> </w:t>
      </w:r>
      <w:r>
        <w:rPr>
          <w:rFonts w:ascii="Arial"/>
          <w:b/>
          <w:color w:val="393838"/>
          <w:sz w:val="56"/>
        </w:rPr>
        <w:t>PUBLIC</w:t>
      </w:r>
      <w:r>
        <w:rPr>
          <w:rFonts w:ascii="Arial"/>
          <w:b/>
          <w:color w:val="393838"/>
          <w:spacing w:val="70"/>
          <w:sz w:val="56"/>
        </w:rPr>
        <w:t> </w:t>
      </w:r>
      <w:r>
        <w:rPr>
          <w:rFonts w:ascii="Arial"/>
          <w:b/>
          <w:color w:val="393838"/>
          <w:sz w:val="56"/>
        </w:rPr>
        <w:t>ADMINISTRATION</w:t>
      </w:r>
    </w:p>
    <w:p>
      <w:pPr>
        <w:pStyle w:val="BodyText"/>
        <w:spacing w:before="1"/>
        <w:rPr>
          <w:rFonts w:ascii="Arial"/>
          <w:b/>
          <w:sz w:val="63"/>
        </w:rPr>
      </w:pPr>
    </w:p>
    <w:p>
      <w:pPr>
        <w:spacing w:before="0"/>
        <w:ind w:left="1579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393838"/>
          <w:sz w:val="22"/>
        </w:rPr>
        <w:t>Provider:</w:t>
      </w:r>
      <w:r>
        <w:rPr>
          <w:rFonts w:ascii="Calibri"/>
          <w:b/>
          <w:color w:val="393838"/>
          <w:spacing w:val="-2"/>
          <w:sz w:val="22"/>
        </w:rPr>
        <w:t> </w:t>
      </w:r>
      <w:r>
        <w:rPr>
          <w:rFonts w:ascii="Calibri"/>
          <w:b/>
          <w:color w:val="393838"/>
          <w:sz w:val="22"/>
        </w:rPr>
        <w:t>Australia</w:t>
      </w:r>
      <w:r>
        <w:rPr>
          <w:rFonts w:ascii="Calibri"/>
          <w:b/>
          <w:color w:val="393838"/>
          <w:spacing w:val="-3"/>
          <w:sz w:val="22"/>
        </w:rPr>
        <w:t> </w:t>
      </w:r>
      <w:r>
        <w:rPr>
          <w:rFonts w:ascii="Calibri"/>
          <w:b/>
          <w:color w:val="393838"/>
          <w:sz w:val="22"/>
        </w:rPr>
        <w:t>and New</w:t>
      </w:r>
      <w:r>
        <w:rPr>
          <w:rFonts w:ascii="Calibri"/>
          <w:b/>
          <w:color w:val="393838"/>
          <w:spacing w:val="-3"/>
          <w:sz w:val="22"/>
        </w:rPr>
        <w:t> </w:t>
      </w:r>
      <w:r>
        <w:rPr>
          <w:rFonts w:ascii="Calibri"/>
          <w:b/>
          <w:color w:val="393838"/>
          <w:sz w:val="22"/>
        </w:rPr>
        <w:t>Zealand School</w:t>
      </w:r>
      <w:r>
        <w:rPr>
          <w:rFonts w:ascii="Calibri"/>
          <w:b/>
          <w:color w:val="393838"/>
          <w:spacing w:val="-4"/>
          <w:sz w:val="22"/>
        </w:rPr>
        <w:t> </w:t>
      </w:r>
      <w:r>
        <w:rPr>
          <w:rFonts w:ascii="Calibri"/>
          <w:b/>
          <w:color w:val="393838"/>
          <w:sz w:val="22"/>
        </w:rPr>
        <w:t>of</w:t>
      </w:r>
      <w:r>
        <w:rPr>
          <w:rFonts w:ascii="Calibri"/>
          <w:b/>
          <w:color w:val="393838"/>
          <w:spacing w:val="6"/>
          <w:sz w:val="22"/>
        </w:rPr>
        <w:t> </w:t>
      </w:r>
      <w:r>
        <w:rPr>
          <w:rFonts w:ascii="Calibri"/>
          <w:b/>
          <w:color w:val="393838"/>
          <w:sz w:val="22"/>
        </w:rPr>
        <w:t>Government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before="144"/>
        <w:ind w:left="1579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To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‘make assurance</w:t>
      </w:r>
      <w:r>
        <w:rPr>
          <w:rFonts w:ascii="Calibri" w:hAnsi="Calibri"/>
          <w:i/>
          <w:spacing w:val="-4"/>
          <w:sz w:val="22"/>
        </w:rPr>
        <w:t> </w:t>
      </w:r>
      <w:r>
        <w:rPr>
          <w:rFonts w:ascii="Calibri" w:hAnsi="Calibri"/>
          <w:i/>
          <w:sz w:val="22"/>
        </w:rPr>
        <w:t>double</w:t>
      </w:r>
      <w:r>
        <w:rPr>
          <w:rFonts w:ascii="Calibri" w:hAnsi="Calibri"/>
          <w:i/>
          <w:spacing w:val="-4"/>
          <w:sz w:val="22"/>
        </w:rPr>
        <w:t> </w:t>
      </w:r>
      <w:r>
        <w:rPr>
          <w:rFonts w:ascii="Calibri" w:hAnsi="Calibri"/>
          <w:i/>
          <w:sz w:val="22"/>
        </w:rPr>
        <w:t>sure’</w:t>
      </w:r>
      <w:r>
        <w:rPr>
          <w:rFonts w:ascii="Calibri" w:hAnsi="Calibri"/>
          <w:i/>
          <w:spacing w:val="5"/>
          <w:sz w:val="22"/>
        </w:rPr>
        <w:t> </w:t>
      </w:r>
      <w:r>
        <w:rPr>
          <w:rFonts w:ascii="Calibri" w:hAnsi="Calibri"/>
          <w:i/>
          <w:sz w:val="22"/>
        </w:rPr>
        <w:t>(Macbeth</w:t>
      </w:r>
      <w:r>
        <w:rPr>
          <w:rFonts w:ascii="Calibri" w:hAnsi="Calibri"/>
          <w:i/>
          <w:spacing w:val="-4"/>
          <w:sz w:val="22"/>
        </w:rPr>
        <w:t> </w:t>
      </w:r>
      <w:r>
        <w:rPr>
          <w:rFonts w:ascii="Calibri" w:hAnsi="Calibri"/>
          <w:i/>
          <w:sz w:val="22"/>
        </w:rPr>
        <w:t>IV,1)</w:t>
      </w: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spacing w:before="176"/>
        <w:ind w:left="1579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393838"/>
          <w:sz w:val="22"/>
        </w:rPr>
        <w:t>12</w:t>
      </w:r>
      <w:r>
        <w:rPr>
          <w:rFonts w:ascii="Calibri"/>
          <w:b/>
          <w:color w:val="393838"/>
          <w:spacing w:val="-4"/>
          <w:sz w:val="22"/>
        </w:rPr>
        <w:t> </w:t>
      </w:r>
      <w:r>
        <w:rPr>
          <w:rFonts w:ascii="Calibri"/>
          <w:b/>
          <w:color w:val="393838"/>
          <w:sz w:val="22"/>
        </w:rPr>
        <w:t>February 2021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5"/>
        </w:rPr>
      </w:pPr>
    </w:p>
    <w:p>
      <w:pPr>
        <w:spacing w:before="56"/>
        <w:ind w:left="4415" w:right="5034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12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92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50368" id="docshapegroup183" coordorigin="1131,2438" coordsize="9643,12506">
            <v:shape style="position:absolute;left:8453;top:3332;width:1500;height:435" type="#_x0000_t75" id="docshape184" stroked="false">
              <v:imagedata r:id="rId75" o:title=""/>
            </v:shape>
            <v:shape style="position:absolute;left:1795;top:13874;width:1745;height:170" id="docshape185" coordorigin="1796,13874" coordsize="1745,170" path="m1945,14032l1943,14028,1942,14025,1933,14001,1924,13977,1898,13910,1895,13901,1895,13977,1845,13977,1870,13910,1895,13977,1895,13901,1890,13890,1886,13880,1882,13876,1859,13876,1855,13880,1851,13890,1798,14025,1797,14028,1796,14032,1796,14039,1799,14042,1819,14042,1822,14039,1824,14032,1836,14001,1904,14001,1915,14032,1917,14039,1921,14042,1942,14042,1945,14039,1945,14032xm2102,13880l2098,13876,2080,13876,2075,13880,2075,14003,2006,13890,2001,13882,1995,13876,1969,13876,1963,13881,1963,14038,1967,14042,1985,14042,1990,14038,1990,14031,1990,13913,2063,14028,2068,14037,2074,14042,2096,14042,2102,14037,2102,13880xm2240,14021l2236,14017,2229,14017,2155,14017,2231,13907,2235,13901,2238,13896,2238,13881,2234,13877,2126,13877,2122,13881,2122,13898,2126,13902,2203,13902,2128,14012,2124,14018,2120,14023,2120,14037,2125,14041,2236,14041,2240,14037,2240,14021xm2360,13996l2347,13965,2319,13948,2291,13936,2278,13918,2278,13907,2288,13899,2316,13899,2325,13902,2334,13907,2339,13909,2342,13911,2350,13911,2356,13903,2356,13893,2353,13889,2347,13885,2337,13880,2327,13877,2316,13875,2306,13874,2283,13878,2266,13887,2254,13901,2250,13920,2263,13949,2291,13965,2319,13978,2331,13997,2331,14011,2319,14020,2289,14020,2280,14015,2271,14010,2266,14006,2263,14005,2253,14005,2248,14012,2248,14023,2251,14027,2257,14031,2266,14036,2276,14040,2288,14043,2301,14044,2324,14041,2343,14031,2355,14016,2360,13996xm2536,13959l2531,13924,2515,13898,2514,13897,2507,13893,2507,13959,2503,13985,2493,14004,2476,14016,2455,14020,2433,14016,2417,14004,2406,13985,2402,13959,2406,13934,2417,13915,2433,13902,2455,13898,2476,13902,2493,13915,2503,13934,2507,13959,2507,13893,2488,13880,2455,13874,2421,13880,2395,13897,2379,13924,2373,13959,2379,13994,2395,14021,2421,14038,2455,14044,2488,14038,2514,14021,2515,14020,2531,13994,2536,13959xm2691,13960l2687,13956,2631,13956,2628,13959,2628,13976,2631,13980,2639,13980,2663,13980,2663,14014,2656,14017,2646,14019,2636,14019,2613,14015,2596,14003,2585,13984,2581,13958,2584,13933,2595,13914,2612,13903,2634,13899,2646,13899,2656,13902,2665,13906,2671,13910,2674,13912,2683,13912,2690,13905,2690,13894,2686,13890,2678,13885,2668,13881,2658,13877,2646,13875,2634,13874,2601,13880,2575,13896,2558,13923,2551,13959,2558,13995,2575,14021,2602,14037,2635,14043,2647,14042,2659,14041,2669,14038,2678,14035,2688,14031,2691,14026,2691,13960xm2747,14016l2740,14009,2719,14009,2712,14016,2712,14036,2719,14043,2730,14043,2740,14043,2747,14036,2747,14016xm2873,14021l2869,14017,2797,14017,2797,13969,2857,13969,2861,13964,2861,13948,2857,13944,2850,13944,2797,13944,2797,13902,2868,13902,2872,13898,2872,13881,2868,13877,2775,13877,2770,13882,2770,14037,2775,14041,2869,14041,2873,14037,2873,14021xm3029,13959l3023,13924,3007,13899,3005,13897,3000,13894,3000,13959,2996,13985,2984,14003,2964,14015,2937,14019,2932,14019,2926,14018,2921,14018,2921,13901,2926,13900,2932,13899,2937,13899,2964,13903,2984,13915,2996,13934,3000,13959,3000,13894,2976,13881,2937,13876,2926,13876,2913,13877,2906,13879,2892,13882,2892,14037,2906,14040,2913,14042,2926,14043,2936,14043,2975,14037,3005,14021,3006,14019,3023,13994,3029,13959xm3182,13880l3178,13876,3160,13876,3156,13880,3156,13986,3154,13993,3152,13999,3147,14008,3139,14015,3129,14019,3118,14020,3106,14019,3096,14015,3088,14008,3083,13999,3081,13993,3080,13986,3080,13880,3075,13876,3056,13876,3052,13880,3052,13991,3054,14002,3057,14011,3067,14026,3081,14037,3097,14042,3117,14044,3136,14042,3153,14036,3167,14026,3176,14011,3180,14003,3182,13993,3182,13880xm3232,14016l3225,14009,3204,14009,3197,14016,3197,14036,3204,14043,3215,14043,3225,14043,3232,14036,3232,14016xm3396,14032l3395,14028,3394,14025,3384,14001,3375,13977,3349,13910,3346,13901,3346,13977,3296,13977,3321,13910,3346,13977,3346,13901,3342,13890,3338,13880,3334,13876,3310,13876,3306,13880,3302,13890,3249,14025,3248,14028,3247,14032,3247,14039,3250,14042,3270,14042,3273,14039,3275,14032,3287,14001,3355,14001,3366,14032,3369,14039,3372,14042,3393,14042,3396,14039,3396,14032xm3540,13880l3536,13876,3518,13876,3513,13880,3513,13986,3512,13993,3510,13999,3505,14008,3497,14015,3487,14019,3475,14020,3464,14019,3454,14015,3446,14008,3441,13999,3439,13993,3438,13986,3438,13880,3433,13876,3414,13876,3410,13880,3410,13991,3411,14002,3415,14011,3425,14026,3439,14037,3455,14042,3475,14044,3494,14042,3511,14036,3525,14026,3534,14011,3538,14003,3540,13993,3540,13880xe" filled="true" fillcolor="#231f20" stroked="false">
              <v:path arrowok="t"/>
              <v:fill type="solid"/>
            </v:shape>
            <v:rect style="position:absolute;left:1133;top:2440;width:9638;height:12501" id="docshape186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6"/>
        </w:rPr>
      </w:pPr>
    </w:p>
    <w:p>
      <w:pPr>
        <w:spacing w:before="61"/>
        <w:ind w:left="1587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color w:val="393838"/>
          <w:sz w:val="19"/>
        </w:rPr>
        <w:t>Version:</w:t>
      </w:r>
      <w:r>
        <w:rPr>
          <w:rFonts w:ascii="Calibri"/>
          <w:b/>
          <w:color w:val="393838"/>
          <w:spacing w:val="-6"/>
          <w:sz w:val="19"/>
        </w:rPr>
        <w:t> </w:t>
      </w:r>
      <w:r>
        <w:rPr>
          <w:rFonts w:ascii="Calibri"/>
          <w:b/>
          <w:color w:val="393838"/>
          <w:sz w:val="19"/>
        </w:rPr>
        <w:t>Final</w:t>
      </w:r>
      <w:r>
        <w:rPr>
          <w:rFonts w:ascii="Calibri"/>
          <w:b/>
          <w:color w:val="393838"/>
          <w:spacing w:val="-4"/>
          <w:sz w:val="19"/>
        </w:rPr>
        <w:t> </w:t>
      </w:r>
      <w:r>
        <w:rPr>
          <w:rFonts w:ascii="Calibri"/>
          <w:b/>
          <w:color w:val="393838"/>
          <w:sz w:val="19"/>
        </w:rPr>
        <w:t>Report</w:t>
      </w:r>
    </w:p>
    <w:p>
      <w:pPr>
        <w:spacing w:before="59"/>
        <w:ind w:left="1575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393838"/>
          <w:sz w:val="22"/>
        </w:rPr>
        <w:t>Report</w:t>
      </w:r>
      <w:r>
        <w:rPr>
          <w:rFonts w:ascii="Calibri"/>
          <w:b/>
          <w:color w:val="393838"/>
          <w:spacing w:val="-3"/>
          <w:sz w:val="22"/>
        </w:rPr>
        <w:t> </w:t>
      </w:r>
      <w:r>
        <w:rPr>
          <w:rFonts w:ascii="Calibri"/>
          <w:b/>
          <w:color w:val="393838"/>
          <w:sz w:val="22"/>
        </w:rPr>
        <w:t>by Dr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Michael</w:t>
      </w:r>
      <w:r>
        <w:rPr>
          <w:rFonts w:ascii="Calibri"/>
          <w:b/>
          <w:color w:val="393838"/>
          <w:spacing w:val="-3"/>
          <w:sz w:val="22"/>
        </w:rPr>
        <w:t> </w:t>
      </w:r>
      <w:r>
        <w:rPr>
          <w:rFonts w:ascii="Calibri"/>
          <w:b/>
          <w:color w:val="393838"/>
          <w:sz w:val="22"/>
        </w:rPr>
        <w:t>Tomlinson</w:t>
      </w:r>
      <w:r>
        <w:rPr>
          <w:rFonts w:ascii="Calibri"/>
          <w:b/>
          <w:color w:val="393838"/>
          <w:spacing w:val="-2"/>
          <w:sz w:val="22"/>
        </w:rPr>
        <w:t> </w:t>
      </w:r>
      <w:r>
        <w:rPr>
          <w:rFonts w:ascii="Calibri"/>
          <w:b/>
          <w:color w:val="393838"/>
          <w:sz w:val="22"/>
        </w:rPr>
        <w:t>and</w:t>
      </w:r>
      <w:r>
        <w:rPr>
          <w:rFonts w:ascii="Calibri"/>
          <w:b/>
          <w:color w:val="393838"/>
          <w:spacing w:val="-2"/>
          <w:sz w:val="22"/>
        </w:rPr>
        <w:t> </w:t>
      </w:r>
      <w:r>
        <w:rPr>
          <w:rFonts w:ascii="Calibri"/>
          <w:b/>
          <w:color w:val="393838"/>
          <w:sz w:val="22"/>
        </w:rPr>
        <w:t>Emeritus</w:t>
      </w:r>
      <w:r>
        <w:rPr>
          <w:rFonts w:ascii="Calibri"/>
          <w:b/>
          <w:color w:val="393838"/>
          <w:spacing w:val="-3"/>
          <w:sz w:val="22"/>
        </w:rPr>
        <w:t> </w:t>
      </w:r>
      <w:r>
        <w:rPr>
          <w:rFonts w:ascii="Calibri"/>
          <w:b/>
          <w:color w:val="393838"/>
          <w:sz w:val="22"/>
        </w:rPr>
        <w:t>Professor Valerie</w:t>
      </w:r>
      <w:r>
        <w:rPr>
          <w:rFonts w:ascii="Calibri"/>
          <w:b/>
          <w:color w:val="393838"/>
          <w:spacing w:val="-2"/>
          <w:sz w:val="22"/>
        </w:rPr>
        <w:t> </w:t>
      </w:r>
      <w:r>
        <w:rPr>
          <w:rFonts w:ascii="Calibri"/>
          <w:b/>
          <w:color w:val="393838"/>
          <w:sz w:val="22"/>
        </w:rPr>
        <w:t>Braithwaite</w:t>
      </w:r>
    </w:p>
    <w:p>
      <w:pPr>
        <w:spacing w:before="119"/>
        <w:ind w:left="1579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393838"/>
          <w:sz w:val="25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92" w:val="right" w:leader="dot"/>
            </w:tabs>
            <w:spacing w:before="309"/>
          </w:pPr>
          <w:hyperlink w:history="true" w:anchor="_TOC_250030">
            <w:r>
              <w:rPr>
                <w:color w:val="393838"/>
              </w:rPr>
              <w:t>EXECUTIVE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SUMMARY</w:t>
              <w:tab/>
              <w:t>80</w:t>
            </w:r>
          </w:hyperlink>
        </w:p>
        <w:p>
          <w:pPr>
            <w:pStyle w:val="TOC1"/>
            <w:tabs>
              <w:tab w:pos="9492" w:val="right" w:leader="dot"/>
            </w:tabs>
          </w:pPr>
          <w:hyperlink w:history="true" w:anchor="_TOC_250029">
            <w:r>
              <w:rPr>
                <w:color w:val="393838"/>
              </w:rPr>
              <w:t>Student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Participation and Attainment</w:t>
              <w:tab/>
              <w:t>85</w:t>
            </w:r>
          </w:hyperlink>
        </w:p>
        <w:p>
          <w:pPr>
            <w:pStyle w:val="TOC2"/>
            <w:tabs>
              <w:tab w:pos="9491" w:val="right" w:leader="dot"/>
            </w:tabs>
            <w:spacing w:before="118"/>
          </w:pPr>
          <w:hyperlink w:history="true" w:anchor="_TOC_250028">
            <w:r>
              <w:rPr>
                <w:color w:val="393838"/>
              </w:rPr>
              <w:t>Admission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(1.1)</w:t>
              <w:tab/>
              <w:t>85</w:t>
            </w:r>
          </w:hyperlink>
        </w:p>
        <w:p>
          <w:pPr>
            <w:pStyle w:val="TOC2"/>
            <w:tabs>
              <w:tab w:pos="9492" w:val="right" w:leader="dot"/>
            </w:tabs>
            <w:ind w:left="1803"/>
          </w:pPr>
          <w:hyperlink w:history="true" w:anchor="_TOC_250027">
            <w:r>
              <w:rPr>
                <w:color w:val="393838"/>
              </w:rPr>
              <w:t>Credit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and</w:t>
            </w:r>
            <w:r>
              <w:rPr>
                <w:color w:val="393838"/>
                <w:spacing w:val="2"/>
              </w:rPr>
              <w:t> </w:t>
            </w:r>
            <w:r>
              <w:rPr>
                <w:color w:val="393838"/>
              </w:rPr>
              <w:t>Recognition of</w:t>
            </w:r>
            <w:r>
              <w:rPr>
                <w:color w:val="393838"/>
                <w:spacing w:val="1"/>
              </w:rPr>
              <w:t> </w:t>
            </w:r>
            <w:r>
              <w:rPr>
                <w:color w:val="393838"/>
              </w:rPr>
              <w:t>Prior</w:t>
            </w:r>
            <w:r>
              <w:rPr>
                <w:color w:val="393838"/>
                <w:spacing w:val="-4"/>
              </w:rPr>
              <w:t> </w:t>
            </w:r>
            <w:r>
              <w:rPr>
                <w:color w:val="393838"/>
              </w:rPr>
              <w:t>Learning</w:t>
            </w:r>
            <w:r>
              <w:rPr>
                <w:color w:val="393838"/>
                <w:spacing w:val="2"/>
              </w:rPr>
              <w:t> </w:t>
            </w:r>
            <w:r>
              <w:rPr>
                <w:color w:val="393838"/>
              </w:rPr>
              <w:t>(1.2)</w:t>
              <w:tab/>
              <w:t>87</w:t>
            </w:r>
          </w:hyperlink>
        </w:p>
        <w:p>
          <w:pPr>
            <w:pStyle w:val="TOC2"/>
            <w:tabs>
              <w:tab w:pos="9492" w:val="right" w:leader="dot"/>
            </w:tabs>
          </w:pPr>
          <w:hyperlink w:history="true" w:anchor="_TOC_250026">
            <w:r>
              <w:rPr>
                <w:color w:val="393838"/>
              </w:rPr>
              <w:t>Orientation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and Progression (1.3)</w:t>
              <w:tab/>
              <w:t>87</w:t>
            </w:r>
          </w:hyperlink>
        </w:p>
        <w:p>
          <w:pPr>
            <w:pStyle w:val="TOC2"/>
            <w:tabs>
              <w:tab w:pos="9492" w:val="right" w:leader="dot"/>
            </w:tabs>
            <w:spacing w:before="118"/>
          </w:pPr>
          <w:hyperlink w:history="true" w:anchor="_TOC_250025">
            <w:r>
              <w:rPr>
                <w:color w:val="393838"/>
              </w:rPr>
              <w:t>Learning</w:t>
            </w:r>
            <w:r>
              <w:rPr>
                <w:color w:val="393838"/>
                <w:spacing w:val="-3"/>
              </w:rPr>
              <w:t> </w:t>
            </w:r>
            <w:r>
              <w:rPr>
                <w:color w:val="393838"/>
              </w:rPr>
              <w:t>Outcomes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and Assessment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(1.4)</w:t>
              <w:tab/>
              <w:t>89</w:t>
            </w:r>
          </w:hyperlink>
        </w:p>
        <w:p>
          <w:pPr>
            <w:pStyle w:val="TOC2"/>
            <w:tabs>
              <w:tab w:pos="9492" w:val="right" w:leader="dot"/>
            </w:tabs>
          </w:pPr>
          <w:hyperlink w:history="true" w:anchor="_TOC_250024">
            <w:r>
              <w:rPr>
                <w:color w:val="393838"/>
              </w:rPr>
              <w:t>Qualifications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and Certification (1.4)</w:t>
              <w:tab/>
              <w:t>89</w:t>
            </w:r>
          </w:hyperlink>
        </w:p>
        <w:p>
          <w:pPr>
            <w:pStyle w:val="TOC1"/>
            <w:tabs>
              <w:tab w:pos="9492" w:val="right" w:leader="dot"/>
            </w:tabs>
          </w:pPr>
          <w:hyperlink w:history="true" w:anchor="_TOC_250023">
            <w:r>
              <w:rPr>
                <w:color w:val="393838"/>
              </w:rPr>
              <w:t>Learning</w:t>
            </w:r>
            <w:r>
              <w:rPr>
                <w:color w:val="393838"/>
                <w:spacing w:val="-3"/>
              </w:rPr>
              <w:t> </w:t>
            </w:r>
            <w:r>
              <w:rPr>
                <w:color w:val="393838"/>
              </w:rPr>
              <w:t>Environment</w:t>
              <w:tab/>
              <w:t>89</w:t>
            </w:r>
          </w:hyperlink>
        </w:p>
        <w:p>
          <w:pPr>
            <w:pStyle w:val="TOC2"/>
            <w:tabs>
              <w:tab w:pos="9492" w:val="right" w:leader="dot"/>
            </w:tabs>
            <w:spacing w:before="118"/>
          </w:pPr>
          <w:hyperlink w:history="true" w:anchor="_TOC_250022">
            <w:r>
              <w:rPr>
                <w:color w:val="393838"/>
              </w:rPr>
              <w:t>Facilities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and Infrastructure (2.1)</w:t>
              <w:tab/>
              <w:t>89</w:t>
            </w:r>
          </w:hyperlink>
        </w:p>
        <w:p>
          <w:pPr>
            <w:pStyle w:val="TOC2"/>
            <w:tabs>
              <w:tab w:pos="9492" w:val="right" w:leader="dot"/>
            </w:tabs>
          </w:pPr>
          <w:hyperlink w:history="true" w:anchor="_TOC_250021">
            <w:r>
              <w:rPr>
                <w:color w:val="393838"/>
              </w:rPr>
              <w:t>Diversity</w:t>
            </w:r>
            <w:r>
              <w:rPr>
                <w:color w:val="393838"/>
                <w:spacing w:val="1"/>
              </w:rPr>
              <w:t> </w:t>
            </w:r>
            <w:r>
              <w:rPr>
                <w:color w:val="393838"/>
              </w:rPr>
              <w:t>and Equity</w:t>
            </w:r>
            <w:r>
              <w:rPr>
                <w:color w:val="393838"/>
                <w:spacing w:val="2"/>
              </w:rPr>
              <w:t> </w:t>
            </w:r>
            <w:r>
              <w:rPr>
                <w:color w:val="393838"/>
              </w:rPr>
              <w:t>(2.2)</w:t>
              <w:tab/>
              <w:t>91</w:t>
            </w:r>
          </w:hyperlink>
        </w:p>
        <w:p>
          <w:pPr>
            <w:pStyle w:val="TOC2"/>
            <w:tabs>
              <w:tab w:pos="9492" w:val="right" w:leader="dot"/>
            </w:tabs>
          </w:pPr>
          <w:hyperlink w:history="true" w:anchor="_TOC_250020">
            <w:r>
              <w:rPr>
                <w:color w:val="393838"/>
              </w:rPr>
              <w:t>Wellbeing</w:t>
            </w:r>
            <w:r>
              <w:rPr>
                <w:color w:val="393838"/>
                <w:spacing w:val="-3"/>
              </w:rPr>
              <w:t> </w:t>
            </w:r>
            <w:r>
              <w:rPr>
                <w:color w:val="393838"/>
              </w:rPr>
              <w:t>and Safety</w:t>
            </w:r>
            <w:r>
              <w:rPr>
                <w:color w:val="393838"/>
                <w:spacing w:val="2"/>
              </w:rPr>
              <w:t> </w:t>
            </w:r>
            <w:r>
              <w:rPr>
                <w:color w:val="393838"/>
              </w:rPr>
              <w:t>(2.3)</w:t>
              <w:tab/>
              <w:t>92</w:t>
            </w:r>
          </w:hyperlink>
        </w:p>
        <w:p>
          <w:pPr>
            <w:pStyle w:val="TOC2"/>
            <w:tabs>
              <w:tab w:pos="9491" w:val="right" w:leader="dot"/>
            </w:tabs>
            <w:spacing w:before="118"/>
          </w:pPr>
          <w:hyperlink w:history="true" w:anchor="_TOC_250019">
            <w:r>
              <w:rPr>
                <w:color w:val="393838"/>
              </w:rPr>
              <w:t>Student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Grievances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and Complaints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(2.4)</w:t>
              <w:tab/>
              <w:t>92</w:t>
            </w:r>
          </w:hyperlink>
        </w:p>
        <w:p>
          <w:pPr>
            <w:pStyle w:val="TOC1"/>
            <w:tabs>
              <w:tab w:pos="9492" w:val="right" w:leader="dot"/>
            </w:tabs>
          </w:pPr>
          <w:hyperlink w:history="true" w:anchor="_TOC_250018">
            <w:r>
              <w:rPr>
                <w:color w:val="393838"/>
              </w:rPr>
              <w:t>Teaching</w:t>
              <w:tab/>
              <w:t>94</w:t>
            </w:r>
          </w:hyperlink>
        </w:p>
        <w:p>
          <w:pPr>
            <w:pStyle w:val="TOC2"/>
            <w:tabs>
              <w:tab w:pos="9492" w:val="right" w:leader="dot"/>
            </w:tabs>
          </w:pPr>
          <w:hyperlink w:history="true" w:anchor="_TOC_250017">
            <w:r>
              <w:rPr>
                <w:color w:val="393838"/>
              </w:rPr>
              <w:t>Course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Design</w:t>
            </w:r>
            <w:r>
              <w:rPr>
                <w:color w:val="393838"/>
                <w:spacing w:val="1"/>
              </w:rPr>
              <w:t> </w:t>
            </w:r>
            <w:r>
              <w:rPr>
                <w:color w:val="393838"/>
              </w:rPr>
              <w:t>(3.1)</w:t>
              <w:tab/>
              <w:t>94</w:t>
            </w:r>
          </w:hyperlink>
        </w:p>
        <w:p>
          <w:pPr>
            <w:pStyle w:val="TOC2"/>
            <w:tabs>
              <w:tab w:pos="9492" w:val="right" w:leader="dot"/>
            </w:tabs>
            <w:spacing w:before="118"/>
          </w:pPr>
          <w:hyperlink w:history="true" w:anchor="_TOC_250016">
            <w:r>
              <w:rPr>
                <w:color w:val="393838"/>
              </w:rPr>
              <w:t>Staffing</w:t>
            </w:r>
            <w:r>
              <w:rPr>
                <w:color w:val="393838"/>
                <w:spacing w:val="1"/>
              </w:rPr>
              <w:t> </w:t>
            </w:r>
            <w:r>
              <w:rPr>
                <w:color w:val="393838"/>
              </w:rPr>
              <w:t>(3.2)</w:t>
              <w:tab/>
              <w:t>97</w:t>
            </w:r>
          </w:hyperlink>
        </w:p>
        <w:p>
          <w:pPr>
            <w:pStyle w:val="TOC2"/>
            <w:tabs>
              <w:tab w:pos="9492" w:val="right" w:leader="dot"/>
            </w:tabs>
          </w:pPr>
          <w:hyperlink w:history="true" w:anchor="_TOC_250015">
            <w:r>
              <w:rPr>
                <w:color w:val="393838"/>
              </w:rPr>
              <w:t>Learning</w:t>
            </w:r>
            <w:r>
              <w:rPr>
                <w:color w:val="393838"/>
                <w:spacing w:val="-3"/>
              </w:rPr>
              <w:t> </w:t>
            </w:r>
            <w:r>
              <w:rPr>
                <w:color w:val="393838"/>
              </w:rPr>
              <w:t>Resources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and</w:t>
            </w:r>
            <w:r>
              <w:rPr>
                <w:color w:val="393838"/>
                <w:spacing w:val="3"/>
              </w:rPr>
              <w:t> </w:t>
            </w:r>
            <w:r>
              <w:rPr>
                <w:color w:val="393838"/>
              </w:rPr>
              <w:t>Educational</w:t>
            </w:r>
            <w:r>
              <w:rPr>
                <w:color w:val="393838"/>
                <w:spacing w:val="1"/>
              </w:rPr>
              <w:t> </w:t>
            </w:r>
            <w:r>
              <w:rPr>
                <w:color w:val="393838"/>
              </w:rPr>
              <w:t>Support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(3.3)</w:t>
              <w:tab/>
              <w:t>97</w:t>
            </w:r>
          </w:hyperlink>
        </w:p>
        <w:p>
          <w:pPr>
            <w:pStyle w:val="TOC1"/>
            <w:tabs>
              <w:tab w:pos="9492" w:val="right" w:leader="dot"/>
            </w:tabs>
          </w:pPr>
          <w:hyperlink w:history="true" w:anchor="_TOC_250014">
            <w:r>
              <w:rPr>
                <w:color w:val="393838"/>
              </w:rPr>
              <w:t>Institutional Quality</w:t>
            </w:r>
            <w:r>
              <w:rPr>
                <w:color w:val="393838"/>
                <w:spacing w:val="2"/>
              </w:rPr>
              <w:t> </w:t>
            </w:r>
            <w:r>
              <w:rPr>
                <w:color w:val="393838"/>
              </w:rPr>
              <w:t>Assurance</w:t>
              <w:tab/>
              <w:t>98</w:t>
            </w:r>
          </w:hyperlink>
        </w:p>
        <w:p>
          <w:pPr>
            <w:pStyle w:val="TOC2"/>
            <w:tabs>
              <w:tab w:pos="9492" w:val="right" w:leader="dot"/>
            </w:tabs>
            <w:spacing w:before="118"/>
          </w:pPr>
          <w:hyperlink w:history="true" w:anchor="_TOC_250013">
            <w:r>
              <w:rPr>
                <w:color w:val="393838"/>
              </w:rPr>
              <w:t>Course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Approval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and Accreditation (5.1)</w:t>
              <w:tab/>
              <w:t>98</w:t>
            </w:r>
          </w:hyperlink>
        </w:p>
        <w:p>
          <w:pPr>
            <w:pStyle w:val="TOC2"/>
            <w:tabs>
              <w:tab w:pos="9492" w:val="right" w:leader="dot"/>
            </w:tabs>
          </w:pPr>
          <w:hyperlink w:history="true" w:anchor="_TOC_250012">
            <w:r>
              <w:rPr>
                <w:color w:val="393838"/>
              </w:rPr>
              <w:t>Academic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and Research</w:t>
            </w:r>
            <w:r>
              <w:rPr>
                <w:color w:val="393838"/>
                <w:spacing w:val="1"/>
              </w:rPr>
              <w:t> </w:t>
            </w:r>
            <w:r>
              <w:rPr>
                <w:color w:val="393838"/>
              </w:rPr>
              <w:t>Integrity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(5.2)</w:t>
              <w:tab/>
              <w:t>98</w:t>
            </w:r>
          </w:hyperlink>
        </w:p>
        <w:p>
          <w:pPr>
            <w:pStyle w:val="TOC2"/>
            <w:tabs>
              <w:tab w:pos="9492" w:val="right" w:leader="dot"/>
            </w:tabs>
            <w:spacing w:before="122"/>
          </w:pPr>
          <w:hyperlink w:history="true" w:anchor="_TOC_250011">
            <w:r>
              <w:rPr>
                <w:color w:val="393838"/>
              </w:rPr>
              <w:t>Monitoring,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Review</w:t>
            </w:r>
            <w:r>
              <w:rPr>
                <w:color w:val="393838"/>
                <w:spacing w:val="-2"/>
              </w:rPr>
              <w:t> </w:t>
            </w:r>
            <w:r>
              <w:rPr>
                <w:color w:val="393838"/>
              </w:rPr>
              <w:t>and Improvement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(5.3)</w:t>
              <w:tab/>
              <w:t>99</w:t>
            </w:r>
          </w:hyperlink>
        </w:p>
        <w:p>
          <w:pPr>
            <w:pStyle w:val="TOC2"/>
            <w:tabs>
              <w:tab w:pos="9492" w:val="right" w:leader="dot"/>
            </w:tabs>
            <w:spacing w:before="113"/>
          </w:pPr>
          <w:hyperlink w:history="true" w:anchor="_TOC_250010">
            <w:r>
              <w:rPr>
                <w:color w:val="393838"/>
              </w:rPr>
              <w:t>Comprehensive</w:t>
            </w:r>
            <w:r>
              <w:rPr>
                <w:color w:val="393838"/>
                <w:spacing w:val="-1"/>
              </w:rPr>
              <w:t> </w:t>
            </w:r>
            <w:r>
              <w:rPr>
                <w:color w:val="393838"/>
              </w:rPr>
              <w:t>Course Review</w:t>
              <w:tab/>
              <w:t>99</w:t>
            </w:r>
          </w:hyperlink>
        </w:p>
        <w:p>
          <w:pPr>
            <w:pStyle w:val="TOC2"/>
            <w:tabs>
              <w:tab w:pos="9492" w:val="right" w:leader="dot"/>
            </w:tabs>
          </w:pPr>
          <w:hyperlink w:history="true" w:anchor="_TOC_250009">
            <w:r>
              <w:rPr>
                <w:color w:val="393838"/>
              </w:rPr>
              <w:t>Interim</w:t>
            </w:r>
            <w:r>
              <w:rPr>
                <w:color w:val="393838"/>
                <w:spacing w:val="1"/>
              </w:rPr>
              <w:t> </w:t>
            </w:r>
            <w:r>
              <w:rPr>
                <w:color w:val="393838"/>
              </w:rPr>
              <w:t>Monitoring</w:t>
              <w:tab/>
              <w:t>101</w:t>
            </w:r>
          </w:hyperlink>
        </w:p>
      </w:sdtContent>
    </w:sdt>
    <w:p>
      <w:pPr>
        <w:spacing w:before="240"/>
        <w:ind w:left="4415" w:right="5034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79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2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9856" id="docshapegroup187" coordorigin="1131,2438" coordsize="9643,12506">
            <v:shape style="position:absolute;left:8453;top:3332;width:1500;height:435" type="#_x0000_t75" id="docshape188" stroked="false">
              <v:imagedata r:id="rId75" o:title=""/>
            </v:shape>
            <v:shape style="position:absolute;left:1795;top:13874;width:1745;height:170" id="docshape189" coordorigin="1796,13874" coordsize="1745,170" path="m1945,14032l1943,14028,1942,14025,1933,14001,1924,13977,1898,13910,1895,13901,1895,13977,1845,13977,1870,13910,1895,13977,1895,13901,1890,13890,1886,13880,1882,13876,1859,13876,1855,13880,1851,13890,1798,14025,1797,14028,1796,14032,1796,14039,1799,14042,1819,14042,1822,14039,1824,14032,1836,14001,1904,14001,1915,14032,1917,14039,1921,14042,1942,14042,1945,14039,1945,14032xm2102,13880l2098,13876,2080,13876,2075,13880,2075,14003,2006,13890,2001,13882,1995,13876,1969,13876,1963,13881,1963,14038,1967,14042,1985,14042,1990,14038,1990,14031,1990,13913,2063,14028,2068,14037,2074,14042,2096,14042,2102,14037,2102,13880xm2240,14021l2236,14017,2229,14017,2155,14017,2231,13907,2235,13901,2238,13896,2238,13881,2234,13877,2126,13877,2122,13881,2122,13898,2126,13902,2203,13902,2128,14012,2124,14018,2120,14023,2120,14037,2125,14041,2236,14041,2240,14037,2240,14021xm2360,13996l2347,13965,2319,13948,2291,13936,2278,13918,2278,13907,2288,13899,2316,13899,2325,13902,2334,13907,2339,13909,2342,13911,2350,13911,2356,13903,2356,13893,2353,13889,2347,13885,2337,13880,2327,13877,2316,13875,2306,13874,2283,13878,2266,13887,2254,13901,2250,13920,2263,13949,2291,13965,2319,13978,2331,13997,2331,14011,2319,14020,2289,14020,2280,14015,2271,14010,2266,14006,2263,14005,2253,14005,2248,14012,2248,14023,2251,14027,2257,14031,2266,14036,2276,14040,2288,14043,2301,14044,2324,14041,2343,14031,2355,14016,2360,13996xm2536,13959l2531,13924,2515,13898,2514,13897,2507,13893,2507,13959,2503,13985,2493,14004,2476,14016,2455,14020,2433,14016,2417,14004,2406,13985,2402,13959,2406,13934,2417,13915,2433,13902,2455,13898,2476,13902,2493,13915,2503,13934,2507,13959,2507,13893,2488,13880,2455,13874,2421,13880,2395,13897,2379,13924,2373,13959,2379,13994,2395,14021,2421,14038,2455,14044,2488,14038,2514,14021,2515,14020,2531,13994,2536,13959xm2691,13960l2687,13956,2631,13956,2628,13959,2628,13976,2631,13980,2639,13980,2663,13980,2663,14014,2656,14017,2646,14019,2636,14019,2613,14015,2596,14003,2585,13984,2581,13958,2584,13933,2595,13914,2612,13903,2634,13899,2646,13899,2656,13902,2665,13906,2671,13910,2674,13912,2683,13912,2690,13905,2690,13894,2686,13890,2678,13885,2668,13881,2658,13877,2646,13875,2634,13874,2601,13880,2575,13896,2558,13923,2551,13959,2558,13995,2575,14021,2602,14037,2635,14043,2647,14042,2659,14041,2669,14038,2678,14035,2688,14031,2691,14026,2691,13960xm2747,14016l2740,14009,2719,14009,2712,14016,2712,14036,2719,14043,2730,14043,2740,14043,2747,14036,2747,14016xm2873,14021l2869,14017,2797,14017,2797,13969,2857,13969,2861,13964,2861,13948,2857,13944,2850,13944,2797,13944,2797,13902,2868,13902,2872,13898,2872,13881,2868,13877,2775,13877,2770,13882,2770,14037,2775,14041,2869,14041,2873,14037,2873,14021xm3029,13959l3023,13924,3007,13899,3005,13897,3000,13894,3000,13959,2996,13985,2984,14003,2964,14015,2937,14019,2932,14019,2926,14018,2921,14018,2921,13901,2926,13900,2932,13899,2937,13899,2964,13903,2984,13915,2996,13934,3000,13959,3000,13894,2976,13881,2937,13876,2926,13876,2913,13877,2906,13879,2892,13882,2892,14037,2906,14040,2913,14042,2926,14043,2936,14043,2975,14037,3005,14021,3006,14019,3023,13994,3029,13959xm3182,13880l3178,13876,3160,13876,3156,13880,3156,13986,3154,13993,3152,13999,3147,14008,3139,14015,3129,14019,3118,14020,3106,14019,3096,14015,3088,14008,3083,13999,3081,13993,3080,13986,3080,13880,3075,13876,3056,13876,3052,13880,3052,13991,3054,14002,3057,14011,3067,14026,3081,14037,3097,14042,3117,14044,3136,14042,3153,14036,3167,14026,3176,14011,3180,14003,3182,13993,3182,13880xm3232,14016l3225,14009,3204,14009,3197,14016,3197,14036,3204,14043,3215,14043,3225,14043,3232,14036,3232,14016xm3396,14032l3395,14028,3394,14025,3384,14001,3375,13977,3349,13910,3346,13901,3346,13977,3296,13977,3321,13910,3346,13977,3346,13901,3342,13890,3338,13880,3334,13876,3310,13876,3306,13880,3302,13890,3249,14025,3248,14028,3247,14032,3247,14039,3250,14042,3270,14042,3273,14039,3275,14032,3287,14001,3355,14001,3366,14032,3369,14039,3372,14042,3393,14042,3396,14039,3396,14032xm3540,13880l3536,13876,3518,13876,3513,13880,3513,13986,3512,13993,3510,13999,3505,14008,3497,14015,3487,14019,3475,14020,3464,14019,3454,14015,3446,14008,3441,13999,3439,13993,3438,13986,3438,13880,3433,13876,3414,13876,3410,13880,3410,13991,3411,14002,3415,14011,3425,14026,3439,14037,3455,14042,3475,14044,3494,14042,3511,14036,3525,14026,3534,14011,3538,14003,3540,13993,3540,13880xe" filled="true" fillcolor="#231f20" stroked="false">
              <v:path arrowok="t"/>
              <v:fill type="solid"/>
            </v:shape>
            <v:rect style="position:absolute;left:1133;top:2440;width:9638;height:12501" id="docshape190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5"/>
        <w:rPr>
          <w:rFonts w:ascii="Calibri"/>
          <w:b/>
          <w:sz w:val="27"/>
        </w:rPr>
      </w:pPr>
    </w:p>
    <w:p>
      <w:pPr>
        <w:tabs>
          <w:tab w:pos="9161" w:val="left" w:leader="dot"/>
        </w:tabs>
        <w:spacing w:before="0"/>
        <w:ind w:left="1804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393838"/>
          <w:sz w:val="22"/>
        </w:rPr>
        <w:t>Delivery with</w:t>
      </w:r>
      <w:r>
        <w:rPr>
          <w:rFonts w:ascii="Calibri"/>
          <w:b/>
          <w:color w:val="393838"/>
          <w:spacing w:val="-2"/>
          <w:sz w:val="22"/>
        </w:rPr>
        <w:t> </w:t>
      </w:r>
      <w:r>
        <w:rPr>
          <w:rFonts w:ascii="Calibri"/>
          <w:b/>
          <w:color w:val="393838"/>
          <w:sz w:val="22"/>
        </w:rPr>
        <w:t>Other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Parties</w:t>
      </w:r>
      <w:r>
        <w:rPr>
          <w:rFonts w:ascii="Calibri"/>
          <w:b/>
          <w:color w:val="393838"/>
          <w:spacing w:val="-4"/>
          <w:sz w:val="22"/>
        </w:rPr>
        <w:t> </w:t>
      </w:r>
      <w:r>
        <w:rPr>
          <w:rFonts w:ascii="Calibri"/>
          <w:b/>
          <w:color w:val="393838"/>
          <w:sz w:val="22"/>
        </w:rPr>
        <w:t>(5.4)</w:t>
        <w:tab/>
        <w:t>104</w:t>
      </w:r>
    </w:p>
    <w:p>
      <w:pPr>
        <w:tabs>
          <w:tab w:pos="9491" w:val="right" w:leader="dot"/>
        </w:tabs>
        <w:spacing w:before="117"/>
        <w:ind w:left="1591" w:right="0" w:firstLine="0"/>
        <w:jc w:val="left"/>
        <w:rPr>
          <w:rFonts w:ascii="Calibri"/>
          <w:b/>
          <w:sz w:val="22"/>
        </w:rPr>
      </w:pPr>
      <w:hyperlink w:history="true" w:anchor="_TOC_250008">
        <w:r>
          <w:rPr>
            <w:rFonts w:ascii="Calibri"/>
            <w:b/>
            <w:color w:val="393838"/>
            <w:sz w:val="22"/>
          </w:rPr>
          <w:t>Governance</w:t>
        </w:r>
        <w:r>
          <w:rPr>
            <w:rFonts w:ascii="Calibri"/>
            <w:b/>
            <w:color w:val="393838"/>
            <w:spacing w:val="-1"/>
            <w:sz w:val="22"/>
          </w:rPr>
          <w:t> </w:t>
        </w:r>
        <w:r>
          <w:rPr>
            <w:rFonts w:ascii="Calibri"/>
            <w:b/>
            <w:color w:val="393838"/>
            <w:sz w:val="22"/>
          </w:rPr>
          <w:t>and Accountability</w:t>
          <w:tab/>
          <w:t>106</w:t>
        </w:r>
      </w:hyperlink>
    </w:p>
    <w:p>
      <w:pPr>
        <w:tabs>
          <w:tab w:pos="9491" w:val="right" w:leader="dot"/>
        </w:tabs>
        <w:spacing w:before="122"/>
        <w:ind w:left="1803" w:right="0" w:firstLine="0"/>
        <w:jc w:val="left"/>
        <w:rPr>
          <w:rFonts w:ascii="Calibri"/>
          <w:b/>
          <w:sz w:val="22"/>
        </w:rPr>
      </w:pPr>
      <w:hyperlink w:history="true" w:anchor="_TOC_250007">
        <w:r>
          <w:rPr>
            <w:rFonts w:ascii="Calibri"/>
            <w:b/>
            <w:color w:val="393838"/>
            <w:sz w:val="22"/>
          </w:rPr>
          <w:t>Corporate</w:t>
        </w:r>
        <w:r>
          <w:rPr>
            <w:rFonts w:ascii="Calibri"/>
            <w:b/>
            <w:color w:val="393838"/>
            <w:spacing w:val="-1"/>
            <w:sz w:val="22"/>
          </w:rPr>
          <w:t> </w:t>
        </w:r>
        <w:r>
          <w:rPr>
            <w:rFonts w:ascii="Calibri"/>
            <w:b/>
            <w:color w:val="393838"/>
            <w:sz w:val="22"/>
          </w:rPr>
          <w:t>Governance (6.1)</w:t>
          <w:tab/>
          <w:t>106</w:t>
        </w:r>
      </w:hyperlink>
    </w:p>
    <w:p>
      <w:pPr>
        <w:tabs>
          <w:tab w:pos="9491" w:val="right" w:leader="dot"/>
        </w:tabs>
        <w:spacing w:before="121"/>
        <w:ind w:left="1803" w:right="0" w:firstLine="0"/>
        <w:jc w:val="left"/>
        <w:rPr>
          <w:rFonts w:ascii="Calibri"/>
          <w:b/>
          <w:sz w:val="22"/>
        </w:rPr>
      </w:pPr>
      <w:hyperlink w:history="true" w:anchor="_TOC_250006">
        <w:r>
          <w:rPr>
            <w:rFonts w:ascii="Calibri"/>
            <w:b/>
            <w:color w:val="393838"/>
            <w:sz w:val="22"/>
          </w:rPr>
          <w:t>Academic</w:t>
        </w:r>
        <w:r>
          <w:rPr>
            <w:rFonts w:ascii="Calibri"/>
            <w:b/>
            <w:color w:val="393838"/>
            <w:spacing w:val="-2"/>
            <w:sz w:val="22"/>
          </w:rPr>
          <w:t> </w:t>
        </w:r>
        <w:r>
          <w:rPr>
            <w:rFonts w:ascii="Calibri"/>
            <w:b/>
            <w:color w:val="393838"/>
            <w:sz w:val="22"/>
          </w:rPr>
          <w:t>Governance (6.2)</w:t>
          <w:tab/>
          <w:t>107</w:t>
        </w:r>
      </w:hyperlink>
    </w:p>
    <w:p>
      <w:pPr>
        <w:tabs>
          <w:tab w:pos="9491" w:val="right" w:leader="dot"/>
        </w:tabs>
        <w:spacing w:before="117"/>
        <w:ind w:left="1590" w:right="0" w:firstLine="0"/>
        <w:jc w:val="left"/>
        <w:rPr>
          <w:rFonts w:ascii="Calibri"/>
          <w:b/>
          <w:sz w:val="22"/>
        </w:rPr>
      </w:pPr>
      <w:hyperlink w:history="true" w:anchor="_TOC_250005">
        <w:r>
          <w:rPr>
            <w:rFonts w:ascii="Calibri"/>
            <w:b/>
            <w:color w:val="393838"/>
            <w:sz w:val="22"/>
          </w:rPr>
          <w:t>Representation</w:t>
          <w:tab/>
          <w:t>109</w:t>
        </w:r>
      </w:hyperlink>
    </w:p>
    <w:p>
      <w:pPr>
        <w:tabs>
          <w:tab w:pos="9491" w:val="right" w:leader="dot"/>
        </w:tabs>
        <w:spacing w:before="122"/>
        <w:ind w:left="1590" w:right="0" w:firstLine="0"/>
        <w:jc w:val="left"/>
        <w:rPr>
          <w:rFonts w:ascii="Calibri"/>
          <w:b/>
          <w:sz w:val="22"/>
        </w:rPr>
      </w:pPr>
      <w:hyperlink w:history="true" w:anchor="_TOC_250004">
        <w:r>
          <w:rPr>
            <w:rFonts w:ascii="Calibri"/>
            <w:b/>
            <w:color w:val="393838"/>
            <w:sz w:val="22"/>
          </w:rPr>
          <w:t>Towards</w:t>
        </w:r>
        <w:r>
          <w:rPr>
            <w:rFonts w:ascii="Calibri"/>
            <w:b/>
            <w:color w:val="393838"/>
            <w:spacing w:val="-2"/>
            <w:sz w:val="22"/>
          </w:rPr>
          <w:t> </w:t>
        </w:r>
        <w:r>
          <w:rPr>
            <w:rFonts w:ascii="Calibri"/>
            <w:b/>
            <w:color w:val="393838"/>
            <w:sz w:val="22"/>
          </w:rPr>
          <w:t>the Academic</w:t>
        </w:r>
        <w:r>
          <w:rPr>
            <w:rFonts w:ascii="Calibri"/>
            <w:b/>
            <w:color w:val="393838"/>
            <w:spacing w:val="1"/>
            <w:sz w:val="22"/>
          </w:rPr>
          <w:t> </w:t>
        </w:r>
        <w:r>
          <w:rPr>
            <w:rFonts w:ascii="Calibri"/>
            <w:b/>
            <w:color w:val="393838"/>
            <w:sz w:val="22"/>
          </w:rPr>
          <w:t>Program</w:t>
        </w:r>
        <w:r>
          <w:rPr>
            <w:rFonts w:ascii="Calibri"/>
            <w:b/>
            <w:color w:val="393838"/>
            <w:spacing w:val="-1"/>
            <w:sz w:val="22"/>
          </w:rPr>
          <w:t> </w:t>
        </w:r>
        <w:r>
          <w:rPr>
            <w:rFonts w:ascii="Calibri"/>
            <w:b/>
            <w:color w:val="393838"/>
            <w:sz w:val="22"/>
          </w:rPr>
          <w:t>Review</w:t>
          <w:tab/>
          <w:t>111</w:t>
        </w:r>
      </w:hyperlink>
    </w:p>
    <w:p>
      <w:pPr>
        <w:tabs>
          <w:tab w:pos="9491" w:val="right" w:leader="dot"/>
        </w:tabs>
        <w:spacing w:before="121"/>
        <w:ind w:left="1590" w:right="0" w:firstLine="0"/>
        <w:jc w:val="left"/>
        <w:rPr>
          <w:rFonts w:ascii="Calibri"/>
          <w:b/>
          <w:sz w:val="22"/>
        </w:rPr>
      </w:pPr>
      <w:hyperlink w:history="true" w:anchor="_TOC_250003">
        <w:r>
          <w:rPr>
            <w:rFonts w:ascii="Calibri"/>
            <w:b/>
            <w:color w:val="393838"/>
            <w:sz w:val="22"/>
          </w:rPr>
          <w:t>Disclaimer</w:t>
          <w:tab/>
          <w:t>115</w:t>
        </w:r>
      </w:hyperlink>
    </w:p>
    <w:p>
      <w:pPr>
        <w:tabs>
          <w:tab w:pos="9491" w:val="right" w:leader="dot"/>
        </w:tabs>
        <w:spacing w:before="117"/>
        <w:ind w:left="1590" w:right="0" w:firstLine="0"/>
        <w:jc w:val="left"/>
        <w:rPr>
          <w:rFonts w:ascii="Calibri"/>
          <w:b/>
          <w:sz w:val="22"/>
        </w:rPr>
      </w:pPr>
      <w:hyperlink w:history="true" w:anchor="_TOC_250002">
        <w:r>
          <w:rPr>
            <w:rFonts w:ascii="Calibri"/>
            <w:b/>
            <w:color w:val="393838"/>
            <w:sz w:val="22"/>
          </w:rPr>
          <w:t>The</w:t>
        </w:r>
        <w:r>
          <w:rPr>
            <w:rFonts w:ascii="Calibri"/>
            <w:b/>
            <w:color w:val="393838"/>
            <w:spacing w:val="-1"/>
            <w:sz w:val="22"/>
          </w:rPr>
          <w:t> </w:t>
        </w:r>
        <w:r>
          <w:rPr>
            <w:rFonts w:ascii="Calibri"/>
            <w:b/>
            <w:color w:val="393838"/>
            <w:sz w:val="22"/>
          </w:rPr>
          <w:t>Review</w:t>
          <w:tab/>
          <w:t>117</w:t>
        </w:r>
      </w:hyperlink>
    </w:p>
    <w:p>
      <w:pPr>
        <w:tabs>
          <w:tab w:pos="9491" w:val="right" w:leader="dot"/>
        </w:tabs>
        <w:spacing w:before="122"/>
        <w:ind w:left="1802" w:right="0" w:firstLine="0"/>
        <w:jc w:val="left"/>
        <w:rPr>
          <w:rFonts w:ascii="Calibri"/>
          <w:b/>
          <w:sz w:val="22"/>
        </w:rPr>
      </w:pPr>
      <w:hyperlink w:history="true" w:anchor="_TOC_250001">
        <w:r>
          <w:rPr>
            <w:rFonts w:ascii="Calibri"/>
            <w:b/>
            <w:color w:val="393838"/>
            <w:sz w:val="22"/>
          </w:rPr>
          <w:t>Scope</w:t>
          <w:tab/>
          <w:t>117</w:t>
        </w:r>
      </w:hyperlink>
    </w:p>
    <w:p>
      <w:pPr>
        <w:tabs>
          <w:tab w:pos="9490" w:val="right" w:leader="dot"/>
        </w:tabs>
        <w:spacing w:before="121"/>
        <w:ind w:left="1802" w:right="0" w:firstLine="0"/>
        <w:jc w:val="left"/>
        <w:rPr>
          <w:rFonts w:ascii="Calibri"/>
          <w:b/>
          <w:sz w:val="22"/>
        </w:rPr>
      </w:pPr>
      <w:hyperlink w:history="true" w:anchor="_TOC_250000">
        <w:r>
          <w:rPr>
            <w:rFonts w:ascii="Calibri"/>
            <w:b/>
            <w:color w:val="393838"/>
            <w:sz w:val="22"/>
          </w:rPr>
          <w:t>The</w:t>
        </w:r>
        <w:r>
          <w:rPr>
            <w:rFonts w:ascii="Calibri"/>
            <w:b/>
            <w:color w:val="393838"/>
            <w:spacing w:val="-1"/>
            <w:sz w:val="22"/>
          </w:rPr>
          <w:t> </w:t>
        </w:r>
        <w:r>
          <w:rPr>
            <w:rFonts w:ascii="Calibri"/>
            <w:b/>
            <w:color w:val="393838"/>
            <w:sz w:val="22"/>
          </w:rPr>
          <w:t>Reviewers</w:t>
          <w:tab/>
          <w:t>117</w:t>
        </w:r>
      </w:hyperlink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p>
      <w:pPr>
        <w:pStyle w:val="Heading2"/>
        <w:spacing w:before="1"/>
        <w:ind w:left="1567"/>
      </w:pPr>
      <w:bookmarkStart w:name="_TOC_250030" w:id="22"/>
      <w:r>
        <w:rPr>
          <w:color w:val="393838"/>
        </w:rPr>
        <w:t>EXECUTIVE</w:t>
      </w:r>
      <w:r>
        <w:rPr>
          <w:color w:val="393838"/>
          <w:spacing w:val="-10"/>
        </w:rPr>
        <w:t> </w:t>
      </w:r>
      <w:bookmarkEnd w:id="22"/>
      <w:r>
        <w:rPr>
          <w:color w:val="393838"/>
        </w:rPr>
        <w:t>SUMMARY</w:t>
      </w:r>
    </w:p>
    <w:p>
      <w:pPr>
        <w:spacing w:line="266" w:lineRule="auto" w:before="34"/>
        <w:ind w:left="1579" w:right="2091" w:hanging="4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purpose of this report is to provide an assessment of the extent to which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Executive Master of Public Administration (EMPA) Program meets the relevant process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requirements of the </w:t>
      </w:r>
      <w:r>
        <w:rPr>
          <w:rFonts w:ascii="Calibri" w:hAnsi="Calibri"/>
          <w:i/>
          <w:color w:val="393838"/>
          <w:sz w:val="22"/>
        </w:rPr>
        <w:t>Higher Education Standards Framework (Threshold Standards)</w:t>
      </w:r>
      <w:r>
        <w:rPr>
          <w:rFonts w:ascii="Calibri" w:hAnsi="Calibri"/>
          <w:i/>
          <w:color w:val="393838"/>
          <w:spacing w:val="1"/>
          <w:sz w:val="22"/>
        </w:rPr>
        <w:t> </w:t>
      </w:r>
      <w:r>
        <w:rPr>
          <w:rFonts w:ascii="Calibri" w:hAnsi="Calibri"/>
          <w:i/>
          <w:color w:val="393838"/>
          <w:sz w:val="22"/>
        </w:rPr>
        <w:t>2015 </w:t>
      </w:r>
      <w:r>
        <w:rPr>
          <w:rFonts w:ascii="Calibri" w:hAnsi="Calibri"/>
          <w:color w:val="393838"/>
          <w:sz w:val="22"/>
        </w:rPr>
        <w:t>(‘HESF’ or ‘the Standards Framework’), based on material provided by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Australian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New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Zealand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School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Government (ANZSOG).</w:t>
      </w:r>
    </w:p>
    <w:p>
      <w:pPr>
        <w:spacing w:line="266" w:lineRule="auto" w:before="112"/>
        <w:ind w:left="1579" w:right="2245" w:hanging="4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task is complicated by the fact that ANZSOG is not directly accountable to TEQSA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for compliance with HESF as it does not accredit or award the EMPA degree, which is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awarded by partner universities, and does not deliver the whole course or provide all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the supporting services to students. Within the Standards Framework, the partner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universities are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entirely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accountable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TEQSA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compliance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with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it.</w:t>
      </w:r>
    </w:p>
    <w:p>
      <w:pPr>
        <w:spacing w:line="266" w:lineRule="auto" w:before="109"/>
        <w:ind w:left="1579" w:right="1997" w:hanging="4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partner universities effectively delegate design and delivery of a large proportion of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the program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ANZSOG, which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operates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 third-party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provider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universities.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spacing w:before="56"/>
        <w:ind w:left="4415" w:right="5034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80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9344" id="docshapegroup191" coordorigin="1131,2438" coordsize="9643,12506">
            <v:shape style="position:absolute;left:8453;top:3332;width:1500;height:435" type="#_x0000_t75" id="docshape192" stroked="false">
              <v:imagedata r:id="rId75" o:title=""/>
            </v:shape>
            <v:shape style="position:absolute;left:1795;top:13874;width:1745;height:170" id="docshape193" coordorigin="1796,13874" coordsize="1745,170" path="m1945,14032l1943,14028,1942,14025,1933,14001,1924,13977,1898,13910,1895,13901,1895,13977,1845,13977,1870,13910,1895,13977,1895,13901,1890,13890,1886,13880,1882,13876,1859,13876,1855,13880,1851,13890,1798,14025,1797,14028,1796,14032,1796,14039,1799,14042,1819,14042,1822,14039,1824,14032,1836,14001,1904,14001,1915,14032,1917,14039,1921,14042,1942,14042,1945,14039,1945,14032xm2102,13880l2098,13876,2080,13876,2075,13880,2075,14003,2006,13890,2001,13882,1995,13876,1969,13876,1963,13881,1963,14038,1967,14042,1985,14042,1990,14038,1990,14031,1990,13913,2063,14028,2068,14037,2074,14042,2096,14042,2102,14037,2102,13880xm2240,14021l2236,14017,2229,14017,2155,14017,2231,13907,2235,13901,2238,13896,2238,13881,2234,13877,2126,13877,2122,13881,2122,13898,2126,13902,2203,13902,2128,14012,2124,14018,2120,14023,2120,14037,2125,14041,2236,14041,2240,14037,2240,14021xm2360,13996l2347,13965,2319,13948,2291,13936,2278,13918,2278,13907,2288,13899,2316,13899,2325,13902,2334,13907,2339,13909,2342,13911,2350,13911,2356,13903,2356,13893,2353,13889,2347,13885,2337,13880,2327,13877,2316,13875,2306,13874,2283,13878,2266,13887,2254,13901,2250,13920,2263,13949,2291,13965,2319,13978,2331,13997,2331,14011,2319,14020,2289,14020,2280,14015,2271,14010,2266,14006,2263,14005,2253,14005,2248,14012,2248,14023,2251,14027,2257,14031,2266,14036,2276,14040,2288,14043,2301,14044,2324,14041,2343,14031,2355,14016,2360,13996xm2536,13959l2531,13924,2515,13898,2514,13897,2507,13893,2507,13959,2503,13985,2493,14004,2476,14016,2455,14020,2433,14016,2417,14004,2406,13985,2402,13959,2406,13934,2417,13915,2433,13902,2455,13898,2476,13902,2493,13915,2503,13934,2507,13959,2507,13893,2488,13880,2455,13874,2421,13880,2395,13897,2379,13924,2373,13959,2379,13994,2395,14021,2421,14038,2455,14044,2488,14038,2514,14021,2515,14020,2531,13994,2536,13959xm2691,13960l2687,13956,2631,13956,2628,13959,2628,13976,2631,13980,2639,13980,2663,13980,2663,14014,2656,14017,2646,14019,2636,14019,2613,14015,2596,14003,2585,13984,2581,13958,2584,13933,2595,13914,2612,13903,2634,13899,2646,13899,2656,13902,2665,13906,2671,13910,2674,13912,2683,13912,2690,13905,2690,13894,2686,13890,2678,13885,2668,13881,2658,13877,2646,13875,2634,13874,2601,13880,2575,13896,2558,13923,2551,13959,2558,13995,2575,14021,2602,14037,2635,14043,2647,14042,2659,14041,2669,14038,2678,14035,2688,14031,2691,14026,2691,13960xm2747,14016l2740,14009,2719,14009,2712,14016,2712,14036,2719,14043,2730,14043,2740,14043,2747,14036,2747,14016xm2873,14021l2869,14017,2797,14017,2797,13969,2857,13969,2861,13964,2861,13948,2857,13944,2850,13944,2797,13944,2797,13902,2868,13902,2872,13898,2872,13881,2868,13877,2775,13877,2770,13882,2770,14037,2775,14041,2869,14041,2873,14037,2873,14021xm3029,13959l3023,13924,3007,13899,3005,13897,3000,13894,3000,13959,2996,13985,2984,14003,2964,14015,2937,14019,2932,14019,2926,14018,2921,14018,2921,13901,2926,13900,2932,13899,2937,13899,2964,13903,2984,13915,2996,13934,3000,13959,3000,13894,2976,13881,2937,13876,2926,13876,2913,13877,2906,13879,2892,13882,2892,14037,2906,14040,2913,14042,2926,14043,2936,14043,2975,14037,3005,14021,3006,14019,3023,13994,3029,13959xm3182,13880l3178,13876,3160,13876,3156,13880,3156,13986,3154,13993,3152,13999,3147,14008,3139,14015,3129,14019,3118,14020,3106,14019,3096,14015,3088,14008,3083,13999,3081,13993,3080,13986,3080,13880,3075,13876,3056,13876,3052,13880,3052,13991,3054,14002,3057,14011,3067,14026,3081,14037,3097,14042,3117,14044,3136,14042,3153,14036,3167,14026,3176,14011,3180,14003,3182,13993,3182,13880xm3232,14016l3225,14009,3204,14009,3197,14016,3197,14036,3204,14043,3215,14043,3225,14043,3232,14036,3232,14016xm3396,14032l3395,14028,3394,14025,3384,14001,3375,13977,3349,13910,3346,13901,3346,13977,3296,13977,3321,13910,3346,13977,3346,13901,3342,13890,3338,13880,3334,13876,3310,13876,3306,13880,3302,13890,3249,14025,3248,14028,3247,14032,3247,14039,3250,14042,3270,14042,3273,14039,3275,14032,3287,14001,3355,14001,3366,14032,3369,14039,3372,14042,3393,14042,3396,14039,3396,14032xm3540,13880l3536,13876,3518,13876,3513,13880,3513,13986,3512,13993,3510,13999,3505,14008,3497,14015,3487,14019,3475,14020,3464,14019,3454,14015,3446,14008,3441,13999,3439,13993,3438,13986,3438,13880,3433,13876,3414,13876,3410,13880,3410,13991,3411,14002,3415,14011,3425,14026,3439,14037,3455,14042,3475,14044,3494,14042,3511,14036,3525,14026,3534,14011,3538,14003,3540,13993,3540,13880xe" filled="true" fillcolor="#231f20" stroked="false">
              <v:path arrowok="t"/>
              <v:fill type="solid"/>
            </v:shape>
            <v:rect style="position:absolute;left:1133;top:2440;width:9638;height:12501" id="docshape194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6"/>
        </w:rPr>
      </w:pPr>
    </w:p>
    <w:p>
      <w:pPr>
        <w:spacing w:line="266" w:lineRule="auto" w:before="56"/>
        <w:ind w:left="1560" w:right="203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This report does not consider the extent to which the partner universities are fulfilling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their responsibilities but does consider the extent to which they can have confidence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that ANZSOG is fulfilling its responsibilities in designing and (in large part) delivering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program. This is further complicated by the fact that the historical Service Agreements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(which partly fulfil the role of third-party agreements as are expected under the 2015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Standards Framework) between ANZSOG and the universities specify the services that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 universities will provide to ANZSOG, but do not specify the services that ANZSOG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will provide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universities.</w:t>
      </w:r>
    </w:p>
    <w:p>
      <w:pPr>
        <w:spacing w:line="266" w:lineRule="auto" w:before="112"/>
        <w:ind w:left="1579" w:right="2074" w:hanging="4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focus of this report is on processes rather than the design of the course itself,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which will be considered in the following Academic Program Review (referred to in the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Standards Framework as a ‘comprehensive course review’). The terms of reference for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that review need to incorporate the requirements for a comprehensive course review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 HESF 5.3 (including ‘external referencing of the success of student cohorts’), and the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documentation for the review (including its final report) needs to make it evident that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 views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an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independent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review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panel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will be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fully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considered.</w:t>
      </w:r>
    </w:p>
    <w:p>
      <w:pPr>
        <w:pStyle w:val="BodyText"/>
        <w:rPr>
          <w:rFonts w:ascii="Calibri"/>
          <w:sz w:val="22"/>
        </w:rPr>
      </w:pPr>
    </w:p>
    <w:p>
      <w:pPr>
        <w:spacing w:line="268" w:lineRule="auto" w:before="181"/>
        <w:ind w:left="1579" w:right="2596" w:hanging="4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Some lines of inquiry for the Academic Program Review are suggested in the final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section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of this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report.</w:t>
      </w:r>
    </w:p>
    <w:p>
      <w:pPr>
        <w:spacing w:line="268" w:lineRule="auto" w:before="99"/>
        <w:ind w:left="1575" w:right="201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HESF Domain 4 (Research and Research Training) has not been assessed as the research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concerned takes place only within the context of a coursework degree, not a Higher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Degree by Research. However, we note that there is a Research Ethics Policy and 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Human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Research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Ethics</w:t>
      </w:r>
      <w:r>
        <w:rPr>
          <w:rFonts w:ascii="Calibri"/>
          <w:color w:val="393838"/>
          <w:spacing w:val="4"/>
          <w:sz w:val="22"/>
        </w:rPr>
        <w:t> </w:t>
      </w:r>
      <w:r>
        <w:rPr>
          <w:rFonts w:ascii="Calibri"/>
          <w:color w:val="393838"/>
          <w:sz w:val="22"/>
        </w:rPr>
        <w:t>Committee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place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assess</w:t>
      </w:r>
      <w:r>
        <w:rPr>
          <w:rFonts w:ascii="Calibri"/>
          <w:color w:val="393838"/>
          <w:spacing w:val="4"/>
          <w:sz w:val="22"/>
        </w:rPr>
        <w:t> </w:t>
      </w:r>
      <w:r>
        <w:rPr>
          <w:rFonts w:ascii="Calibri"/>
          <w:color w:val="393838"/>
          <w:sz w:val="22"/>
        </w:rPr>
        <w:t>proposals</w:t>
      </w:r>
      <w:r>
        <w:rPr>
          <w:rFonts w:ascii="Calibri"/>
          <w:color w:val="393838"/>
          <w:spacing w:val="4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work-based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research projects, to minimise the risks of harm and ensure that they are in compliance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with the </w:t>
      </w:r>
      <w:r>
        <w:rPr>
          <w:rFonts w:ascii="Calibri"/>
          <w:i/>
          <w:color w:val="393838"/>
          <w:sz w:val="22"/>
        </w:rPr>
        <w:t>National Statement on Ethical Conduct in Human Research </w:t>
      </w:r>
      <w:r>
        <w:rPr>
          <w:rFonts w:ascii="Calibri"/>
          <w:color w:val="393838"/>
          <w:sz w:val="22"/>
        </w:rPr>
        <w:t>and the </w:t>
      </w:r>
      <w:r>
        <w:rPr>
          <w:rFonts w:ascii="Calibri"/>
          <w:i/>
          <w:color w:val="393838"/>
          <w:sz w:val="22"/>
        </w:rPr>
        <w:t>Australian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Code for the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Responsible</w:t>
      </w:r>
      <w:r>
        <w:rPr>
          <w:rFonts w:ascii="Calibri"/>
          <w:i/>
          <w:color w:val="393838"/>
          <w:spacing w:val="2"/>
          <w:sz w:val="22"/>
        </w:rPr>
        <w:t> </w:t>
      </w:r>
      <w:r>
        <w:rPr>
          <w:rFonts w:ascii="Calibri"/>
          <w:i/>
          <w:color w:val="393838"/>
          <w:sz w:val="22"/>
        </w:rPr>
        <w:t>Conduct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of</w:t>
      </w:r>
      <w:r>
        <w:rPr>
          <w:rFonts w:ascii="Calibri"/>
          <w:i/>
          <w:color w:val="393838"/>
          <w:spacing w:val="-5"/>
          <w:sz w:val="22"/>
        </w:rPr>
        <w:t> </w:t>
      </w:r>
      <w:r>
        <w:rPr>
          <w:rFonts w:ascii="Calibri"/>
          <w:i/>
          <w:color w:val="393838"/>
          <w:sz w:val="22"/>
        </w:rPr>
        <w:t>Research</w:t>
      </w:r>
      <w:r>
        <w:rPr>
          <w:rFonts w:ascii="Calibri"/>
          <w:color w:val="393838"/>
          <w:sz w:val="22"/>
        </w:rPr>
        <w:t>.</w:t>
      </w:r>
    </w:p>
    <w:p>
      <w:pPr>
        <w:spacing w:line="266" w:lineRule="auto" w:before="104"/>
        <w:ind w:left="1580" w:right="1997" w:hanging="4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Caveats aside, it is evident from the material considered that the EMPA is fit for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purpose, that it has high standing with the relevant stakeholders, that it has an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exceptionally well qualified academic staffing profile, and that ANZSOG’s framework for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delivery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is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also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fit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for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purpose.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1"/>
        </w:rPr>
      </w:pPr>
    </w:p>
    <w:p>
      <w:pPr>
        <w:spacing w:before="56"/>
        <w:ind w:left="4415" w:right="5034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81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8832" id="docshapegroup195" coordorigin="1131,2438" coordsize="9643,12506">
            <v:shape style="position:absolute;left:8453;top:3332;width:1500;height:435" type="#_x0000_t75" id="docshape196" stroked="false">
              <v:imagedata r:id="rId75" o:title=""/>
            </v:shape>
            <v:shape style="position:absolute;left:1795;top:13874;width:1745;height:170" id="docshape197" coordorigin="1796,13874" coordsize="1745,170" path="m1945,14032l1943,14028,1942,14025,1933,14001,1924,13977,1898,13910,1895,13901,1895,13977,1845,13977,1870,13910,1895,13977,1895,13901,1890,13890,1886,13880,1882,13876,1859,13876,1855,13880,1851,13890,1798,14025,1797,14028,1796,14032,1796,14039,1799,14042,1819,14042,1822,14039,1824,14032,1836,14001,1904,14001,1915,14032,1917,14039,1921,14042,1942,14042,1945,14039,1945,14032xm2102,13880l2098,13876,2080,13876,2075,13880,2075,14003,2006,13890,2001,13882,1995,13876,1969,13876,1963,13881,1963,14038,1967,14042,1985,14042,1990,14038,1990,14031,1990,13913,2063,14028,2068,14037,2074,14042,2096,14042,2102,14037,2102,13880xm2240,14021l2236,14017,2229,14017,2155,14017,2231,13907,2235,13901,2238,13896,2238,13881,2234,13877,2126,13877,2122,13881,2122,13898,2126,13902,2203,13902,2128,14012,2124,14018,2120,14023,2120,14037,2125,14041,2236,14041,2240,14037,2240,14021xm2360,13996l2347,13965,2319,13948,2291,13936,2278,13918,2278,13907,2288,13899,2316,13899,2325,13902,2334,13907,2339,13909,2342,13911,2350,13911,2356,13903,2356,13893,2353,13889,2347,13885,2337,13880,2327,13877,2316,13875,2306,13874,2283,13878,2266,13887,2254,13901,2250,13920,2263,13949,2291,13965,2319,13978,2331,13997,2331,14011,2319,14020,2289,14020,2280,14015,2271,14010,2266,14006,2263,14005,2253,14005,2248,14012,2248,14023,2251,14027,2257,14031,2266,14036,2276,14040,2288,14043,2301,14044,2324,14041,2343,14031,2355,14016,2360,13996xm2536,13959l2531,13924,2515,13898,2514,13897,2507,13893,2507,13959,2503,13985,2493,14004,2476,14016,2455,14020,2433,14016,2417,14004,2406,13985,2402,13959,2406,13934,2417,13915,2433,13902,2455,13898,2476,13902,2493,13915,2503,13934,2507,13959,2507,13893,2488,13880,2455,13874,2421,13880,2395,13897,2379,13924,2373,13959,2379,13994,2395,14021,2421,14038,2455,14044,2488,14038,2514,14021,2515,14020,2531,13994,2536,13959xm2691,13960l2687,13956,2631,13956,2628,13959,2628,13976,2631,13980,2639,13980,2663,13980,2663,14014,2656,14017,2646,14019,2636,14019,2613,14015,2596,14003,2585,13984,2581,13958,2584,13933,2595,13914,2612,13903,2634,13899,2646,13899,2656,13902,2665,13906,2671,13910,2674,13912,2683,13912,2690,13905,2690,13894,2686,13890,2678,13885,2668,13881,2658,13877,2646,13875,2634,13874,2601,13880,2575,13896,2558,13923,2551,13959,2558,13995,2575,14021,2602,14037,2635,14043,2647,14042,2659,14041,2669,14038,2678,14035,2688,14031,2691,14026,2691,13960xm2747,14016l2740,14009,2719,14009,2712,14016,2712,14036,2719,14043,2730,14043,2740,14043,2747,14036,2747,14016xm2873,14021l2869,14017,2797,14017,2797,13969,2857,13969,2861,13964,2861,13948,2857,13944,2850,13944,2797,13944,2797,13902,2868,13902,2872,13898,2872,13881,2868,13877,2775,13877,2770,13882,2770,14037,2775,14041,2869,14041,2873,14037,2873,14021xm3029,13959l3023,13924,3007,13899,3005,13897,3000,13894,3000,13959,2996,13985,2984,14003,2964,14015,2937,14019,2932,14019,2926,14018,2921,14018,2921,13901,2926,13900,2932,13899,2937,13899,2964,13903,2984,13915,2996,13934,3000,13959,3000,13894,2976,13881,2937,13876,2926,13876,2913,13877,2906,13879,2892,13882,2892,14037,2906,14040,2913,14042,2926,14043,2936,14043,2975,14037,3005,14021,3006,14019,3023,13994,3029,13959xm3182,13880l3178,13876,3160,13876,3156,13880,3156,13986,3154,13993,3152,13999,3147,14008,3139,14015,3129,14019,3118,14020,3106,14019,3096,14015,3088,14008,3083,13999,3081,13993,3080,13986,3080,13880,3075,13876,3056,13876,3052,13880,3052,13991,3054,14002,3057,14011,3067,14026,3081,14037,3097,14042,3117,14044,3136,14042,3153,14036,3167,14026,3176,14011,3180,14003,3182,13993,3182,13880xm3232,14016l3225,14009,3204,14009,3197,14016,3197,14036,3204,14043,3215,14043,3225,14043,3232,14036,3232,14016xm3396,14032l3395,14028,3394,14025,3384,14001,3375,13977,3349,13910,3346,13901,3346,13977,3296,13977,3321,13910,3346,13977,3346,13901,3342,13890,3338,13880,3334,13876,3310,13876,3306,13880,3302,13890,3249,14025,3248,14028,3247,14032,3247,14039,3250,14042,3270,14042,3273,14039,3275,14032,3287,14001,3355,14001,3366,14032,3369,14039,3372,14042,3393,14042,3396,14039,3396,14032xm3540,13880l3536,13876,3518,13876,3513,13880,3513,13986,3512,13993,3510,13999,3505,14008,3497,14015,3487,14019,3475,14020,3464,14019,3454,14015,3446,14008,3441,13999,3439,13993,3438,13986,3438,13880,3433,13876,3414,13876,3410,13880,3410,13991,3411,14002,3415,14011,3425,14026,3439,14037,3455,14042,3475,14044,3494,14042,3511,14036,3525,14026,3534,14011,3538,14003,3540,13993,3540,13880xe" filled="true" fillcolor="#231f20" stroked="false">
              <v:path arrowok="t"/>
              <v:fill type="solid"/>
            </v:shape>
            <v:rect style="position:absolute;left:1133;top:2440;width:9638;height:12501" id="docshape198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6"/>
        </w:rPr>
      </w:pPr>
    </w:p>
    <w:p>
      <w:pPr>
        <w:spacing w:line="266" w:lineRule="auto" w:before="56"/>
        <w:ind w:left="1579" w:right="2030" w:hanging="4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Reporting to the university partners on student progress and success has improved, but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some further improvements could be made, especially to internal reporting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consideration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this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data.</w:t>
      </w:r>
    </w:p>
    <w:p>
      <w:pPr>
        <w:spacing w:line="266" w:lineRule="auto" w:before="106"/>
        <w:ind w:left="1335" w:right="204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Further information needs to be provided on the ANZSOG website about particular topics,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and ANZSOG needs to ensure that all information required to be made available prior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enrolment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provided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either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by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ANZSOG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or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partners,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or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both.</w:t>
      </w:r>
    </w:p>
    <w:p>
      <w:pPr>
        <w:spacing w:line="266" w:lineRule="auto" w:before="106"/>
        <w:ind w:left="1335" w:right="207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service agreements with the universities will need to include more information about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the specific responsibilities of ANZSOG to the universities, and ANZSOG’s compliance with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these should be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periodically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reviewed.</w:t>
      </w:r>
    </w:p>
    <w:p>
      <w:pPr>
        <w:spacing w:line="316" w:lineRule="auto" w:before="106"/>
        <w:ind w:left="1335" w:right="2347" w:firstLine="0"/>
        <w:jc w:val="both"/>
        <w:rPr>
          <w:rFonts w:ascii="Calibri"/>
          <w:b/>
          <w:sz w:val="22"/>
        </w:rPr>
      </w:pPr>
      <w:r>
        <w:rPr>
          <w:rFonts w:ascii="Calibri"/>
          <w:color w:val="393838"/>
          <w:sz w:val="22"/>
        </w:rPr>
        <w:t>The analysis is presented under headings taken from the titles of the relevant Domains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Sections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of 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Standards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Framework.</w:t>
      </w:r>
      <w:r>
        <w:rPr>
          <w:rFonts w:ascii="Calibri"/>
          <w:color w:val="393838"/>
          <w:spacing w:val="6"/>
          <w:sz w:val="22"/>
        </w:rPr>
        <w:t> </w:t>
      </w:r>
      <w:r>
        <w:rPr>
          <w:rFonts w:ascii="Calibri"/>
          <w:b/>
          <w:color w:val="393838"/>
          <w:sz w:val="22"/>
        </w:rPr>
        <w:t>Recommendations</w:t>
      </w:r>
    </w:p>
    <w:p>
      <w:pPr>
        <w:pStyle w:val="ListParagraph"/>
        <w:numPr>
          <w:ilvl w:val="0"/>
          <w:numId w:val="25"/>
        </w:numPr>
        <w:tabs>
          <w:tab w:pos="2470" w:val="left" w:leader="none"/>
        </w:tabs>
        <w:spacing w:line="266" w:lineRule="auto" w:before="51" w:after="0"/>
        <w:ind w:left="2178" w:right="2137" w:hanging="1"/>
        <w:jc w:val="left"/>
        <w:rPr>
          <w:sz w:val="22"/>
        </w:rPr>
      </w:pPr>
      <w:r>
        <w:rPr>
          <w:color w:val="393838"/>
          <w:sz w:val="22"/>
        </w:rPr>
        <w:t>Monitor the retention, progression and completion rates of any students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admitted through the alternative pathway without a minimum AQF/NZQF Level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7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qualification.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6" w:lineRule="auto" w:before="106" w:after="0"/>
        <w:ind w:left="2178" w:right="2689" w:hanging="1"/>
        <w:jc w:val="left"/>
        <w:rPr>
          <w:sz w:val="22"/>
        </w:rPr>
      </w:pPr>
      <w:r>
        <w:rPr>
          <w:color w:val="393838"/>
          <w:sz w:val="22"/>
        </w:rPr>
        <w:t>Add information about tuition protection and refund of charges to the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ANZSOG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website.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6" w:lineRule="auto" w:before="10" w:after="0"/>
        <w:ind w:left="2179" w:right="3022" w:hanging="1"/>
        <w:jc w:val="left"/>
        <w:rPr>
          <w:sz w:val="22"/>
        </w:rPr>
      </w:pPr>
      <w:r>
        <w:rPr>
          <w:color w:val="393838"/>
          <w:sz w:val="22"/>
        </w:rPr>
        <w:t>Develop a formal student progress policy and procedure, including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progressive steps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intervention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support.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6" w:lineRule="auto" w:before="10" w:after="0"/>
        <w:ind w:left="2179" w:right="2220" w:hanging="1"/>
        <w:jc w:val="left"/>
        <w:rPr>
          <w:sz w:val="22"/>
        </w:rPr>
      </w:pPr>
      <w:r>
        <w:rPr>
          <w:color w:val="393838"/>
          <w:sz w:val="22"/>
        </w:rPr>
        <w:t>Provide indicative information about student access to the support services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enrolling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universities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on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the ANZSOG</w:t>
      </w:r>
      <w:r>
        <w:rPr>
          <w:color w:val="393838"/>
          <w:spacing w:val="-5"/>
          <w:sz w:val="22"/>
        </w:rPr>
        <w:t> </w:t>
      </w:r>
      <w:r>
        <w:rPr>
          <w:color w:val="393838"/>
          <w:sz w:val="22"/>
        </w:rPr>
        <w:t>website.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6" w:lineRule="auto" w:before="15" w:after="0"/>
        <w:ind w:left="2179" w:right="2561" w:hanging="1"/>
        <w:jc w:val="left"/>
        <w:rPr>
          <w:sz w:val="22"/>
        </w:rPr>
      </w:pPr>
      <w:r>
        <w:rPr>
          <w:color w:val="393838"/>
          <w:sz w:val="22"/>
        </w:rPr>
        <w:t>Clarify the responsibilities of ANZSOG and the partner universities for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handling appeals, including in the services agreements and on the ANZSOG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website.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8" w:lineRule="auto" w:before="11" w:after="0"/>
        <w:ind w:left="2179" w:right="2087" w:hanging="1"/>
        <w:jc w:val="left"/>
        <w:rPr>
          <w:sz w:val="22"/>
        </w:rPr>
      </w:pPr>
      <w:r>
        <w:rPr>
          <w:color w:val="393838"/>
          <w:sz w:val="22"/>
        </w:rPr>
        <w:t>Ensure that arrangements are in place to access the services of qualified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individuals who can provide mediation and resolution services in the case of any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appeals not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handled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by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universities.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40" w:lineRule="auto" w:before="12" w:after="0"/>
        <w:ind w:left="2470" w:right="0" w:hanging="292"/>
        <w:jc w:val="both"/>
        <w:rPr>
          <w:sz w:val="22"/>
        </w:rPr>
      </w:pPr>
      <w:r>
        <w:rPr>
          <w:color w:val="393838"/>
          <w:sz w:val="22"/>
        </w:rPr>
        <w:t>Clarify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policy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framework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for appeals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against academic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integrity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decisions.</w:t>
      </w:r>
    </w:p>
    <w:p>
      <w:pPr>
        <w:pStyle w:val="ListParagraph"/>
        <w:numPr>
          <w:ilvl w:val="0"/>
          <w:numId w:val="25"/>
        </w:numPr>
        <w:tabs>
          <w:tab w:pos="2472" w:val="left" w:leader="none"/>
        </w:tabs>
        <w:spacing w:line="288" w:lineRule="auto" w:before="34" w:after="0"/>
        <w:ind w:left="2179" w:right="2113" w:hanging="1"/>
        <w:jc w:val="both"/>
        <w:rPr>
          <w:sz w:val="22"/>
        </w:rPr>
      </w:pPr>
      <w:r>
        <w:rPr>
          <w:color w:val="393838"/>
          <w:sz w:val="22"/>
        </w:rPr>
        <w:t>Conduct an Academic Program Review that will include all topics required by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the Higher Education Standards Framework for a comprehensive course review,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which:</w:t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56"/>
        <w:ind w:left="4415" w:right="5034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82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8320" id="docshapegroup199" coordorigin="1131,2438" coordsize="9643,12506">
            <v:shape style="position:absolute;left:8453;top:3332;width:1500;height:435" type="#_x0000_t75" id="docshape200" stroked="false">
              <v:imagedata r:id="rId75" o:title=""/>
            </v:shape>
            <v:shape style="position:absolute;left:1795;top:13874;width:1745;height:170" id="docshape201" coordorigin="1796,13874" coordsize="1745,170" path="m1945,14032l1943,14028,1942,14025,1933,14001,1924,13977,1898,13910,1895,13901,1895,13977,1845,13977,1870,13910,1895,13977,1895,13901,1890,13890,1886,13880,1882,13876,1859,13876,1855,13880,1851,13890,1798,14025,1797,14028,1796,14032,1796,14039,1799,14042,1819,14042,1822,14039,1824,14032,1836,14001,1904,14001,1915,14032,1917,14039,1921,14042,1942,14042,1945,14039,1945,14032xm2102,13880l2098,13876,2080,13876,2075,13880,2075,14003,2006,13890,2001,13882,1995,13876,1969,13876,1963,13881,1963,14038,1967,14042,1985,14042,1990,14038,1990,14031,1990,13913,2063,14028,2068,14037,2074,14042,2096,14042,2102,14037,2102,13880xm2240,14021l2236,14017,2229,14017,2155,14017,2231,13907,2235,13901,2238,13896,2238,13881,2234,13877,2126,13877,2122,13881,2122,13898,2126,13902,2203,13902,2128,14012,2124,14018,2120,14023,2120,14037,2125,14041,2236,14041,2240,14037,2240,14021xm2360,13996l2347,13965,2319,13948,2291,13936,2278,13918,2278,13907,2288,13899,2316,13899,2325,13902,2334,13907,2339,13909,2342,13911,2350,13911,2356,13903,2356,13893,2353,13889,2347,13885,2337,13880,2327,13877,2316,13875,2306,13874,2283,13878,2266,13887,2254,13901,2250,13920,2263,13949,2291,13965,2319,13978,2331,13997,2331,14011,2319,14020,2289,14020,2280,14015,2271,14010,2266,14006,2263,14005,2253,14005,2248,14012,2248,14023,2251,14027,2257,14031,2266,14036,2276,14040,2288,14043,2301,14044,2324,14041,2343,14031,2355,14016,2360,13996xm2536,13959l2531,13924,2515,13898,2514,13897,2507,13893,2507,13959,2503,13985,2493,14004,2476,14016,2455,14020,2433,14016,2417,14004,2406,13985,2402,13959,2406,13934,2417,13915,2433,13902,2455,13898,2476,13902,2493,13915,2503,13934,2507,13959,2507,13893,2488,13880,2455,13874,2421,13880,2395,13897,2379,13924,2373,13959,2379,13994,2395,14021,2421,14038,2455,14044,2488,14038,2514,14021,2515,14020,2531,13994,2536,13959xm2691,13960l2687,13956,2631,13956,2628,13959,2628,13976,2631,13980,2639,13980,2663,13980,2663,14014,2656,14017,2646,14019,2636,14019,2613,14015,2596,14003,2585,13984,2581,13958,2584,13933,2595,13914,2612,13903,2634,13899,2646,13899,2656,13902,2665,13906,2671,13910,2674,13912,2683,13912,2690,13905,2690,13894,2686,13890,2678,13885,2668,13881,2658,13877,2646,13875,2634,13874,2601,13880,2575,13896,2558,13923,2551,13959,2558,13995,2575,14021,2602,14037,2635,14043,2647,14042,2659,14041,2669,14038,2678,14035,2688,14031,2691,14026,2691,13960xm2747,14016l2740,14009,2719,14009,2712,14016,2712,14036,2719,14043,2730,14043,2740,14043,2747,14036,2747,14016xm2873,14021l2869,14017,2797,14017,2797,13969,2857,13969,2861,13964,2861,13948,2857,13944,2850,13944,2797,13944,2797,13902,2868,13902,2872,13898,2872,13881,2868,13877,2775,13877,2770,13882,2770,14037,2775,14041,2869,14041,2873,14037,2873,14021xm3029,13959l3023,13924,3007,13899,3005,13897,3000,13894,3000,13959,2996,13985,2984,14003,2964,14015,2937,14019,2932,14019,2926,14018,2921,14018,2921,13901,2926,13900,2932,13899,2937,13899,2964,13903,2984,13915,2996,13934,3000,13959,3000,13894,2976,13881,2937,13876,2926,13876,2913,13877,2906,13879,2892,13882,2892,14037,2906,14040,2913,14042,2926,14043,2936,14043,2975,14037,3005,14021,3006,14019,3023,13994,3029,13959xm3182,13880l3178,13876,3160,13876,3156,13880,3156,13986,3154,13993,3152,13999,3147,14008,3139,14015,3129,14019,3118,14020,3106,14019,3096,14015,3088,14008,3083,13999,3081,13993,3080,13986,3080,13880,3075,13876,3056,13876,3052,13880,3052,13991,3054,14002,3057,14011,3067,14026,3081,14037,3097,14042,3117,14044,3136,14042,3153,14036,3167,14026,3176,14011,3180,14003,3182,13993,3182,13880xm3232,14016l3225,14009,3204,14009,3197,14016,3197,14036,3204,14043,3215,14043,3225,14043,3232,14036,3232,14016xm3396,14032l3395,14028,3394,14025,3384,14001,3375,13977,3349,13910,3346,13901,3346,13977,3296,13977,3321,13910,3346,13977,3346,13901,3342,13890,3338,13880,3334,13876,3310,13876,3306,13880,3302,13890,3249,14025,3248,14028,3247,14032,3247,14039,3250,14042,3270,14042,3273,14039,3275,14032,3287,14001,3355,14001,3366,14032,3369,14039,3372,14042,3393,14042,3396,14039,3396,14032xm3540,13880l3536,13876,3518,13876,3513,13880,3513,13986,3512,13993,3510,13999,3505,14008,3497,14015,3487,14019,3475,14020,3464,14019,3454,14015,3446,14008,3441,13999,3439,13993,3438,13986,3438,13880,3433,13876,3414,13876,3410,13880,3410,13991,3411,14002,3415,14011,3425,14026,3439,14037,3455,14042,3475,14044,3494,14042,3511,14036,3525,14026,3534,14011,3538,14003,3540,13993,3540,13880xe" filled="true" fillcolor="#231f20" stroked="false">
              <v:path arrowok="t"/>
              <v:fill type="solid"/>
            </v:shape>
            <v:rect style="position:absolute;left:1133;top:2440;width:9638;height:12501" id="docshape202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3036" w:val="left" w:leader="none"/>
          <w:tab w:pos="3037" w:val="left" w:leader="none"/>
        </w:tabs>
        <w:spacing w:line="240" w:lineRule="auto" w:before="0" w:after="0"/>
        <w:ind w:left="3036" w:right="0" w:hanging="575"/>
        <w:jc w:val="left"/>
        <w:rPr>
          <w:sz w:val="22"/>
        </w:rPr>
      </w:pPr>
      <w:r>
        <w:rPr>
          <w:color w:val="393838"/>
          <w:sz w:val="22"/>
        </w:rPr>
        <w:t>responds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to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input from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an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external panel,</w:t>
      </w:r>
      <w:r>
        <w:rPr>
          <w:color w:val="393838"/>
          <w:spacing w:val="2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which</w:t>
      </w:r>
    </w:p>
    <w:p>
      <w:pPr>
        <w:pStyle w:val="ListParagraph"/>
        <w:numPr>
          <w:ilvl w:val="1"/>
          <w:numId w:val="25"/>
        </w:numPr>
        <w:tabs>
          <w:tab w:pos="3036" w:val="left" w:leader="none"/>
          <w:tab w:pos="3037" w:val="left" w:leader="none"/>
        </w:tabs>
        <w:spacing w:line="266" w:lineRule="auto" w:before="133" w:after="0"/>
        <w:ind w:left="2462" w:right="2177" w:firstLine="0"/>
        <w:jc w:val="left"/>
        <w:rPr>
          <w:sz w:val="22"/>
        </w:rPr>
      </w:pPr>
      <w:r>
        <w:rPr>
          <w:color w:val="393838"/>
          <w:sz w:val="22"/>
        </w:rPr>
        <w:t>results in a report with recommendations for improvement which are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followed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up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by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governance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bodies.</w:t>
      </w:r>
    </w:p>
    <w:p>
      <w:pPr>
        <w:pStyle w:val="ListParagraph"/>
        <w:numPr>
          <w:ilvl w:val="0"/>
          <w:numId w:val="25"/>
        </w:numPr>
        <w:tabs>
          <w:tab w:pos="2470" w:val="left" w:leader="none"/>
        </w:tabs>
        <w:spacing w:line="268" w:lineRule="auto" w:before="18" w:after="0"/>
        <w:ind w:left="2178" w:right="2169" w:hanging="1"/>
        <w:jc w:val="left"/>
        <w:rPr>
          <w:sz w:val="22"/>
        </w:rPr>
      </w:pPr>
      <w:r>
        <w:rPr>
          <w:color w:val="393838"/>
          <w:sz w:val="22"/>
        </w:rPr>
        <w:t>Reports containing analyses of progression rates, attrition rates, completion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times and rates, as well as student and graduate feedback should be discussed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at the annual subject leaders’ meetings, and by the EMPA Academic Advisory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Council.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6" w:lineRule="auto" w:before="6" w:after="0"/>
        <w:ind w:left="2178" w:right="2238" w:hanging="1"/>
        <w:jc w:val="left"/>
        <w:rPr>
          <w:sz w:val="22"/>
        </w:rPr>
      </w:pPr>
      <w:r>
        <w:rPr>
          <w:color w:val="393838"/>
          <w:sz w:val="22"/>
        </w:rPr>
        <w:t>Determine which student cohorts need to be individually monitored, which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should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include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equity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groups.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88" w:lineRule="auto" w:before="11" w:after="0"/>
        <w:ind w:left="2179" w:right="2095" w:hanging="1"/>
        <w:jc w:val="left"/>
        <w:rPr>
          <w:sz w:val="22"/>
        </w:rPr>
      </w:pPr>
      <w:r>
        <w:rPr>
          <w:color w:val="393838"/>
          <w:sz w:val="22"/>
        </w:rPr>
        <w:t>Material variations in student success data and student feedback should give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rise to follow-up actions both overall and in relation to individual subjects, in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order to inform admission criteria and approaches to course design, teaching,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supervision, learning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academic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support.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6" w:lineRule="auto" w:before="96" w:after="0"/>
        <w:ind w:left="2179" w:right="2120" w:hanging="1"/>
        <w:jc w:val="left"/>
        <w:rPr>
          <w:sz w:val="22"/>
        </w:rPr>
      </w:pPr>
      <w:r>
        <w:rPr>
          <w:color w:val="393838"/>
          <w:sz w:val="22"/>
        </w:rPr>
        <w:t>Detail the responsibilities of ANZSOG to the partner universities and their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enrolled students in the Service Agreements, as well as clarifying jurisdiction for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matters such as student appeals and grievances, and the applicability of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university policies and procedures as opposed to ANZSOG policies and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procedures.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6" w:lineRule="auto" w:before="0" w:after="0"/>
        <w:ind w:left="2178" w:right="2280" w:hanging="1"/>
        <w:jc w:val="left"/>
        <w:rPr>
          <w:sz w:val="22"/>
        </w:rPr>
      </w:pPr>
      <w:r>
        <w:rPr>
          <w:color w:val="393838"/>
          <w:sz w:val="22"/>
        </w:rPr>
        <w:t>Commit to periodic review of compliance with the Higher Education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Standards Framework and of compliance with the revised Service Agreements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(at least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every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seven years).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6" w:lineRule="auto" w:before="16" w:after="0"/>
        <w:ind w:left="2178" w:right="2327" w:firstLine="0"/>
        <w:jc w:val="left"/>
        <w:rPr>
          <w:sz w:val="22"/>
        </w:rPr>
      </w:pPr>
      <w:r>
        <w:rPr>
          <w:color w:val="393838"/>
          <w:sz w:val="22"/>
        </w:rPr>
        <w:t>Include the Minutes of the EMPA Academic Advisory Council in the papers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for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each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meeting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of 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Academic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Board,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for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information.</w:t>
      </w:r>
    </w:p>
    <w:p>
      <w:pPr>
        <w:pStyle w:val="ListParagraph"/>
        <w:numPr>
          <w:ilvl w:val="0"/>
          <w:numId w:val="25"/>
        </w:numPr>
        <w:tabs>
          <w:tab w:pos="2471" w:val="left" w:leader="none"/>
        </w:tabs>
        <w:spacing w:line="266" w:lineRule="auto" w:before="10" w:after="0"/>
        <w:ind w:left="2179" w:right="2554" w:hanging="1"/>
        <w:jc w:val="left"/>
        <w:rPr>
          <w:sz w:val="22"/>
        </w:rPr>
      </w:pPr>
      <w:r>
        <w:rPr>
          <w:color w:val="393838"/>
          <w:sz w:val="22"/>
        </w:rPr>
        <w:t>Map the information being made available to prospective and current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students by ANZSOG and the university partners, to ensure comprehensive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coverage between 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parties.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56"/>
        <w:ind w:left="4415" w:right="5034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83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7808" id="docshapegroup203" coordorigin="1131,2438" coordsize="9643,12506">
            <v:shape style="position:absolute;left:8453;top:3332;width:1500;height:435" type="#_x0000_t75" id="docshape204" stroked="false">
              <v:imagedata r:id="rId75" o:title=""/>
            </v:shape>
            <v:shape style="position:absolute;left:1795;top:13874;width:1745;height:170" id="docshape205" coordorigin="1796,13874" coordsize="1745,170" path="m1945,14032l1943,14028,1942,14025,1933,14001,1924,13977,1898,13910,1895,13901,1895,13977,1845,13977,1870,13910,1895,13977,1895,13901,1890,13890,1886,13880,1882,13876,1859,13876,1855,13880,1851,13890,1798,14025,1797,14028,1796,14032,1796,14039,1799,14042,1819,14042,1822,14039,1824,14032,1836,14001,1904,14001,1915,14032,1917,14039,1921,14042,1942,14042,1945,14039,1945,14032xm2102,13880l2098,13876,2080,13876,2075,13880,2075,14003,2006,13890,2001,13882,1995,13876,1969,13876,1963,13881,1963,14038,1967,14042,1985,14042,1990,14038,1990,14031,1990,13913,2063,14028,2068,14037,2074,14042,2096,14042,2102,14037,2102,13880xm2240,14021l2236,14017,2229,14017,2155,14017,2231,13907,2235,13901,2238,13896,2238,13881,2234,13877,2126,13877,2122,13881,2122,13898,2126,13902,2203,13902,2128,14012,2124,14018,2120,14023,2120,14037,2125,14041,2236,14041,2240,14037,2240,14021xm2360,13996l2347,13965,2319,13948,2291,13936,2278,13918,2278,13907,2288,13899,2316,13899,2325,13902,2334,13907,2339,13909,2342,13911,2350,13911,2356,13903,2356,13893,2353,13889,2347,13885,2337,13880,2327,13877,2316,13875,2306,13874,2283,13878,2266,13887,2254,13901,2250,13920,2263,13949,2291,13965,2319,13978,2331,13997,2331,14011,2319,14020,2289,14020,2280,14015,2271,14010,2266,14006,2263,14005,2253,14005,2248,14012,2248,14023,2251,14027,2257,14031,2266,14036,2276,14040,2288,14043,2301,14044,2324,14041,2343,14031,2355,14016,2360,13996xm2536,13959l2531,13924,2515,13898,2514,13897,2507,13893,2507,13959,2503,13985,2493,14004,2476,14016,2455,14020,2433,14016,2417,14004,2406,13985,2402,13959,2406,13934,2417,13915,2433,13902,2455,13898,2476,13902,2493,13915,2503,13934,2507,13959,2507,13893,2488,13880,2455,13874,2421,13880,2395,13897,2379,13924,2373,13959,2379,13994,2395,14021,2421,14038,2455,14044,2488,14038,2514,14021,2515,14020,2531,13994,2536,13959xm2691,13960l2687,13956,2631,13956,2628,13959,2628,13976,2631,13980,2639,13980,2663,13980,2663,14014,2656,14017,2646,14019,2636,14019,2613,14015,2596,14003,2585,13984,2581,13958,2584,13933,2595,13914,2612,13903,2634,13899,2646,13899,2656,13902,2665,13906,2671,13910,2674,13912,2683,13912,2690,13905,2690,13894,2686,13890,2678,13885,2668,13881,2658,13877,2646,13875,2634,13874,2601,13880,2575,13896,2558,13923,2551,13959,2558,13995,2575,14021,2602,14037,2635,14043,2647,14042,2659,14041,2669,14038,2678,14035,2688,14031,2691,14026,2691,13960xm2747,14016l2740,14009,2719,14009,2712,14016,2712,14036,2719,14043,2730,14043,2740,14043,2747,14036,2747,14016xm2873,14021l2869,14017,2797,14017,2797,13969,2857,13969,2861,13964,2861,13948,2857,13944,2850,13944,2797,13944,2797,13902,2868,13902,2872,13898,2872,13881,2868,13877,2775,13877,2770,13882,2770,14037,2775,14041,2869,14041,2873,14037,2873,14021xm3029,13959l3023,13924,3007,13899,3005,13897,3000,13894,3000,13959,2996,13985,2984,14003,2964,14015,2937,14019,2932,14019,2926,14018,2921,14018,2921,13901,2926,13900,2932,13899,2937,13899,2964,13903,2984,13915,2996,13934,3000,13959,3000,13894,2976,13881,2937,13876,2926,13876,2913,13877,2906,13879,2892,13882,2892,14037,2906,14040,2913,14042,2926,14043,2936,14043,2975,14037,3005,14021,3006,14019,3023,13994,3029,13959xm3182,13880l3178,13876,3160,13876,3156,13880,3156,13986,3154,13993,3152,13999,3147,14008,3139,14015,3129,14019,3118,14020,3106,14019,3096,14015,3088,14008,3083,13999,3081,13993,3080,13986,3080,13880,3075,13876,3056,13876,3052,13880,3052,13991,3054,14002,3057,14011,3067,14026,3081,14037,3097,14042,3117,14044,3136,14042,3153,14036,3167,14026,3176,14011,3180,14003,3182,13993,3182,13880xm3232,14016l3225,14009,3204,14009,3197,14016,3197,14036,3204,14043,3215,14043,3225,14043,3232,14036,3232,14016xm3396,14032l3395,14028,3394,14025,3384,14001,3375,13977,3349,13910,3346,13901,3346,13977,3296,13977,3321,13910,3346,13977,3346,13901,3342,13890,3338,13880,3334,13876,3310,13876,3306,13880,3302,13890,3249,14025,3248,14028,3247,14032,3247,14039,3250,14042,3270,14042,3273,14039,3275,14032,3287,14001,3355,14001,3366,14032,3369,14039,3372,14042,3393,14042,3396,14039,3396,14032xm3540,13880l3536,13876,3518,13876,3513,13880,3513,13986,3512,13993,3510,13999,3505,14008,3497,14015,3487,14019,3475,14020,3464,14019,3454,14015,3446,14008,3441,13999,3439,13993,3438,13986,3438,13880,3433,13876,3414,13876,3410,13880,3410,13991,3411,14002,3415,14011,3425,14026,3439,14037,3455,14042,3475,14044,3494,14042,3511,14036,3525,14026,3534,14011,3538,14003,3540,13993,3540,13880xe" filled="true" fillcolor="#231f20" stroked="false">
              <v:path arrowok="t"/>
              <v:fill type="solid"/>
            </v:shape>
            <v:rect style="position:absolute;left:1133;top:2440;width:9638;height:12501" id="docshape206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6"/>
        </w:rPr>
      </w:pPr>
    </w:p>
    <w:p>
      <w:pPr>
        <w:spacing w:before="56"/>
        <w:ind w:left="1335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393838"/>
          <w:sz w:val="22"/>
        </w:rPr>
        <w:t>Standards</w:t>
      </w:r>
      <w:r>
        <w:rPr>
          <w:rFonts w:ascii="Calibri"/>
          <w:b/>
          <w:color w:val="393838"/>
          <w:spacing w:val="-3"/>
          <w:sz w:val="22"/>
        </w:rPr>
        <w:t> </w:t>
      </w:r>
      <w:r>
        <w:rPr>
          <w:rFonts w:ascii="Calibri"/>
          <w:b/>
          <w:color w:val="393838"/>
          <w:sz w:val="22"/>
        </w:rPr>
        <w:t>Considered</w:t>
      </w:r>
    </w:p>
    <w:p>
      <w:pPr>
        <w:spacing w:line="266" w:lineRule="auto" w:before="114"/>
        <w:ind w:left="1335" w:right="2815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HESF Standards that were considered in this report (as they pertain to course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accreditation)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are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listed in 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following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table.</w:t>
      </w:r>
    </w:p>
    <w:p>
      <w:pPr>
        <w:pStyle w:val="BodyText"/>
        <w:spacing w:before="9"/>
        <w:rPr>
          <w:rFonts w:ascii="Calibri"/>
          <w:sz w:val="24"/>
        </w:rPr>
      </w:pPr>
    </w:p>
    <w:tbl>
      <w:tblPr>
        <w:tblW w:w="0" w:type="auto"/>
        <w:jc w:val="left"/>
        <w:tblInd w:w="1658" w:type="dxa"/>
        <w:tblBorders>
          <w:top w:val="single" w:sz="8" w:space="0" w:color="DEDFE0"/>
          <w:left w:val="single" w:sz="8" w:space="0" w:color="DEDFE0"/>
          <w:bottom w:val="single" w:sz="8" w:space="0" w:color="DEDFE0"/>
          <w:right w:val="single" w:sz="8" w:space="0" w:color="DEDFE0"/>
          <w:insideH w:val="single" w:sz="8" w:space="0" w:color="DEDFE0"/>
          <w:insideV w:val="single" w:sz="8" w:space="0" w:color="DEDFE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2"/>
        <w:gridCol w:w="2048"/>
      </w:tblGrid>
      <w:tr>
        <w:trPr>
          <w:trHeight w:val="305" w:hRule="atLeast"/>
        </w:trPr>
        <w:tc>
          <w:tcPr>
            <w:tcW w:w="5242" w:type="dxa"/>
            <w:tcBorders>
              <w:bottom w:val="single" w:sz="12" w:space="0" w:color="CECFD1"/>
            </w:tcBorders>
            <w:shd w:val="clear" w:color="auto" w:fill="ACB8C8"/>
          </w:tcPr>
          <w:p>
            <w:pPr>
              <w:pStyle w:val="TableParagraph"/>
              <w:spacing w:line="265" w:lineRule="exact" w:before="20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Standards</w:t>
            </w:r>
          </w:p>
        </w:tc>
        <w:tc>
          <w:tcPr>
            <w:tcW w:w="2048" w:type="dxa"/>
            <w:tcBorders>
              <w:bottom w:val="single" w:sz="12" w:space="0" w:color="CECFD1"/>
            </w:tcBorders>
            <w:shd w:val="clear" w:color="auto" w:fill="ACB8C8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06" w:hRule="atLeast"/>
        </w:trPr>
        <w:tc>
          <w:tcPr>
            <w:tcW w:w="5242" w:type="dxa"/>
            <w:tcBorders>
              <w:top w:val="single" w:sz="12" w:space="0" w:color="CECFD1"/>
            </w:tcBorders>
            <w:shd w:val="clear" w:color="auto" w:fill="F0F1F1"/>
          </w:tcPr>
          <w:p>
            <w:pPr>
              <w:pStyle w:val="TableParagraph"/>
              <w:spacing w:line="262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1.1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Admission</w:t>
            </w:r>
          </w:p>
        </w:tc>
        <w:tc>
          <w:tcPr>
            <w:tcW w:w="2048" w:type="dxa"/>
            <w:tcBorders>
              <w:top w:val="single" w:sz="12" w:space="0" w:color="CECFD1"/>
            </w:tcBorders>
            <w:shd w:val="clear" w:color="auto" w:fill="F0F1F1"/>
          </w:tcPr>
          <w:p>
            <w:pPr>
              <w:pStyle w:val="TableParagraph"/>
              <w:spacing w:before="27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31F20"/>
                <w:w w:val="104"/>
                <w:sz w:val="15"/>
              </w:rPr>
              <w:t></w:t>
            </w:r>
          </w:p>
        </w:tc>
      </w:tr>
      <w:tr>
        <w:trPr>
          <w:trHeight w:val="310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1.2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Credit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and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Recognition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of</w:t>
            </w:r>
            <w:r>
              <w:rPr>
                <w:rFonts w:ascii="Calibri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Prior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Learning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31F20"/>
                <w:w w:val="104"/>
                <w:sz w:val="15"/>
              </w:rPr>
              <w:t></w:t>
            </w:r>
          </w:p>
        </w:tc>
      </w:tr>
      <w:tr>
        <w:trPr>
          <w:trHeight w:val="306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0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1.3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Orientation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and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Progression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4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31F20"/>
                <w:w w:val="104"/>
                <w:sz w:val="15"/>
              </w:rPr>
              <w:t></w:t>
            </w:r>
          </w:p>
        </w:tc>
      </w:tr>
      <w:tr>
        <w:trPr>
          <w:trHeight w:val="306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2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1.4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Learning Outcomes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and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Assessment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11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5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1.5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Qualifications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and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Certification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31F20"/>
                <w:w w:val="104"/>
                <w:sz w:val="15"/>
              </w:rPr>
              <w:t></w:t>
            </w:r>
          </w:p>
        </w:tc>
      </w:tr>
      <w:tr>
        <w:trPr>
          <w:trHeight w:val="306" w:hRule="atLeast"/>
        </w:trPr>
        <w:tc>
          <w:tcPr>
            <w:tcW w:w="5242" w:type="dxa"/>
          </w:tcPr>
          <w:p>
            <w:pPr>
              <w:pStyle w:val="TableParagraph"/>
              <w:spacing w:line="266" w:lineRule="exact" w:before="20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2.1</w:t>
            </w:r>
            <w:r>
              <w:rPr>
                <w:rFonts w:ascii="Calibri"/>
                <w:b/>
                <w:color w:val="393838"/>
                <w:spacing w:val="-4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Facilities</w:t>
            </w:r>
            <w:r>
              <w:rPr>
                <w:rFonts w:ascii="Calibri"/>
                <w:b/>
                <w:color w:val="393838"/>
                <w:spacing w:val="-4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and</w:t>
            </w:r>
            <w:r>
              <w:rPr>
                <w:rFonts w:ascii="Calibri"/>
                <w:b/>
                <w:color w:val="393838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Infrastructure</w:t>
            </w:r>
          </w:p>
        </w:tc>
        <w:tc>
          <w:tcPr>
            <w:tcW w:w="2048" w:type="dxa"/>
          </w:tcPr>
          <w:p>
            <w:pPr>
              <w:pStyle w:val="TableParagraph"/>
              <w:spacing w:before="24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10" w:hRule="atLeast"/>
        </w:trPr>
        <w:tc>
          <w:tcPr>
            <w:tcW w:w="5242" w:type="dxa"/>
          </w:tcPr>
          <w:p>
            <w:pPr>
              <w:pStyle w:val="TableParagraph"/>
              <w:spacing w:line="266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2.2</w:t>
            </w:r>
            <w:r>
              <w:rPr>
                <w:rFonts w:ascii="Calibri"/>
                <w:b/>
                <w:color w:val="393838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Diversity and</w:t>
            </w:r>
            <w:r>
              <w:rPr>
                <w:rFonts w:ascii="Calibri"/>
                <w:b/>
                <w:color w:val="393838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Equity</w:t>
            </w:r>
          </w:p>
        </w:tc>
        <w:tc>
          <w:tcPr>
            <w:tcW w:w="2048" w:type="dxa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06" w:hRule="atLeast"/>
        </w:trPr>
        <w:tc>
          <w:tcPr>
            <w:tcW w:w="5242" w:type="dxa"/>
          </w:tcPr>
          <w:p>
            <w:pPr>
              <w:pStyle w:val="TableParagraph"/>
              <w:spacing w:line="266" w:lineRule="exact" w:before="20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2.3</w:t>
            </w:r>
            <w:r>
              <w:rPr>
                <w:rFonts w:ascii="Calibri"/>
                <w:b/>
                <w:color w:val="393838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Wellbeing</w:t>
            </w:r>
            <w:r>
              <w:rPr>
                <w:rFonts w:ascii="Calibri"/>
                <w:b/>
                <w:color w:val="393838"/>
                <w:spacing w:val="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and</w:t>
            </w:r>
            <w:r>
              <w:rPr>
                <w:rFonts w:ascii="Calibri"/>
                <w:b/>
                <w:color w:val="393838"/>
                <w:spacing w:val="-5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Safety</w:t>
            </w:r>
          </w:p>
        </w:tc>
        <w:tc>
          <w:tcPr>
            <w:tcW w:w="2048" w:type="dxa"/>
          </w:tcPr>
          <w:p>
            <w:pPr>
              <w:pStyle w:val="TableParagraph"/>
              <w:spacing w:before="24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07" w:hRule="atLeast"/>
        </w:trPr>
        <w:tc>
          <w:tcPr>
            <w:tcW w:w="5242" w:type="dxa"/>
          </w:tcPr>
          <w:p>
            <w:pPr>
              <w:pStyle w:val="TableParagraph"/>
              <w:spacing w:line="262" w:lineRule="exact" w:before="25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2.4</w:t>
            </w:r>
            <w:r>
              <w:rPr>
                <w:rFonts w:ascii="Calibri"/>
                <w:b/>
                <w:color w:val="393838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Student</w:t>
            </w:r>
            <w:r>
              <w:rPr>
                <w:rFonts w:ascii="Calibri"/>
                <w:b/>
                <w:color w:val="393838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Grievances</w:t>
            </w:r>
            <w:r>
              <w:rPr>
                <w:rFonts w:ascii="Calibri"/>
                <w:b/>
                <w:color w:val="393838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and</w:t>
            </w:r>
            <w:r>
              <w:rPr>
                <w:rFonts w:ascii="Calibri"/>
                <w:b/>
                <w:color w:val="393838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Complaints</w:t>
            </w:r>
          </w:p>
        </w:tc>
        <w:tc>
          <w:tcPr>
            <w:tcW w:w="2048" w:type="dxa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10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3.1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Course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Design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06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0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3.2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Staffing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4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31F20"/>
                <w:w w:val="104"/>
                <w:sz w:val="15"/>
              </w:rPr>
              <w:t></w:t>
            </w:r>
          </w:p>
        </w:tc>
      </w:tr>
      <w:tr>
        <w:trPr>
          <w:trHeight w:val="307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3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3.3</w:t>
            </w:r>
            <w:r>
              <w:rPr>
                <w:rFonts w:ascii="Calibri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Learning</w:t>
            </w:r>
            <w:r>
              <w:rPr>
                <w:rFonts w:ascii="Calibri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Resources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and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Educational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Support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31F20"/>
                <w:w w:val="104"/>
                <w:sz w:val="15"/>
              </w:rPr>
              <w:t></w:t>
            </w:r>
          </w:p>
        </w:tc>
      </w:tr>
      <w:tr>
        <w:trPr>
          <w:trHeight w:val="310" w:hRule="atLeast"/>
        </w:trPr>
        <w:tc>
          <w:tcPr>
            <w:tcW w:w="5242" w:type="dxa"/>
          </w:tcPr>
          <w:p>
            <w:pPr>
              <w:pStyle w:val="TableParagraph"/>
              <w:spacing w:line="266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4.1</w:t>
            </w:r>
            <w:r>
              <w:rPr>
                <w:rFonts w:ascii="Calibri"/>
                <w:b/>
                <w:color w:val="393838"/>
                <w:spacing w:val="-4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Research</w:t>
            </w:r>
          </w:p>
        </w:tc>
        <w:tc>
          <w:tcPr>
            <w:tcW w:w="204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06" w:hRule="atLeast"/>
        </w:trPr>
        <w:tc>
          <w:tcPr>
            <w:tcW w:w="5242" w:type="dxa"/>
          </w:tcPr>
          <w:p>
            <w:pPr>
              <w:pStyle w:val="TableParagraph"/>
              <w:spacing w:line="266" w:lineRule="exact" w:before="20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4.2</w:t>
            </w:r>
            <w:r>
              <w:rPr>
                <w:rFonts w:ascii="Calibri"/>
                <w:b/>
                <w:color w:val="393838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Research Training</w:t>
            </w:r>
          </w:p>
        </w:tc>
        <w:tc>
          <w:tcPr>
            <w:tcW w:w="204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10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5.1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Course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Approval and</w:t>
            </w:r>
            <w:r>
              <w:rPr>
                <w:rFonts w:ascii="Calibri"/>
                <w:b/>
                <w:color w:val="231F20"/>
                <w:spacing w:val="-5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Accreditation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07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1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5.2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Academic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and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Research Integrity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4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06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0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5.3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Monitoring,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Review, and</w:t>
            </w:r>
            <w:r>
              <w:rPr>
                <w:rFonts w:ascii="Calibri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Improvement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4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10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5.4</w:t>
            </w:r>
            <w:r>
              <w:rPr>
                <w:rFonts w:ascii="Calibri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Delivery with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Other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Parties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06" w:hRule="atLeast"/>
        </w:trPr>
        <w:tc>
          <w:tcPr>
            <w:tcW w:w="5242" w:type="dxa"/>
          </w:tcPr>
          <w:p>
            <w:pPr>
              <w:pStyle w:val="TableParagraph"/>
              <w:spacing w:line="266" w:lineRule="exact" w:before="20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6.1</w:t>
            </w:r>
            <w:r>
              <w:rPr>
                <w:rFonts w:ascii="Calibri"/>
                <w:b/>
                <w:color w:val="393838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Corporate</w:t>
            </w:r>
            <w:r>
              <w:rPr>
                <w:rFonts w:ascii="Calibri"/>
                <w:b/>
                <w:color w:val="393838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Governance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24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31F20"/>
                <w:w w:val="104"/>
                <w:sz w:val="15"/>
              </w:rPr>
              <w:t></w:t>
            </w:r>
          </w:p>
        </w:tc>
      </w:tr>
      <w:tr>
        <w:trPr>
          <w:trHeight w:val="307" w:hRule="atLeast"/>
        </w:trPr>
        <w:tc>
          <w:tcPr>
            <w:tcW w:w="5242" w:type="dxa"/>
          </w:tcPr>
          <w:p>
            <w:pPr>
              <w:pStyle w:val="TableParagraph"/>
              <w:spacing w:line="262" w:lineRule="exact" w:before="25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6.2</w:t>
            </w:r>
            <w:r>
              <w:rPr>
                <w:rFonts w:ascii="Calibri"/>
                <w:b/>
                <w:color w:val="393838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Corporate</w:t>
            </w:r>
            <w:r>
              <w:rPr>
                <w:rFonts w:ascii="Calibri"/>
                <w:b/>
                <w:color w:val="393838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Monitoring</w:t>
            </w:r>
            <w:r>
              <w:rPr>
                <w:rFonts w:ascii="Calibri"/>
                <w:b/>
                <w:color w:val="393838"/>
                <w:spacing w:val="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and</w:t>
            </w:r>
            <w:r>
              <w:rPr>
                <w:rFonts w:ascii="Calibri"/>
                <w:b/>
                <w:color w:val="393838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Accountability</w:t>
            </w:r>
          </w:p>
        </w:tc>
        <w:tc>
          <w:tcPr>
            <w:tcW w:w="2048" w:type="dxa"/>
          </w:tcPr>
          <w:p>
            <w:pPr>
              <w:pStyle w:val="TableParagraph"/>
              <w:spacing w:before="29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10" w:hRule="atLeast"/>
        </w:trPr>
        <w:tc>
          <w:tcPr>
            <w:tcW w:w="5242" w:type="dxa"/>
          </w:tcPr>
          <w:p>
            <w:pPr>
              <w:pStyle w:val="TableParagraph"/>
              <w:spacing w:line="266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6.3</w:t>
            </w:r>
            <w:r>
              <w:rPr>
                <w:rFonts w:ascii="Calibri"/>
                <w:b/>
                <w:color w:val="393838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Academic</w:t>
            </w:r>
            <w:r>
              <w:rPr>
                <w:rFonts w:ascii="Calibri"/>
                <w:b/>
                <w:color w:val="393838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393838"/>
                <w:sz w:val="22"/>
              </w:rPr>
              <w:t>Governance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31F20"/>
                <w:w w:val="104"/>
                <w:sz w:val="15"/>
              </w:rPr>
              <w:t></w:t>
            </w:r>
          </w:p>
        </w:tc>
      </w:tr>
      <w:tr>
        <w:trPr>
          <w:trHeight w:val="306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0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7.1</w:t>
            </w:r>
            <w:r>
              <w:rPr>
                <w:rFonts w:ascii="Calibri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Representation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4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  <w:tr>
        <w:trPr>
          <w:trHeight w:val="306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2" w:lineRule="exact" w:before="24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31F20"/>
                <w:sz w:val="22"/>
              </w:rPr>
              <w:t>7.2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Information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for</w:t>
            </w:r>
            <w:r>
              <w:rPr>
                <w:rFonts w:ascii="Calibri"/>
                <w:b/>
                <w:color w:val="231F20"/>
                <w:spacing w:val="-4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Prospective and</w:t>
            </w:r>
            <w:r>
              <w:rPr>
                <w:rFonts w:ascii="Calibri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Current</w:t>
            </w:r>
            <w:r>
              <w:rPr>
                <w:rFonts w:ascii="Calibri"/>
                <w:b/>
                <w:color w:val="231F20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231F20"/>
                <w:sz w:val="22"/>
              </w:rPr>
              <w:t>Students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8"/>
              <w:ind w:left="840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31F20"/>
                <w:w w:val="104"/>
                <w:sz w:val="15"/>
              </w:rPr>
              <w:t></w:t>
            </w:r>
          </w:p>
        </w:tc>
      </w:tr>
      <w:tr>
        <w:trPr>
          <w:trHeight w:val="311" w:hRule="atLeast"/>
        </w:trPr>
        <w:tc>
          <w:tcPr>
            <w:tcW w:w="5242" w:type="dxa"/>
            <w:shd w:val="clear" w:color="auto" w:fill="F0F1F1"/>
          </w:tcPr>
          <w:p>
            <w:pPr>
              <w:pStyle w:val="TableParagraph"/>
              <w:spacing w:line="266" w:lineRule="exact" w:before="25"/>
              <w:ind w:left="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393838"/>
                <w:sz w:val="22"/>
              </w:rPr>
              <w:t>7.3 </w:t>
            </w:r>
            <w:r>
              <w:rPr>
                <w:rFonts w:ascii="Calibri"/>
                <w:b/>
                <w:color w:val="231F20"/>
                <w:sz w:val="22"/>
              </w:rPr>
              <w:t>Information Management</w:t>
            </w:r>
          </w:p>
        </w:tc>
        <w:tc>
          <w:tcPr>
            <w:tcW w:w="2048" w:type="dxa"/>
            <w:shd w:val="clear" w:color="auto" w:fill="F0F1F1"/>
          </w:tcPr>
          <w:p>
            <w:pPr>
              <w:pStyle w:val="TableParagraph"/>
              <w:spacing w:before="29"/>
              <w:ind w:right="70"/>
              <w:jc w:val="center"/>
              <w:rPr>
                <w:rFonts w:ascii="Wingdings" w:hAnsi="Wingdings"/>
                <w:sz w:val="15"/>
              </w:rPr>
            </w:pPr>
            <w:r>
              <w:rPr>
                <w:rFonts w:ascii="Wingdings" w:hAnsi="Wingdings"/>
                <w:color w:val="262223"/>
                <w:w w:val="104"/>
                <w:sz w:val="15"/>
              </w:rPr>
              <w:t>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spacing w:before="166"/>
        <w:ind w:left="4415" w:right="5034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84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7296" id="docshapegroup207" coordorigin="1131,2438" coordsize="9643,12506">
            <v:shape style="position:absolute;left:8453;top:3332;width:1500;height:435" type="#_x0000_t75" id="docshape208" stroked="false">
              <v:imagedata r:id="rId75" o:title=""/>
            </v:shape>
            <v:shape style="position:absolute;left:1795;top:13874;width:1745;height:170" id="docshape209" coordorigin="1796,13874" coordsize="1745,170" path="m1945,14032l1943,14028,1942,14025,1933,14001,1924,13977,1898,13910,1895,13901,1895,13977,1845,13977,1870,13910,1895,13977,1895,13901,1890,13890,1886,13880,1882,13876,1859,13876,1855,13880,1851,13890,1798,14025,1797,14028,1796,14032,1796,14039,1799,14042,1819,14042,1822,14039,1824,14032,1836,14001,1904,14001,1915,14032,1917,14039,1921,14042,1942,14042,1945,14039,1945,14032xm2102,13880l2098,13876,2080,13876,2075,13880,2075,14003,2006,13890,2001,13882,1995,13876,1969,13876,1963,13881,1963,14038,1967,14042,1985,14042,1990,14038,1990,14031,1990,13913,2063,14028,2068,14037,2074,14042,2096,14042,2102,14037,2102,13880xm2240,14021l2236,14017,2229,14017,2155,14017,2231,13907,2235,13901,2238,13896,2238,13881,2234,13877,2126,13877,2122,13881,2122,13898,2126,13902,2203,13902,2128,14012,2124,14018,2120,14023,2120,14037,2125,14041,2236,14041,2240,14037,2240,14021xm2360,13996l2347,13965,2319,13948,2291,13936,2278,13918,2278,13907,2288,13899,2316,13899,2325,13902,2334,13907,2339,13909,2342,13911,2350,13911,2356,13903,2356,13893,2353,13889,2347,13885,2337,13880,2327,13877,2316,13875,2306,13874,2283,13878,2266,13887,2254,13901,2250,13920,2263,13949,2291,13965,2319,13978,2331,13997,2331,14011,2319,14020,2289,14020,2280,14015,2271,14010,2266,14006,2263,14005,2253,14005,2248,14012,2248,14023,2251,14027,2257,14031,2266,14036,2276,14040,2288,14043,2301,14044,2324,14041,2343,14031,2355,14016,2360,13996xm2536,13959l2531,13924,2515,13898,2514,13897,2507,13893,2507,13959,2503,13985,2493,14004,2476,14016,2455,14020,2433,14016,2417,14004,2406,13985,2402,13959,2406,13934,2417,13915,2433,13902,2455,13898,2476,13902,2493,13915,2503,13934,2507,13959,2507,13893,2488,13880,2455,13874,2421,13880,2395,13897,2379,13924,2373,13959,2379,13994,2395,14021,2421,14038,2455,14044,2488,14038,2514,14021,2515,14020,2531,13994,2536,13959xm2691,13960l2687,13956,2631,13956,2628,13959,2628,13976,2631,13980,2639,13980,2663,13980,2663,14014,2656,14017,2646,14019,2636,14019,2613,14015,2596,14003,2585,13984,2581,13958,2584,13933,2595,13914,2612,13903,2634,13899,2646,13899,2656,13902,2665,13906,2671,13910,2674,13912,2683,13912,2690,13905,2690,13894,2686,13890,2678,13885,2668,13881,2658,13877,2646,13875,2634,13874,2601,13880,2575,13896,2558,13923,2551,13959,2558,13995,2575,14021,2602,14037,2635,14043,2647,14042,2659,14041,2669,14038,2678,14035,2688,14031,2691,14026,2691,13960xm2747,14016l2740,14009,2719,14009,2712,14016,2712,14036,2719,14043,2730,14043,2740,14043,2747,14036,2747,14016xm2873,14021l2869,14017,2797,14017,2797,13969,2857,13969,2861,13964,2861,13948,2857,13944,2850,13944,2797,13944,2797,13902,2868,13902,2872,13898,2872,13881,2868,13877,2775,13877,2770,13882,2770,14037,2775,14041,2869,14041,2873,14037,2873,14021xm3029,13959l3023,13924,3007,13899,3005,13897,3000,13894,3000,13959,2996,13985,2984,14003,2964,14015,2937,14019,2932,14019,2926,14018,2921,14018,2921,13901,2926,13900,2932,13899,2937,13899,2964,13903,2984,13915,2996,13934,3000,13959,3000,13894,2976,13881,2937,13876,2926,13876,2913,13877,2906,13879,2892,13882,2892,14037,2906,14040,2913,14042,2926,14043,2936,14043,2975,14037,3005,14021,3006,14019,3023,13994,3029,13959xm3182,13880l3178,13876,3160,13876,3156,13880,3156,13986,3154,13993,3152,13999,3147,14008,3139,14015,3129,14019,3118,14020,3106,14019,3096,14015,3088,14008,3083,13999,3081,13993,3080,13986,3080,13880,3075,13876,3056,13876,3052,13880,3052,13991,3054,14002,3057,14011,3067,14026,3081,14037,3097,14042,3117,14044,3136,14042,3153,14036,3167,14026,3176,14011,3180,14003,3182,13993,3182,13880xm3232,14016l3225,14009,3204,14009,3197,14016,3197,14036,3204,14043,3215,14043,3225,14043,3232,14036,3232,14016xm3396,14032l3395,14028,3394,14025,3384,14001,3375,13977,3349,13910,3346,13901,3346,13977,3296,13977,3321,13910,3346,13977,3346,13901,3342,13890,3338,13880,3334,13876,3310,13876,3306,13880,3302,13890,3249,14025,3248,14028,3247,14032,3247,14039,3250,14042,3270,14042,3273,14039,3275,14032,3287,14001,3355,14001,3366,14032,3369,14039,3372,14042,3393,14042,3396,14039,3396,14032xm3540,13880l3536,13876,3518,13876,3513,13880,3513,13986,3512,13993,3510,13999,3505,14008,3497,14015,3487,14019,3475,14020,3464,14019,3454,14015,3446,14008,3441,13999,3439,13993,3438,13986,3438,13880,3433,13876,3414,13876,3410,13880,3410,13991,3411,14002,3415,14011,3425,14026,3439,14037,3455,14042,3475,14044,3494,14042,3511,14036,3525,14026,3534,14011,3538,14003,3540,13993,3540,13880xe" filled="true" fillcolor="#231f20" stroked="false">
              <v:path arrowok="t"/>
              <v:fill type="solid"/>
            </v:shape>
            <v:rect style="position:absolute;left:1133;top:2440;width:9638;height:12501" id="docshape210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2"/>
        <w:spacing w:before="259"/>
        <w:ind w:left="1335"/>
      </w:pPr>
      <w:bookmarkStart w:name="_TOC_250029" w:id="23"/>
      <w:r>
        <w:rPr>
          <w:color w:val="393838"/>
        </w:rPr>
        <w:t>Student</w:t>
      </w:r>
      <w:r>
        <w:rPr>
          <w:color w:val="393838"/>
          <w:spacing w:val="-7"/>
        </w:rPr>
        <w:t> </w:t>
      </w:r>
      <w:r>
        <w:rPr>
          <w:color w:val="393838"/>
        </w:rPr>
        <w:t>Participation</w:t>
      </w:r>
      <w:r>
        <w:rPr>
          <w:color w:val="393838"/>
          <w:spacing w:val="-7"/>
        </w:rPr>
        <w:t> </w:t>
      </w:r>
      <w:r>
        <w:rPr>
          <w:color w:val="393838"/>
        </w:rPr>
        <w:t>and</w:t>
      </w:r>
      <w:r>
        <w:rPr>
          <w:color w:val="393838"/>
          <w:spacing w:val="-9"/>
        </w:rPr>
        <w:t> </w:t>
      </w:r>
      <w:bookmarkEnd w:id="23"/>
      <w:r>
        <w:rPr>
          <w:color w:val="393838"/>
        </w:rPr>
        <w:t>Attainment</w:t>
      </w:r>
    </w:p>
    <w:p>
      <w:pPr>
        <w:pStyle w:val="Heading3"/>
        <w:spacing w:before="41"/>
        <w:ind w:left="1335"/>
        <w:rPr>
          <w:rFonts w:ascii="Calibri"/>
        </w:rPr>
      </w:pPr>
      <w:bookmarkStart w:name="_TOC_250028" w:id="24"/>
      <w:r>
        <w:rPr>
          <w:rFonts w:ascii="Calibri"/>
          <w:color w:val="393838"/>
        </w:rPr>
        <w:t>Admission</w:t>
      </w:r>
      <w:r>
        <w:rPr>
          <w:rFonts w:ascii="Calibri"/>
          <w:color w:val="393838"/>
          <w:spacing w:val="5"/>
        </w:rPr>
        <w:t> </w:t>
      </w:r>
      <w:bookmarkEnd w:id="24"/>
      <w:r>
        <w:rPr>
          <w:rFonts w:ascii="Calibri"/>
          <w:color w:val="393838"/>
        </w:rPr>
        <w:t>(1.1)</w:t>
      </w:r>
    </w:p>
    <w:p>
      <w:pPr>
        <w:spacing w:before="129"/>
        <w:ind w:left="1335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Admission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students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to 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EMPA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involves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screening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at three levels:</w:t>
      </w:r>
    </w:p>
    <w:p>
      <w:pPr>
        <w:spacing w:line="268" w:lineRule="auto" w:before="42"/>
        <w:ind w:left="1335" w:right="5815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1.</w:t>
      </w:r>
      <w:r>
        <w:rPr>
          <w:rFonts w:ascii="Calibri"/>
          <w:color w:val="393838"/>
          <w:spacing w:val="9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sponsoring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public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service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agency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2.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ANZSOG</w:t>
      </w:r>
    </w:p>
    <w:p>
      <w:pPr>
        <w:spacing w:before="5"/>
        <w:ind w:left="1335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3.</w:t>
      </w:r>
      <w:r>
        <w:rPr>
          <w:rFonts w:ascii="Calibri"/>
          <w:color w:val="393838"/>
          <w:spacing w:val="9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relevant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partner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university.</w:t>
      </w:r>
    </w:p>
    <w:p>
      <w:pPr>
        <w:spacing w:line="268" w:lineRule="auto" w:before="133"/>
        <w:ind w:left="1335" w:right="2358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Prospective students are nominated by their public service department or agency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agencies are likely to sponsor individuals marked out as having higher potential.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layers of assessment by both ANZSOG and the university add further security from an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academic perspective, and there seems to be a very low risk that unsuitable applicants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would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make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through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multi-layered process.</w:t>
      </w:r>
    </w:p>
    <w:p>
      <w:pPr>
        <w:spacing w:line="266" w:lineRule="auto" w:before="99"/>
        <w:ind w:left="1335" w:right="217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ANZSOG’s requirements for admission are set out in its </w:t>
      </w:r>
      <w:r>
        <w:rPr>
          <w:rFonts w:ascii="Calibri" w:hAnsi="Calibri"/>
          <w:i/>
          <w:color w:val="393838"/>
          <w:sz w:val="22"/>
        </w:rPr>
        <w:t>Admission Policy </w:t>
      </w:r>
      <w:r>
        <w:rPr>
          <w:rFonts w:ascii="Calibri" w:hAnsi="Calibri"/>
          <w:color w:val="393838"/>
          <w:sz w:val="22"/>
        </w:rPr>
        <w:t>and are very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straightforward – essentially applicants should have a Level 7 degree, with a minimum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five year’s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work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experience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in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the public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sector.</w:t>
      </w:r>
    </w:p>
    <w:p>
      <w:pPr>
        <w:spacing w:before="106"/>
        <w:ind w:left="1335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However,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#3.4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the policy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allows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alternative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pathways:</w:t>
      </w:r>
    </w:p>
    <w:p>
      <w:pPr>
        <w:spacing w:line="266" w:lineRule="auto" w:before="133"/>
        <w:ind w:left="1335" w:right="2104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ANZSOG is supportive of alternative entry pathways for admission and mechanisms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facilitate entry of applicants into the EMPA program without a minimum AQF/NZQF Level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7 qualification. Such arrangements must be agreed between the government agency in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conjunction with the conferring university. Prospective students seeking alternate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pathway entry into the EMPA program without a minimum AQF/NZQF Level 7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qualification are advised to discuss options with their sponsoring agency and preferred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part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 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admission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process.</w:t>
      </w:r>
    </w:p>
    <w:p>
      <w:pPr>
        <w:spacing w:line="266" w:lineRule="auto" w:before="111"/>
        <w:ind w:left="1335" w:right="205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Agreement has been reached with Monash University for applicants without an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undergraduate</w:t>
      </w:r>
      <w:r>
        <w:rPr>
          <w:rFonts w:ascii="Calibri" w:hAnsi="Calibri"/>
          <w:color w:val="393838"/>
          <w:spacing w:val="7"/>
          <w:sz w:val="22"/>
        </w:rPr>
        <w:t> </w:t>
      </w:r>
      <w:r>
        <w:rPr>
          <w:rFonts w:ascii="Calibri" w:hAnsi="Calibri"/>
          <w:color w:val="393838"/>
          <w:sz w:val="22"/>
        </w:rPr>
        <w:t>qualification</w:t>
      </w:r>
      <w:r>
        <w:rPr>
          <w:rFonts w:ascii="Calibri" w:hAnsi="Calibri"/>
          <w:color w:val="393838"/>
          <w:spacing w:val="6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5"/>
          <w:sz w:val="22"/>
        </w:rPr>
        <w:t> </w:t>
      </w:r>
      <w:r>
        <w:rPr>
          <w:rFonts w:ascii="Calibri" w:hAnsi="Calibri"/>
          <w:color w:val="393838"/>
          <w:sz w:val="22"/>
        </w:rPr>
        <w:t>enter</w:t>
      </w:r>
      <w:r>
        <w:rPr>
          <w:rFonts w:ascii="Calibri" w:hAnsi="Calibri"/>
          <w:color w:val="393838"/>
          <w:spacing w:val="6"/>
          <w:sz w:val="22"/>
        </w:rPr>
        <w:t> </w:t>
      </w:r>
      <w:r>
        <w:rPr>
          <w:rFonts w:ascii="Calibri" w:hAnsi="Calibri"/>
          <w:color w:val="393838"/>
          <w:sz w:val="22"/>
        </w:rPr>
        <w:t>that</w:t>
      </w:r>
      <w:r>
        <w:rPr>
          <w:rFonts w:ascii="Calibri" w:hAnsi="Calibri"/>
          <w:color w:val="393838"/>
          <w:spacing w:val="8"/>
          <w:sz w:val="22"/>
        </w:rPr>
        <w:t> </w:t>
      </w:r>
      <w:r>
        <w:rPr>
          <w:rFonts w:ascii="Calibri" w:hAnsi="Calibri"/>
          <w:color w:val="393838"/>
          <w:sz w:val="22"/>
        </w:rPr>
        <w:t>university’s</w:t>
      </w:r>
      <w:r>
        <w:rPr>
          <w:rFonts w:ascii="Calibri" w:hAnsi="Calibri"/>
          <w:color w:val="393838"/>
          <w:spacing w:val="7"/>
          <w:sz w:val="22"/>
        </w:rPr>
        <w:t> </w:t>
      </w:r>
      <w:r>
        <w:rPr>
          <w:rFonts w:ascii="Calibri" w:hAnsi="Calibri"/>
          <w:color w:val="393838"/>
          <w:sz w:val="22"/>
        </w:rPr>
        <w:t>Graduate</w:t>
      </w:r>
      <w:r>
        <w:rPr>
          <w:rFonts w:ascii="Calibri" w:hAnsi="Calibri"/>
          <w:color w:val="393838"/>
          <w:spacing w:val="5"/>
          <w:sz w:val="22"/>
        </w:rPr>
        <w:t> </w:t>
      </w:r>
      <w:r>
        <w:rPr>
          <w:rFonts w:ascii="Calibri" w:hAnsi="Calibri"/>
          <w:color w:val="393838"/>
          <w:sz w:val="22"/>
        </w:rPr>
        <w:t>Certificate</w:t>
      </w:r>
      <w:r>
        <w:rPr>
          <w:rFonts w:ascii="Calibri" w:hAnsi="Calibri"/>
          <w:color w:val="393838"/>
          <w:spacing w:val="7"/>
          <w:sz w:val="22"/>
        </w:rPr>
        <w:t> </w:t>
      </w:r>
      <w:r>
        <w:rPr>
          <w:rFonts w:ascii="Calibri" w:hAnsi="Calibri"/>
          <w:color w:val="393838"/>
          <w:sz w:val="22"/>
        </w:rPr>
        <w:t>in</w:t>
      </w:r>
      <w:r>
        <w:rPr>
          <w:rFonts w:ascii="Calibri" w:hAnsi="Calibri"/>
          <w:color w:val="393838"/>
          <w:spacing w:val="7"/>
          <w:sz w:val="22"/>
        </w:rPr>
        <w:t> </w:t>
      </w:r>
      <w:r>
        <w:rPr>
          <w:rFonts w:ascii="Calibri" w:hAnsi="Calibri"/>
          <w:color w:val="393838"/>
          <w:sz w:val="22"/>
        </w:rPr>
        <w:t>Public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Policy, and on successful completion to enter the EMPA with credit granted for successful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completion of four units in the Graduate Certificate. This will enable applicants to gain the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academic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skills</w:t>
      </w:r>
      <w:r>
        <w:rPr>
          <w:rFonts w:ascii="Calibri" w:hAnsi="Calibri"/>
          <w:color w:val="393838"/>
          <w:spacing w:val="5"/>
          <w:sz w:val="22"/>
        </w:rPr>
        <w:t> </w:t>
      </w:r>
      <w:r>
        <w:rPr>
          <w:rFonts w:ascii="Calibri" w:hAnsi="Calibri"/>
          <w:color w:val="393838"/>
          <w:sz w:val="22"/>
        </w:rPr>
        <w:t>necessary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for</w:t>
      </w:r>
      <w:r>
        <w:rPr>
          <w:rFonts w:ascii="Calibri" w:hAnsi="Calibri"/>
          <w:color w:val="393838"/>
          <w:spacing w:val="6"/>
          <w:sz w:val="22"/>
        </w:rPr>
        <w:t> </w:t>
      </w:r>
      <w:r>
        <w:rPr>
          <w:rFonts w:ascii="Calibri" w:hAnsi="Calibri"/>
          <w:color w:val="393838"/>
          <w:sz w:val="22"/>
        </w:rPr>
        <w:t>entry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5"/>
          <w:sz w:val="22"/>
        </w:rPr>
        <w:t> </w:t>
      </w:r>
      <w:r>
        <w:rPr>
          <w:rFonts w:ascii="Calibri" w:hAnsi="Calibri"/>
          <w:color w:val="393838"/>
          <w:sz w:val="22"/>
        </w:rPr>
        <w:t>EMPA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without</w:t>
      </w:r>
      <w:r>
        <w:rPr>
          <w:rFonts w:ascii="Calibri" w:hAnsi="Calibri"/>
          <w:color w:val="393838"/>
          <w:spacing w:val="5"/>
          <w:sz w:val="22"/>
        </w:rPr>
        <w:t> </w:t>
      </w:r>
      <w:r>
        <w:rPr>
          <w:rFonts w:ascii="Calibri" w:hAnsi="Calibri"/>
          <w:color w:val="393838"/>
          <w:sz w:val="22"/>
        </w:rPr>
        <w:t>compromising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5"/>
          <w:sz w:val="22"/>
        </w:rPr>
        <w:t> </w:t>
      </w:r>
      <w:r>
        <w:rPr>
          <w:rFonts w:ascii="Calibri" w:hAnsi="Calibri"/>
          <w:color w:val="393838"/>
          <w:sz w:val="22"/>
        </w:rPr>
        <w:t>integrity of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EMPA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course.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56"/>
        <w:ind w:left="4415" w:right="5034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85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6784" id="docshapegroup211" coordorigin="1131,2438" coordsize="9643,12506">
            <v:shape style="position:absolute;left:8364;top:2765;width:1500;height:435" type="#_x0000_t75" id="docshape212" stroked="false">
              <v:imagedata r:id="rId75" o:title=""/>
            </v:shape>
            <v:shape style="position:absolute;left:2040;top:9755;width:7871;height:4629" id="docshape213" coordorigin="2041,9756" coordsize="7871,4629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10937l2041,10937,2041,10949,9912,10949,9912,10937xm9912,9756l2041,9756,2041,9767,9912,9767,9912,9756xe" filled="true" fillcolor="#231f20" stroked="false">
              <v:path arrowok="t"/>
              <v:fill type="solid"/>
            </v:shape>
            <v:rect style="position:absolute;left:1133;top:2440;width:9638;height:12501" id="docshape214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20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In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ANZSOG’s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i/>
          <w:color w:val="393838"/>
          <w:sz w:val="22"/>
        </w:rPr>
        <w:t>EMPA</w:t>
      </w:r>
      <w:r>
        <w:rPr>
          <w:rFonts w:ascii="Calibri" w:hAnsi="Calibri"/>
          <w:i/>
          <w:color w:val="393838"/>
          <w:spacing w:val="-2"/>
          <w:sz w:val="22"/>
        </w:rPr>
        <w:t> </w:t>
      </w:r>
      <w:r>
        <w:rPr>
          <w:rFonts w:ascii="Calibri" w:hAnsi="Calibri"/>
          <w:i/>
          <w:color w:val="393838"/>
          <w:sz w:val="22"/>
        </w:rPr>
        <w:t>2020</w:t>
      </w:r>
      <w:r>
        <w:rPr>
          <w:rFonts w:ascii="Calibri" w:hAnsi="Calibri"/>
          <w:i/>
          <w:color w:val="393838"/>
          <w:spacing w:val="-1"/>
          <w:sz w:val="22"/>
        </w:rPr>
        <w:t> </w:t>
      </w:r>
      <w:r>
        <w:rPr>
          <w:rFonts w:ascii="Calibri" w:hAnsi="Calibri"/>
          <w:i/>
          <w:color w:val="393838"/>
          <w:sz w:val="22"/>
        </w:rPr>
        <w:t>Annual Academic</w:t>
      </w:r>
      <w:r>
        <w:rPr>
          <w:rFonts w:ascii="Calibri" w:hAnsi="Calibri"/>
          <w:i/>
          <w:color w:val="393838"/>
          <w:spacing w:val="-1"/>
          <w:sz w:val="22"/>
        </w:rPr>
        <w:t> </w:t>
      </w:r>
      <w:r>
        <w:rPr>
          <w:rFonts w:ascii="Calibri" w:hAnsi="Calibri"/>
          <w:i/>
          <w:color w:val="393838"/>
          <w:sz w:val="22"/>
        </w:rPr>
        <w:t>Governance</w:t>
      </w:r>
      <w:r>
        <w:rPr>
          <w:rFonts w:ascii="Calibri" w:hAnsi="Calibri"/>
          <w:i/>
          <w:color w:val="393838"/>
          <w:spacing w:val="2"/>
          <w:sz w:val="22"/>
        </w:rPr>
        <w:t> </w:t>
      </w:r>
      <w:r>
        <w:rPr>
          <w:rFonts w:ascii="Calibri" w:hAnsi="Calibri"/>
          <w:i/>
          <w:color w:val="393838"/>
          <w:sz w:val="22"/>
        </w:rPr>
        <w:t>Report</w:t>
      </w:r>
      <w:r>
        <w:rPr>
          <w:rFonts w:ascii="Calibri" w:hAnsi="Calibri"/>
          <w:i/>
          <w:color w:val="393838"/>
          <w:spacing w:val="8"/>
          <w:sz w:val="22"/>
        </w:rPr>
        <w:t> </w:t>
      </w:r>
      <w:r>
        <w:rPr>
          <w:rFonts w:ascii="Calibri" w:hAnsi="Calibri"/>
          <w:color w:val="393838"/>
          <w:sz w:val="22"/>
        </w:rPr>
        <w:t>there is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table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showing the highest qualification of all applicants admitted from 2016. In this, we can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see that 12 applicants with qualifications lower than Level 7 were admitted in 2019,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out of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total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of 111,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so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approximately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10%.</w:t>
      </w:r>
    </w:p>
    <w:p>
      <w:pPr>
        <w:spacing w:line="266" w:lineRule="auto" w:before="107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In response to a request for further information about these applicants, ANZSOG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explained:</w:t>
      </w:r>
    </w:p>
    <w:p>
      <w:pPr>
        <w:spacing w:line="266" w:lineRule="auto" w:before="10"/>
        <w:ind w:left="1579" w:right="224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ANZSOG has end to end oversight of the process regardless of who coordinates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admission applications, which includes ongoing communication with all agencies,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students, and conferring university. The conferring university has the final say about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who enters the EMPA at its university, which is consistent with its specific admissions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policy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procedures.</w:t>
      </w:r>
    </w:p>
    <w:p>
      <w:pPr>
        <w:spacing w:line="268" w:lineRule="auto" w:before="108"/>
        <w:ind w:left="1579" w:right="2241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combined oversight of the admission of students who do not have Level 7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qualifications that is exercised by ANZSOG, the sponsoring government departments,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and the conferring universities is more than enough to ensure that applicants are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well-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positioned to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undertake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course.</w:t>
      </w:r>
    </w:p>
    <w:p>
      <w:pPr>
        <w:spacing w:line="266" w:lineRule="auto" w:before="101"/>
        <w:ind w:left="1579" w:right="2419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For the purposes of quality assurance and the oversight of student progression, it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would be desirable to separate these students (and the Monash pathway students)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out as a student cohort for the purposes of HESF 1.3.5, and monitor their rates of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retention, progression and completion of the course to identify whether they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progress at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same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rate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as students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generally.</w:t>
      </w:r>
    </w:p>
    <w:p>
      <w:pPr>
        <w:pStyle w:val="BodyText"/>
        <w:spacing w:before="8"/>
        <w:rPr>
          <w:rFonts w:ascii="Calibri"/>
          <w:sz w:val="23"/>
        </w:rPr>
      </w:pPr>
    </w:p>
    <w:p>
      <w:pPr>
        <w:spacing w:line="266" w:lineRule="auto" w:before="0"/>
        <w:ind w:left="1579" w:right="2267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1</w:t>
      </w:r>
      <w:r>
        <w:rPr>
          <w:rFonts w:ascii="Calibri"/>
          <w:color w:val="393838"/>
          <w:sz w:val="22"/>
        </w:rPr>
        <w:t>: Monitor the retention, progression and completion rates of any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students admitted through the alternative pathway without a minimum AQF/NZQF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Level 7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qualification.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22"/>
        </w:rPr>
      </w:pPr>
    </w:p>
    <w:p>
      <w:pPr>
        <w:spacing w:line="268" w:lineRule="auto" w:before="1"/>
        <w:ind w:left="1579" w:right="2253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HESF 1.1.2 requires that students be given specified information prior to enrolment.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This information is generally available from the ANZSOG website, except that it is not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clear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where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they would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find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out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about all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aspects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of:</w:t>
      </w:r>
    </w:p>
    <w:p>
      <w:pPr>
        <w:tabs>
          <w:tab w:pos="2147" w:val="left" w:leader="none"/>
        </w:tabs>
        <w:spacing w:line="271" w:lineRule="auto" w:before="15"/>
        <w:ind w:left="1579" w:right="2399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c.</w:t>
        <w:tab/>
        <w:t>policies on changes to or withdrawal from offers, acceptance and enrolment,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tuition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protection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refunds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 charges.</w:t>
      </w:r>
    </w:p>
    <w:p>
      <w:pPr>
        <w:spacing w:line="266" w:lineRule="auto" w:before="98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Withdrawal is covered in the </w:t>
      </w:r>
      <w:r>
        <w:rPr>
          <w:rFonts w:ascii="Calibri"/>
          <w:i/>
          <w:color w:val="393838"/>
          <w:sz w:val="22"/>
        </w:rPr>
        <w:t>Enrolment Policy</w:t>
      </w:r>
      <w:r>
        <w:rPr>
          <w:rFonts w:ascii="Calibri"/>
          <w:color w:val="393838"/>
          <w:sz w:val="22"/>
        </w:rPr>
        <w:t>, which sets an effective framework for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enrolment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generally,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explained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helpful FAQs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available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from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website,</w:t>
      </w: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86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6272" id="docshapegroup215" coordorigin="1131,2438" coordsize="9643,12506">
            <v:shape style="position:absolute;left:8364;top:2765;width:1500;height:435" type="#_x0000_t75" id="docshape216" stroked="false">
              <v:imagedata r:id="rId75" o:title=""/>
            </v:shape>
            <v:shape style="position:absolute;left:2040;top:5949;width:7871;height:8435" id="docshape217" coordorigin="2041,5950" coordsize="7871,8435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6827l2041,6827,2041,6838,9912,6838,9912,6827xm9912,5950l2041,5950,2041,5961,9912,5961,9912,5950xe" filled="true" fillcolor="#231f20" stroked="false">
              <v:path arrowok="t"/>
              <v:fill type="solid"/>
            </v:shape>
            <v:rect style="position:absolute;left:1133;top:2440;width:9638;height:12501" id="docshape218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75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but not tuition protection and refunds of charges: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0461C1"/>
          <w:sz w:val="22"/>
          <w:u w:val="single" w:color="0461C1"/>
        </w:rPr>
        <w:t>https://</w:t>
      </w:r>
      <w:hyperlink r:id="rId76">
        <w:r>
          <w:rPr>
            <w:rFonts w:ascii="Calibri"/>
            <w:color w:val="0461C1"/>
            <w:sz w:val="22"/>
            <w:u w:val="single" w:color="0461C1"/>
          </w:rPr>
          <w:t>www.anzsog.edu.au/education-events/masters/empa-faqs-prospective</w:t>
        </w:r>
      </w:hyperlink>
    </w:p>
    <w:p>
      <w:pPr>
        <w:spacing w:line="266" w:lineRule="auto" w:before="104"/>
        <w:ind w:left="1579" w:right="214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In response to a request for further explanation, ANZSOG pointed out that tuition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charges are rarely an issue for students, as tuition is generally paid by their sponsoring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agency. However, the principle still applies, and all information relating to tuition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charges should be available prior to enrolment regardless of who is paying. ANZSOG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committed to adding this information to the Student Portal, but this would not be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accessible prior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enrolment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required by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 Standard.</w:t>
      </w:r>
    </w:p>
    <w:p>
      <w:pPr>
        <w:pStyle w:val="BodyText"/>
        <w:spacing w:before="6"/>
        <w:rPr>
          <w:rFonts w:ascii="Calibri"/>
          <w:sz w:val="23"/>
        </w:rPr>
      </w:pPr>
    </w:p>
    <w:p>
      <w:pPr>
        <w:spacing w:line="266" w:lineRule="auto" w:before="0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2</w:t>
      </w:r>
      <w:r>
        <w:rPr>
          <w:rFonts w:ascii="Calibri"/>
          <w:color w:val="393838"/>
          <w:sz w:val="22"/>
        </w:rPr>
        <w:t>: Add information about tuition protection and refund of charges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ANZSOG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website.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pStyle w:val="Heading3"/>
        <w:spacing w:before="0"/>
        <w:ind w:left="1579"/>
        <w:rPr>
          <w:rFonts w:ascii="Calibri"/>
        </w:rPr>
      </w:pPr>
      <w:bookmarkStart w:name="_TOC_250027" w:id="25"/>
      <w:r>
        <w:rPr>
          <w:rFonts w:ascii="Calibri"/>
          <w:color w:val="393838"/>
        </w:rPr>
        <w:t>Credit</w:t>
      </w:r>
      <w:r>
        <w:rPr>
          <w:rFonts w:ascii="Calibri"/>
          <w:color w:val="393838"/>
          <w:spacing w:val="5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Recognition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of</w:t>
      </w:r>
      <w:r>
        <w:rPr>
          <w:rFonts w:ascii="Calibri"/>
          <w:color w:val="393838"/>
          <w:spacing w:val="5"/>
        </w:rPr>
        <w:t> </w:t>
      </w:r>
      <w:r>
        <w:rPr>
          <w:rFonts w:ascii="Calibri"/>
          <w:color w:val="393838"/>
        </w:rPr>
        <w:t>Prior</w:t>
      </w:r>
      <w:r>
        <w:rPr>
          <w:rFonts w:ascii="Calibri"/>
          <w:color w:val="393838"/>
          <w:spacing w:val="6"/>
        </w:rPr>
        <w:t> </w:t>
      </w:r>
      <w:r>
        <w:rPr>
          <w:rFonts w:ascii="Calibri"/>
          <w:color w:val="393838"/>
        </w:rPr>
        <w:t>Learning</w:t>
      </w:r>
      <w:r>
        <w:rPr>
          <w:rFonts w:ascii="Calibri"/>
          <w:color w:val="393838"/>
          <w:spacing w:val="7"/>
        </w:rPr>
        <w:t> </w:t>
      </w:r>
      <w:bookmarkEnd w:id="25"/>
      <w:r>
        <w:rPr>
          <w:rFonts w:ascii="Calibri"/>
          <w:color w:val="393838"/>
        </w:rPr>
        <w:t>(1.2)</w:t>
      </w:r>
    </w:p>
    <w:p>
      <w:pPr>
        <w:spacing w:before="129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Enrolment Policy</w:t>
      </w:r>
      <w:r>
        <w:rPr>
          <w:rFonts w:ascii="Calibri"/>
          <w:i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#4.6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gives very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brief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but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adequate guidance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on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credit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RPL.</w:t>
      </w:r>
    </w:p>
    <w:p>
      <w:pPr>
        <w:spacing w:line="266" w:lineRule="auto" w:before="133"/>
        <w:ind w:left="1579" w:right="234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FAQs state quite clearly that credit is not normally given, with the rationale that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the course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is designed to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be unique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different from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other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offerings.</w:t>
      </w:r>
    </w:p>
    <w:p>
      <w:pPr>
        <w:spacing w:line="268" w:lineRule="auto" w:before="105"/>
        <w:ind w:left="1579" w:right="2164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And in fact, ANZSOG confirmed that no student had been given credit in either 2019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or 2020</w:t>
      </w:r>
      <w:r>
        <w:rPr>
          <w:rFonts w:ascii="Calibri"/>
          <w:b/>
          <w:color w:val="393838"/>
          <w:sz w:val="22"/>
        </w:rPr>
        <w:t>. </w:t>
      </w:r>
      <w:r>
        <w:rPr>
          <w:rFonts w:ascii="Calibri"/>
          <w:color w:val="393838"/>
          <w:sz w:val="22"/>
        </w:rPr>
        <w:t>There is clearly no risk of students being disadvantaged by being given undue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credit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topics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they have not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 fact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learned.</w:t>
      </w:r>
    </w:p>
    <w:p>
      <w:pPr>
        <w:pStyle w:val="Heading3"/>
        <w:spacing w:before="163"/>
        <w:ind w:left="1579"/>
        <w:rPr>
          <w:rFonts w:ascii="Calibri"/>
        </w:rPr>
      </w:pPr>
      <w:bookmarkStart w:name="_TOC_250026" w:id="26"/>
      <w:r>
        <w:rPr>
          <w:rFonts w:ascii="Calibri"/>
          <w:color w:val="393838"/>
        </w:rPr>
        <w:t>Orientation</w:t>
      </w:r>
      <w:r>
        <w:rPr>
          <w:rFonts w:ascii="Calibri"/>
          <w:color w:val="393838"/>
          <w:spacing w:val="8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8"/>
        </w:rPr>
        <w:t> </w:t>
      </w:r>
      <w:r>
        <w:rPr>
          <w:rFonts w:ascii="Calibri"/>
          <w:color w:val="393838"/>
        </w:rPr>
        <w:t>Progression</w:t>
      </w:r>
      <w:r>
        <w:rPr>
          <w:rFonts w:ascii="Calibri"/>
          <w:color w:val="393838"/>
          <w:spacing w:val="9"/>
        </w:rPr>
        <w:t> </w:t>
      </w:r>
      <w:bookmarkEnd w:id="26"/>
      <w:r>
        <w:rPr>
          <w:rFonts w:ascii="Calibri"/>
          <w:color w:val="393838"/>
        </w:rPr>
        <w:t>(1.3)</w:t>
      </w:r>
    </w:p>
    <w:p>
      <w:pPr>
        <w:spacing w:before="133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According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i/>
          <w:color w:val="393838"/>
          <w:sz w:val="22"/>
        </w:rPr>
        <w:t>EMPA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2020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Annual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Academic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Governance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Report</w:t>
      </w:r>
      <w:r>
        <w:rPr>
          <w:rFonts w:ascii="Calibri"/>
          <w:color w:val="393838"/>
          <w:sz w:val="22"/>
        </w:rPr>
        <w:t>:</w:t>
      </w:r>
    </w:p>
    <w:p>
      <w:pPr>
        <w:spacing w:line="266" w:lineRule="auto" w:before="129"/>
        <w:ind w:left="1580" w:right="2174" w:hanging="1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commencement, all students are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invited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undertake a purpose-built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EMPA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Orientation and Information portal accessible through the Canvas LMS. This module is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both an orientation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 a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reference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point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students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duration of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their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studies with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ANZSOG. It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includes:</w:t>
      </w:r>
    </w:p>
    <w:p>
      <w:pPr>
        <w:pStyle w:val="ListParagraph"/>
        <w:numPr>
          <w:ilvl w:val="0"/>
          <w:numId w:val="26"/>
        </w:numPr>
        <w:tabs>
          <w:tab w:pos="3281" w:val="left" w:leader="none"/>
          <w:tab w:pos="3282" w:val="left" w:leader="none"/>
        </w:tabs>
        <w:spacing w:line="266" w:lineRule="auto" w:before="111" w:after="0"/>
        <w:ind w:left="2962" w:right="2382" w:firstLine="0"/>
        <w:jc w:val="left"/>
        <w:rPr>
          <w:sz w:val="22"/>
        </w:rPr>
      </w:pPr>
      <w:r>
        <w:rPr>
          <w:color w:val="393838"/>
          <w:sz w:val="22"/>
        </w:rPr>
        <w:t>Information about all ANZSOG core subjects and the structure of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the degree</w:t>
      </w:r>
    </w:p>
    <w:p>
      <w:pPr>
        <w:pStyle w:val="ListParagraph"/>
        <w:numPr>
          <w:ilvl w:val="0"/>
          <w:numId w:val="26"/>
        </w:numPr>
        <w:tabs>
          <w:tab w:pos="3281" w:val="left" w:leader="none"/>
          <w:tab w:pos="3282" w:val="left" w:leader="none"/>
        </w:tabs>
        <w:spacing w:line="271" w:lineRule="auto" w:before="23" w:after="0"/>
        <w:ind w:left="2961" w:right="2155" w:firstLine="0"/>
        <w:jc w:val="left"/>
        <w:rPr>
          <w:sz w:val="22"/>
        </w:rPr>
      </w:pPr>
      <w:r>
        <w:rPr>
          <w:color w:val="393838"/>
          <w:sz w:val="22"/>
        </w:rPr>
        <w:t>Information to support effective learning at ANZSOG, with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reference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to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synchronous and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asynchronous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components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education</w:t>
      </w:r>
    </w:p>
    <w:p>
      <w:pPr>
        <w:pStyle w:val="ListParagraph"/>
        <w:numPr>
          <w:ilvl w:val="0"/>
          <w:numId w:val="26"/>
        </w:numPr>
        <w:tabs>
          <w:tab w:pos="3280" w:val="left" w:leader="none"/>
          <w:tab w:pos="3281" w:val="left" w:leader="none"/>
        </w:tabs>
        <w:spacing w:line="240" w:lineRule="auto" w:before="7" w:after="0"/>
        <w:ind w:left="3280" w:right="0" w:hanging="320"/>
        <w:jc w:val="left"/>
        <w:rPr>
          <w:sz w:val="22"/>
        </w:rPr>
      </w:pPr>
      <w:r>
        <w:rPr>
          <w:color w:val="393838"/>
          <w:sz w:val="22"/>
        </w:rPr>
        <w:t>Statement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Learning Objectives aims and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graduate attributes</w:t>
      </w: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87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5760" id="docshapegroup219" coordorigin="1131,2438" coordsize="9643,12506">
            <v:shape style="position:absolute;left:8364;top:2765;width:1500;height:435" type="#_x0000_t75" id="docshape220" stroked="false">
              <v:imagedata r:id="rId75" o:title=""/>
            </v:shape>
            <v:shape style="position:absolute;left:2040;top:12152;width:7871;height:2232" id="docshape221" coordorigin="2041,12153" coordsize="7871,2232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13030l2041,13030,2041,13041,9912,13041,9912,13030xm9912,12153l2041,12153,2041,12164,9912,12164,9912,12153xe" filled="true" fillcolor="#231f20" stroked="false">
              <v:path arrowok="t"/>
              <v:fill type="solid"/>
            </v:shape>
            <v:rect style="position:absolute;left:1133;top:2440;width:9638;height:12501" id="docshape222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3281" w:val="left" w:leader="none"/>
          <w:tab w:pos="3282" w:val="left" w:leader="none"/>
        </w:tabs>
        <w:spacing w:line="259" w:lineRule="auto" w:before="91" w:after="0"/>
        <w:ind w:left="2961" w:right="3092" w:firstLine="0"/>
        <w:jc w:val="left"/>
        <w:rPr>
          <w:sz w:val="22"/>
        </w:rPr>
      </w:pPr>
      <w:r>
        <w:rPr>
          <w:color w:val="393838"/>
          <w:sz w:val="22"/>
        </w:rPr>
        <w:t>A statement on Academic Integrity with reference to the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associated policy</w:t>
      </w:r>
    </w:p>
    <w:p>
      <w:pPr>
        <w:pStyle w:val="ListParagraph"/>
        <w:numPr>
          <w:ilvl w:val="0"/>
          <w:numId w:val="26"/>
        </w:numPr>
        <w:tabs>
          <w:tab w:pos="3280" w:val="left" w:leader="none"/>
          <w:tab w:pos="3281" w:val="left" w:leader="none"/>
        </w:tabs>
        <w:spacing w:line="259" w:lineRule="auto" w:before="6" w:after="0"/>
        <w:ind w:left="2961" w:right="2416" w:firstLine="0"/>
        <w:jc w:val="left"/>
        <w:rPr>
          <w:sz w:val="22"/>
        </w:rPr>
      </w:pPr>
      <w:r>
        <w:rPr>
          <w:color w:val="393838"/>
          <w:sz w:val="22"/>
        </w:rPr>
        <w:t>All EMPA related policies relevant to students, including Code of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Conduct.</w:t>
      </w:r>
    </w:p>
    <w:p>
      <w:pPr>
        <w:pStyle w:val="ListParagraph"/>
        <w:numPr>
          <w:ilvl w:val="0"/>
          <w:numId w:val="26"/>
        </w:numPr>
        <w:tabs>
          <w:tab w:pos="3280" w:val="left" w:leader="none"/>
          <w:tab w:pos="3281" w:val="left" w:leader="none"/>
        </w:tabs>
        <w:spacing w:line="266" w:lineRule="auto" w:before="3" w:after="0"/>
        <w:ind w:left="2961" w:right="2539" w:firstLine="0"/>
        <w:jc w:val="left"/>
        <w:rPr>
          <w:sz w:val="22"/>
        </w:rPr>
      </w:pPr>
      <w:r>
        <w:rPr>
          <w:color w:val="393838"/>
          <w:sz w:val="22"/>
        </w:rPr>
        <w:t>A ‘how-to’ module for using and navigating the LMS and use of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Turnitin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for</w:t>
      </w:r>
      <w:r>
        <w:rPr>
          <w:color w:val="393838"/>
          <w:spacing w:val="2"/>
          <w:sz w:val="22"/>
        </w:rPr>
        <w:t> </w:t>
      </w:r>
      <w:r>
        <w:rPr>
          <w:color w:val="393838"/>
          <w:sz w:val="22"/>
        </w:rPr>
        <w:t>assessment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submission.</w:t>
      </w:r>
    </w:p>
    <w:p>
      <w:pPr>
        <w:pStyle w:val="ListParagraph"/>
        <w:numPr>
          <w:ilvl w:val="0"/>
          <w:numId w:val="26"/>
        </w:numPr>
        <w:tabs>
          <w:tab w:pos="3280" w:val="left" w:leader="none"/>
          <w:tab w:pos="3281" w:val="left" w:leader="none"/>
        </w:tabs>
        <w:spacing w:line="266" w:lineRule="auto" w:before="18" w:after="0"/>
        <w:ind w:left="2960" w:right="2498" w:firstLine="0"/>
        <w:jc w:val="left"/>
        <w:rPr>
          <w:sz w:val="22"/>
        </w:rPr>
      </w:pPr>
      <w:r>
        <w:rPr>
          <w:color w:val="393838"/>
          <w:sz w:val="22"/>
        </w:rPr>
        <w:t>Information about technology requirements for completing the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EMPA.</w:t>
      </w:r>
    </w:p>
    <w:p>
      <w:pPr>
        <w:spacing w:line="266" w:lineRule="auto" w:before="85"/>
        <w:ind w:left="1578" w:right="219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After commencing the program, student progress needs to be monitored in such a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way that the School can implement early intervention in the event that individual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students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start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struggle,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place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students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‘at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risk’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not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progressing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if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necessary.</w:t>
      </w:r>
    </w:p>
    <w:p>
      <w:pPr>
        <w:spacing w:line="266" w:lineRule="auto" w:before="106"/>
        <w:ind w:left="1578" w:right="2161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</w:t>
      </w:r>
      <w:r>
        <w:rPr>
          <w:rFonts w:ascii="Calibri"/>
          <w:i/>
          <w:color w:val="393838"/>
          <w:sz w:val="22"/>
        </w:rPr>
        <w:t>Orientation and Progression Policy </w:t>
      </w:r>
      <w:r>
        <w:rPr>
          <w:rFonts w:ascii="Calibri"/>
          <w:color w:val="393838"/>
          <w:sz w:val="22"/>
        </w:rPr>
        <w:t>4.2 v does not include specific criteria for what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would constitute unsatisfactory progress. Normally there would be a progressive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series of checkpoints (starting with the initial assessment) that would lead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interventions and eventually suspension from the program in the event that a student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was repeatedly failing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subjects,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example.</w:t>
      </w:r>
    </w:p>
    <w:p>
      <w:pPr>
        <w:spacing w:line="266" w:lineRule="auto" w:before="108"/>
        <w:ind w:left="1578" w:right="287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Some of this information is given in the FAQs available on the website and the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brochure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for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prospective students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in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a paragraph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with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the title ‘Failure’:</w:t>
      </w:r>
    </w:p>
    <w:p>
      <w:pPr>
        <w:spacing w:line="266" w:lineRule="auto" w:before="105"/>
        <w:ind w:left="1578" w:right="2164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If a student fails one subject in the EMPA program, that subject can be repeated.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However, the student will be invoiced for the cost of the repeated subject. A student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who fails a second time or a second subject will be asked to show cause to ANZSOG as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why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they should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not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excluded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from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program.</w:t>
      </w:r>
    </w:p>
    <w:p>
      <w:pPr>
        <w:spacing w:line="266" w:lineRule="auto" w:before="107"/>
        <w:ind w:left="1578" w:right="199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In response to a request for further information, ANZSOG explained that due to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small number of students, monitoring of student progress has been undertaken on a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‘bespoke’ or case-by-case basis, but committed to developing a more formal process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that would include progressive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steps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of intervention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support.</w:t>
      </w:r>
    </w:p>
    <w:p>
      <w:pPr>
        <w:pStyle w:val="BodyText"/>
        <w:spacing w:before="8"/>
        <w:rPr>
          <w:rFonts w:ascii="Calibri"/>
          <w:sz w:val="23"/>
        </w:rPr>
      </w:pPr>
    </w:p>
    <w:p>
      <w:pPr>
        <w:spacing w:line="266" w:lineRule="auto" w:before="0"/>
        <w:ind w:left="1578" w:right="2871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3</w:t>
      </w:r>
      <w:r>
        <w:rPr>
          <w:rFonts w:ascii="Calibri"/>
          <w:color w:val="393838"/>
          <w:sz w:val="22"/>
        </w:rPr>
        <w:t>: Develop a formal student progress policy and procedure,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including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progressive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steps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intervention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support.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88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5248" id="docshapegroup223" coordorigin="1131,2438" coordsize="9643,12506">
            <v:shape style="position:absolute;left:8364;top:2765;width:1500;height:435" type="#_x0000_t75" id="docshape224" stroked="false">
              <v:imagedata r:id="rId75" o:title=""/>
            </v:shape>
            <v:shape style="position:absolute;left:2041;top:14214;width:1745;height:170" id="docshape225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26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3"/>
        <w:spacing w:before="184"/>
        <w:ind w:left="1579"/>
        <w:rPr>
          <w:rFonts w:ascii="Calibri"/>
        </w:rPr>
      </w:pPr>
      <w:bookmarkStart w:name="_TOC_250025" w:id="27"/>
      <w:r>
        <w:rPr>
          <w:rFonts w:ascii="Calibri"/>
          <w:color w:val="393838"/>
        </w:rPr>
        <w:t>Learning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Outcomes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Assessment</w:t>
      </w:r>
      <w:r>
        <w:rPr>
          <w:rFonts w:ascii="Calibri"/>
          <w:color w:val="393838"/>
          <w:spacing w:val="8"/>
        </w:rPr>
        <w:t> </w:t>
      </w:r>
      <w:bookmarkEnd w:id="27"/>
      <w:r>
        <w:rPr>
          <w:rFonts w:ascii="Calibri"/>
          <w:color w:val="393838"/>
        </w:rPr>
        <w:t>(1.4)</w:t>
      </w:r>
    </w:p>
    <w:p>
      <w:pPr>
        <w:spacing w:line="285" w:lineRule="auto" w:before="129"/>
        <w:ind w:left="1579" w:right="2161" w:firstLine="0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Standards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Framework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was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deliberately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designed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give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prominence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setting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and assessing of learning outcomes for courses. The essential question posed by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Framework is: are students progressively achieving appropriate learning outcomes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that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have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been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set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at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the</w:t>
      </w:r>
      <w:r>
        <w:rPr>
          <w:rFonts w:ascii="Calibri"/>
          <w:color w:val="393838"/>
          <w:spacing w:val="-14"/>
          <w:sz w:val="22"/>
        </w:rPr>
        <w:t> </w:t>
      </w:r>
      <w:r>
        <w:rPr>
          <w:rFonts w:ascii="Calibri"/>
          <w:color w:val="393838"/>
          <w:sz w:val="22"/>
        </w:rPr>
        <w:t>right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level,</w:t>
      </w:r>
      <w:r>
        <w:rPr>
          <w:rFonts w:ascii="Calibri"/>
          <w:color w:val="393838"/>
          <w:spacing w:val="-15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z w:val="22"/>
        </w:rPr>
        <w:t>are</w:t>
      </w:r>
      <w:r>
        <w:rPr>
          <w:rFonts w:ascii="Calibri"/>
          <w:color w:val="393838"/>
          <w:spacing w:val="-14"/>
          <w:sz w:val="22"/>
        </w:rPr>
        <w:t> </w:t>
      </w:r>
      <w:r>
        <w:rPr>
          <w:rFonts w:ascii="Calibri"/>
          <w:color w:val="393838"/>
          <w:sz w:val="22"/>
        </w:rPr>
        <w:t>all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supporting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z w:val="22"/>
        </w:rPr>
        <w:t>processes</w:t>
      </w:r>
      <w:r>
        <w:rPr>
          <w:rFonts w:ascii="Calibri"/>
          <w:color w:val="393838"/>
          <w:spacing w:val="-13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z w:val="22"/>
        </w:rPr>
        <w:t>structures</w:t>
      </w:r>
      <w:r>
        <w:rPr>
          <w:rFonts w:ascii="Calibri"/>
          <w:color w:val="393838"/>
          <w:spacing w:val="-48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place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support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this?</w:t>
      </w:r>
    </w:p>
    <w:p>
      <w:pPr>
        <w:spacing w:line="266" w:lineRule="auto" w:before="88"/>
        <w:ind w:left="1579" w:right="234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</w:t>
      </w:r>
      <w:r>
        <w:rPr>
          <w:rFonts w:ascii="Calibri" w:hAnsi="Calibri"/>
          <w:i/>
          <w:color w:val="393838"/>
          <w:sz w:val="22"/>
        </w:rPr>
        <w:t>EMPA 2020 Annual Academic Governance Report </w:t>
      </w:r>
      <w:r>
        <w:rPr>
          <w:rFonts w:ascii="Calibri" w:hAnsi="Calibri"/>
          <w:color w:val="393838"/>
          <w:sz w:val="22"/>
        </w:rPr>
        <w:t>includes the program learning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outcomes and the unit learning outcomes, as well as a table mapping these against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each other (#5.1.6). There is an appropriate mix of learning outcomes of different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types, including generic graduate attributes. A further table outlines a range of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assessment types that are used overall, including portfolios, reports, presentations,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self-reflections and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‘knowledge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checks’.</w:t>
      </w:r>
    </w:p>
    <w:p>
      <w:pPr>
        <w:spacing w:line="288" w:lineRule="auto" w:before="109"/>
        <w:ind w:left="1579" w:right="199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Although</w:t>
      </w:r>
      <w:r>
        <w:rPr>
          <w:rFonts w:ascii="Calibri" w:hAnsi="Calibri"/>
          <w:color w:val="393838"/>
          <w:spacing w:val="-10"/>
          <w:sz w:val="22"/>
        </w:rPr>
        <w:t> </w:t>
      </w:r>
      <w:r>
        <w:rPr>
          <w:rFonts w:ascii="Calibri" w:hAnsi="Calibri"/>
          <w:color w:val="393838"/>
          <w:sz w:val="22"/>
        </w:rPr>
        <w:t>evaluating</w:t>
      </w:r>
      <w:r>
        <w:rPr>
          <w:rFonts w:ascii="Calibri" w:hAnsi="Calibri"/>
          <w:color w:val="393838"/>
          <w:spacing w:val="-8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course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is</w:t>
      </w:r>
      <w:r>
        <w:rPr>
          <w:rFonts w:ascii="Calibri" w:hAnsi="Calibri"/>
          <w:color w:val="393838"/>
          <w:spacing w:val="-7"/>
          <w:sz w:val="22"/>
        </w:rPr>
        <w:t> </w:t>
      </w:r>
      <w:r>
        <w:rPr>
          <w:rFonts w:ascii="Calibri" w:hAnsi="Calibri"/>
          <w:color w:val="393838"/>
          <w:sz w:val="22"/>
        </w:rPr>
        <w:t>beyond</w:t>
      </w:r>
      <w:r>
        <w:rPr>
          <w:rFonts w:ascii="Calibri" w:hAnsi="Calibri"/>
          <w:color w:val="393838"/>
          <w:spacing w:val="-9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-7"/>
          <w:sz w:val="22"/>
        </w:rPr>
        <w:t> </w:t>
      </w:r>
      <w:r>
        <w:rPr>
          <w:rFonts w:ascii="Calibri" w:hAnsi="Calibri"/>
          <w:color w:val="393838"/>
          <w:sz w:val="22"/>
        </w:rPr>
        <w:t>scope</w:t>
      </w:r>
      <w:r>
        <w:rPr>
          <w:rFonts w:ascii="Calibri" w:hAnsi="Calibri"/>
          <w:color w:val="393838"/>
          <w:spacing w:val="-10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8"/>
          <w:sz w:val="22"/>
        </w:rPr>
        <w:t> </w:t>
      </w:r>
      <w:r>
        <w:rPr>
          <w:rFonts w:ascii="Calibri" w:hAnsi="Calibri"/>
          <w:color w:val="393838"/>
          <w:sz w:val="22"/>
        </w:rPr>
        <w:t>this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report,</w:t>
      </w:r>
      <w:r>
        <w:rPr>
          <w:rFonts w:ascii="Calibri" w:hAnsi="Calibri"/>
          <w:color w:val="393838"/>
          <w:spacing w:val="-12"/>
          <w:sz w:val="22"/>
        </w:rPr>
        <w:t> </w:t>
      </w:r>
      <w:r>
        <w:rPr>
          <w:rFonts w:ascii="Calibri" w:hAnsi="Calibri"/>
          <w:color w:val="393838"/>
          <w:sz w:val="22"/>
        </w:rPr>
        <w:t>there</w:t>
      </w:r>
      <w:r>
        <w:rPr>
          <w:rFonts w:ascii="Calibri" w:hAnsi="Calibri"/>
          <w:color w:val="393838"/>
          <w:spacing w:val="-10"/>
          <w:sz w:val="22"/>
        </w:rPr>
        <w:t> </w:t>
      </w:r>
      <w:r>
        <w:rPr>
          <w:rFonts w:ascii="Calibri" w:hAnsi="Calibri"/>
          <w:color w:val="393838"/>
          <w:sz w:val="22"/>
        </w:rPr>
        <w:t>are</w:t>
      </w:r>
      <w:r>
        <w:rPr>
          <w:rFonts w:ascii="Calibri" w:hAnsi="Calibri"/>
          <w:color w:val="393838"/>
          <w:spacing w:val="-11"/>
          <w:sz w:val="22"/>
        </w:rPr>
        <w:t> </w:t>
      </w:r>
      <w:r>
        <w:rPr>
          <w:rFonts w:ascii="Calibri" w:hAnsi="Calibri"/>
          <w:color w:val="393838"/>
          <w:sz w:val="22"/>
        </w:rPr>
        <w:t>some</w:t>
      </w:r>
      <w:r>
        <w:rPr>
          <w:rFonts w:ascii="Calibri" w:hAnsi="Calibri"/>
          <w:color w:val="393838"/>
          <w:spacing w:val="-46"/>
          <w:sz w:val="22"/>
        </w:rPr>
        <w:t> </w:t>
      </w:r>
      <w:r>
        <w:rPr>
          <w:rFonts w:ascii="Calibri" w:hAnsi="Calibri"/>
          <w:color w:val="393838"/>
          <w:sz w:val="22"/>
        </w:rPr>
        <w:t>relevant observations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under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‘Course Design’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below.</w:t>
      </w:r>
    </w:p>
    <w:p>
      <w:pPr>
        <w:pStyle w:val="Heading3"/>
        <w:spacing w:before="63"/>
        <w:ind w:left="1579"/>
        <w:rPr>
          <w:rFonts w:ascii="Calibri"/>
        </w:rPr>
      </w:pPr>
      <w:bookmarkStart w:name="_TOC_250024" w:id="28"/>
      <w:r>
        <w:rPr>
          <w:rFonts w:ascii="Calibri"/>
          <w:color w:val="393838"/>
        </w:rPr>
        <w:t>Qualifications</w:t>
      </w:r>
      <w:r>
        <w:rPr>
          <w:rFonts w:ascii="Calibri"/>
          <w:color w:val="393838"/>
          <w:spacing w:val="6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Certification</w:t>
      </w:r>
      <w:r>
        <w:rPr>
          <w:rFonts w:ascii="Calibri"/>
          <w:color w:val="393838"/>
          <w:spacing w:val="8"/>
        </w:rPr>
        <w:t> </w:t>
      </w:r>
      <w:bookmarkEnd w:id="28"/>
      <w:r>
        <w:rPr>
          <w:rFonts w:ascii="Calibri"/>
          <w:color w:val="393838"/>
        </w:rPr>
        <w:t>(1.4)</w:t>
      </w:r>
    </w:p>
    <w:p>
      <w:pPr>
        <w:spacing w:line="266" w:lineRule="auto" w:before="121"/>
        <w:ind w:left="1579" w:right="2411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Certification documents are provided by the partner universities, and there is a low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risk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these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not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meeting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requirements.</w:t>
      </w:r>
    </w:p>
    <w:p>
      <w:pPr>
        <w:spacing w:line="266" w:lineRule="auto" w:before="105"/>
        <w:ind w:left="1579" w:right="269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requirements relating to the level of the program of study itself are covered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elsewhere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this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report.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Heading2"/>
        <w:spacing w:before="137"/>
        <w:jc w:val="both"/>
      </w:pPr>
      <w:bookmarkStart w:name="_TOC_250023" w:id="29"/>
      <w:r>
        <w:rPr>
          <w:color w:val="393838"/>
        </w:rPr>
        <w:t>Learning</w:t>
      </w:r>
      <w:r>
        <w:rPr>
          <w:color w:val="393838"/>
          <w:spacing w:val="-5"/>
        </w:rPr>
        <w:t> </w:t>
      </w:r>
      <w:bookmarkEnd w:id="29"/>
      <w:r>
        <w:rPr>
          <w:color w:val="393838"/>
        </w:rPr>
        <w:t>Environment</w:t>
      </w:r>
    </w:p>
    <w:p>
      <w:pPr>
        <w:pStyle w:val="Heading3"/>
        <w:spacing w:before="40"/>
        <w:ind w:left="1579"/>
        <w:rPr>
          <w:rFonts w:ascii="Calibri"/>
        </w:rPr>
      </w:pPr>
      <w:bookmarkStart w:name="_TOC_250022" w:id="30"/>
      <w:r>
        <w:rPr>
          <w:rFonts w:ascii="Calibri"/>
          <w:color w:val="393838"/>
        </w:rPr>
        <w:t>Facilities</w:t>
      </w:r>
      <w:r>
        <w:rPr>
          <w:rFonts w:ascii="Calibri"/>
          <w:color w:val="393838"/>
          <w:spacing w:val="6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Infrastructure</w:t>
      </w:r>
      <w:r>
        <w:rPr>
          <w:rFonts w:ascii="Calibri"/>
          <w:color w:val="393838"/>
          <w:spacing w:val="7"/>
        </w:rPr>
        <w:t> </w:t>
      </w:r>
      <w:bookmarkEnd w:id="30"/>
      <w:r>
        <w:rPr>
          <w:rFonts w:ascii="Calibri"/>
          <w:color w:val="393838"/>
        </w:rPr>
        <w:t>(2.1)</w:t>
      </w:r>
    </w:p>
    <w:p>
      <w:pPr>
        <w:spacing w:line="266" w:lineRule="auto" w:before="129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ANZSOG sources external facilities in each delivery location to deliver its programs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students, guided by the </w:t>
      </w:r>
      <w:r>
        <w:rPr>
          <w:rFonts w:ascii="Calibri"/>
          <w:i/>
          <w:color w:val="393838"/>
          <w:sz w:val="22"/>
        </w:rPr>
        <w:t>Facilities and Infrastructure Policy</w:t>
      </w:r>
      <w:r>
        <w:rPr>
          <w:rFonts w:ascii="Calibri"/>
          <w:color w:val="393838"/>
          <w:sz w:val="22"/>
        </w:rPr>
        <w:t>. These are mainly sourced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from the partner universities. According to #3.4 of the Policy, when selecting facilities,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consideration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is given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 following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criteria, which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are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entirely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appropriate:</w:t>
      </w:r>
    </w:p>
    <w:p>
      <w:pPr>
        <w:pStyle w:val="ListParagraph"/>
        <w:numPr>
          <w:ilvl w:val="0"/>
          <w:numId w:val="27"/>
        </w:numPr>
        <w:tabs>
          <w:tab w:pos="1750" w:val="left" w:leader="none"/>
        </w:tabs>
        <w:spacing w:line="266" w:lineRule="auto" w:before="12" w:after="0"/>
        <w:ind w:left="1579" w:right="2749" w:firstLine="0"/>
        <w:jc w:val="left"/>
        <w:rPr>
          <w:sz w:val="22"/>
        </w:rPr>
      </w:pPr>
      <w:r>
        <w:rPr>
          <w:color w:val="393838"/>
          <w:sz w:val="22"/>
        </w:rPr>
        <w:t>Capacity to accommodate student numbers ii. Secure access for students and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staff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to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rooms 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systems for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authorised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periods</w:t>
      </w:r>
      <w:r>
        <w:rPr>
          <w:color w:val="393838"/>
          <w:spacing w:val="7"/>
          <w:sz w:val="22"/>
        </w:rPr>
        <w:t> </w:t>
      </w:r>
      <w:r>
        <w:rPr>
          <w:color w:val="393838"/>
          <w:sz w:val="22"/>
        </w:rPr>
        <w:t>iii.</w:t>
      </w:r>
      <w:r>
        <w:rPr>
          <w:color w:val="393838"/>
          <w:spacing w:val="12"/>
          <w:sz w:val="22"/>
        </w:rPr>
        <w:t> </w:t>
      </w:r>
      <w:r>
        <w:rPr>
          <w:color w:val="393838"/>
          <w:sz w:val="22"/>
        </w:rPr>
        <w:t>Appropriate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design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for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effective learning activities with opportunities for student collaboration such as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group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work, team building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or informal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learning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activities</w:t>
      </w:r>
      <w:r>
        <w:rPr>
          <w:color w:val="393838"/>
          <w:spacing w:val="8"/>
          <w:sz w:val="22"/>
        </w:rPr>
        <w:t> </w:t>
      </w:r>
      <w:r>
        <w:rPr>
          <w:color w:val="393838"/>
          <w:sz w:val="22"/>
        </w:rPr>
        <w:t>iv.</w:t>
      </w:r>
      <w:r>
        <w:rPr>
          <w:color w:val="393838"/>
          <w:spacing w:val="10"/>
          <w:sz w:val="22"/>
        </w:rPr>
        <w:t> </w:t>
      </w:r>
      <w:r>
        <w:rPr>
          <w:color w:val="393838"/>
          <w:sz w:val="22"/>
        </w:rPr>
        <w:t>Ability</w:t>
      </w:r>
      <w:r>
        <w:rPr>
          <w:color w:val="393838"/>
          <w:spacing w:val="-6"/>
          <w:sz w:val="22"/>
        </w:rPr>
        <w:t> </w:t>
      </w:r>
      <w:r>
        <w:rPr>
          <w:color w:val="393838"/>
          <w:sz w:val="22"/>
        </w:rPr>
        <w:t>to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integrate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89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4736" id="docshapegroup227" coordorigin="1131,2438" coordsize="9643,12506">
            <v:shape style="position:absolute;left:8364;top:2765;width:1500;height:435" type="#_x0000_t75" id="docshape228" stroked="false">
              <v:imagedata r:id="rId75" o:title=""/>
            </v:shape>
            <v:shape style="position:absolute;left:2041;top:14214;width:1745;height:170" id="docshape229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30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648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learning activities across physical and online settings, including enabling blended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learning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approaches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v.</w:t>
      </w:r>
      <w:r>
        <w:rPr>
          <w:rFonts w:ascii="Calibri"/>
          <w:color w:val="393838"/>
          <w:spacing w:val="11"/>
          <w:sz w:val="22"/>
        </w:rPr>
        <w:t> </w:t>
      </w:r>
      <w:r>
        <w:rPr>
          <w:rFonts w:ascii="Calibri"/>
          <w:color w:val="393838"/>
          <w:sz w:val="22"/>
        </w:rPr>
        <w:t>Accessibility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students with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 disability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vi.</w:t>
      </w:r>
      <w:r>
        <w:rPr>
          <w:rFonts w:ascii="Calibri"/>
          <w:color w:val="393838"/>
          <w:spacing w:val="8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safe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learning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environment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students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staff.</w:t>
      </w:r>
    </w:p>
    <w:p>
      <w:pPr>
        <w:spacing w:line="266" w:lineRule="auto" w:before="106"/>
        <w:ind w:left="1579" w:right="2506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Some classes are held at other venues, such as hotels. In response to a request for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further information, ANZSOG explained that specific criteria for selecting these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venues were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that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they must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have:</w:t>
      </w:r>
    </w:p>
    <w:p>
      <w:pPr>
        <w:pStyle w:val="ListParagraph"/>
        <w:numPr>
          <w:ilvl w:val="1"/>
          <w:numId w:val="27"/>
        </w:numPr>
        <w:tabs>
          <w:tab w:pos="3281" w:val="left" w:leader="none"/>
          <w:tab w:pos="3282" w:val="left" w:leader="none"/>
        </w:tabs>
        <w:spacing w:line="240" w:lineRule="auto" w:before="22" w:after="0"/>
        <w:ind w:left="3281" w:right="0" w:hanging="325"/>
        <w:jc w:val="left"/>
        <w:rPr>
          <w:sz w:val="22"/>
        </w:rPr>
      </w:pPr>
      <w:r>
        <w:rPr>
          <w:color w:val="393838"/>
          <w:sz w:val="22"/>
        </w:rPr>
        <w:t>at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least 10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small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rooms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for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breakouts</w:t>
      </w:r>
    </w:p>
    <w:p>
      <w:pPr>
        <w:pStyle w:val="ListParagraph"/>
        <w:numPr>
          <w:ilvl w:val="1"/>
          <w:numId w:val="27"/>
        </w:numPr>
        <w:tabs>
          <w:tab w:pos="3280" w:val="left" w:leader="none"/>
          <w:tab w:pos="3281" w:val="left" w:leader="none"/>
        </w:tabs>
        <w:spacing w:line="240" w:lineRule="auto" w:before="134" w:after="0"/>
        <w:ind w:left="3280" w:right="0" w:hanging="324"/>
        <w:jc w:val="left"/>
        <w:rPr>
          <w:sz w:val="22"/>
        </w:rPr>
      </w:pPr>
      <w:r>
        <w:rPr>
          <w:color w:val="393838"/>
          <w:sz w:val="22"/>
        </w:rPr>
        <w:t>two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medium-sized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lecture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rooms</w:t>
      </w:r>
    </w:p>
    <w:p>
      <w:pPr>
        <w:pStyle w:val="ListParagraph"/>
        <w:numPr>
          <w:ilvl w:val="1"/>
          <w:numId w:val="27"/>
        </w:numPr>
        <w:tabs>
          <w:tab w:pos="3280" w:val="left" w:leader="none"/>
          <w:tab w:pos="3281" w:val="left" w:leader="none"/>
        </w:tabs>
        <w:spacing w:line="240" w:lineRule="auto" w:before="133" w:after="0"/>
        <w:ind w:left="3280" w:right="0" w:hanging="324"/>
        <w:jc w:val="left"/>
        <w:rPr>
          <w:sz w:val="22"/>
        </w:rPr>
      </w:pPr>
      <w:r>
        <w:rPr>
          <w:color w:val="393838"/>
          <w:sz w:val="22"/>
        </w:rPr>
        <w:t>one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large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plenary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lecture space</w:t>
      </w:r>
    </w:p>
    <w:p>
      <w:pPr>
        <w:pStyle w:val="ListParagraph"/>
        <w:numPr>
          <w:ilvl w:val="1"/>
          <w:numId w:val="27"/>
        </w:numPr>
        <w:tabs>
          <w:tab w:pos="3280" w:val="left" w:leader="none"/>
          <w:tab w:pos="3281" w:val="left" w:leader="none"/>
        </w:tabs>
        <w:spacing w:line="240" w:lineRule="auto" w:before="133" w:after="0"/>
        <w:ind w:left="3280" w:right="0" w:hanging="324"/>
        <w:jc w:val="left"/>
        <w:rPr>
          <w:sz w:val="22"/>
        </w:rPr>
      </w:pPr>
      <w:r>
        <w:rPr>
          <w:color w:val="393838"/>
          <w:sz w:val="22"/>
        </w:rPr>
        <w:t>air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conditioning</w:t>
      </w:r>
    </w:p>
    <w:p>
      <w:pPr>
        <w:pStyle w:val="ListParagraph"/>
        <w:numPr>
          <w:ilvl w:val="1"/>
          <w:numId w:val="27"/>
        </w:numPr>
        <w:tabs>
          <w:tab w:pos="3280" w:val="left" w:leader="none"/>
          <w:tab w:pos="3281" w:val="left" w:leader="none"/>
        </w:tabs>
        <w:spacing w:line="266" w:lineRule="auto" w:before="133" w:after="0"/>
        <w:ind w:left="2957" w:right="2842" w:firstLine="0"/>
        <w:jc w:val="left"/>
        <w:rPr>
          <w:sz w:val="22"/>
        </w:rPr>
      </w:pPr>
      <w:r>
        <w:rPr>
          <w:color w:val="393838"/>
          <w:sz w:val="22"/>
        </w:rPr>
        <w:t>at least one if not more projectors and computer to run the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presentation,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clickers,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microphones,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etc.</w:t>
      </w:r>
    </w:p>
    <w:p>
      <w:pPr>
        <w:spacing w:line="271" w:lineRule="auto" w:before="73"/>
        <w:ind w:left="1579" w:right="2323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There is no reason to doubt that any of the venues are fit for purpose, but this could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be checked by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including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 question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in the student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surveys.</w:t>
      </w:r>
    </w:p>
    <w:p>
      <w:pPr>
        <w:spacing w:before="99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According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i/>
          <w:color w:val="393838"/>
          <w:sz w:val="22"/>
        </w:rPr>
        <w:t>EMPA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2020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Annual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Academic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Governance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Report</w:t>
      </w:r>
      <w:r>
        <w:rPr>
          <w:rFonts w:ascii="Calibri"/>
          <w:color w:val="393838"/>
          <w:sz w:val="22"/>
        </w:rPr>
        <w:t>:</w:t>
      </w:r>
    </w:p>
    <w:p>
      <w:pPr>
        <w:spacing w:line="278" w:lineRule="auto" w:before="38"/>
        <w:ind w:left="1579" w:right="279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</w:t>
      </w:r>
      <w:r>
        <w:rPr>
          <w:rFonts w:ascii="Calibri" w:hAnsi="Calibri"/>
          <w:i/>
          <w:color w:val="393838"/>
          <w:sz w:val="22"/>
        </w:rPr>
        <w:t>EMPA ICT Policy </w:t>
      </w:r>
      <w:r>
        <w:rPr>
          <w:rFonts w:ascii="Calibri" w:hAnsi="Calibri"/>
          <w:color w:val="393838"/>
          <w:sz w:val="22"/>
        </w:rPr>
        <w:t>aligns authorised student use of the EMPA Learning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Management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System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(LMS)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supporting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network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facilities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with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ANZSOG’s</w:t>
      </w:r>
    </w:p>
    <w:p>
      <w:pPr>
        <w:spacing w:before="90"/>
        <w:ind w:left="2166" w:right="0" w:firstLine="0"/>
        <w:jc w:val="left"/>
        <w:rPr>
          <w:rFonts w:ascii="Calibri"/>
          <w:sz w:val="22"/>
        </w:rPr>
      </w:pPr>
      <w:r>
        <w:rPr>
          <w:rFonts w:ascii="Calibri"/>
          <w:i/>
          <w:color w:val="393838"/>
          <w:sz w:val="22"/>
        </w:rPr>
        <w:t>Information Security</w:t>
      </w:r>
      <w:r>
        <w:rPr>
          <w:rFonts w:ascii="Calibri"/>
          <w:i/>
          <w:color w:val="393838"/>
          <w:spacing w:val="-4"/>
          <w:sz w:val="22"/>
        </w:rPr>
        <w:t> </w:t>
      </w:r>
      <w:r>
        <w:rPr>
          <w:rFonts w:ascii="Calibri"/>
          <w:i/>
          <w:color w:val="393838"/>
          <w:sz w:val="22"/>
        </w:rPr>
        <w:t>Policy</w:t>
      </w:r>
      <w:r>
        <w:rPr>
          <w:rFonts w:ascii="Calibri"/>
          <w:i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Provision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Acceptable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Use</w:t>
      </w:r>
      <w:r>
        <w:rPr>
          <w:rFonts w:ascii="Calibri"/>
          <w:i/>
          <w:color w:val="393838"/>
          <w:spacing w:val="-3"/>
          <w:sz w:val="22"/>
        </w:rPr>
        <w:t> </w:t>
      </w:r>
      <w:r>
        <w:rPr>
          <w:rFonts w:ascii="Calibri"/>
          <w:i/>
          <w:color w:val="393838"/>
          <w:sz w:val="22"/>
        </w:rPr>
        <w:t>of ICT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Policy</w:t>
      </w:r>
      <w:r>
        <w:rPr>
          <w:rFonts w:ascii="Calibri"/>
          <w:color w:val="393838"/>
          <w:sz w:val="22"/>
        </w:rPr>
        <w:t>.</w:t>
      </w:r>
    </w:p>
    <w:p>
      <w:pPr>
        <w:spacing w:before="43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Together,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these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policies direct:</w:t>
      </w:r>
    </w:p>
    <w:p>
      <w:pPr>
        <w:pStyle w:val="ListParagraph"/>
        <w:numPr>
          <w:ilvl w:val="1"/>
          <w:numId w:val="27"/>
        </w:numPr>
        <w:tabs>
          <w:tab w:pos="3280" w:val="left" w:leader="none"/>
          <w:tab w:pos="3281" w:val="left" w:leader="none"/>
        </w:tabs>
        <w:spacing w:line="266" w:lineRule="auto" w:before="50" w:after="0"/>
        <w:ind w:left="2957" w:right="2283" w:firstLine="0"/>
        <w:jc w:val="left"/>
        <w:rPr>
          <w:sz w:val="22"/>
        </w:rPr>
      </w:pPr>
      <w:r>
        <w:rPr>
          <w:color w:val="393838"/>
          <w:sz w:val="22"/>
        </w:rPr>
        <w:t>The accessibility and use of the EMPA LMS, which is the same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Canvas site through which this report is accessed [i.e. the </w:t>
      </w:r>
      <w:r>
        <w:rPr>
          <w:i/>
          <w:color w:val="393838"/>
          <w:sz w:val="22"/>
        </w:rPr>
        <w:t>EMPA 2020</w:t>
      </w:r>
      <w:r>
        <w:rPr>
          <w:i/>
          <w:color w:val="393838"/>
          <w:spacing w:val="-47"/>
          <w:sz w:val="22"/>
        </w:rPr>
        <w:t> </w:t>
      </w:r>
      <w:r>
        <w:rPr>
          <w:i/>
          <w:color w:val="393838"/>
          <w:sz w:val="22"/>
        </w:rPr>
        <w:t>Annual Academic Governance</w:t>
      </w:r>
      <w:r>
        <w:rPr>
          <w:i/>
          <w:color w:val="393838"/>
          <w:spacing w:val="-2"/>
          <w:sz w:val="22"/>
        </w:rPr>
        <w:t> </w:t>
      </w:r>
      <w:r>
        <w:rPr>
          <w:i/>
          <w:color w:val="393838"/>
          <w:sz w:val="22"/>
        </w:rPr>
        <w:t>Report</w:t>
      </w:r>
      <w:r>
        <w:rPr>
          <w:color w:val="393838"/>
          <w:sz w:val="22"/>
        </w:rPr>
        <w:t>]</w:t>
      </w:r>
    </w:p>
    <w:p>
      <w:pPr>
        <w:pStyle w:val="ListParagraph"/>
        <w:numPr>
          <w:ilvl w:val="1"/>
          <w:numId w:val="27"/>
        </w:numPr>
        <w:tabs>
          <w:tab w:pos="3280" w:val="left" w:leader="none"/>
          <w:tab w:pos="3281" w:val="left" w:leader="none"/>
        </w:tabs>
        <w:spacing w:line="266" w:lineRule="auto" w:before="23" w:after="0"/>
        <w:ind w:left="2957" w:right="2415" w:firstLine="0"/>
        <w:jc w:val="left"/>
        <w:rPr>
          <w:sz w:val="22"/>
        </w:rPr>
      </w:pPr>
      <w:r>
        <w:rPr>
          <w:color w:val="393838"/>
          <w:sz w:val="22"/>
        </w:rPr>
        <w:t>Standards for information management and acceptable use that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also align with ANZSOG’s Privacy policies and the EMPA </w:t>
      </w:r>
      <w:r>
        <w:rPr>
          <w:i/>
          <w:color w:val="393838"/>
          <w:sz w:val="22"/>
        </w:rPr>
        <w:t>Code of</w:t>
      </w:r>
      <w:r>
        <w:rPr>
          <w:i/>
          <w:color w:val="393838"/>
          <w:spacing w:val="1"/>
          <w:sz w:val="22"/>
        </w:rPr>
        <w:t> </w:t>
      </w:r>
      <w:r>
        <w:rPr>
          <w:i/>
          <w:color w:val="393838"/>
          <w:sz w:val="22"/>
        </w:rPr>
        <w:t>Conduct</w:t>
      </w:r>
      <w:r>
        <w:rPr>
          <w:i/>
          <w:color w:val="393838"/>
          <w:spacing w:val="2"/>
          <w:sz w:val="22"/>
        </w:rPr>
        <w:t> </w:t>
      </w:r>
      <w:r>
        <w:rPr>
          <w:color w:val="393838"/>
          <w:sz w:val="22"/>
        </w:rPr>
        <w:t>policy</w:t>
      </w:r>
    </w:p>
    <w:p>
      <w:pPr>
        <w:spacing w:line="271" w:lineRule="auto" w:before="107"/>
        <w:ind w:left="1579" w:right="2359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Further, a range of support services for students is provided relating to the LMS and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its use,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including:</w:t>
      </w:r>
    </w:p>
    <w:p>
      <w:pPr>
        <w:pStyle w:val="ListParagraph"/>
        <w:numPr>
          <w:ilvl w:val="1"/>
          <w:numId w:val="27"/>
        </w:numPr>
        <w:tabs>
          <w:tab w:pos="3280" w:val="left" w:leader="none"/>
          <w:tab w:pos="3281" w:val="left" w:leader="none"/>
        </w:tabs>
        <w:spacing w:line="240" w:lineRule="auto" w:before="97" w:after="0"/>
        <w:ind w:left="3280" w:right="0" w:hanging="324"/>
        <w:jc w:val="left"/>
        <w:rPr>
          <w:sz w:val="22"/>
        </w:rPr>
      </w:pPr>
      <w:r>
        <w:rPr>
          <w:color w:val="393838"/>
          <w:sz w:val="22"/>
        </w:rPr>
        <w:t>A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‘Welcome to the EMPA’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orientation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module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in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LMS</w:t>
      </w:r>
    </w:p>
    <w:p>
      <w:pPr>
        <w:pStyle w:val="ListParagraph"/>
        <w:numPr>
          <w:ilvl w:val="1"/>
          <w:numId w:val="27"/>
        </w:numPr>
        <w:tabs>
          <w:tab w:pos="3280" w:val="left" w:leader="none"/>
          <w:tab w:pos="3281" w:val="left" w:leader="none"/>
        </w:tabs>
        <w:spacing w:line="240" w:lineRule="auto" w:before="133" w:after="0"/>
        <w:ind w:left="3280" w:right="0" w:hanging="324"/>
        <w:jc w:val="left"/>
        <w:rPr>
          <w:sz w:val="22"/>
        </w:rPr>
      </w:pPr>
      <w:r>
        <w:rPr>
          <w:color w:val="393838"/>
          <w:sz w:val="22"/>
        </w:rPr>
        <w:t>A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‘how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to’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module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for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using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the LMS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more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generally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90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4224" id="docshapegroup231" coordorigin="1131,2438" coordsize="9643,12506">
            <v:shape style="position:absolute;left:8364;top:2765;width:1500;height:435" type="#_x0000_t75" id="docshape232" stroked="false">
              <v:imagedata r:id="rId75" o:title=""/>
            </v:shape>
            <v:shape style="position:absolute;left:2041;top:14214;width:1745;height:170" id="docshape233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34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7"/>
        </w:rPr>
      </w:pPr>
    </w:p>
    <w:p>
      <w:pPr>
        <w:pStyle w:val="ListParagraph"/>
        <w:numPr>
          <w:ilvl w:val="1"/>
          <w:numId w:val="27"/>
        </w:numPr>
        <w:tabs>
          <w:tab w:pos="3281" w:val="left" w:leader="none"/>
          <w:tab w:pos="3282" w:val="left" w:leader="none"/>
        </w:tabs>
        <w:spacing w:line="285" w:lineRule="auto" w:before="90" w:after="0"/>
        <w:ind w:left="2958" w:right="2232" w:firstLine="0"/>
        <w:jc w:val="left"/>
        <w:rPr>
          <w:sz w:val="22"/>
        </w:rPr>
      </w:pPr>
      <w:r>
        <w:rPr>
          <w:color w:val="393838"/>
          <w:sz w:val="22"/>
        </w:rPr>
        <w:t>During online deliveries, immediate technical support to triage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technology connection issues experienced by individual students via a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dedicated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email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account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for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students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only</w:t>
      </w:r>
    </w:p>
    <w:p>
      <w:pPr>
        <w:pStyle w:val="ListParagraph"/>
        <w:numPr>
          <w:ilvl w:val="1"/>
          <w:numId w:val="27"/>
        </w:numPr>
        <w:tabs>
          <w:tab w:pos="3281" w:val="left" w:leader="none"/>
          <w:tab w:pos="3282" w:val="left" w:leader="none"/>
        </w:tabs>
        <w:spacing w:line="240" w:lineRule="auto" w:before="2" w:after="0"/>
        <w:ind w:left="3281" w:right="0" w:hanging="325"/>
        <w:jc w:val="left"/>
        <w:rPr>
          <w:sz w:val="22"/>
        </w:rPr>
      </w:pPr>
      <w:r>
        <w:rPr>
          <w:color w:val="393838"/>
          <w:sz w:val="22"/>
        </w:rPr>
        <w:t>Email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phone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support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to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students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during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their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studies.</w:t>
      </w:r>
    </w:p>
    <w:p>
      <w:pPr>
        <w:spacing w:line="266" w:lineRule="auto" w:before="113"/>
        <w:ind w:left="1579" w:right="2074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</w:t>
      </w:r>
      <w:r>
        <w:rPr>
          <w:rFonts w:ascii="Calibri"/>
          <w:i/>
          <w:color w:val="393838"/>
          <w:sz w:val="22"/>
        </w:rPr>
        <w:t>Information Communication Technology Policy </w:t>
      </w:r>
      <w:r>
        <w:rPr>
          <w:rFonts w:ascii="Calibri"/>
          <w:color w:val="393838"/>
          <w:sz w:val="22"/>
        </w:rPr>
        <w:t>contains a clear commitment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providing access to a Learning Management System (LMS) with all the resources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necessary to meet the program learning outcomes. The LMS used is </w:t>
      </w:r>
      <w:r>
        <w:rPr>
          <w:rFonts w:ascii="Calibri"/>
          <w:i/>
          <w:color w:val="393838"/>
          <w:sz w:val="22"/>
        </w:rPr>
        <w:t>Canvas</w:t>
      </w:r>
      <w:r>
        <w:rPr>
          <w:rFonts w:ascii="Calibri"/>
          <w:color w:val="393838"/>
          <w:sz w:val="22"/>
        </w:rPr>
        <w:t>, and there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is no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reason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believe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that access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not continuous, as required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HESF 2.1.2.</w:t>
      </w:r>
    </w:p>
    <w:p>
      <w:pPr>
        <w:spacing w:line="266" w:lineRule="auto" w:before="5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However, there are a number of adverse comments about </w:t>
      </w:r>
      <w:r>
        <w:rPr>
          <w:rFonts w:ascii="Calibri"/>
          <w:i/>
          <w:color w:val="393838"/>
          <w:sz w:val="22"/>
        </w:rPr>
        <w:t>Canvas </w:t>
      </w:r>
      <w:r>
        <w:rPr>
          <w:rFonts w:ascii="Calibri"/>
          <w:color w:val="393838"/>
          <w:sz w:val="22"/>
        </w:rPr>
        <w:t>in the qualitative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comments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some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the student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surveys, which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need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be responded to.</w:t>
      </w:r>
    </w:p>
    <w:p>
      <w:pPr>
        <w:spacing w:line="268" w:lineRule="auto" w:before="105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Students are asked whether they have any accessibility issues, and venues must have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suitable accessibility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features,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such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ramps.</w:t>
      </w:r>
    </w:p>
    <w:p>
      <w:pPr>
        <w:spacing w:before="103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Overall,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there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no evident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cause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concern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about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facilities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infrastructure.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3"/>
        <w:spacing w:before="0"/>
        <w:ind w:left="1579"/>
        <w:rPr>
          <w:rFonts w:ascii="Calibri"/>
        </w:rPr>
      </w:pPr>
      <w:bookmarkStart w:name="_TOC_250021" w:id="31"/>
      <w:r>
        <w:rPr>
          <w:rFonts w:ascii="Calibri"/>
          <w:color w:val="393838"/>
        </w:rPr>
        <w:t>Diversity</w:t>
      </w:r>
      <w:r>
        <w:rPr>
          <w:rFonts w:ascii="Calibri"/>
          <w:color w:val="393838"/>
          <w:spacing w:val="2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6"/>
        </w:rPr>
        <w:t> </w:t>
      </w:r>
      <w:r>
        <w:rPr>
          <w:rFonts w:ascii="Calibri"/>
          <w:color w:val="393838"/>
        </w:rPr>
        <w:t>Equity</w:t>
      </w:r>
      <w:r>
        <w:rPr>
          <w:rFonts w:ascii="Calibri"/>
          <w:color w:val="393838"/>
          <w:spacing w:val="7"/>
        </w:rPr>
        <w:t> </w:t>
      </w:r>
      <w:bookmarkEnd w:id="31"/>
      <w:r>
        <w:rPr>
          <w:rFonts w:ascii="Calibri"/>
          <w:color w:val="393838"/>
        </w:rPr>
        <w:t>(2.2)</w:t>
      </w:r>
    </w:p>
    <w:p>
      <w:pPr>
        <w:spacing w:line="285" w:lineRule="auto" w:before="129"/>
        <w:ind w:left="1579" w:right="2165" w:firstLine="0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</w:t>
      </w:r>
      <w:r>
        <w:rPr>
          <w:rFonts w:ascii="Calibri"/>
          <w:i/>
          <w:color w:val="393838"/>
          <w:sz w:val="22"/>
        </w:rPr>
        <w:t>Diversity, Equity and Inclusion Policy </w:t>
      </w:r>
      <w:r>
        <w:rPr>
          <w:rFonts w:ascii="Calibri"/>
          <w:color w:val="393838"/>
          <w:sz w:val="22"/>
        </w:rPr>
        <w:t>is a clear statement of intent to promote and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value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diversity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provide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an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inclusive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environment,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with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specific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commitments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on</w:t>
      </w:r>
      <w:r>
        <w:rPr>
          <w:rFonts w:ascii="Calibri"/>
          <w:color w:val="393838"/>
          <w:spacing w:val="-48"/>
          <w:sz w:val="22"/>
        </w:rPr>
        <w:t> </w:t>
      </w:r>
      <w:r>
        <w:rPr>
          <w:rFonts w:ascii="Calibri"/>
          <w:color w:val="393838"/>
          <w:sz w:val="22"/>
        </w:rPr>
        <w:t>Aboriginal and Torres Strait Islanders. The </w:t>
      </w:r>
      <w:r>
        <w:rPr>
          <w:rFonts w:ascii="Calibri"/>
          <w:i/>
          <w:color w:val="393838"/>
          <w:sz w:val="22"/>
        </w:rPr>
        <w:t>EMPA 2020 Annual Academic Governance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Report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details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number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 convincing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recruitment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strategies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being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deployed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Aboriginal 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Torres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Strait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Islander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low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SES students.</w:t>
      </w:r>
    </w:p>
    <w:p>
      <w:pPr>
        <w:spacing w:line="266" w:lineRule="auto" w:before="87"/>
        <w:ind w:left="1579" w:right="225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</w:t>
      </w:r>
      <w:r>
        <w:rPr>
          <w:rFonts w:ascii="Calibri" w:hAnsi="Calibri"/>
          <w:i/>
          <w:color w:val="393838"/>
          <w:sz w:val="22"/>
        </w:rPr>
        <w:t>Student Disability Policy </w:t>
      </w:r>
      <w:r>
        <w:rPr>
          <w:rFonts w:ascii="Calibri" w:hAnsi="Calibri"/>
          <w:color w:val="393838"/>
          <w:sz w:val="22"/>
        </w:rPr>
        <w:t>provides that ANZSOG will ‘make any decision about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admission, enrolment or participation on the basis that reasonable adjustments will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be made where necessary so that the student with a disability is treated on the same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basis as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student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without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disability.’</w:t>
      </w:r>
    </w:p>
    <w:p>
      <w:pPr>
        <w:spacing w:line="266" w:lineRule="auto" w:before="112"/>
        <w:ind w:left="1579" w:right="2245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In response to a question about the implementation of this, ANZSOG provided an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example of adjustments made for a vision-impaired student, including the provision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of material in line with guidelines for vision-impaired accessibility, who was also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connected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with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 Disability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Support Unit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 partner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university.</w:t>
      </w:r>
    </w:p>
    <w:p>
      <w:pPr>
        <w:spacing w:line="288" w:lineRule="auto" w:before="107"/>
        <w:ind w:left="1579" w:right="228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color w:val="393838"/>
          <w:spacing w:val="-1"/>
          <w:sz w:val="22"/>
        </w:rPr>
        <w:t>HESF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pacing w:val="-1"/>
          <w:sz w:val="22"/>
        </w:rPr>
        <w:t>2.2.3</w:t>
      </w:r>
      <w:r>
        <w:rPr>
          <w:rFonts w:ascii="Calibri" w:hAnsi="Calibri"/>
          <w:color w:val="393838"/>
          <w:spacing w:val="-7"/>
          <w:sz w:val="22"/>
        </w:rPr>
        <w:t> </w:t>
      </w:r>
      <w:r>
        <w:rPr>
          <w:rFonts w:ascii="Calibri" w:hAnsi="Calibri"/>
          <w:color w:val="393838"/>
          <w:spacing w:val="-1"/>
          <w:sz w:val="22"/>
        </w:rPr>
        <w:t>specifies</w:t>
      </w:r>
      <w:r>
        <w:rPr>
          <w:rFonts w:ascii="Calibri" w:hAnsi="Calibri"/>
          <w:color w:val="393838"/>
          <w:spacing w:val="-11"/>
          <w:sz w:val="22"/>
        </w:rPr>
        <w:t> </w:t>
      </w:r>
      <w:r>
        <w:rPr>
          <w:rFonts w:ascii="Calibri" w:hAnsi="Calibri"/>
          <w:color w:val="393838"/>
          <w:spacing w:val="-1"/>
          <w:sz w:val="22"/>
        </w:rPr>
        <w:t>that</w:t>
      </w:r>
      <w:r>
        <w:rPr>
          <w:rFonts w:ascii="Calibri" w:hAnsi="Calibri"/>
          <w:color w:val="393838"/>
          <w:spacing w:val="-9"/>
          <w:sz w:val="22"/>
        </w:rPr>
        <w:t> </w:t>
      </w:r>
      <w:r>
        <w:rPr>
          <w:rFonts w:ascii="Calibri" w:hAnsi="Calibri"/>
          <w:color w:val="393838"/>
          <w:spacing w:val="-1"/>
          <w:sz w:val="22"/>
        </w:rPr>
        <w:t>‘Participation,</w:t>
      </w:r>
      <w:r>
        <w:rPr>
          <w:rFonts w:ascii="Calibri" w:hAnsi="Calibri"/>
          <w:color w:val="393838"/>
          <w:spacing w:val="-7"/>
          <w:sz w:val="22"/>
        </w:rPr>
        <w:t> </w:t>
      </w:r>
      <w:r>
        <w:rPr>
          <w:rFonts w:ascii="Calibri" w:hAnsi="Calibri"/>
          <w:color w:val="393838"/>
          <w:spacing w:val="-1"/>
          <w:sz w:val="22"/>
        </w:rPr>
        <w:t>progress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8"/>
          <w:sz w:val="22"/>
        </w:rPr>
        <w:t> </w:t>
      </w:r>
      <w:r>
        <w:rPr>
          <w:rFonts w:ascii="Calibri" w:hAnsi="Calibri"/>
          <w:color w:val="393838"/>
          <w:sz w:val="22"/>
        </w:rPr>
        <w:t>completion</w:t>
      </w:r>
      <w:r>
        <w:rPr>
          <w:rFonts w:ascii="Calibri" w:hAnsi="Calibri"/>
          <w:color w:val="393838"/>
          <w:spacing w:val="-9"/>
          <w:sz w:val="22"/>
        </w:rPr>
        <w:t> </w:t>
      </w:r>
      <w:r>
        <w:rPr>
          <w:rFonts w:ascii="Calibri" w:hAnsi="Calibri"/>
          <w:color w:val="393838"/>
          <w:sz w:val="22"/>
        </w:rPr>
        <w:t>by</w:t>
      </w:r>
      <w:r>
        <w:rPr>
          <w:rFonts w:ascii="Calibri" w:hAnsi="Calibri"/>
          <w:color w:val="393838"/>
          <w:spacing w:val="-8"/>
          <w:sz w:val="22"/>
        </w:rPr>
        <w:t> </w:t>
      </w:r>
      <w:r>
        <w:rPr>
          <w:rFonts w:ascii="Calibri" w:hAnsi="Calibri"/>
          <w:color w:val="393838"/>
          <w:sz w:val="22"/>
        </w:rPr>
        <w:t>identified</w:t>
      </w:r>
      <w:r>
        <w:rPr>
          <w:rFonts w:ascii="Calibri" w:hAnsi="Calibri"/>
          <w:color w:val="393838"/>
          <w:spacing w:val="-13"/>
          <w:sz w:val="22"/>
        </w:rPr>
        <w:t> </w:t>
      </w:r>
      <w:r>
        <w:rPr>
          <w:rFonts w:ascii="Calibri" w:hAnsi="Calibri"/>
          <w:color w:val="393838"/>
          <w:sz w:val="22"/>
        </w:rPr>
        <w:t>student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subgroups are monitored and the findings are used to inform admission policies and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improvement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teaching, learning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support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strategies for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those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subgroups.’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91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3712" id="docshapegroup235" coordorigin="1131,2438" coordsize="9643,12506">
            <v:shape style="position:absolute;left:8364;top:2765;width:1500;height:435" type="#_x0000_t75" id="docshape236" stroked="false">
              <v:imagedata r:id="rId75" o:title=""/>
            </v:shape>
            <v:shape style="position:absolute;left:2040;top:11970;width:7871;height:2414" id="docshape237" coordorigin="2041,11971" coordsize="7871,2414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12846l2041,12846,2041,12857,9912,12857,9912,12846xm9912,11971l2041,11971,2041,11981,9912,11981,9912,11971xe" filled="true" fillcolor="#231f20" stroked="false">
              <v:path arrowok="t"/>
              <v:fill type="solid"/>
            </v:shape>
            <v:rect style="position:absolute;left:1133;top:2440;width:9638;height:12501" id="docshape238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84"/>
        <w:ind w:left="1579" w:right="1997" w:hanging="1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It is not evident how ANZSOG supports this requirement</w:t>
      </w:r>
      <w:r>
        <w:rPr>
          <w:rFonts w:ascii="Calibri"/>
          <w:color w:val="393838"/>
          <w:sz w:val="28"/>
        </w:rPr>
        <w:t>, </w:t>
      </w:r>
      <w:r>
        <w:rPr>
          <w:rFonts w:ascii="Calibri"/>
          <w:color w:val="393838"/>
          <w:sz w:val="22"/>
        </w:rPr>
        <w:t>which is considered further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below, in relation to HESF Section 5.3: Monitoring, Review and Improvement, so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compliance with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standard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risk.</w:t>
      </w:r>
    </w:p>
    <w:p>
      <w:pPr>
        <w:pStyle w:val="Heading3"/>
        <w:spacing w:before="163"/>
        <w:ind w:left="1579"/>
        <w:rPr>
          <w:rFonts w:ascii="Calibri"/>
        </w:rPr>
      </w:pPr>
      <w:bookmarkStart w:name="_TOC_250020" w:id="32"/>
      <w:r>
        <w:rPr>
          <w:rFonts w:ascii="Calibri"/>
          <w:color w:val="393838"/>
        </w:rPr>
        <w:t>Wellbeing</w:t>
      </w:r>
      <w:r>
        <w:rPr>
          <w:rFonts w:ascii="Calibri"/>
          <w:color w:val="393838"/>
          <w:spacing w:val="5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5"/>
        </w:rPr>
        <w:t> </w:t>
      </w:r>
      <w:r>
        <w:rPr>
          <w:rFonts w:ascii="Calibri"/>
          <w:color w:val="393838"/>
        </w:rPr>
        <w:t>Safety</w:t>
      </w:r>
      <w:r>
        <w:rPr>
          <w:rFonts w:ascii="Calibri"/>
          <w:color w:val="393838"/>
          <w:spacing w:val="6"/>
        </w:rPr>
        <w:t> </w:t>
      </w:r>
      <w:bookmarkEnd w:id="32"/>
      <w:r>
        <w:rPr>
          <w:rFonts w:ascii="Calibri"/>
          <w:color w:val="393838"/>
        </w:rPr>
        <w:t>(2.3)</w:t>
      </w:r>
    </w:p>
    <w:p>
      <w:pPr>
        <w:spacing w:line="266" w:lineRule="auto" w:before="129"/>
        <w:ind w:left="1579" w:right="227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ANZSOG’s </w:t>
      </w:r>
      <w:r>
        <w:rPr>
          <w:rFonts w:ascii="Calibri" w:hAnsi="Calibri"/>
          <w:i/>
          <w:color w:val="393838"/>
          <w:sz w:val="22"/>
        </w:rPr>
        <w:t>Wellbeing and Safety Policy </w:t>
      </w:r>
      <w:r>
        <w:rPr>
          <w:rFonts w:ascii="Calibri" w:hAnsi="Calibri"/>
          <w:color w:val="393838"/>
          <w:sz w:val="22"/>
        </w:rPr>
        <w:t>sets a framework for meeting all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requirements of HESF 2.3. However, there is no information available on the website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about how this is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implemented, and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how students can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access support services.</w:t>
      </w:r>
    </w:p>
    <w:p>
      <w:pPr>
        <w:spacing w:line="266" w:lineRule="auto" w:before="106"/>
        <w:ind w:left="1579" w:right="219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According to #4.8 of the Policy, ANZSOG outsources much of the responsibility for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promoting and fostering a safe environment to the partner universities: ‘Students will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be directed to equivalent wellbeing and safety policies of their sponsoring agency or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conferring university in relation to EMPA activities outside of the core program or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undertaken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on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their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conferring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university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campuses.’</w:t>
      </w:r>
    </w:p>
    <w:p>
      <w:pPr>
        <w:spacing w:line="268" w:lineRule="auto" w:before="108"/>
        <w:ind w:left="1579" w:right="215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In response to a request for information, ANZSOG committed to providing some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indications in the Student Portal explaining that students have access to the support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services of their conferring university. Indeed, this is provided for in the Services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Agreement between ANZSOG and each university. However, HESF 7.2 e requires this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information to be provided prior to enrolment, so it would be desirable to explain this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in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FAQs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on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ANZSOG’s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own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website.</w:t>
      </w:r>
    </w:p>
    <w:p>
      <w:pPr>
        <w:spacing w:line="266" w:lineRule="auto" w:before="106"/>
        <w:ind w:left="1579" w:right="2294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requirement to promote and foster a safe environment applies not only to a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campus environment but also to the online environment. ANZSOG’s </w:t>
      </w:r>
      <w:r>
        <w:rPr>
          <w:rFonts w:ascii="Calibri" w:hAnsi="Calibri"/>
          <w:i/>
          <w:color w:val="393838"/>
          <w:sz w:val="22"/>
        </w:rPr>
        <w:t>Wellbeing and</w:t>
      </w:r>
      <w:r>
        <w:rPr>
          <w:rFonts w:ascii="Calibri" w:hAnsi="Calibri"/>
          <w:i/>
          <w:color w:val="393838"/>
          <w:spacing w:val="1"/>
          <w:sz w:val="22"/>
        </w:rPr>
        <w:t> </w:t>
      </w:r>
      <w:r>
        <w:rPr>
          <w:rFonts w:ascii="Calibri" w:hAnsi="Calibri"/>
          <w:i/>
          <w:color w:val="393838"/>
          <w:sz w:val="22"/>
        </w:rPr>
        <w:t>Safety Policy </w:t>
      </w:r>
      <w:r>
        <w:rPr>
          <w:rFonts w:ascii="Calibri" w:hAnsi="Calibri"/>
          <w:color w:val="393838"/>
          <w:sz w:val="22"/>
        </w:rPr>
        <w:t>is presumably intended to cover the online environment, but this is at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best implicit. And given the importance of the online environment for delivery of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ANZSOG’s core subjects, particularly during times of pandemic, it would be desirable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to provide more information about online safety. A model can be viewed at: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0461C1"/>
          <w:sz w:val="22"/>
          <w:u w:val="single" w:color="0461C1"/>
        </w:rPr>
        <w:t>https://</w:t>
      </w:r>
      <w:hyperlink r:id="rId77">
        <w:r>
          <w:rPr>
            <w:rFonts w:ascii="Calibri" w:hAnsi="Calibri"/>
            <w:color w:val="0461C1"/>
            <w:sz w:val="22"/>
            <w:u w:val="single" w:color="0461C1"/>
          </w:rPr>
          <w:t>www.swinburne.edu.au/life-at-swinburne/locations/your-safety-at-</w:t>
        </w:r>
      </w:hyperlink>
      <w:r>
        <w:rPr>
          <w:rFonts w:ascii="Calibri" w:hAnsi="Calibri"/>
          <w:color w:val="0461C1"/>
          <w:spacing w:val="1"/>
          <w:sz w:val="22"/>
        </w:rPr>
        <w:t> </w:t>
      </w:r>
      <w:r>
        <w:rPr>
          <w:rFonts w:ascii="Calibri" w:hAnsi="Calibri"/>
          <w:color w:val="0461C1"/>
          <w:sz w:val="22"/>
          <w:u w:val="single" w:color="0461C1"/>
        </w:rPr>
        <w:t>swinburne/cyber-harassment/</w:t>
      </w:r>
      <w:r>
        <w:rPr>
          <w:rFonts w:ascii="Calibri" w:hAnsi="Calibri"/>
          <w:color w:val="0461C1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.</w:t>
      </w:r>
    </w:p>
    <w:p>
      <w:pPr>
        <w:pStyle w:val="BodyText"/>
        <w:spacing w:before="1"/>
        <w:rPr>
          <w:rFonts w:ascii="Calibri"/>
        </w:rPr>
      </w:pPr>
    </w:p>
    <w:p>
      <w:pPr>
        <w:spacing w:line="266" w:lineRule="auto" w:before="56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4</w:t>
      </w:r>
      <w:r>
        <w:rPr>
          <w:rFonts w:ascii="Calibri"/>
          <w:color w:val="393838"/>
          <w:sz w:val="22"/>
        </w:rPr>
        <w:t>: Provide indicative information about student access to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support services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enrolling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universities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ANZSOG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website.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25"/>
        </w:rPr>
      </w:pPr>
    </w:p>
    <w:p>
      <w:pPr>
        <w:pStyle w:val="Heading3"/>
        <w:spacing w:before="1"/>
        <w:ind w:left="1579"/>
        <w:rPr>
          <w:rFonts w:ascii="Calibri"/>
        </w:rPr>
      </w:pPr>
      <w:bookmarkStart w:name="_TOC_250019" w:id="33"/>
      <w:r>
        <w:rPr>
          <w:rFonts w:ascii="Calibri"/>
          <w:color w:val="393838"/>
        </w:rPr>
        <w:t>Student</w:t>
      </w:r>
      <w:r>
        <w:rPr>
          <w:rFonts w:ascii="Calibri"/>
          <w:color w:val="393838"/>
          <w:spacing w:val="6"/>
        </w:rPr>
        <w:t> </w:t>
      </w:r>
      <w:r>
        <w:rPr>
          <w:rFonts w:ascii="Calibri"/>
          <w:color w:val="393838"/>
        </w:rPr>
        <w:t>Grievances</w:t>
      </w:r>
      <w:r>
        <w:rPr>
          <w:rFonts w:ascii="Calibri"/>
          <w:color w:val="393838"/>
          <w:spacing w:val="6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8"/>
        </w:rPr>
        <w:t> </w:t>
      </w:r>
      <w:r>
        <w:rPr>
          <w:rFonts w:ascii="Calibri"/>
          <w:color w:val="393838"/>
        </w:rPr>
        <w:t>Complaints</w:t>
      </w:r>
      <w:r>
        <w:rPr>
          <w:rFonts w:ascii="Calibri"/>
          <w:color w:val="393838"/>
          <w:spacing w:val="7"/>
        </w:rPr>
        <w:t> </w:t>
      </w:r>
      <w:bookmarkEnd w:id="33"/>
      <w:r>
        <w:rPr>
          <w:rFonts w:ascii="Calibri"/>
          <w:color w:val="393838"/>
        </w:rPr>
        <w:t>(2.4)</w:t>
      </w:r>
    </w:p>
    <w:p>
      <w:pPr>
        <w:spacing w:before="132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i/>
          <w:color w:val="393838"/>
          <w:sz w:val="22"/>
        </w:rPr>
        <w:t>Student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Complaints</w:t>
      </w:r>
      <w:r>
        <w:rPr>
          <w:rFonts w:ascii="Calibri"/>
          <w:i/>
          <w:color w:val="393838"/>
          <w:spacing w:val="-4"/>
          <w:sz w:val="22"/>
        </w:rPr>
        <w:t> </w:t>
      </w:r>
      <w:r>
        <w:rPr>
          <w:rFonts w:ascii="Calibri"/>
          <w:i/>
          <w:color w:val="393838"/>
          <w:sz w:val="22"/>
        </w:rPr>
        <w:t>and</w:t>
      </w:r>
      <w:r>
        <w:rPr>
          <w:rFonts w:ascii="Calibri"/>
          <w:i/>
          <w:color w:val="393838"/>
          <w:spacing w:val="-5"/>
          <w:sz w:val="22"/>
        </w:rPr>
        <w:t> </w:t>
      </w:r>
      <w:r>
        <w:rPr>
          <w:rFonts w:ascii="Calibri"/>
          <w:i/>
          <w:color w:val="393838"/>
          <w:sz w:val="22"/>
        </w:rPr>
        <w:t>Grievances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Policy</w:t>
      </w:r>
      <w:r>
        <w:rPr>
          <w:rFonts w:ascii="Calibri"/>
          <w:i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includes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guidance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on:</w:t>
      </w:r>
    </w:p>
    <w:p>
      <w:pPr>
        <w:spacing w:before="125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92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3200" id="docshapegroup239" coordorigin="1131,2438" coordsize="9643,12506">
            <v:shape style="position:absolute;left:8364;top:2765;width:1500;height:435" type="#_x0000_t75" id="docshape240" stroked="false">
              <v:imagedata r:id="rId75" o:title=""/>
            </v:shape>
            <v:shape style="position:absolute;left:2041;top:14214;width:1745;height:170" id="docshape241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42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4" w:val="left" w:leader="none"/>
        </w:tabs>
        <w:spacing w:line="240" w:lineRule="auto" w:before="90" w:after="0"/>
        <w:ind w:left="2713" w:right="0" w:hanging="319"/>
        <w:jc w:val="left"/>
        <w:rPr>
          <w:sz w:val="22"/>
        </w:rPr>
      </w:pPr>
      <w:r>
        <w:rPr>
          <w:color w:val="393838"/>
          <w:sz w:val="22"/>
        </w:rPr>
        <w:t>When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how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to lodge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complaint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or grievance</w:t>
      </w: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4" w:val="left" w:leader="none"/>
        </w:tabs>
        <w:spacing w:line="240" w:lineRule="auto" w:before="82" w:after="0"/>
        <w:ind w:left="2713" w:right="0" w:hanging="319"/>
        <w:jc w:val="left"/>
        <w:rPr>
          <w:sz w:val="22"/>
        </w:rPr>
      </w:pPr>
      <w:r>
        <w:rPr>
          <w:color w:val="393838"/>
          <w:sz w:val="22"/>
        </w:rPr>
        <w:t>Caution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on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vexatious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complaints</w:t>
      </w: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4" w:val="left" w:leader="none"/>
        </w:tabs>
        <w:spacing w:line="268" w:lineRule="auto" w:before="86" w:after="0"/>
        <w:ind w:left="2394" w:right="2696" w:firstLine="0"/>
        <w:jc w:val="left"/>
        <w:rPr>
          <w:sz w:val="22"/>
        </w:rPr>
      </w:pPr>
      <w:r>
        <w:rPr>
          <w:color w:val="393838"/>
          <w:sz w:val="22"/>
        </w:rPr>
        <w:t>A process on lodging a complaint or grievance from investigation to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notification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outcome</w:t>
      </w: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4" w:val="left" w:leader="none"/>
        </w:tabs>
        <w:spacing w:line="240" w:lineRule="auto" w:before="80" w:after="0"/>
        <w:ind w:left="2713" w:right="0" w:hanging="320"/>
        <w:jc w:val="left"/>
        <w:rPr>
          <w:sz w:val="22"/>
        </w:rPr>
      </w:pPr>
      <w:r>
        <w:rPr>
          <w:color w:val="393838"/>
          <w:sz w:val="22"/>
        </w:rPr>
        <w:t>Withdrawal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5"/>
          <w:sz w:val="22"/>
        </w:rPr>
        <w:t> </w:t>
      </w:r>
      <w:r>
        <w:rPr>
          <w:color w:val="393838"/>
          <w:sz w:val="22"/>
        </w:rPr>
        <w:t>complaints</w:t>
      </w: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4" w:val="left" w:leader="none"/>
        </w:tabs>
        <w:spacing w:line="240" w:lineRule="auto" w:before="85" w:after="0"/>
        <w:ind w:left="2713" w:right="0" w:hanging="320"/>
        <w:jc w:val="left"/>
        <w:rPr>
          <w:sz w:val="22"/>
        </w:rPr>
      </w:pPr>
      <w:r>
        <w:rPr>
          <w:color w:val="393838"/>
          <w:sz w:val="22"/>
        </w:rPr>
        <w:t>Other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avenues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feedback</w:t>
      </w: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4" w:val="left" w:leader="none"/>
        </w:tabs>
        <w:spacing w:line="268" w:lineRule="auto" w:before="82" w:after="0"/>
        <w:ind w:left="2394" w:right="2404" w:firstLine="0"/>
        <w:jc w:val="left"/>
        <w:rPr>
          <w:sz w:val="22"/>
        </w:rPr>
      </w:pPr>
      <w:r>
        <w:rPr>
          <w:color w:val="393838"/>
          <w:sz w:val="22"/>
        </w:rPr>
        <w:t>Record keeping on complaints in line with ANZSOG’s responsibilities to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protect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privacy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of the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complainants.</w:t>
      </w:r>
    </w:p>
    <w:p>
      <w:pPr>
        <w:spacing w:before="64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Policy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supplemented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two procedures:</w:t>
      </w: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4" w:val="left" w:leader="none"/>
        </w:tabs>
        <w:spacing w:line="240" w:lineRule="auto" w:before="113" w:after="0"/>
        <w:ind w:left="2713" w:right="0" w:hanging="320"/>
        <w:jc w:val="left"/>
        <w:rPr>
          <w:sz w:val="22"/>
        </w:rPr>
      </w:pPr>
      <w:r>
        <w:rPr>
          <w:color w:val="393838"/>
          <w:sz w:val="22"/>
        </w:rPr>
        <w:t>Breaches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6"/>
          <w:sz w:val="22"/>
        </w:rPr>
        <w:t> </w:t>
      </w:r>
      <w:r>
        <w:rPr>
          <w:color w:val="393838"/>
          <w:sz w:val="22"/>
        </w:rPr>
        <w:t>Ethical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Standards</w:t>
      </w: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4" w:val="left" w:leader="none"/>
        </w:tabs>
        <w:spacing w:line="240" w:lineRule="auto" w:before="83" w:after="0"/>
        <w:ind w:left="2713" w:right="0" w:hanging="320"/>
        <w:jc w:val="left"/>
        <w:rPr>
          <w:sz w:val="22"/>
        </w:rPr>
      </w:pPr>
      <w:r>
        <w:rPr>
          <w:color w:val="393838"/>
          <w:sz w:val="22"/>
        </w:rPr>
        <w:t>Resolving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Student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Complaints.</w:t>
      </w:r>
    </w:p>
    <w:p>
      <w:pPr>
        <w:spacing w:line="268" w:lineRule="auto" w:before="109"/>
        <w:ind w:left="1579" w:right="219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policies and procedures are clear and appropriately address the steps to be taken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through the process. We understand that students will be able to submit their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complaint through the Student Portal. If a student is not satisfied with the outcome,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there are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two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references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external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appeal: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5" w:val="left" w:leader="none"/>
        </w:tabs>
        <w:spacing w:line="268" w:lineRule="auto" w:before="0" w:after="0"/>
        <w:ind w:left="2395" w:right="2185" w:firstLine="0"/>
        <w:jc w:val="left"/>
        <w:rPr>
          <w:sz w:val="22"/>
        </w:rPr>
      </w:pPr>
      <w:r>
        <w:rPr>
          <w:color w:val="393838"/>
          <w:sz w:val="22"/>
        </w:rPr>
        <w:t>The </w:t>
      </w:r>
      <w:r>
        <w:rPr>
          <w:i/>
          <w:color w:val="393838"/>
          <w:sz w:val="22"/>
        </w:rPr>
        <w:t>Student Complaints and Grievances Policy </w:t>
      </w:r>
      <w:r>
        <w:rPr>
          <w:color w:val="393838"/>
          <w:sz w:val="22"/>
        </w:rPr>
        <w:t>(4.5 v) provides that: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‘Following exhaustion of the internal complaint processes, for matters which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there is no external avenue of appeal, or complaint mechanism available, a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student can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request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an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independent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external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review.’</w:t>
      </w:r>
    </w:p>
    <w:p>
      <w:pPr>
        <w:pStyle w:val="ListParagraph"/>
        <w:numPr>
          <w:ilvl w:val="0"/>
          <w:numId w:val="28"/>
        </w:numPr>
        <w:tabs>
          <w:tab w:pos="2713" w:val="left" w:leader="none"/>
          <w:tab w:pos="2715" w:val="left" w:leader="none"/>
        </w:tabs>
        <w:spacing w:line="266" w:lineRule="auto" w:before="100" w:after="0"/>
        <w:ind w:left="2395" w:right="2319" w:firstLine="0"/>
        <w:jc w:val="left"/>
        <w:rPr>
          <w:sz w:val="22"/>
        </w:rPr>
      </w:pPr>
      <w:r>
        <w:rPr>
          <w:color w:val="393838"/>
          <w:sz w:val="22"/>
        </w:rPr>
        <w:t>The </w:t>
      </w:r>
      <w:r>
        <w:rPr>
          <w:i/>
          <w:color w:val="393838"/>
          <w:sz w:val="22"/>
        </w:rPr>
        <w:t>Resolving Student Complaints </w:t>
      </w:r>
      <w:r>
        <w:rPr>
          <w:color w:val="393838"/>
          <w:sz w:val="22"/>
        </w:rPr>
        <w:t>Procedure provides that in this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circumstance: ‘ANZSOG may engage an independent investigator or and/or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mediator to address the grievance and provide advice to ANZSOG in regard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to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appropriate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resolution</w:t>
      </w:r>
      <w:r>
        <w:rPr>
          <w:color w:val="393838"/>
          <w:spacing w:val="-5"/>
          <w:sz w:val="22"/>
        </w:rPr>
        <w:t> </w:t>
      </w:r>
      <w:r>
        <w:rPr>
          <w:color w:val="393838"/>
          <w:sz w:val="22"/>
        </w:rPr>
        <w:t>of 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grievance.’</w:t>
      </w:r>
    </w:p>
    <w:p>
      <w:pPr>
        <w:spacing w:line="268" w:lineRule="auto" w:before="107"/>
        <w:ind w:left="1579" w:right="25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These formulations should make a more explicit commitment to provide external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appeal, which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required by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HESF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2.4.3.</w:t>
      </w:r>
    </w:p>
    <w:p>
      <w:pPr>
        <w:spacing w:before="100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response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request for further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information, ANZSOG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promised:</w:t>
      </w:r>
    </w:p>
    <w:p>
      <w:pPr>
        <w:spacing w:line="266" w:lineRule="auto" w:before="133"/>
        <w:ind w:left="1579" w:right="214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In terms of the appeals process, we are planning to add further information about this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in the procedure (resolving student complaints) which will refer more serious matters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 the enrolling university with the option to then engage with an independent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professional to help resolve. We will also include a flow chart to help with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articulation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of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steps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options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 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process.</w:t>
      </w:r>
    </w:p>
    <w:p>
      <w:pPr>
        <w:spacing w:before="46"/>
        <w:ind w:left="538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93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2688" id="docshapegroup243" coordorigin="1131,2438" coordsize="9643,12506">
            <v:shape style="position:absolute;left:8364;top:2765;width:1500;height:435" type="#_x0000_t75" id="docshape244" stroked="false">
              <v:imagedata r:id="rId75" o:title=""/>
            </v:shape>
            <v:shape style="position:absolute;left:2040;top:6352;width:7871;height:8033" id="docshape245" coordorigin="2041,6352" coordsize="7871,8033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8531l2041,8531,2041,8541,9912,8541,9912,8531xm9912,6352l2041,6352,2041,6364,9912,6364,9912,6352xe" filled="true" fillcolor="#231f20" stroked="false">
              <v:path arrowok="t"/>
              <v:fill type="solid"/>
            </v:shape>
            <v:rect style="position:absolute;left:1133;top:2440;width:9638;height:12501" id="docshape246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16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It is not clear how such an arrangement with the enrolling universities would apply in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 case of subjects or services delivered by ANZSOG, and responsibilities for handling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such appeals should be clarified through the services agreements with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universities.</w:t>
      </w:r>
    </w:p>
    <w:p>
      <w:pPr>
        <w:spacing w:line="266" w:lineRule="auto" w:before="107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In the case of appeals not handled by the universities, ANZSOG must make its own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arrangements to access the services of qualified individuals who can provide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mediation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resolution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services.</w:t>
      </w:r>
    </w:p>
    <w:p>
      <w:pPr>
        <w:spacing w:line="266" w:lineRule="auto" w:before="106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ANZSOG collates data on student complaints and grievances, but in 2019 none were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received.</w:t>
      </w:r>
    </w:p>
    <w:p>
      <w:pPr>
        <w:pStyle w:val="BodyText"/>
        <w:spacing w:before="5"/>
        <w:rPr>
          <w:rFonts w:ascii="Calibri"/>
          <w:sz w:val="23"/>
        </w:rPr>
      </w:pPr>
    </w:p>
    <w:p>
      <w:pPr>
        <w:spacing w:line="266" w:lineRule="auto" w:before="0"/>
        <w:ind w:left="1579" w:right="2587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5</w:t>
      </w:r>
      <w:r>
        <w:rPr>
          <w:rFonts w:ascii="Calibri"/>
          <w:color w:val="393838"/>
          <w:sz w:val="22"/>
        </w:rPr>
        <w:t>: Clarify the responsibilities of ANZSOG and the partner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universities for handling appeals, including in the services agreements and on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ANZSOG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website.</w:t>
      </w:r>
    </w:p>
    <w:p>
      <w:pPr>
        <w:spacing w:line="266" w:lineRule="auto" w:before="106"/>
        <w:ind w:left="1579" w:right="2221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6</w:t>
      </w:r>
      <w:r>
        <w:rPr>
          <w:rFonts w:ascii="Calibri"/>
          <w:color w:val="393838"/>
          <w:sz w:val="22"/>
        </w:rPr>
        <w:t>: Ensure that arrangements are in place to access the services of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qualified individuals who can provide mediation and resolution services in the case of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appeals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not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handled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 universities.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2"/>
        <w:rPr>
          <w:rFonts w:ascii="Calibri"/>
          <w:sz w:val="21"/>
        </w:rPr>
      </w:pPr>
    </w:p>
    <w:p>
      <w:pPr>
        <w:pStyle w:val="Heading2"/>
      </w:pPr>
      <w:bookmarkStart w:name="_TOC_250018" w:id="34"/>
      <w:bookmarkEnd w:id="34"/>
      <w:r>
        <w:rPr>
          <w:color w:val="393838"/>
        </w:rPr>
        <w:t>Teaching</w:t>
      </w:r>
    </w:p>
    <w:p>
      <w:pPr>
        <w:pStyle w:val="Heading3"/>
        <w:spacing w:before="40"/>
        <w:ind w:left="1579"/>
        <w:rPr>
          <w:rFonts w:ascii="Calibri"/>
        </w:rPr>
      </w:pPr>
      <w:bookmarkStart w:name="_TOC_250017" w:id="35"/>
      <w:r>
        <w:rPr>
          <w:rFonts w:ascii="Calibri"/>
          <w:color w:val="393838"/>
        </w:rPr>
        <w:t>Course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Design</w:t>
      </w:r>
      <w:r>
        <w:rPr>
          <w:rFonts w:ascii="Calibri"/>
          <w:color w:val="393838"/>
          <w:spacing w:val="5"/>
        </w:rPr>
        <w:t> </w:t>
      </w:r>
      <w:bookmarkEnd w:id="35"/>
      <w:r>
        <w:rPr>
          <w:rFonts w:ascii="Calibri"/>
          <w:color w:val="393838"/>
        </w:rPr>
        <w:t>(3.1)</w:t>
      </w:r>
    </w:p>
    <w:p>
      <w:pPr>
        <w:spacing w:line="266" w:lineRule="auto" w:before="129"/>
        <w:ind w:left="1579" w:right="220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HESF 3.1.1 prescribes a list of topics that must be specified for each course, including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basic elements of course design, entry requirements, assessment, learning outcomes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 any exit pathways. These are all covered in the mix of documents available about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the EMPA, especially the summary of the program in the </w:t>
      </w:r>
      <w:r>
        <w:rPr>
          <w:rFonts w:ascii="Calibri"/>
          <w:i/>
          <w:color w:val="393838"/>
          <w:sz w:val="22"/>
        </w:rPr>
        <w:t>EMPA 2020 Annual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Academic Governance Report, </w:t>
      </w:r>
      <w:r>
        <w:rPr>
          <w:rFonts w:ascii="Calibri"/>
          <w:color w:val="393838"/>
          <w:sz w:val="22"/>
        </w:rPr>
        <w:t>the various policies discussed in this report, and on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website.</w:t>
      </w:r>
    </w:p>
    <w:p>
      <w:pPr>
        <w:spacing w:line="266" w:lineRule="auto" w:before="110"/>
        <w:ind w:left="1579" w:right="219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qualifications, opportunities and outcomes of the course are clearly stated on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website, </w:t>
      </w:r>
      <w:r>
        <w:rPr>
          <w:rFonts w:ascii="Calibri"/>
          <w:color w:val="0461C1"/>
          <w:sz w:val="22"/>
          <w:u w:val="single" w:color="0461C1"/>
        </w:rPr>
        <w:t>https://</w:t>
      </w:r>
      <w:hyperlink r:id="rId78">
        <w:r>
          <w:rPr>
            <w:rFonts w:ascii="Calibri"/>
            <w:color w:val="0461C1"/>
            <w:sz w:val="22"/>
            <w:u w:val="single" w:color="0461C1"/>
          </w:rPr>
          <w:t>www.anzsog.edu.au/masters</w:t>
        </w:r>
        <w:r>
          <w:rPr>
            <w:rFonts w:ascii="Calibri"/>
            <w:color w:val="0461C1"/>
            <w:sz w:val="22"/>
          </w:rPr>
          <w:t> </w:t>
        </w:r>
      </w:hyperlink>
      <w:r>
        <w:rPr>
          <w:rFonts w:ascii="Calibri"/>
          <w:color w:val="393838"/>
          <w:sz w:val="22"/>
        </w:rPr>
        <w:t>and on the course brochure,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0461C1"/>
          <w:sz w:val="22"/>
          <w:u w:val="single" w:color="0461C1"/>
        </w:rPr>
        <w:t>https://</w:t>
      </w:r>
      <w:hyperlink r:id="rId79">
        <w:r>
          <w:rPr>
            <w:rFonts w:ascii="Calibri"/>
            <w:color w:val="0461C1"/>
            <w:sz w:val="22"/>
            <w:u w:val="single" w:color="0461C1"/>
          </w:rPr>
          <w:t>www.anzsog.edu.au/preview-documents/publications-and-brochures/5513-</w:t>
        </w:r>
      </w:hyperlink>
      <w:r>
        <w:rPr>
          <w:rFonts w:ascii="Calibri"/>
          <w:color w:val="0461C1"/>
          <w:spacing w:val="1"/>
          <w:sz w:val="22"/>
        </w:rPr>
        <w:t> </w:t>
      </w:r>
      <w:r>
        <w:rPr>
          <w:rFonts w:ascii="Calibri"/>
          <w:color w:val="0461C1"/>
          <w:sz w:val="22"/>
          <w:u w:val="single" w:color="0461C1"/>
        </w:rPr>
        <w:t>anzsog-empa-brochure-2020-web/file</w:t>
      </w:r>
      <w:r>
        <w:rPr>
          <w:rFonts w:ascii="Calibri"/>
          <w:color w:val="0461C1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material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below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address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Standards 3.1,</w:t>
      </w:r>
    </w:p>
    <w:p>
      <w:pPr>
        <w:spacing w:before="20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5.1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5.3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taken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from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these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sources.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4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94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2176" id="docshapegroup247" coordorigin="1131,2438" coordsize="9643,12506">
            <v:shape style="position:absolute;left:8364;top:2765;width:1500;height:435" type="#_x0000_t75" id="docshape248" stroked="false">
              <v:imagedata r:id="rId75" o:title=""/>
            </v:shape>
            <v:shape style="position:absolute;left:2041;top:14214;width:1745;height:170" id="docshape249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50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173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course awards a postgraduate qualification, an Executive Master of Public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Administration. It is of two years duration and provides an opportunity to public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servants who are deemed emerging public service leaders. Students enrol and receive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their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award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from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one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the partner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universities.</w:t>
      </w:r>
    </w:p>
    <w:p>
      <w:pPr>
        <w:spacing w:line="266" w:lineRule="auto" w:before="107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course consists of 8 intensive blended learning modules, 3 university elective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modules from one of the 10 partner universities, and a capstone work-based project.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Each module consists of around 40 hours of instruction and 80 hours of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study/assignment work.</w:t>
      </w:r>
    </w:p>
    <w:p>
      <w:pPr>
        <w:spacing w:line="266" w:lineRule="auto" w:before="107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course as a whole has 10 expected learning outcomes specified on the website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brochure.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brochure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also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lists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13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attributes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that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graduates should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display.</w:t>
      </w:r>
    </w:p>
    <w:p>
      <w:pPr>
        <w:spacing w:line="268" w:lineRule="auto" w:before="104"/>
        <w:ind w:left="1579" w:right="2156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Each unit of the course is described succinctly on the website and in the brochure in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terms of the issues it addresses and what it aims to achieve. When students log on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commence a unit, the introduction clearly specifies learning outcomes, and the ways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 which the learning outcomes will be achieved. Teaching is offered online through 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mixture of lectures, discussion, guest speakers, and a rich variety of videos, popular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articles, grey literature and scholarly books and journals, all included as course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materials which can be readily accessed by students. Successful learning relies only on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access to a computer and good internet. Since students are relatively senior public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servants, both these conditions should be met. I found no evidence of glitches in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delivery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materials as I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scanned materials 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student discussion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pages.</w:t>
      </w:r>
    </w:p>
    <w:p>
      <w:pPr>
        <w:spacing w:line="266" w:lineRule="auto" w:before="92"/>
        <w:ind w:left="1579" w:right="217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Each of the units commences with a “soft” assessment exercise and progresses to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more demanding exercises involving integrating academic knowledge gained in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course with real workplace challenges. Each unit has 3 to 4 pieces of assessment tied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to specific components of the unit (termed modules within the online material for the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unit) and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learning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outcomes.</w:t>
      </w:r>
    </w:p>
    <w:p>
      <w:pPr>
        <w:spacing w:line="266" w:lineRule="auto" w:before="108"/>
        <w:ind w:left="1579" w:right="2171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content of the course aligns well with highly regarded overseas programs offering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public administration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master degrees,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including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those offering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executive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courses.</w:t>
      </w:r>
    </w:p>
    <w:p>
      <w:pPr>
        <w:spacing w:line="271" w:lineRule="auto" w:before="10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Comparisons were made with the London School of Economics and Political Science,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University College London, Fels Institute of Government at the University of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Pennsylvania, and the Lee Kuan Yew School of Public Policy at the National University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of Singapore. Executive courses offer an opportunity to align content more closely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with work, as the EMPA does. This may lead to courses being a little more focused in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content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meet student and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workplace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demands. The organisation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units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</w:p>
    <w:p>
      <w:pPr>
        <w:pStyle w:val="BodyText"/>
        <w:spacing w:before="11"/>
        <w:rPr>
          <w:rFonts w:ascii="Calibri"/>
          <w:sz w:val="29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95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1664" id="docshapegroup251" coordorigin="1131,2438" coordsize="9643,12506">
            <v:shape style="position:absolute;left:8364;top:2765;width:1500;height:435" type="#_x0000_t75" id="docshape252" stroked="false">
              <v:imagedata r:id="rId75" o:title=""/>
            </v:shape>
            <v:shape style="position:absolute;left:2041;top:14214;width:1745;height:170" id="docshape253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54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modules follows the basic design of the successful overseas academic programs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mentioned above.</w:t>
      </w:r>
    </w:p>
    <w:p>
      <w:pPr>
        <w:spacing w:line="266" w:lineRule="auto" w:before="104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It is beyond the scope of this report to make a full assessment of whether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remaining requirements of HESF 3.1 are met, such as the requirement that the course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should engage with advanced knowledge and inquiry consistent with the level of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study, or the extent to which teaching and learning activities are arranged to foster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progressive and coherent achievement of the learning outcomes. These should be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given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detailed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consideration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in the Academic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Program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Review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that 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due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follow.</w:t>
      </w:r>
    </w:p>
    <w:p>
      <w:pPr>
        <w:spacing w:line="266" w:lineRule="auto" w:before="110"/>
        <w:ind w:left="1579" w:right="199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Some preliminary observations and suggested directions are given below in the final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section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of this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report, ‘Towards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Academic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Program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Review’.</w:t>
      </w:r>
    </w:p>
    <w:p>
      <w:pPr>
        <w:spacing w:line="266" w:lineRule="auto" w:before="104"/>
        <w:ind w:left="1579" w:right="2074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</w:t>
      </w:r>
      <w:r>
        <w:rPr>
          <w:rFonts w:ascii="Calibri"/>
          <w:i/>
          <w:color w:val="393838"/>
          <w:sz w:val="22"/>
        </w:rPr>
        <w:t>EMPA 2020 Annual Academic Governance Report </w:t>
      </w:r>
      <w:r>
        <w:rPr>
          <w:rFonts w:ascii="Calibri"/>
          <w:color w:val="393838"/>
          <w:sz w:val="22"/>
        </w:rPr>
        <w:t>includes the program learning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outcomes and the subject learning outcomes, as well as a table mapping these against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each other. For the purposes of the next Academic Program Review, this can be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extended to show the basis for assurance of learning, i.e. that assessment is designed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 ensure that students demonstrate the learning outcomes for the program as 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whole, 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not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just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each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unit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(1.4.3-4).</w:t>
      </w:r>
    </w:p>
    <w:p>
      <w:pPr>
        <w:spacing w:line="268" w:lineRule="auto" w:before="110"/>
        <w:ind w:left="1579" w:right="214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program learning outcomes appear to be quite advanced and consistent with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AQF9 learning outcomes, requiring students to ‘critically analyse’ issues and ‘critically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appraise’ data and evidence, and to ‘solve complex real-world problems’. The learning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outcomes of the earlier subjects resort to lower-order phrases such as ‘understand’,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‘appreciate’ and ‘characterise’, however even these subjects include more advanced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topics such as ‘design policies and programs that are likely to produce ongoing public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benefits’, and the learning outcomes for later subjects are clearly at AQF 9 level and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consistent with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program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learning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outcomes.</w:t>
      </w:r>
    </w:p>
    <w:p>
      <w:pPr>
        <w:spacing w:line="266" w:lineRule="auto" w:before="94"/>
        <w:ind w:left="1579" w:right="228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Arguably, this is overall consistent with HESF 3.1.3: ‘Teaching and learning activities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are arranged to foster progressive and coherent achievement of expected learning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outcomes throughout each course of study’, moving through a progression from less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more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advanced topics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activities.</w:t>
      </w:r>
    </w:p>
    <w:p>
      <w:pPr>
        <w:spacing w:line="285" w:lineRule="auto" w:before="107"/>
        <w:ind w:left="1579" w:right="2643" w:firstLine="0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wide-ranging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Academic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Program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Review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needed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ensure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z w:val="22"/>
        </w:rPr>
        <w:t>EMPA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remains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current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compliant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with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HESF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5.3,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but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there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no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reason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believe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it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does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not</w:t>
      </w:r>
      <w:r>
        <w:rPr>
          <w:rFonts w:ascii="Calibri"/>
          <w:color w:val="393838"/>
          <w:spacing w:val="-48"/>
          <w:sz w:val="22"/>
        </w:rPr>
        <w:t> </w:t>
      </w:r>
      <w:r>
        <w:rPr>
          <w:rFonts w:ascii="Calibri"/>
          <w:color w:val="393838"/>
          <w:sz w:val="22"/>
        </w:rPr>
        <w:t>comply with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HESF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3.1.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96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1152" id="docshapegroup255" coordorigin="1131,2438" coordsize="9643,12506">
            <v:shape style="position:absolute;left:8364;top:2765;width:1500;height:435" type="#_x0000_t75" id="docshape256" stroked="false">
              <v:imagedata r:id="rId75" o:title=""/>
            </v:shape>
            <v:shape style="position:absolute;left:2041;top:14214;width:1745;height:170" id="docshape257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58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3"/>
        <w:spacing w:before="184"/>
        <w:ind w:left="1579"/>
        <w:rPr>
          <w:rFonts w:ascii="Calibri"/>
        </w:rPr>
      </w:pPr>
      <w:bookmarkStart w:name="_TOC_250016" w:id="36"/>
      <w:r>
        <w:rPr>
          <w:rFonts w:ascii="Calibri"/>
          <w:color w:val="393838"/>
        </w:rPr>
        <w:t>Staffing</w:t>
      </w:r>
      <w:r>
        <w:rPr>
          <w:rFonts w:ascii="Calibri"/>
          <w:color w:val="393838"/>
          <w:spacing w:val="4"/>
        </w:rPr>
        <w:t> </w:t>
      </w:r>
      <w:bookmarkEnd w:id="36"/>
      <w:r>
        <w:rPr>
          <w:rFonts w:ascii="Calibri"/>
          <w:color w:val="393838"/>
        </w:rPr>
        <w:t>(3.2)</w:t>
      </w:r>
    </w:p>
    <w:p>
      <w:pPr>
        <w:spacing w:line="266" w:lineRule="auto" w:before="125"/>
        <w:ind w:left="1579" w:right="2385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Academic leadership is provided by an Academic Director, currently a Deputy Dean,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and there is a list of current faculty who deliver the program at: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0461C1"/>
          <w:sz w:val="22"/>
          <w:u w:val="single" w:color="0461C1"/>
        </w:rPr>
        <w:t>https://</w:t>
      </w:r>
      <w:hyperlink r:id="rId78">
        <w:r>
          <w:rPr>
            <w:rFonts w:ascii="Calibri"/>
            <w:color w:val="0461C1"/>
            <w:sz w:val="22"/>
            <w:u w:val="single" w:color="0461C1"/>
          </w:rPr>
          <w:t>www.anzsog.edu.au/masters</w:t>
        </w:r>
        <w:r>
          <w:rPr>
            <w:rFonts w:ascii="Calibri"/>
            <w:color w:val="393838"/>
            <w:sz w:val="22"/>
          </w:rPr>
          <w:t>.</w:t>
        </w:r>
      </w:hyperlink>
    </w:p>
    <w:p>
      <w:pPr>
        <w:spacing w:line="266" w:lineRule="auto" w:before="106"/>
        <w:ind w:left="1579" w:right="2183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Each unit of the course has a coordinator who is well qualified to lead the educational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program. For some units that are broad and introductory in nature a number of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academic staff are involved to cover different aspects of the curriculum. Even in cases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where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one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academic is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primarily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responsible for delivery,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general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practice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use guest presenters with varied experience to ensure connections are made with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real-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world problem-solving.</w:t>
      </w:r>
    </w:p>
    <w:p>
      <w:pPr>
        <w:spacing w:line="268" w:lineRule="auto" w:before="110"/>
        <w:ind w:left="1579" w:right="2156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All teaching staff are exceptionally well qualified, many have written texts and articles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relevant to the areas in which they are teaching, and the general practice is to ensure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students are aware of their availability for consultation and discussion through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bulletins 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notices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portal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each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units.</w:t>
      </w:r>
    </w:p>
    <w:p>
      <w:pPr>
        <w:spacing w:line="266" w:lineRule="auto" w:before="100"/>
        <w:ind w:left="1579" w:right="2348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qualifications and experience of the teaching faculty are exceptionally high, and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beyond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question,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meeting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requirements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of this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section.</w:t>
      </w:r>
    </w:p>
    <w:p>
      <w:pPr>
        <w:pStyle w:val="Heading3"/>
        <w:spacing w:before="166"/>
        <w:ind w:left="1579"/>
        <w:rPr>
          <w:rFonts w:ascii="Calibri"/>
        </w:rPr>
      </w:pPr>
      <w:bookmarkStart w:name="_TOC_250015" w:id="37"/>
      <w:r>
        <w:rPr>
          <w:rFonts w:ascii="Calibri"/>
          <w:color w:val="393838"/>
        </w:rPr>
        <w:t>Learning</w:t>
      </w:r>
      <w:r>
        <w:rPr>
          <w:rFonts w:ascii="Calibri"/>
          <w:color w:val="393838"/>
          <w:spacing w:val="8"/>
        </w:rPr>
        <w:t> </w:t>
      </w:r>
      <w:r>
        <w:rPr>
          <w:rFonts w:ascii="Calibri"/>
          <w:color w:val="393838"/>
        </w:rPr>
        <w:t>Resources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8"/>
        </w:rPr>
        <w:t> </w:t>
      </w:r>
      <w:r>
        <w:rPr>
          <w:rFonts w:ascii="Calibri"/>
          <w:color w:val="393838"/>
        </w:rPr>
        <w:t>Educational</w:t>
      </w:r>
      <w:r>
        <w:rPr>
          <w:rFonts w:ascii="Calibri"/>
          <w:color w:val="393838"/>
          <w:spacing w:val="9"/>
        </w:rPr>
        <w:t> </w:t>
      </w:r>
      <w:r>
        <w:rPr>
          <w:rFonts w:ascii="Calibri"/>
          <w:color w:val="393838"/>
        </w:rPr>
        <w:t>Support</w:t>
      </w:r>
      <w:r>
        <w:rPr>
          <w:rFonts w:ascii="Calibri"/>
          <w:color w:val="393838"/>
          <w:spacing w:val="6"/>
        </w:rPr>
        <w:t> </w:t>
      </w:r>
      <w:bookmarkEnd w:id="37"/>
      <w:r>
        <w:rPr>
          <w:rFonts w:ascii="Calibri"/>
          <w:color w:val="393838"/>
        </w:rPr>
        <w:t>(3.3)</w:t>
      </w:r>
    </w:p>
    <w:p>
      <w:pPr>
        <w:spacing w:line="266" w:lineRule="auto" w:before="129"/>
        <w:ind w:left="1579" w:right="2188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Students are able to access all the learning resources of the university where they are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enrolled. There is a low risk that these would not meet requirements or fall below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level where they would support students achieving the learning outcomes of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program.</w:t>
      </w:r>
    </w:p>
    <w:p>
      <w:pPr>
        <w:spacing w:line="266" w:lineRule="auto" w:before="107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resources available are high quality and proved to be easily accessible from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multiple locations. The on-line discussions indicated that students were engaged in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learning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teaching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staff were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responsive to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their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needs 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queries.</w:t>
      </w:r>
    </w:p>
    <w:p>
      <w:pPr>
        <w:spacing w:line="266" w:lineRule="auto" w:before="110"/>
        <w:ind w:left="1579" w:right="221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Students have ready access to support from EMPA subject leaders via email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phone for individual guidance and advice about learning content, assessment pieces,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or additional support requirements. They also have access to the educational support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services of the university where they are enrolled, and there is a low risk that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educational support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would fall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below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requirements.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9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97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0640" id="docshapegroup259" coordorigin="1131,2438" coordsize="9643,12506">
            <v:shape style="position:absolute;left:8364;top:2765;width:1500;height:435" type="#_x0000_t75" id="docshape260" stroked="false">
              <v:imagedata r:id="rId75" o:title=""/>
            </v:shape>
            <v:shape style="position:absolute;left:2041;top:14214;width:1745;height:170" id="docshape261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62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7"/>
        </w:rPr>
      </w:pPr>
    </w:p>
    <w:p>
      <w:pPr>
        <w:pStyle w:val="Heading2"/>
        <w:spacing w:before="86"/>
      </w:pPr>
      <w:bookmarkStart w:name="_TOC_250014" w:id="38"/>
      <w:r>
        <w:rPr>
          <w:color w:val="303C4F"/>
        </w:rPr>
        <w:t>Institutional</w:t>
      </w:r>
      <w:r>
        <w:rPr>
          <w:color w:val="303C4F"/>
          <w:spacing w:val="-7"/>
        </w:rPr>
        <w:t> </w:t>
      </w:r>
      <w:r>
        <w:rPr>
          <w:color w:val="303C4F"/>
        </w:rPr>
        <w:t>Quality</w:t>
      </w:r>
      <w:r>
        <w:rPr>
          <w:color w:val="303C4F"/>
          <w:spacing w:val="-11"/>
        </w:rPr>
        <w:t> </w:t>
      </w:r>
      <w:bookmarkEnd w:id="38"/>
      <w:r>
        <w:rPr>
          <w:color w:val="303C4F"/>
        </w:rPr>
        <w:t>Assurance</w:t>
      </w:r>
    </w:p>
    <w:p>
      <w:pPr>
        <w:pStyle w:val="Heading3"/>
        <w:spacing w:before="40"/>
        <w:ind w:left="1579"/>
        <w:rPr>
          <w:rFonts w:ascii="Calibri"/>
        </w:rPr>
      </w:pPr>
      <w:bookmarkStart w:name="_TOC_250013" w:id="39"/>
      <w:r>
        <w:rPr>
          <w:rFonts w:ascii="Calibri"/>
          <w:color w:val="393838"/>
        </w:rPr>
        <w:t>Course</w:t>
      </w:r>
      <w:r>
        <w:rPr>
          <w:rFonts w:ascii="Calibri"/>
          <w:color w:val="393838"/>
          <w:spacing w:val="8"/>
        </w:rPr>
        <w:t> </w:t>
      </w:r>
      <w:r>
        <w:rPr>
          <w:rFonts w:ascii="Calibri"/>
          <w:color w:val="393838"/>
        </w:rPr>
        <w:t>Approval</w:t>
      </w:r>
      <w:r>
        <w:rPr>
          <w:rFonts w:ascii="Calibri"/>
          <w:color w:val="393838"/>
          <w:spacing w:val="8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Accreditation</w:t>
      </w:r>
      <w:r>
        <w:rPr>
          <w:rFonts w:ascii="Calibri"/>
          <w:color w:val="393838"/>
          <w:spacing w:val="3"/>
        </w:rPr>
        <w:t> </w:t>
      </w:r>
      <w:bookmarkEnd w:id="39"/>
      <w:r>
        <w:rPr>
          <w:rFonts w:ascii="Calibri"/>
          <w:color w:val="393838"/>
        </w:rPr>
        <w:t>(5.1)</w:t>
      </w:r>
    </w:p>
    <w:p>
      <w:pPr>
        <w:spacing w:line="266" w:lineRule="auto" w:before="129"/>
        <w:ind w:left="1579" w:right="217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ANZSOG’s </w:t>
      </w:r>
      <w:r>
        <w:rPr>
          <w:rFonts w:ascii="Calibri" w:hAnsi="Calibri"/>
          <w:i/>
          <w:color w:val="393838"/>
          <w:sz w:val="22"/>
        </w:rPr>
        <w:t>Program Design and Delivery Policy </w:t>
      </w:r>
      <w:r>
        <w:rPr>
          <w:rFonts w:ascii="Calibri" w:hAnsi="Calibri"/>
          <w:color w:val="393838"/>
          <w:sz w:val="22"/>
        </w:rPr>
        <w:t>describes the nature and structure of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EMPA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program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organisational structures that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support its delivery.</w:t>
      </w:r>
    </w:p>
    <w:p>
      <w:pPr>
        <w:spacing w:line="266" w:lineRule="auto" w:before="105"/>
        <w:ind w:left="1579" w:right="2935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ANZSOG does not seem to have a policy framework for the approval of a new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program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as: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71" w:lineRule="auto" w:before="22" w:after="0"/>
        <w:ind w:left="2390" w:right="2299" w:firstLine="0"/>
        <w:jc w:val="left"/>
        <w:rPr>
          <w:sz w:val="22"/>
        </w:rPr>
      </w:pPr>
      <w:r>
        <w:rPr>
          <w:color w:val="393838"/>
          <w:sz w:val="22"/>
        </w:rPr>
        <w:t>it is a special-purpose vehicle created for the delivery of one AQF award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(and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other</w:t>
      </w:r>
      <w:r>
        <w:rPr>
          <w:color w:val="393838"/>
          <w:spacing w:val="5"/>
          <w:sz w:val="22"/>
        </w:rPr>
        <w:t> </w:t>
      </w:r>
      <w:r>
        <w:rPr>
          <w:color w:val="393838"/>
          <w:sz w:val="22"/>
        </w:rPr>
        <w:t>non-award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activities)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66" w:lineRule="auto" w:before="15" w:after="0"/>
        <w:ind w:left="2390" w:right="2481" w:firstLine="0"/>
        <w:jc w:val="left"/>
        <w:rPr>
          <w:sz w:val="22"/>
        </w:rPr>
      </w:pPr>
      <w:r>
        <w:rPr>
          <w:color w:val="393838"/>
          <w:sz w:val="22"/>
        </w:rPr>
        <w:t>the accreditation of the program is undertaken by each of the partner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universities.</w:t>
      </w:r>
    </w:p>
    <w:p>
      <w:pPr>
        <w:spacing w:line="285" w:lineRule="auto" w:before="105"/>
        <w:ind w:left="1579" w:right="2423" w:firstLine="0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This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not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concern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as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there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are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no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plans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develop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new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courses,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standing</w:t>
      </w:r>
      <w:r>
        <w:rPr>
          <w:rFonts w:ascii="Calibri"/>
          <w:color w:val="393838"/>
          <w:spacing w:val="-48"/>
          <w:sz w:val="22"/>
        </w:rPr>
        <w:t> </w:t>
      </w:r>
      <w:r>
        <w:rPr>
          <w:rFonts w:ascii="Calibri"/>
          <w:color w:val="393838"/>
          <w:sz w:val="22"/>
        </w:rPr>
        <w:t>accreditation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approval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processes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partner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universities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primarily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responsible for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course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approval 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accreditation.</w:t>
      </w:r>
    </w:p>
    <w:p>
      <w:pPr>
        <w:pStyle w:val="Heading3"/>
        <w:spacing w:before="71"/>
        <w:ind w:left="1579"/>
        <w:jc w:val="both"/>
        <w:rPr>
          <w:rFonts w:ascii="Calibri"/>
        </w:rPr>
      </w:pPr>
      <w:bookmarkStart w:name="_TOC_250012" w:id="40"/>
      <w:r>
        <w:rPr>
          <w:rFonts w:ascii="Calibri"/>
          <w:color w:val="393838"/>
        </w:rPr>
        <w:t>Academic</w:t>
      </w:r>
      <w:r>
        <w:rPr>
          <w:rFonts w:ascii="Calibri"/>
          <w:color w:val="393838"/>
          <w:spacing w:val="4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8"/>
        </w:rPr>
        <w:t> </w:t>
      </w:r>
      <w:r>
        <w:rPr>
          <w:rFonts w:ascii="Calibri"/>
          <w:color w:val="393838"/>
        </w:rPr>
        <w:t>Research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Integrity</w:t>
      </w:r>
      <w:r>
        <w:rPr>
          <w:rFonts w:ascii="Calibri"/>
          <w:color w:val="393838"/>
          <w:spacing w:val="8"/>
        </w:rPr>
        <w:t> </w:t>
      </w:r>
      <w:bookmarkEnd w:id="40"/>
      <w:r>
        <w:rPr>
          <w:rFonts w:ascii="Calibri"/>
          <w:color w:val="393838"/>
        </w:rPr>
        <w:t>(5.2)</w:t>
      </w:r>
    </w:p>
    <w:p>
      <w:pPr>
        <w:spacing w:line="266" w:lineRule="auto" w:before="125"/>
        <w:ind w:left="1579" w:right="251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</w:t>
      </w:r>
      <w:r>
        <w:rPr>
          <w:rFonts w:ascii="Calibri" w:hAnsi="Calibri"/>
          <w:i/>
          <w:color w:val="393838"/>
          <w:sz w:val="22"/>
        </w:rPr>
        <w:t>Academic Integrity Policy </w:t>
      </w:r>
      <w:r>
        <w:rPr>
          <w:rFonts w:ascii="Calibri" w:hAnsi="Calibri"/>
          <w:color w:val="393838"/>
          <w:sz w:val="22"/>
        </w:rPr>
        <w:t>sets an appropriate framework for promoting and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upholding academic integrity. It establishes a primarily educative approach — but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provides for confirmed breaches to be reported upwards by subject leaders to the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EMPA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Academic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Director.</w:t>
      </w:r>
    </w:p>
    <w:p>
      <w:pPr>
        <w:spacing w:line="268" w:lineRule="auto" w:before="107"/>
        <w:ind w:left="1579" w:right="222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</w:t>
      </w:r>
      <w:r>
        <w:rPr>
          <w:rFonts w:ascii="Calibri" w:hAnsi="Calibri"/>
          <w:i/>
          <w:color w:val="393838"/>
          <w:sz w:val="22"/>
        </w:rPr>
        <w:t>Breaches in Ethical Standards Procedures </w:t>
      </w:r>
      <w:r>
        <w:rPr>
          <w:rFonts w:ascii="Calibri" w:hAnsi="Calibri"/>
          <w:color w:val="393838"/>
          <w:sz w:val="22"/>
        </w:rPr>
        <w:t>lay out the steps taken to implement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 principles in the </w:t>
      </w:r>
      <w:r>
        <w:rPr>
          <w:rFonts w:ascii="Calibri" w:hAnsi="Calibri"/>
          <w:i/>
          <w:color w:val="393838"/>
          <w:sz w:val="22"/>
        </w:rPr>
        <w:t>Academic Integrity Policy</w:t>
      </w:r>
      <w:r>
        <w:rPr>
          <w:rFonts w:ascii="Calibri" w:hAnsi="Calibri"/>
          <w:color w:val="393838"/>
          <w:sz w:val="22"/>
        </w:rPr>
        <w:t>, starting with publishing the relevant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policies and procedures via the Learning Management System. There is a detailed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series of steps that are taken in response to any potential occurrence of plagiarism as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well as similar sets for other forms of breaches including contract cheating, and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research misconduct. These are logical and appropriate. They require students to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attend a meeting and provide an explanation, and it would be helpful to include an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explicit requirement to provide an explanation in writing, not just verbally at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meeting. In the event that the matter is taken further, there needs to be a written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record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student’s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case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in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event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of a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dispute.</w:t>
      </w:r>
    </w:p>
    <w:p>
      <w:pPr>
        <w:spacing w:line="268" w:lineRule="auto" w:before="92"/>
        <w:ind w:left="1579" w:right="3428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Penalties are detailed in the Procedure and can extend to suspension or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disqualification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serious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or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persistent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breaches.</w:t>
      </w:r>
    </w:p>
    <w:p>
      <w:pPr>
        <w:spacing w:line="266" w:lineRule="auto" w:before="99"/>
        <w:ind w:left="1579" w:right="2139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ANZSOG did not provide information about any cases of suspected breaches that have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occurred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recent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years, so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is not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possible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assess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extent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which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</w:p>
    <w:p>
      <w:pPr>
        <w:spacing w:before="27"/>
        <w:ind w:left="538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98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40128" id="docshapegroup263" coordorigin="1131,2438" coordsize="9643,12506">
            <v:shape style="position:absolute;left:8364;top:2765;width:1500;height:435" type="#_x0000_t75" id="docshape264" stroked="false">
              <v:imagedata r:id="rId75" o:title=""/>
            </v:shape>
            <v:shape style="position:absolute;left:2040;top:5351;width:7871;height:9033" id="docshape265" coordorigin="2041,5352" coordsize="7871,9033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6229l2041,6229,2041,6240,9912,6240,9912,6229xm9912,5352l2041,5352,2041,5363,9912,5363,9912,5352xe" filled="true" fillcolor="#231f20" stroked="false">
              <v:path arrowok="t"/>
              <v:fill type="solid"/>
            </v:shape>
            <v:rect style="position:absolute;left:1133;top:2440;width:9638;height:12501" id="docshape266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201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Procedure has been implemented, however, it is likely that any occurrences would be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readily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detected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in 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small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elite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cohort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such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as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this.</w:t>
      </w:r>
    </w:p>
    <w:p>
      <w:pPr>
        <w:spacing w:line="266" w:lineRule="auto" w:before="104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Policy does not cover appeals against academic integrity decisions. It may be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intended for appeals to be covered by the </w:t>
      </w:r>
      <w:r>
        <w:rPr>
          <w:rFonts w:ascii="Calibri"/>
          <w:i/>
          <w:color w:val="393838"/>
          <w:sz w:val="22"/>
        </w:rPr>
        <w:t>Student Complaints and Grievances Policy</w:t>
      </w:r>
      <w:r>
        <w:rPr>
          <w:rFonts w:ascii="Calibri"/>
          <w:color w:val="393838"/>
          <w:sz w:val="22"/>
        </w:rPr>
        <w:t>,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but this is not stated, and the formulations about appeals in the </w:t>
      </w:r>
      <w:r>
        <w:rPr>
          <w:rFonts w:ascii="Calibri"/>
          <w:i/>
          <w:color w:val="393838"/>
          <w:sz w:val="22"/>
        </w:rPr>
        <w:t>Student Complaints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and Grievances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Policy </w:t>
      </w:r>
      <w:r>
        <w:rPr>
          <w:rFonts w:ascii="Calibri"/>
          <w:color w:val="393838"/>
          <w:sz w:val="22"/>
        </w:rPr>
        <w:t>are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themselves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not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clear.</w:t>
      </w:r>
    </w:p>
    <w:p>
      <w:pPr>
        <w:pStyle w:val="BodyText"/>
        <w:spacing w:before="8"/>
        <w:rPr>
          <w:rFonts w:ascii="Calibri"/>
          <w:sz w:val="23"/>
        </w:rPr>
      </w:pPr>
    </w:p>
    <w:p>
      <w:pPr>
        <w:spacing w:line="266" w:lineRule="auto" w:before="0"/>
        <w:ind w:left="1579" w:right="2796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7</w:t>
      </w:r>
      <w:r>
        <w:rPr>
          <w:rFonts w:ascii="Calibri"/>
          <w:color w:val="393838"/>
          <w:sz w:val="22"/>
        </w:rPr>
        <w:t>: Clarify the policy framework for appeals against academic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integrity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decisions.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25"/>
        </w:rPr>
      </w:pPr>
    </w:p>
    <w:p>
      <w:pPr>
        <w:pStyle w:val="Heading3"/>
        <w:spacing w:before="1"/>
        <w:ind w:left="1579"/>
        <w:rPr>
          <w:rFonts w:ascii="Calibri"/>
        </w:rPr>
      </w:pPr>
      <w:bookmarkStart w:name="_TOC_250011" w:id="41"/>
      <w:r>
        <w:rPr>
          <w:rFonts w:ascii="Calibri"/>
          <w:color w:val="393838"/>
        </w:rPr>
        <w:t>Monitoring,</w:t>
      </w:r>
      <w:r>
        <w:rPr>
          <w:rFonts w:ascii="Calibri"/>
          <w:color w:val="393838"/>
          <w:spacing w:val="7"/>
        </w:rPr>
        <w:t> </w:t>
      </w:r>
      <w:r>
        <w:rPr>
          <w:rFonts w:ascii="Calibri"/>
          <w:color w:val="393838"/>
        </w:rPr>
        <w:t>Review</w:t>
      </w:r>
      <w:r>
        <w:rPr>
          <w:rFonts w:ascii="Calibri"/>
          <w:color w:val="393838"/>
          <w:spacing w:val="10"/>
        </w:rPr>
        <w:t> </w:t>
      </w:r>
      <w:r>
        <w:rPr>
          <w:rFonts w:ascii="Calibri"/>
          <w:color w:val="393838"/>
        </w:rPr>
        <w:t>and</w:t>
      </w:r>
      <w:r>
        <w:rPr>
          <w:rFonts w:ascii="Calibri"/>
          <w:color w:val="393838"/>
          <w:spacing w:val="9"/>
        </w:rPr>
        <w:t> </w:t>
      </w:r>
      <w:r>
        <w:rPr>
          <w:rFonts w:ascii="Calibri"/>
          <w:color w:val="393838"/>
        </w:rPr>
        <w:t>Improvement</w:t>
      </w:r>
      <w:r>
        <w:rPr>
          <w:rFonts w:ascii="Calibri"/>
          <w:color w:val="393838"/>
          <w:spacing w:val="7"/>
        </w:rPr>
        <w:t> </w:t>
      </w:r>
      <w:bookmarkEnd w:id="41"/>
      <w:r>
        <w:rPr>
          <w:rFonts w:ascii="Calibri"/>
          <w:color w:val="393838"/>
        </w:rPr>
        <w:t>(5.3)</w:t>
      </w:r>
    </w:p>
    <w:p>
      <w:pPr>
        <w:spacing w:before="93"/>
        <w:ind w:left="1579" w:right="0" w:firstLine="0"/>
        <w:jc w:val="left"/>
        <w:rPr>
          <w:rFonts w:ascii="Arial"/>
          <w:b/>
          <w:sz w:val="19"/>
        </w:rPr>
      </w:pPr>
      <w:bookmarkStart w:name="_TOC_250010" w:id="42"/>
      <w:r>
        <w:rPr>
          <w:rFonts w:ascii="Arial"/>
          <w:b/>
          <w:color w:val="393838"/>
          <w:sz w:val="19"/>
        </w:rPr>
        <w:t>Comprehensive</w:t>
      </w:r>
      <w:r>
        <w:rPr>
          <w:rFonts w:ascii="Arial"/>
          <w:b/>
          <w:color w:val="393838"/>
          <w:spacing w:val="-8"/>
          <w:sz w:val="19"/>
        </w:rPr>
        <w:t> </w:t>
      </w:r>
      <w:r>
        <w:rPr>
          <w:rFonts w:ascii="Arial"/>
          <w:b/>
          <w:color w:val="393838"/>
          <w:sz w:val="19"/>
        </w:rPr>
        <w:t>Course</w:t>
      </w:r>
      <w:r>
        <w:rPr>
          <w:rFonts w:ascii="Arial"/>
          <w:b/>
          <w:color w:val="393838"/>
          <w:spacing w:val="-7"/>
          <w:sz w:val="19"/>
        </w:rPr>
        <w:t> </w:t>
      </w:r>
      <w:bookmarkEnd w:id="42"/>
      <w:r>
        <w:rPr>
          <w:rFonts w:ascii="Arial"/>
          <w:b/>
          <w:color w:val="393838"/>
          <w:sz w:val="19"/>
        </w:rPr>
        <w:t>Review</w:t>
      </w:r>
    </w:p>
    <w:p>
      <w:pPr>
        <w:spacing w:line="268" w:lineRule="auto" w:before="159"/>
        <w:ind w:left="1579" w:right="217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Some limited observations on Course Design were offered above as part of the Phase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1 review of the EMPA program. We understand that Phase 2 (the Academic Program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Review) will be ‘focused on a deeper academic perspective, including program design,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subject content, and the broader academic and scholarly standing of the program’, as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stated in the Request for Quotation for Phase 1. The Phase 2 report will need to cover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all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elements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an Academic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Program Review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that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are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outlined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in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HESF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Section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5.3, including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(and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going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beyond):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96" w:after="0"/>
        <w:ind w:left="2713" w:right="0" w:hanging="319"/>
        <w:jc w:val="left"/>
        <w:rPr>
          <w:sz w:val="22"/>
        </w:rPr>
      </w:pPr>
      <w:r>
        <w:rPr>
          <w:color w:val="393838"/>
          <w:sz w:val="22"/>
        </w:rPr>
        <w:t>Design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content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19"/>
        <w:jc w:val="left"/>
        <w:rPr>
          <w:sz w:val="22"/>
        </w:rPr>
      </w:pPr>
      <w:r>
        <w:rPr>
          <w:color w:val="393838"/>
          <w:sz w:val="22"/>
        </w:rPr>
        <w:t>Expected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learning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outcomes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34" w:after="0"/>
        <w:ind w:left="2713" w:right="0" w:hanging="319"/>
        <w:jc w:val="left"/>
        <w:rPr>
          <w:sz w:val="22"/>
        </w:rPr>
      </w:pPr>
      <w:r>
        <w:rPr>
          <w:color w:val="393838"/>
          <w:sz w:val="22"/>
        </w:rPr>
        <w:t>Methods for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assessment of</w:t>
      </w:r>
      <w:r>
        <w:rPr>
          <w:color w:val="393838"/>
          <w:spacing w:val="-5"/>
          <w:sz w:val="22"/>
        </w:rPr>
        <w:t> </w:t>
      </w:r>
      <w:r>
        <w:rPr>
          <w:color w:val="393838"/>
          <w:sz w:val="22"/>
        </w:rPr>
        <w:t>those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outcomes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19"/>
        <w:jc w:val="left"/>
        <w:rPr>
          <w:sz w:val="22"/>
        </w:rPr>
      </w:pPr>
      <w:r>
        <w:rPr>
          <w:color w:val="393838"/>
          <w:sz w:val="22"/>
        </w:rPr>
        <w:t>The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extent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students’ achievement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learning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outcomes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32" w:after="0"/>
        <w:ind w:left="2713" w:right="0" w:hanging="319"/>
        <w:jc w:val="left"/>
        <w:rPr>
          <w:sz w:val="22"/>
        </w:rPr>
      </w:pPr>
      <w:r>
        <w:rPr>
          <w:color w:val="393838"/>
          <w:sz w:val="22"/>
        </w:rPr>
        <w:t>Emerging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developments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in 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field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5"/>
          <w:sz w:val="22"/>
        </w:rPr>
        <w:t> </w:t>
      </w:r>
      <w:r>
        <w:rPr>
          <w:color w:val="393838"/>
          <w:sz w:val="22"/>
        </w:rPr>
        <w:t>education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19"/>
        <w:jc w:val="left"/>
        <w:rPr>
          <w:sz w:val="22"/>
        </w:rPr>
      </w:pPr>
      <w:r>
        <w:rPr>
          <w:color w:val="393838"/>
          <w:sz w:val="22"/>
        </w:rPr>
        <w:t>Modes of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delivery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34" w:after="0"/>
        <w:ind w:left="2713" w:right="0" w:hanging="320"/>
        <w:jc w:val="left"/>
        <w:rPr>
          <w:sz w:val="22"/>
        </w:rPr>
      </w:pPr>
      <w:r>
        <w:rPr>
          <w:color w:val="393838"/>
          <w:sz w:val="22"/>
        </w:rPr>
        <w:t>The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changing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needs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students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0"/>
        <w:jc w:val="left"/>
        <w:rPr>
          <w:sz w:val="22"/>
        </w:rPr>
      </w:pPr>
      <w:r>
        <w:rPr>
          <w:color w:val="393838"/>
          <w:sz w:val="22"/>
        </w:rPr>
        <w:t>Identified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risks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to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quality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the course.</w:t>
      </w:r>
    </w:p>
    <w:p>
      <w:pPr>
        <w:spacing w:line="268" w:lineRule="auto" w:before="109"/>
        <w:ind w:left="1579" w:right="199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ANZSOG’s </w:t>
      </w:r>
      <w:r>
        <w:rPr>
          <w:rFonts w:ascii="Calibri" w:hAnsi="Calibri"/>
          <w:i/>
          <w:color w:val="393838"/>
          <w:sz w:val="22"/>
        </w:rPr>
        <w:t>Monitoring, Review and Improvement Policy </w:t>
      </w:r>
      <w:r>
        <w:rPr>
          <w:rFonts w:ascii="Calibri" w:hAnsi="Calibri"/>
          <w:color w:val="393838"/>
          <w:sz w:val="22"/>
        </w:rPr>
        <w:t>sets the framework for the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cyclical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review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of the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program</w:t>
      </w:r>
      <w:r>
        <w:rPr>
          <w:rFonts w:ascii="Calibri" w:hAnsi="Calibri"/>
          <w:color w:val="393838"/>
          <w:spacing w:val="7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its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core subjects.</w:t>
      </w:r>
    </w:p>
    <w:p>
      <w:pPr>
        <w:spacing w:line="271" w:lineRule="auto" w:before="100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Two examples of reports arising from previous reviews were provided, from reviews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conducted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panels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eminent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academics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2005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2011, both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which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pre-date</w:t>
      </w:r>
    </w:p>
    <w:p>
      <w:pPr>
        <w:spacing w:line="241" w:lineRule="exact" w:before="0"/>
        <w:ind w:left="538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99</w:t>
      </w:r>
    </w:p>
    <w:p>
      <w:pPr>
        <w:spacing w:after="0" w:line="241" w:lineRule="exact"/>
        <w:jc w:val="left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9616" id="docshapegroup267" coordorigin="1131,2438" coordsize="9643,12506">
            <v:shape style="position:absolute;left:8364;top:2765;width:1500;height:435" type="#_x0000_t75" id="docshape268" stroked="false">
              <v:imagedata r:id="rId75" o:title=""/>
            </v:shape>
            <v:shape style="position:absolute;left:2040;top:12535;width:7871;height:1849" id="docshape269" coordorigin="2041,12535" coordsize="7871,1849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12535l2041,12535,2041,12547,9912,12547,9912,12535xe" filled="true" fillcolor="#231f20" stroked="false">
              <v:path arrowok="t"/>
              <v:fill type="solid"/>
            </v:shape>
            <v:rect style="position:absolute;left:1133;top:2440;width:9638;height:12501" id="docshape270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2015 Standards Framework. A further Academic Program Review is planned in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near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future.</w:t>
      </w:r>
    </w:p>
    <w:p>
      <w:pPr>
        <w:spacing w:line="266" w:lineRule="auto" w:before="104"/>
        <w:ind w:left="1579" w:right="236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observations in the 2005 review seem to originate largely from the findings of a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questionnaire that was completed by students and managers of the course. Less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evident in the report was consideration of the ‘interim monitoring’ data on student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progress collated each year and discussed below, and consideration of ‘emerging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developments in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field</w:t>
      </w:r>
      <w:r>
        <w:rPr>
          <w:rFonts w:ascii="Calibri" w:hAnsi="Calibri"/>
          <w:color w:val="393838"/>
          <w:spacing w:val="-5"/>
          <w:sz w:val="22"/>
        </w:rPr>
        <w:t> </w:t>
      </w:r>
      <w:r>
        <w:rPr>
          <w:rFonts w:ascii="Calibri" w:hAnsi="Calibri"/>
          <w:color w:val="393838"/>
          <w:sz w:val="22"/>
        </w:rPr>
        <w:t>of education’.</w:t>
      </w:r>
    </w:p>
    <w:p>
      <w:pPr>
        <w:spacing w:line="266" w:lineRule="auto" w:before="109"/>
        <w:ind w:left="1579" w:right="199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2011 review was more substantial, and a number of review documents on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important topics were commissioned as inputs into the review panel’s deliberations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(Box 2), including reports on focus groups with alumni of the course and an analysis of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survey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data.</w:t>
      </w:r>
    </w:p>
    <w:p>
      <w:pPr>
        <w:spacing w:line="266" w:lineRule="auto" w:before="107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then EMPA Academic Director contributed a broad and reflective document,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i/>
          <w:color w:val="231F20"/>
          <w:sz w:val="22"/>
        </w:rPr>
        <w:t>Creating Public Sector Leaders: Suggested Future Directions for the ANZSOG EMPA</w:t>
      </w:r>
      <w:r>
        <w:rPr>
          <w:rFonts w:ascii="Calibri"/>
          <w:i/>
          <w:color w:val="231F20"/>
          <w:spacing w:val="-47"/>
          <w:sz w:val="22"/>
        </w:rPr>
        <w:t> </w:t>
      </w:r>
      <w:r>
        <w:rPr>
          <w:rFonts w:ascii="Calibri"/>
          <w:i/>
          <w:color w:val="303C4F"/>
          <w:sz w:val="22"/>
        </w:rPr>
        <w:t>(2012,)</w:t>
      </w:r>
      <w:r>
        <w:rPr>
          <w:rFonts w:ascii="Calibri"/>
          <w:i/>
          <w:color w:val="303C4F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suggesting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five new areas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that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could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be considered for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inclusion: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05" w:after="0"/>
        <w:ind w:left="2713" w:right="0" w:hanging="320"/>
        <w:jc w:val="left"/>
        <w:rPr>
          <w:sz w:val="22"/>
        </w:rPr>
      </w:pPr>
      <w:r>
        <w:rPr>
          <w:color w:val="393838"/>
          <w:sz w:val="22"/>
        </w:rPr>
        <w:t>The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political</w:t>
      </w:r>
      <w:r>
        <w:rPr>
          <w:color w:val="393838"/>
          <w:spacing w:val="-5"/>
          <w:sz w:val="22"/>
        </w:rPr>
        <w:t> </w:t>
      </w:r>
      <w:r>
        <w:rPr>
          <w:color w:val="393838"/>
          <w:sz w:val="22"/>
        </w:rPr>
        <w:t>environment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34" w:after="0"/>
        <w:ind w:left="2713" w:right="0" w:hanging="320"/>
        <w:jc w:val="left"/>
        <w:rPr>
          <w:sz w:val="22"/>
        </w:rPr>
      </w:pPr>
      <w:r>
        <w:rPr>
          <w:color w:val="393838"/>
          <w:sz w:val="22"/>
        </w:rPr>
        <w:t>The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global context</w:t>
      </w:r>
    </w:p>
    <w:p>
      <w:pPr>
        <w:pStyle w:val="ListParagraph"/>
        <w:numPr>
          <w:ilvl w:val="0"/>
          <w:numId w:val="29"/>
        </w:numPr>
        <w:tabs>
          <w:tab w:pos="2713" w:val="left" w:leader="none"/>
          <w:tab w:pos="2714" w:val="left" w:leader="none"/>
        </w:tabs>
        <w:spacing w:line="240" w:lineRule="auto" w:before="137" w:after="0"/>
        <w:ind w:left="2713" w:right="0" w:hanging="320"/>
        <w:jc w:val="left"/>
        <w:rPr>
          <w:sz w:val="22"/>
        </w:rPr>
      </w:pPr>
      <w:r>
        <w:rPr>
          <w:color w:val="393838"/>
          <w:sz w:val="22"/>
        </w:rPr>
        <w:t>Public sector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management</w:t>
      </w:r>
    </w:p>
    <w:p>
      <w:pPr>
        <w:pStyle w:val="ListParagraph"/>
        <w:numPr>
          <w:ilvl w:val="0"/>
          <w:numId w:val="30"/>
        </w:numPr>
        <w:tabs>
          <w:tab w:pos="2732" w:val="left" w:leader="none"/>
          <w:tab w:pos="2733" w:val="left" w:leader="none"/>
        </w:tabs>
        <w:spacing w:line="240" w:lineRule="auto" w:before="113" w:after="0"/>
        <w:ind w:left="2732" w:right="0" w:hanging="339"/>
        <w:jc w:val="left"/>
        <w:rPr>
          <w:sz w:val="22"/>
        </w:rPr>
      </w:pPr>
      <w:r>
        <w:rPr>
          <w:color w:val="393838"/>
          <w:sz w:val="22"/>
        </w:rPr>
        <w:t>Relationship</w:t>
      </w:r>
      <w:r>
        <w:rPr>
          <w:color w:val="393838"/>
          <w:spacing w:val="-5"/>
          <w:sz w:val="22"/>
        </w:rPr>
        <w:t> </w:t>
      </w:r>
      <w:r>
        <w:rPr>
          <w:color w:val="393838"/>
          <w:sz w:val="22"/>
        </w:rPr>
        <w:t>management</w:t>
      </w:r>
    </w:p>
    <w:p>
      <w:pPr>
        <w:pStyle w:val="ListParagraph"/>
        <w:numPr>
          <w:ilvl w:val="0"/>
          <w:numId w:val="31"/>
        </w:numPr>
        <w:tabs>
          <w:tab w:pos="2712" w:val="left" w:leader="none"/>
          <w:tab w:pos="2713" w:val="left" w:leader="none"/>
        </w:tabs>
        <w:spacing w:line="240" w:lineRule="auto" w:before="228" w:after="0"/>
        <w:ind w:left="2712" w:right="0" w:hanging="319"/>
        <w:jc w:val="left"/>
        <w:rPr>
          <w:sz w:val="22"/>
        </w:rPr>
      </w:pPr>
      <w:r>
        <w:rPr>
          <w:color w:val="393838"/>
          <w:sz w:val="22"/>
        </w:rPr>
        <w:t>Specialist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streams.</w:t>
      </w:r>
    </w:p>
    <w:p>
      <w:pPr>
        <w:spacing w:line="268" w:lineRule="auto" w:before="105"/>
        <w:ind w:left="1578" w:right="214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It is not clear how these were taken up and ANZSOG did not provide a final report of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this review.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input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from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external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panel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is not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evident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Academic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Director’s document, which appears to be a personal statement. The Standards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Framework does not require reviews of individual courses to be independent, but it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will be beneficial for the next Academic Program Review to result in a final report with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recommendations, and for the input of the external panel to be explicitly considered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within the report. As discussed, the review and the report must include all the topics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required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in HESF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5.3.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spacing w:line="268" w:lineRule="auto" w:before="0"/>
        <w:ind w:left="1578" w:right="2190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8</w:t>
      </w:r>
      <w:r>
        <w:rPr>
          <w:rFonts w:ascii="Calibri"/>
          <w:color w:val="393838"/>
          <w:sz w:val="22"/>
        </w:rPr>
        <w:t>: Conduct an Academic Program Review that will include all topics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required by the Higher Education Standards Framework for a comprehensive course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review, 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which:</w:t>
      </w:r>
    </w:p>
    <w:p>
      <w:pPr>
        <w:pStyle w:val="ListParagraph"/>
        <w:numPr>
          <w:ilvl w:val="0"/>
          <w:numId w:val="31"/>
        </w:numPr>
        <w:tabs>
          <w:tab w:pos="2712" w:val="left" w:leader="none"/>
          <w:tab w:pos="2713" w:val="left" w:leader="none"/>
        </w:tabs>
        <w:spacing w:line="240" w:lineRule="auto" w:before="102" w:after="0"/>
        <w:ind w:left="2712" w:right="0" w:hanging="320"/>
        <w:jc w:val="left"/>
        <w:rPr>
          <w:sz w:val="22"/>
        </w:rPr>
      </w:pPr>
      <w:r>
        <w:rPr>
          <w:color w:val="393838"/>
          <w:sz w:val="22"/>
        </w:rPr>
        <w:t>responds to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input from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an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external panel,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which:</w:t>
      </w:r>
    </w:p>
    <w:p>
      <w:pPr>
        <w:pStyle w:val="BodyText"/>
        <w:spacing w:before="6"/>
        <w:rPr>
          <w:rFonts w:ascii="Calibri"/>
          <w:sz w:val="12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100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9104" id="docshapegroup271" coordorigin="1131,2438" coordsize="9643,12506">
            <v:shape style="position:absolute;left:8364;top:2765;width:1500;height:435" type="#_x0000_t75" id="docshape272" stroked="false">
              <v:imagedata r:id="rId75" o:title=""/>
            </v:shape>
            <v:shape style="position:absolute;left:2040;top:4048;width:7587;height:10336" id="docshape273" coordorigin="2041,4048" coordsize="7587,10336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628,4048l2041,4048,2041,4060,9628,4060,9628,4048xe" filled="true" fillcolor="#231f20" stroked="false">
              <v:path arrowok="t"/>
              <v:fill type="solid"/>
            </v:shape>
            <v:rect style="position:absolute;left:1133;top:2440;width:9638;height:12501" id="docshape274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7"/>
        </w:rPr>
      </w:pPr>
    </w:p>
    <w:p>
      <w:pPr>
        <w:pStyle w:val="ListParagraph"/>
        <w:numPr>
          <w:ilvl w:val="0"/>
          <w:numId w:val="32"/>
        </w:numPr>
        <w:tabs>
          <w:tab w:pos="2713" w:val="left" w:leader="none"/>
          <w:tab w:pos="2714" w:val="left" w:leader="none"/>
        </w:tabs>
        <w:spacing w:line="266" w:lineRule="auto" w:before="90" w:after="0"/>
        <w:ind w:left="2395" w:right="2500" w:firstLine="0"/>
        <w:jc w:val="left"/>
        <w:rPr>
          <w:sz w:val="22"/>
        </w:rPr>
      </w:pPr>
      <w:r>
        <w:rPr>
          <w:color w:val="393838"/>
          <w:sz w:val="22"/>
        </w:rPr>
        <w:t>results in a report with recommendations for improvement which are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followed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up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by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governance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bodies.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"/>
        <w:rPr>
          <w:rFonts w:ascii="Calibri"/>
        </w:rPr>
      </w:pPr>
    </w:p>
    <w:p>
      <w:pPr>
        <w:spacing w:before="0"/>
        <w:ind w:left="1579" w:right="0" w:firstLine="0"/>
        <w:jc w:val="left"/>
        <w:rPr>
          <w:rFonts w:ascii="Arial"/>
          <w:b/>
          <w:sz w:val="19"/>
        </w:rPr>
      </w:pPr>
      <w:bookmarkStart w:name="_TOC_250009" w:id="43"/>
      <w:r>
        <w:rPr>
          <w:rFonts w:ascii="Arial"/>
          <w:b/>
          <w:color w:val="393838"/>
          <w:sz w:val="19"/>
        </w:rPr>
        <w:t>Interim</w:t>
      </w:r>
      <w:r>
        <w:rPr>
          <w:rFonts w:ascii="Arial"/>
          <w:b/>
          <w:color w:val="393838"/>
          <w:spacing w:val="-12"/>
          <w:sz w:val="19"/>
        </w:rPr>
        <w:t> </w:t>
      </w:r>
      <w:bookmarkEnd w:id="43"/>
      <w:r>
        <w:rPr>
          <w:rFonts w:ascii="Arial"/>
          <w:b/>
          <w:color w:val="393838"/>
          <w:sz w:val="19"/>
        </w:rPr>
        <w:t>Monitoring</w:t>
      </w:r>
    </w:p>
    <w:p>
      <w:pPr>
        <w:spacing w:line="268" w:lineRule="auto" w:before="160"/>
        <w:ind w:left="1579" w:right="232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Section 5.3 also requires each comprehensive course review to be informed and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supported by the ‘interim monitoring’ that is undertaken on a periodic basis as a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course is delivered through the period since the last review. This should include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‘regular external referencing of the success of student cohorts against comparable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courses of study…including analyses of progression rates, attrition rates, completion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times and rates and, where applicable comparing different locations of delivery’, as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well as ‘the assessment methods and grading of students’ achievement of learning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outcomes for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selected units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of study’.</w:t>
      </w:r>
    </w:p>
    <w:p>
      <w:pPr>
        <w:spacing w:before="94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Monitoring,</w:t>
      </w:r>
      <w:r>
        <w:rPr>
          <w:rFonts w:ascii="Calibri"/>
          <w:i/>
          <w:color w:val="393838"/>
          <w:spacing w:val="-4"/>
          <w:sz w:val="22"/>
        </w:rPr>
        <w:t> </w:t>
      </w:r>
      <w:r>
        <w:rPr>
          <w:rFonts w:ascii="Calibri"/>
          <w:i/>
          <w:color w:val="393838"/>
          <w:sz w:val="22"/>
        </w:rPr>
        <w:t>Review</w:t>
      </w:r>
      <w:r>
        <w:rPr>
          <w:rFonts w:ascii="Calibri"/>
          <w:i/>
          <w:color w:val="393838"/>
          <w:spacing w:val="-5"/>
          <w:sz w:val="22"/>
        </w:rPr>
        <w:t> </w:t>
      </w:r>
      <w:r>
        <w:rPr>
          <w:rFonts w:ascii="Calibri"/>
          <w:i/>
          <w:color w:val="393838"/>
          <w:sz w:val="22"/>
        </w:rPr>
        <w:t>and Improvement Policy</w:t>
      </w:r>
      <w:r>
        <w:rPr>
          <w:rFonts w:ascii="Calibri"/>
          <w:i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(#4.1)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requires that:</w:t>
      </w:r>
    </w:p>
    <w:p>
      <w:pPr>
        <w:spacing w:line="266" w:lineRule="auto" w:before="39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ANZSOG will annually review the performance of its EMPA program (core subjects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only) based on its program performance data, academic peer review, research into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government needs and impact of the EMPA on practice, reviews and input from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EMPA alumni and any additional strategic measures as determined by the EMPA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Academic Advisory Council, including with advice from the Academic Director of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EMPA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program.</w:t>
      </w:r>
    </w:p>
    <w:p>
      <w:pPr>
        <w:spacing w:line="266" w:lineRule="auto" w:before="78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Section 5.3 of the </w:t>
      </w:r>
      <w:r>
        <w:rPr>
          <w:rFonts w:ascii="Calibri"/>
          <w:i/>
          <w:color w:val="393838"/>
          <w:sz w:val="22"/>
        </w:rPr>
        <w:t>EMPA 2020 Annual Academic Governance Report </w:t>
      </w:r>
      <w:r>
        <w:rPr>
          <w:rFonts w:ascii="Calibri"/>
          <w:color w:val="393838"/>
          <w:sz w:val="22"/>
        </w:rPr>
        <w:t>describes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process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of annual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review:</w:t>
      </w:r>
    </w:p>
    <w:p>
      <w:pPr>
        <w:spacing w:line="264" w:lineRule="auto" w:before="104"/>
        <w:ind w:left="1579" w:right="318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At the conclusion of all assessment and marking, each subject undergoes a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Subject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Academic Review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where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student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feedback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discussed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</w:p>
    <w:p>
      <w:pPr>
        <w:spacing w:line="266" w:lineRule="auto" w:before="0"/>
        <w:ind w:left="1579" w:right="2313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context of subject learning outcomes, assessment activities, student grades, subject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materials, issues of academic integrity and other relevant matters. This review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analysis is then used to identify subject improvement actions and any other relevant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actions across the EMPA program delivery that may assist in progressing student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learning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enhancing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student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experience.</w:t>
      </w:r>
    </w:p>
    <w:p>
      <w:pPr>
        <w:spacing w:line="266" w:lineRule="auto" w:before="2"/>
        <w:ind w:left="1579" w:right="2148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Subject leaders and the EMPA Academic Director are then encouraged to draw on this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feedback and analysis at the annual EMPA subject leaders’ meeting, which generally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takes place during the first quarter of each year. At the annual meeting all subject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leaders convene for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a full day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discuss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review their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experience,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critique the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before="0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101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8592" id="docshapegroup275" coordorigin="1131,2438" coordsize="9643,12506">
            <v:shape style="position:absolute;left:8364;top:2765;width:1500;height:435" type="#_x0000_t75" id="docshape276" stroked="false">
              <v:imagedata r:id="rId75" o:title=""/>
            </v:shape>
            <v:shape style="position:absolute;left:2041;top:14214;width:1745;height:170" id="docshape277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78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31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coherence of the program and report on innovations and aspects of quality teaching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that will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enhance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student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experience.</w:t>
      </w:r>
    </w:p>
    <w:p>
      <w:pPr>
        <w:spacing w:line="268" w:lineRule="auto" w:before="73"/>
        <w:ind w:left="1579" w:right="2144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Consideration of student performance data does not feature prominently in review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reports or other documents. The notes of the subject leaders’ meetings held on 3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December 2020 confirm that student feedback was indeed discussed. Student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feedback in the reports for subjects is generally positive. The subject leaders meeting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notes record that students gave ‘mixed reviews’ to the subject Decision Making Under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Uncertainty. However, it is noteworthy that the mean rating for overall satisfaction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with the subject was 3.76, considerably lower than for any other subject. There were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many adverse comments from students about the workload, the sequencing of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work and the assessments and the online experience. Two topics received particularly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low ratings: ‘The set assessments were clearly defined and easy to follow’ (mean 2.79)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and ‘The assessment workload for the subject was reasonable’ (mean 2.82). Ratings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for a series of topics relating to the LMS were also low, mostly below 3.00. There are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some red flags here that need further investigation, but the notes do not record any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actions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arising.</w:t>
      </w:r>
    </w:p>
    <w:p>
      <w:pPr>
        <w:spacing w:line="266" w:lineRule="auto" w:before="85"/>
        <w:ind w:left="1579" w:right="2254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There is also no indication that other forms of student success data were considered,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including ‘analyses of progression rates, attrition rates, completion times and rates’,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either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overall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or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for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‘student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cohorts’.</w:t>
      </w:r>
    </w:p>
    <w:p>
      <w:pPr>
        <w:spacing w:line="285" w:lineRule="auto" w:before="106"/>
        <w:ind w:left="1579" w:right="2321" w:firstLine="0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We need to bear in mind that the high calibre of the students recruited and of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teaching faculty, means that variations in student performance data might not be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sufficient material to inform the review. Nonetheless, it would be desirable for this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data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to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be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reported</w:t>
      </w:r>
      <w:r>
        <w:rPr>
          <w:rFonts w:ascii="Calibri"/>
          <w:color w:val="393838"/>
          <w:spacing w:val="-15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and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pacing w:val="-1"/>
          <w:sz w:val="22"/>
        </w:rPr>
        <w:t>discussed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systematically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within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z w:val="22"/>
        </w:rPr>
        <w:t>ANZSOG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at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working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meetings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academic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leaders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governance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bodies.</w:t>
      </w:r>
    </w:p>
    <w:p>
      <w:pPr>
        <w:spacing w:line="266" w:lineRule="auto" w:before="88"/>
        <w:ind w:left="1579" w:right="231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In 2020, each of the partner universities requested ANZSOG to provide the following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student profile data to them for their individual cohorts, and this information was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provided:</w:t>
      </w:r>
    </w:p>
    <w:p>
      <w:pPr>
        <w:pStyle w:val="ListParagraph"/>
        <w:numPr>
          <w:ilvl w:val="1"/>
          <w:numId w:val="33"/>
        </w:numPr>
        <w:tabs>
          <w:tab w:pos="3226" w:val="left" w:leader="none"/>
          <w:tab w:pos="3227" w:val="left" w:leader="none"/>
        </w:tabs>
        <w:spacing w:line="240" w:lineRule="auto" w:before="106" w:after="0"/>
        <w:ind w:left="3226" w:right="0" w:hanging="832"/>
        <w:jc w:val="left"/>
        <w:rPr>
          <w:sz w:val="22"/>
        </w:rPr>
      </w:pPr>
      <w:r>
        <w:rPr>
          <w:color w:val="393838"/>
          <w:sz w:val="22"/>
        </w:rPr>
        <w:t>Cohort</w:t>
      </w:r>
      <w:r>
        <w:rPr>
          <w:color w:val="393838"/>
          <w:spacing w:val="-5"/>
          <w:sz w:val="22"/>
        </w:rPr>
        <w:t> </w:t>
      </w:r>
      <w:r>
        <w:rPr>
          <w:color w:val="393838"/>
          <w:sz w:val="22"/>
        </w:rPr>
        <w:t>profile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including:</w:t>
      </w:r>
    </w:p>
    <w:p>
      <w:pPr>
        <w:pStyle w:val="ListParagraph"/>
        <w:numPr>
          <w:ilvl w:val="2"/>
          <w:numId w:val="33"/>
        </w:numPr>
        <w:tabs>
          <w:tab w:pos="3246" w:val="left" w:leader="none"/>
          <w:tab w:pos="3247" w:val="left" w:leader="none"/>
        </w:tabs>
        <w:spacing w:line="240" w:lineRule="auto" w:before="58" w:after="0"/>
        <w:ind w:left="3246" w:right="0" w:hanging="852"/>
        <w:jc w:val="left"/>
        <w:rPr>
          <w:sz w:val="22"/>
        </w:rPr>
      </w:pPr>
      <w:r>
        <w:rPr>
          <w:color w:val="393838"/>
          <w:sz w:val="22"/>
        </w:rPr>
        <w:t>Age</w:t>
      </w:r>
    </w:p>
    <w:p>
      <w:pPr>
        <w:pStyle w:val="ListParagraph"/>
        <w:numPr>
          <w:ilvl w:val="2"/>
          <w:numId w:val="33"/>
        </w:numPr>
        <w:tabs>
          <w:tab w:pos="3246" w:val="left" w:leader="none"/>
          <w:tab w:pos="3247" w:val="left" w:leader="none"/>
        </w:tabs>
        <w:spacing w:line="240" w:lineRule="auto" w:before="63" w:after="0"/>
        <w:ind w:left="3246" w:right="0" w:hanging="852"/>
        <w:jc w:val="left"/>
        <w:rPr>
          <w:sz w:val="22"/>
        </w:rPr>
      </w:pPr>
      <w:r>
        <w:rPr>
          <w:color w:val="393838"/>
          <w:sz w:val="22"/>
        </w:rPr>
        <w:t>Gender</w:t>
      </w:r>
    </w:p>
    <w:p>
      <w:pPr>
        <w:pStyle w:val="ListParagraph"/>
        <w:numPr>
          <w:ilvl w:val="2"/>
          <w:numId w:val="33"/>
        </w:numPr>
        <w:tabs>
          <w:tab w:pos="3281" w:val="left" w:leader="none"/>
          <w:tab w:pos="3282" w:val="left" w:leader="none"/>
        </w:tabs>
        <w:spacing w:line="240" w:lineRule="auto" w:before="54" w:after="0"/>
        <w:ind w:left="3281" w:right="0" w:hanging="899"/>
        <w:jc w:val="left"/>
        <w:rPr>
          <w:sz w:val="22"/>
        </w:rPr>
      </w:pPr>
      <w:r>
        <w:rPr>
          <w:color w:val="393838"/>
          <w:sz w:val="22"/>
        </w:rPr>
        <w:t>Years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6"/>
          <w:sz w:val="22"/>
        </w:rPr>
        <w:t> </w:t>
      </w:r>
      <w:r>
        <w:rPr>
          <w:color w:val="393838"/>
          <w:sz w:val="22"/>
        </w:rPr>
        <w:t>professional experience</w:t>
      </w:r>
    </w:p>
    <w:p>
      <w:pPr>
        <w:pStyle w:val="ListParagraph"/>
        <w:numPr>
          <w:ilvl w:val="2"/>
          <w:numId w:val="33"/>
        </w:numPr>
        <w:tabs>
          <w:tab w:pos="3281" w:val="left" w:leader="none"/>
          <w:tab w:pos="3282" w:val="left" w:leader="none"/>
        </w:tabs>
        <w:spacing w:line="240" w:lineRule="auto" w:before="31" w:after="0"/>
        <w:ind w:left="3281" w:right="0" w:hanging="899"/>
        <w:jc w:val="left"/>
        <w:rPr>
          <w:sz w:val="22"/>
        </w:rPr>
      </w:pPr>
      <w:r>
        <w:rPr>
          <w:color w:val="393838"/>
          <w:sz w:val="22"/>
        </w:rPr>
        <w:t>Primary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degree</w:t>
      </w:r>
    </w:p>
    <w:p>
      <w:pPr>
        <w:pStyle w:val="ListParagraph"/>
        <w:numPr>
          <w:ilvl w:val="2"/>
          <w:numId w:val="33"/>
        </w:numPr>
        <w:tabs>
          <w:tab w:pos="3238" w:val="left" w:leader="none"/>
          <w:tab w:pos="3239" w:val="left" w:leader="none"/>
        </w:tabs>
        <w:spacing w:line="240" w:lineRule="auto" w:before="54" w:after="0"/>
        <w:ind w:left="3238" w:right="0" w:hanging="840"/>
        <w:jc w:val="left"/>
        <w:rPr>
          <w:sz w:val="22"/>
        </w:rPr>
      </w:pPr>
      <w:r>
        <w:rPr>
          <w:color w:val="393838"/>
          <w:sz w:val="22"/>
        </w:rPr>
        <w:t>Identified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cohorts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–</w:t>
      </w:r>
      <w:r>
        <w:rPr>
          <w:color w:val="393838"/>
          <w:spacing w:val="2"/>
          <w:sz w:val="22"/>
        </w:rPr>
        <w:t> </w:t>
      </w:r>
      <w:r>
        <w:rPr>
          <w:color w:val="393838"/>
          <w:sz w:val="22"/>
        </w:rPr>
        <w:t>Aboriginal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Torres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Strait</w:t>
      </w:r>
      <w:r>
        <w:rPr>
          <w:color w:val="393838"/>
          <w:spacing w:val="5"/>
          <w:sz w:val="22"/>
        </w:rPr>
        <w:t> </w:t>
      </w:r>
      <w:r>
        <w:rPr>
          <w:color w:val="393838"/>
          <w:sz w:val="22"/>
        </w:rPr>
        <w:t>Islander,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low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SES.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102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8080" id="docshapegroup279" coordorigin="1131,2438" coordsize="9643,12506">
            <v:shape style="position:absolute;left:8364;top:2765;width:1500;height:435" type="#_x0000_t75" id="docshape280" stroked="false">
              <v:imagedata r:id="rId75" o:title=""/>
            </v:shape>
            <v:shape style="position:absolute;left:2040;top:13187;width:7871;height:1197" id="docshape281" coordorigin="2041,13188" coordsize="7871,1197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13188l2041,13188,2041,13198,9912,13198,9912,13188xe" filled="true" fillcolor="#231f20" stroked="false">
              <v:path arrowok="t"/>
              <v:fill type="solid"/>
            </v:shape>
            <v:rect style="position:absolute;left:1133;top:2440;width:9638;height:12501" id="docshape282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3273" w:val="left" w:leader="none"/>
          <w:tab w:pos="3274" w:val="left" w:leader="none"/>
        </w:tabs>
        <w:spacing w:line="240" w:lineRule="auto" w:before="179" w:after="0"/>
        <w:ind w:left="3273" w:right="0" w:hanging="879"/>
        <w:jc w:val="left"/>
        <w:rPr>
          <w:sz w:val="22"/>
        </w:rPr>
      </w:pPr>
      <w:r>
        <w:rPr>
          <w:color w:val="393838"/>
          <w:sz w:val="22"/>
        </w:rPr>
        <w:t>Student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success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profile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including:</w:t>
      </w:r>
    </w:p>
    <w:p>
      <w:pPr>
        <w:pStyle w:val="ListParagraph"/>
        <w:numPr>
          <w:ilvl w:val="2"/>
          <w:numId w:val="34"/>
        </w:numPr>
        <w:tabs>
          <w:tab w:pos="3246" w:val="left" w:leader="none"/>
          <w:tab w:pos="3247" w:val="left" w:leader="none"/>
        </w:tabs>
        <w:spacing w:line="240" w:lineRule="auto" w:before="58" w:after="0"/>
        <w:ind w:left="3246" w:right="0" w:hanging="848"/>
        <w:jc w:val="left"/>
        <w:rPr>
          <w:sz w:val="22"/>
        </w:rPr>
      </w:pPr>
      <w:r>
        <w:rPr>
          <w:color w:val="393838"/>
          <w:sz w:val="22"/>
        </w:rPr>
        <w:t>Grade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range /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WAM</w:t>
      </w:r>
    </w:p>
    <w:p>
      <w:pPr>
        <w:pStyle w:val="ListParagraph"/>
        <w:numPr>
          <w:ilvl w:val="2"/>
          <w:numId w:val="34"/>
        </w:numPr>
        <w:tabs>
          <w:tab w:pos="3281" w:val="left" w:leader="none"/>
          <w:tab w:pos="3282" w:val="left" w:leader="none"/>
        </w:tabs>
        <w:spacing w:line="240" w:lineRule="auto" w:before="54" w:after="0"/>
        <w:ind w:left="3281" w:right="0" w:hanging="919"/>
        <w:jc w:val="left"/>
        <w:rPr>
          <w:sz w:val="22"/>
        </w:rPr>
      </w:pPr>
      <w:r>
        <w:rPr>
          <w:color w:val="393838"/>
          <w:sz w:val="22"/>
        </w:rPr>
        <w:t>Progression</w:t>
      </w:r>
    </w:p>
    <w:p>
      <w:pPr>
        <w:pStyle w:val="ListParagraph"/>
        <w:numPr>
          <w:ilvl w:val="2"/>
          <w:numId w:val="34"/>
        </w:numPr>
        <w:tabs>
          <w:tab w:pos="3281" w:val="left" w:leader="none"/>
          <w:tab w:pos="3282" w:val="left" w:leader="none"/>
        </w:tabs>
        <w:spacing w:line="240" w:lineRule="auto" w:before="31" w:after="0"/>
        <w:ind w:left="3281" w:right="0" w:hanging="919"/>
        <w:jc w:val="left"/>
        <w:rPr>
          <w:sz w:val="22"/>
        </w:rPr>
      </w:pPr>
      <w:r>
        <w:rPr>
          <w:color w:val="393838"/>
          <w:sz w:val="22"/>
        </w:rPr>
        <w:t>Completion</w:t>
      </w:r>
    </w:p>
    <w:p>
      <w:pPr>
        <w:spacing w:line="268" w:lineRule="auto" w:before="133"/>
        <w:ind w:left="1579" w:right="2135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</w:t>
      </w:r>
      <w:r>
        <w:rPr>
          <w:rFonts w:ascii="Calibri"/>
          <w:i/>
          <w:color w:val="393838"/>
          <w:sz w:val="22"/>
        </w:rPr>
        <w:t>EMPA 2020 Annual Academic Governance Report </w:t>
      </w:r>
      <w:r>
        <w:rPr>
          <w:rFonts w:ascii="Calibri"/>
          <w:color w:val="393838"/>
          <w:sz w:val="22"/>
        </w:rPr>
        <w:t>includes this information overall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for the core subjects that ANZSOG delivers, showing a very low rate of failure, a high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progression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rate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reasonably</w:t>
      </w:r>
      <w:r>
        <w:rPr>
          <w:rFonts w:ascii="Calibri"/>
          <w:color w:val="393838"/>
          <w:spacing w:val="4"/>
          <w:sz w:val="22"/>
        </w:rPr>
        <w:t> </w:t>
      </w:r>
      <w:r>
        <w:rPr>
          <w:rFonts w:ascii="Calibri"/>
          <w:color w:val="393838"/>
          <w:sz w:val="22"/>
        </w:rPr>
        <w:t>high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completion</w:t>
      </w:r>
      <w:r>
        <w:rPr>
          <w:rFonts w:ascii="Calibri"/>
          <w:color w:val="393838"/>
          <w:spacing w:val="4"/>
          <w:sz w:val="22"/>
        </w:rPr>
        <w:t> </w:t>
      </w:r>
      <w:r>
        <w:rPr>
          <w:rFonts w:ascii="Calibri"/>
          <w:color w:val="393838"/>
          <w:sz w:val="22"/>
        </w:rPr>
        <w:t>rate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(13%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students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who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enrolled in 2015 were still enrolled in 2019, five years into a two-year program). There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is a small intake of Aboriginal and Torres Strait Islanders, and it is not clear how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progress of these cohorts is monitored, as they are too small for separate statistical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analysis. Summative information on student and graduate satisfaction could be added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list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 information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reported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annual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report.</w:t>
      </w:r>
    </w:p>
    <w:p>
      <w:pPr>
        <w:spacing w:line="285" w:lineRule="auto" w:before="94"/>
        <w:ind w:left="1579" w:right="216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However,</w:t>
      </w:r>
      <w:r>
        <w:rPr>
          <w:rFonts w:ascii="Calibri" w:hAnsi="Calibri"/>
          <w:color w:val="393838"/>
          <w:spacing w:val="-5"/>
          <w:sz w:val="22"/>
        </w:rPr>
        <w:t> </w:t>
      </w:r>
      <w:r>
        <w:rPr>
          <w:rFonts w:ascii="Calibri" w:hAnsi="Calibri"/>
          <w:color w:val="393838"/>
          <w:sz w:val="22"/>
        </w:rPr>
        <w:t>it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is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not</w:t>
      </w:r>
      <w:r>
        <w:rPr>
          <w:rFonts w:ascii="Calibri" w:hAnsi="Calibri"/>
          <w:color w:val="393838"/>
          <w:spacing w:val="-7"/>
          <w:sz w:val="22"/>
        </w:rPr>
        <w:t> </w:t>
      </w:r>
      <w:r>
        <w:rPr>
          <w:rFonts w:ascii="Calibri" w:hAnsi="Calibri"/>
          <w:color w:val="393838"/>
          <w:sz w:val="22"/>
        </w:rPr>
        <w:t>clear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how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-7"/>
          <w:sz w:val="22"/>
        </w:rPr>
        <w:t> </w:t>
      </w:r>
      <w:r>
        <w:rPr>
          <w:rFonts w:ascii="Calibri" w:hAnsi="Calibri"/>
          <w:color w:val="393838"/>
          <w:sz w:val="22"/>
        </w:rPr>
        <w:t>results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8"/>
          <w:sz w:val="22"/>
        </w:rPr>
        <w:t> </w:t>
      </w:r>
      <w:r>
        <w:rPr>
          <w:rFonts w:ascii="Calibri" w:hAnsi="Calibri"/>
          <w:color w:val="393838"/>
          <w:sz w:val="22"/>
        </w:rPr>
        <w:t>statistical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information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are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used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guide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48"/>
          <w:sz w:val="22"/>
        </w:rPr>
        <w:t> </w:t>
      </w:r>
      <w:r>
        <w:rPr>
          <w:rFonts w:ascii="Calibri" w:hAnsi="Calibri"/>
          <w:color w:val="393838"/>
          <w:spacing w:val="-1"/>
          <w:sz w:val="22"/>
        </w:rPr>
        <w:t>evaluate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pacing w:val="-1"/>
          <w:sz w:val="22"/>
        </w:rPr>
        <w:t>improvements</w:t>
      </w:r>
      <w:r>
        <w:rPr>
          <w:rFonts w:ascii="Calibri" w:hAnsi="Calibri"/>
          <w:color w:val="393838"/>
          <w:spacing w:val="-11"/>
          <w:sz w:val="22"/>
        </w:rPr>
        <w:t> </w:t>
      </w:r>
      <w:r>
        <w:rPr>
          <w:rFonts w:ascii="Calibri" w:hAnsi="Calibri"/>
          <w:color w:val="393838"/>
          <w:spacing w:val="-1"/>
          <w:sz w:val="22"/>
        </w:rPr>
        <w:t>or</w:t>
      </w:r>
      <w:r>
        <w:rPr>
          <w:rFonts w:ascii="Calibri" w:hAnsi="Calibri"/>
          <w:color w:val="393838"/>
          <w:spacing w:val="-9"/>
          <w:sz w:val="22"/>
        </w:rPr>
        <w:t> </w:t>
      </w:r>
      <w:r>
        <w:rPr>
          <w:rFonts w:ascii="Calibri" w:hAnsi="Calibri"/>
          <w:color w:val="393838"/>
          <w:spacing w:val="-1"/>
          <w:sz w:val="22"/>
        </w:rPr>
        <w:t>used</w:t>
      </w:r>
      <w:r>
        <w:rPr>
          <w:rFonts w:ascii="Calibri" w:hAnsi="Calibri"/>
          <w:color w:val="393838"/>
          <w:spacing w:val="-8"/>
          <w:sz w:val="22"/>
        </w:rPr>
        <w:t> </w:t>
      </w:r>
      <w:r>
        <w:rPr>
          <w:rFonts w:ascii="Calibri" w:hAnsi="Calibri"/>
          <w:color w:val="393838"/>
          <w:sz w:val="22"/>
        </w:rPr>
        <w:t>‘to</w:t>
      </w:r>
      <w:r>
        <w:rPr>
          <w:rFonts w:ascii="Calibri" w:hAnsi="Calibri"/>
          <w:color w:val="393838"/>
          <w:spacing w:val="-9"/>
          <w:sz w:val="22"/>
        </w:rPr>
        <w:t> </w:t>
      </w:r>
      <w:r>
        <w:rPr>
          <w:rFonts w:ascii="Calibri" w:hAnsi="Calibri"/>
          <w:color w:val="393838"/>
          <w:sz w:val="22"/>
        </w:rPr>
        <w:t>inform</w:t>
      </w:r>
      <w:r>
        <w:rPr>
          <w:rFonts w:ascii="Calibri" w:hAnsi="Calibri"/>
          <w:color w:val="393838"/>
          <w:spacing w:val="-10"/>
          <w:sz w:val="22"/>
        </w:rPr>
        <w:t> </w:t>
      </w:r>
      <w:r>
        <w:rPr>
          <w:rFonts w:ascii="Calibri" w:hAnsi="Calibri"/>
          <w:color w:val="393838"/>
          <w:sz w:val="22"/>
        </w:rPr>
        <w:t>admission</w:t>
      </w:r>
      <w:r>
        <w:rPr>
          <w:rFonts w:ascii="Calibri" w:hAnsi="Calibri"/>
          <w:color w:val="393838"/>
          <w:spacing w:val="-12"/>
          <w:sz w:val="22"/>
        </w:rPr>
        <w:t> </w:t>
      </w:r>
      <w:r>
        <w:rPr>
          <w:rFonts w:ascii="Calibri" w:hAnsi="Calibri"/>
          <w:color w:val="393838"/>
          <w:sz w:val="22"/>
        </w:rPr>
        <w:t>criteria</w:t>
      </w:r>
      <w:r>
        <w:rPr>
          <w:rFonts w:ascii="Calibri" w:hAnsi="Calibri"/>
          <w:color w:val="393838"/>
          <w:spacing w:val="-10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9"/>
          <w:sz w:val="22"/>
        </w:rPr>
        <w:t> </w:t>
      </w:r>
      <w:r>
        <w:rPr>
          <w:rFonts w:ascii="Calibri" w:hAnsi="Calibri"/>
          <w:color w:val="393838"/>
          <w:sz w:val="22"/>
        </w:rPr>
        <w:t>approaches</w:t>
      </w:r>
      <w:r>
        <w:rPr>
          <w:rFonts w:ascii="Calibri" w:hAnsi="Calibri"/>
          <w:color w:val="393838"/>
          <w:spacing w:val="-10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-8"/>
          <w:sz w:val="22"/>
        </w:rPr>
        <w:t> </w:t>
      </w:r>
      <w:r>
        <w:rPr>
          <w:rFonts w:ascii="Calibri" w:hAnsi="Calibri"/>
          <w:color w:val="393838"/>
          <w:sz w:val="22"/>
        </w:rPr>
        <w:t>course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design,</w:t>
      </w:r>
      <w:r>
        <w:rPr>
          <w:rFonts w:ascii="Calibri" w:hAnsi="Calibri"/>
          <w:color w:val="393838"/>
          <w:spacing w:val="38"/>
          <w:sz w:val="22"/>
        </w:rPr>
        <w:t> </w:t>
      </w:r>
      <w:r>
        <w:rPr>
          <w:rFonts w:ascii="Calibri" w:hAnsi="Calibri"/>
          <w:color w:val="393838"/>
          <w:sz w:val="22"/>
        </w:rPr>
        <w:t>teaching,</w:t>
      </w:r>
      <w:r>
        <w:rPr>
          <w:rFonts w:ascii="Calibri" w:hAnsi="Calibri"/>
          <w:color w:val="393838"/>
          <w:spacing w:val="38"/>
          <w:sz w:val="22"/>
        </w:rPr>
        <w:t> </w:t>
      </w:r>
      <w:r>
        <w:rPr>
          <w:rFonts w:ascii="Calibri" w:hAnsi="Calibri"/>
          <w:color w:val="393838"/>
          <w:sz w:val="22"/>
        </w:rPr>
        <w:t>supervision,</w:t>
      </w:r>
      <w:r>
        <w:rPr>
          <w:rFonts w:ascii="Calibri" w:hAnsi="Calibri"/>
          <w:color w:val="393838"/>
          <w:spacing w:val="39"/>
          <w:sz w:val="22"/>
        </w:rPr>
        <w:t> </w:t>
      </w:r>
      <w:r>
        <w:rPr>
          <w:rFonts w:ascii="Calibri" w:hAnsi="Calibri"/>
          <w:color w:val="393838"/>
          <w:sz w:val="22"/>
        </w:rPr>
        <w:t>learning</w:t>
      </w:r>
      <w:r>
        <w:rPr>
          <w:rFonts w:ascii="Calibri" w:hAnsi="Calibri"/>
          <w:color w:val="393838"/>
          <w:spacing w:val="37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38"/>
          <w:sz w:val="22"/>
        </w:rPr>
        <w:t> </w:t>
      </w:r>
      <w:r>
        <w:rPr>
          <w:rFonts w:ascii="Calibri" w:hAnsi="Calibri"/>
          <w:color w:val="393838"/>
          <w:sz w:val="22"/>
        </w:rPr>
        <w:t>teaching</w:t>
      </w:r>
      <w:r>
        <w:rPr>
          <w:rFonts w:ascii="Calibri" w:hAnsi="Calibri"/>
          <w:color w:val="393838"/>
          <w:spacing w:val="37"/>
          <w:sz w:val="22"/>
        </w:rPr>
        <w:t> </w:t>
      </w:r>
      <w:r>
        <w:rPr>
          <w:rFonts w:ascii="Calibri" w:hAnsi="Calibri"/>
          <w:color w:val="393838"/>
          <w:sz w:val="22"/>
        </w:rPr>
        <w:t>support’,</w:t>
      </w:r>
      <w:r>
        <w:rPr>
          <w:rFonts w:ascii="Calibri" w:hAnsi="Calibri"/>
          <w:color w:val="393838"/>
          <w:spacing w:val="36"/>
          <w:sz w:val="22"/>
        </w:rPr>
        <w:t> </w:t>
      </w:r>
      <w:r>
        <w:rPr>
          <w:rFonts w:ascii="Calibri" w:hAnsi="Calibri"/>
          <w:color w:val="393838"/>
          <w:sz w:val="22"/>
        </w:rPr>
        <w:t>as</w:t>
      </w:r>
      <w:r>
        <w:rPr>
          <w:rFonts w:ascii="Calibri" w:hAnsi="Calibri"/>
          <w:color w:val="393838"/>
          <w:spacing w:val="35"/>
          <w:sz w:val="22"/>
        </w:rPr>
        <w:t> </w:t>
      </w:r>
      <w:r>
        <w:rPr>
          <w:rFonts w:ascii="Calibri" w:hAnsi="Calibri"/>
          <w:color w:val="393838"/>
          <w:sz w:val="22"/>
        </w:rPr>
        <w:t>required</w:t>
      </w:r>
      <w:r>
        <w:rPr>
          <w:rFonts w:ascii="Calibri" w:hAnsi="Calibri"/>
          <w:color w:val="393838"/>
          <w:spacing w:val="38"/>
          <w:sz w:val="22"/>
        </w:rPr>
        <w:t> </w:t>
      </w:r>
      <w:r>
        <w:rPr>
          <w:rFonts w:ascii="Calibri" w:hAnsi="Calibri"/>
          <w:color w:val="393838"/>
          <w:sz w:val="22"/>
        </w:rPr>
        <w:t>by</w:t>
      </w:r>
      <w:r>
        <w:rPr>
          <w:rFonts w:ascii="Calibri" w:hAnsi="Calibri"/>
          <w:color w:val="393838"/>
          <w:spacing w:val="37"/>
          <w:sz w:val="22"/>
        </w:rPr>
        <w:t> </w:t>
      </w:r>
      <w:r>
        <w:rPr>
          <w:rFonts w:ascii="Calibri" w:hAnsi="Calibri"/>
          <w:color w:val="393838"/>
          <w:sz w:val="22"/>
        </w:rPr>
        <w:t>HESF</w:t>
      </w:r>
    </w:p>
    <w:p>
      <w:pPr>
        <w:spacing w:line="288" w:lineRule="auto" w:before="2"/>
        <w:ind w:left="1579" w:right="2172" w:firstLine="0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5.3.7. We have not seen any examples of analysis of the data, but again, the quality of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student 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staff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profile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is such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that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major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variations in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quality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may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not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occur.</w:t>
      </w:r>
    </w:p>
    <w:p>
      <w:pPr>
        <w:spacing w:line="266" w:lineRule="auto" w:before="80"/>
        <w:ind w:left="1579" w:right="199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External referencing against comparable courses of study is necessary, but also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presumably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problematic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because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so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many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universities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are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offering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ANZSOG’s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course.</w:t>
      </w:r>
    </w:p>
    <w:p>
      <w:pPr>
        <w:spacing w:line="266" w:lineRule="auto" w:before="105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But some combination of comparing results from student cohorts at different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universities offering the ANZSOG program and results from one or two comparable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programs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should be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considered.</w:t>
      </w:r>
    </w:p>
    <w:p>
      <w:pPr>
        <w:spacing w:line="266" w:lineRule="auto" w:before="106"/>
        <w:ind w:left="1579" w:right="220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Section 5.4 of the </w:t>
      </w:r>
      <w:r>
        <w:rPr>
          <w:rFonts w:ascii="Calibri" w:hAnsi="Calibri"/>
          <w:i/>
          <w:color w:val="393838"/>
          <w:sz w:val="22"/>
        </w:rPr>
        <w:t>EMPA 2020 Annual Academic Governance Report </w:t>
      </w:r>
      <w:r>
        <w:rPr>
          <w:rFonts w:ascii="Calibri" w:hAnsi="Calibri"/>
          <w:color w:val="393838"/>
          <w:sz w:val="22"/>
        </w:rPr>
        <w:t>outlines a range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of convincing improvement activities arising out of the 2019 annual review, which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includes a complete ‘refresh’ of the content of three subjects, and the commissioning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and completion of four ‘research pieces’ on key topics relating to the capability needs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of the public sector. Designing a new curriculum in the light of these inputs is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reported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be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underway.</w:t>
      </w:r>
    </w:p>
    <w:p>
      <w:pPr>
        <w:spacing w:line="271" w:lineRule="auto" w:before="113"/>
        <w:ind w:left="1579" w:right="233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Overall, there is no doubt that the course and its constituent subjects are frequently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refreshed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improved,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but some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improvements could be made.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spacing w:line="266" w:lineRule="auto" w:before="0"/>
        <w:ind w:left="1579" w:right="2228" w:firstLine="0"/>
        <w:jc w:val="both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9</w:t>
      </w:r>
      <w:r>
        <w:rPr>
          <w:rFonts w:ascii="Calibri"/>
          <w:color w:val="393838"/>
          <w:sz w:val="22"/>
        </w:rPr>
        <w:t>: Reports containing analyses of progression rates, attrition rates,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completion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times 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rates, as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well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as student 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graduate feedback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should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be</w:t>
      </w:r>
    </w:p>
    <w:p>
      <w:pPr>
        <w:pStyle w:val="BodyText"/>
        <w:spacing w:before="5"/>
        <w:rPr>
          <w:rFonts w:ascii="Calibri"/>
          <w:sz w:val="14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103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7568" id="docshapegroup283" coordorigin="1131,2438" coordsize="9643,12506">
            <v:shape style="position:absolute;left:8364;top:2765;width:1500;height:435" type="#_x0000_t75" id="docshape284" stroked="false">
              <v:imagedata r:id="rId75" o:title=""/>
            </v:shape>
            <v:shape style="position:absolute;left:2040;top:6051;width:7871;height:8333" id="docshape285" coordorigin="2041,6052" coordsize="7871,8333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6052l2041,6052,2041,6063,9912,6063,9912,6052xe" filled="true" fillcolor="#231f20" stroked="false">
              <v:path arrowok="t"/>
              <v:fill type="solid"/>
            </v:shape>
            <v:rect style="position:absolute;left:1133;top:2440;width:9638;height:12501" id="docshape286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87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discussed at the annual subject leaders’ meetings, and by the EMPA Academic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Advisory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Council.</w:t>
      </w:r>
    </w:p>
    <w:p>
      <w:pPr>
        <w:spacing w:line="268" w:lineRule="auto" w:before="104"/>
        <w:ind w:left="1579" w:right="2757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10</w:t>
      </w:r>
      <w:r>
        <w:rPr>
          <w:rFonts w:ascii="Calibri"/>
          <w:color w:val="393838"/>
          <w:sz w:val="22"/>
        </w:rPr>
        <w:t>: Determine which student cohorts need to be individually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monitored, which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should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include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equity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groups.</w:t>
      </w:r>
    </w:p>
    <w:p>
      <w:pPr>
        <w:spacing w:line="266" w:lineRule="auto" w:before="100"/>
        <w:ind w:left="1579" w:right="2496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11</w:t>
      </w:r>
      <w:r>
        <w:rPr>
          <w:rFonts w:ascii="Calibri"/>
          <w:color w:val="393838"/>
          <w:sz w:val="22"/>
        </w:rPr>
        <w:t>: Material variations in student success data and student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feedback should give rise to follow-up actions both overall and in relation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individual subjects, in order to inform admission criteria and approaches to course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design, teaching,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supervision, learning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academic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support.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26"/>
        </w:rPr>
      </w:pPr>
    </w:p>
    <w:p>
      <w:pPr>
        <w:spacing w:before="0"/>
        <w:ind w:left="1579" w:right="0" w:firstLine="0"/>
        <w:jc w:val="left"/>
        <w:rPr>
          <w:rFonts w:ascii="Calibri"/>
          <w:sz w:val="28"/>
        </w:rPr>
      </w:pPr>
      <w:r>
        <w:rPr>
          <w:rFonts w:ascii="Calibri"/>
          <w:color w:val="393838"/>
          <w:sz w:val="28"/>
        </w:rPr>
        <w:t>Delivery</w:t>
      </w:r>
      <w:r>
        <w:rPr>
          <w:rFonts w:ascii="Calibri"/>
          <w:color w:val="393838"/>
          <w:spacing w:val="6"/>
          <w:sz w:val="28"/>
        </w:rPr>
        <w:t> </w:t>
      </w:r>
      <w:r>
        <w:rPr>
          <w:rFonts w:ascii="Calibri"/>
          <w:color w:val="393838"/>
          <w:sz w:val="28"/>
        </w:rPr>
        <w:t>with</w:t>
      </w:r>
      <w:r>
        <w:rPr>
          <w:rFonts w:ascii="Calibri"/>
          <w:color w:val="393838"/>
          <w:spacing w:val="6"/>
          <w:sz w:val="28"/>
        </w:rPr>
        <w:t> </w:t>
      </w:r>
      <w:r>
        <w:rPr>
          <w:rFonts w:ascii="Calibri"/>
          <w:color w:val="393838"/>
          <w:sz w:val="28"/>
        </w:rPr>
        <w:t>Other</w:t>
      </w:r>
      <w:r>
        <w:rPr>
          <w:rFonts w:ascii="Calibri"/>
          <w:color w:val="393838"/>
          <w:spacing w:val="5"/>
          <w:sz w:val="28"/>
        </w:rPr>
        <w:t> </w:t>
      </w:r>
      <w:r>
        <w:rPr>
          <w:rFonts w:ascii="Calibri"/>
          <w:color w:val="393838"/>
          <w:sz w:val="28"/>
        </w:rPr>
        <w:t>Parties</w:t>
      </w:r>
      <w:r>
        <w:rPr>
          <w:rFonts w:ascii="Calibri"/>
          <w:color w:val="393838"/>
          <w:spacing w:val="5"/>
          <w:sz w:val="28"/>
        </w:rPr>
        <w:t> </w:t>
      </w:r>
      <w:r>
        <w:rPr>
          <w:rFonts w:ascii="Calibri"/>
          <w:color w:val="393838"/>
          <w:sz w:val="28"/>
        </w:rPr>
        <w:t>(5.4)</w:t>
      </w:r>
    </w:p>
    <w:p>
      <w:pPr>
        <w:spacing w:line="285" w:lineRule="auto" w:before="129"/>
        <w:ind w:left="1579" w:right="2236" w:firstLine="0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this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case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ANZSOG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itself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third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party,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delivering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core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part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program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on</w:t>
      </w:r>
      <w:r>
        <w:rPr>
          <w:rFonts w:ascii="Calibri"/>
          <w:color w:val="393838"/>
          <w:spacing w:val="-48"/>
          <w:sz w:val="22"/>
        </w:rPr>
        <w:t> </w:t>
      </w:r>
      <w:r>
        <w:rPr>
          <w:rFonts w:ascii="Calibri"/>
          <w:color w:val="393838"/>
          <w:sz w:val="22"/>
        </w:rPr>
        <w:t>behalf of the partner universities, who are the principals responsible to TEQSA for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compliance with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HESF.</w:t>
      </w:r>
    </w:p>
    <w:p>
      <w:pPr>
        <w:spacing w:line="266" w:lineRule="auto" w:before="85"/>
        <w:ind w:left="1579" w:right="242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So how does ANZSOG go about assuring the partner universities that it is delivering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course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compliance with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HESF 5.4, which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holds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them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accountable for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this?</w:t>
      </w:r>
    </w:p>
    <w:p>
      <w:pPr>
        <w:spacing w:before="105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Delivery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with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Conferring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University Partners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Policy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provides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that:</w:t>
      </w:r>
    </w:p>
    <w:p>
      <w:pPr>
        <w:pStyle w:val="ListParagraph"/>
        <w:numPr>
          <w:ilvl w:val="1"/>
          <w:numId w:val="35"/>
        </w:numPr>
        <w:tabs>
          <w:tab w:pos="1919" w:val="left" w:leader="none"/>
        </w:tabs>
        <w:spacing w:line="268" w:lineRule="auto" w:before="38" w:after="0"/>
        <w:ind w:left="1579" w:right="2176" w:firstLine="0"/>
        <w:jc w:val="left"/>
        <w:rPr>
          <w:sz w:val="22"/>
        </w:rPr>
      </w:pPr>
      <w:r>
        <w:rPr>
          <w:color w:val="393838"/>
          <w:sz w:val="22"/>
        </w:rPr>
        <w:t>Agreements and supporting schedules between ANZSOG and each conferring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university partner outline mutual responsibilities in relation the provision of core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program and elective program activities, student administration and academic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support, fees and charges, and where appropriate, infrastructure and facilities used in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program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delivery.</w:t>
      </w:r>
    </w:p>
    <w:p>
      <w:pPr>
        <w:pStyle w:val="ListParagraph"/>
        <w:numPr>
          <w:ilvl w:val="1"/>
          <w:numId w:val="35"/>
        </w:numPr>
        <w:tabs>
          <w:tab w:pos="1919" w:val="left" w:leader="none"/>
        </w:tabs>
        <w:spacing w:line="266" w:lineRule="auto" w:before="99" w:after="0"/>
        <w:ind w:left="1579" w:right="2511" w:firstLine="0"/>
        <w:jc w:val="left"/>
        <w:rPr>
          <w:sz w:val="22"/>
        </w:rPr>
      </w:pPr>
      <w:r>
        <w:rPr>
          <w:color w:val="393838"/>
          <w:sz w:val="22"/>
        </w:rPr>
        <w:t>ANZSOG will provide an annual report to university partners covering quality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assurance requirements, annual cohort data and any significant program revisions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considered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by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ANZSOG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EMPA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Academic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Advisory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Council.</w:t>
      </w:r>
    </w:p>
    <w:p>
      <w:pPr>
        <w:pStyle w:val="ListParagraph"/>
        <w:numPr>
          <w:ilvl w:val="1"/>
          <w:numId w:val="35"/>
        </w:numPr>
        <w:tabs>
          <w:tab w:pos="1966" w:val="left" w:leader="none"/>
        </w:tabs>
        <w:spacing w:line="288" w:lineRule="auto" w:before="106" w:after="0"/>
        <w:ind w:left="1579" w:right="2414" w:firstLine="0"/>
        <w:jc w:val="both"/>
        <w:rPr>
          <w:sz w:val="22"/>
        </w:rPr>
      </w:pPr>
      <w:r>
        <w:rPr>
          <w:color w:val="393838"/>
          <w:sz w:val="22"/>
        </w:rPr>
        <w:t>ANZSOG will update sponsoring agencies on the progress of their students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where appropriate (e.g. misconduct or repeated failure) and as required (subject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results, subject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deferral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etc).</w:t>
      </w:r>
    </w:p>
    <w:p>
      <w:pPr>
        <w:spacing w:line="266" w:lineRule="auto" w:before="77"/>
        <w:ind w:left="1579" w:right="219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An example of a Service Agreement was provided (with the University of Melbourne).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This covered some responsibilities of the University to provide services to ANZSOG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including access for its students enrolled in the EMPA to ‘all services usually provided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by the [university] to its students, including, but not limited to library services,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internet services,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student support services’.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However,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the Agreement did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not</w:t>
      </w:r>
    </w:p>
    <w:p>
      <w:pPr>
        <w:spacing w:before="2"/>
        <w:ind w:left="5325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104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7056" id="docshapegroup287" coordorigin="1131,2438" coordsize="9643,12506">
            <v:shape style="position:absolute;left:8364;top:2765;width:1500;height:435" type="#_x0000_t75" id="docshape288" stroked="false">
              <v:imagedata r:id="rId75" o:title=""/>
            </v:shape>
            <v:shape style="position:absolute;left:2040;top:8233;width:7871;height:6151" id="docshape289" coordorigin="2041,8233" coordsize="7871,6151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11157l2041,11157,2041,11169,9912,11169,9912,11157xm9912,8233l2041,8233,2041,8245,9912,8245,9912,8233xe" filled="true" fillcolor="#231f20" stroked="false">
              <v:path arrowok="t"/>
              <v:fill type="solid"/>
            </v:shape>
            <v:rect style="position:absolute;left:1133;top:2440;width:9638;height:12501" id="docshape290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199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cover specific responsibilities of ANZSOG to the University, other than the general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obligation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4"/>
          <w:sz w:val="22"/>
        </w:rPr>
        <w:t> </w:t>
      </w:r>
      <w:r>
        <w:rPr>
          <w:rFonts w:ascii="Calibri" w:hAnsi="Calibri"/>
          <w:color w:val="393838"/>
          <w:sz w:val="22"/>
        </w:rPr>
        <w:t>deliver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the core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subjects to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University’s enrolled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students.</w:t>
      </w:r>
    </w:p>
    <w:p>
      <w:pPr>
        <w:spacing w:line="266" w:lineRule="auto" w:before="104"/>
        <w:ind w:left="1579" w:right="219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There is a long list of topics that should be considered for inclusion in third party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agreements in Appendix A of TEQSA’s Guidance Note on Third Party Arrangements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(v2.2), which includes a break-down of specific topics relating to delivery, as well as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topics such as complaints and grievances and reporting obligations and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applicability of the policy framework of the university as opposed to ANZSOG. While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 Guidance Note is not a regulatory instrument, and some of the topics in Appendix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 may not be applicable, it contains sound guidance on how providers can ensure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compliance with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HESF,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which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should be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considered.</w:t>
      </w:r>
    </w:p>
    <w:p>
      <w:pPr>
        <w:spacing w:line="266" w:lineRule="auto" w:before="112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 critical safeguard for the quality of third-party delivery is a framework for periodic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audit or review of the arrangements. ANZSOG should commit to periodic review, not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only of the EMPA program, but also of wider compliance with the HESF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compliance with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more detailed obligations</w:t>
      </w:r>
      <w:r>
        <w:rPr>
          <w:rFonts w:ascii="Calibri"/>
          <w:color w:val="393838"/>
          <w:spacing w:val="7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revised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Service Agreements.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4"/>
        <w:rPr>
          <w:rFonts w:ascii="Calibri"/>
          <w:sz w:val="25"/>
        </w:rPr>
      </w:pPr>
    </w:p>
    <w:p>
      <w:pPr>
        <w:spacing w:line="268" w:lineRule="auto" w:before="1"/>
        <w:ind w:left="1579" w:right="2223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12</w:t>
      </w:r>
      <w:r>
        <w:rPr>
          <w:rFonts w:ascii="Calibri"/>
          <w:color w:val="393838"/>
          <w:sz w:val="22"/>
        </w:rPr>
        <w:t>: Service Agreements with the partner universities should detail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 responsibilities of ANZSOG to the universities and their enrolled students, as well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as clarifying jurisdiction for matters such as student appeals and grievances, and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applicability of university policies and procedures as opposed to ANZSOG policies and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procedures.</w:t>
      </w:r>
    </w:p>
    <w:p>
      <w:pPr>
        <w:spacing w:line="268" w:lineRule="auto" w:before="98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13</w:t>
      </w:r>
      <w:r>
        <w:rPr>
          <w:rFonts w:ascii="Calibri"/>
          <w:color w:val="393838"/>
          <w:sz w:val="22"/>
        </w:rPr>
        <w:t>: Commit to periodic review of compliance with the HESF and of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compliance with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revised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Service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Agreements (at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least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every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seven years).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1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105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6544" id="docshapegroup291" coordorigin="1131,2438" coordsize="9643,12506">
            <v:shape style="position:absolute;left:8364;top:2765;width:1500;height:435" type="#_x0000_t75" id="docshape292" stroked="false">
              <v:imagedata r:id="rId75" o:title=""/>
            </v:shape>
            <v:shape style="position:absolute;left:2041;top:14214;width:1745;height:170" id="docshape293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94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2"/>
        <w:spacing w:before="255"/>
      </w:pPr>
      <w:bookmarkStart w:name="_TOC_250008" w:id="44"/>
      <w:r>
        <w:rPr>
          <w:color w:val="303C4F"/>
        </w:rPr>
        <w:t>Governance</w:t>
      </w:r>
      <w:r>
        <w:rPr>
          <w:color w:val="303C4F"/>
          <w:spacing w:val="-7"/>
        </w:rPr>
        <w:t> </w:t>
      </w:r>
      <w:r>
        <w:rPr>
          <w:color w:val="303C4F"/>
        </w:rPr>
        <w:t>and</w:t>
      </w:r>
      <w:r>
        <w:rPr>
          <w:color w:val="303C4F"/>
          <w:spacing w:val="-6"/>
        </w:rPr>
        <w:t> </w:t>
      </w:r>
      <w:bookmarkEnd w:id="44"/>
      <w:r>
        <w:rPr>
          <w:color w:val="303C4F"/>
        </w:rPr>
        <w:t>Accountability</w:t>
      </w:r>
    </w:p>
    <w:p>
      <w:pPr>
        <w:pStyle w:val="Heading3"/>
        <w:spacing w:before="41"/>
        <w:ind w:left="1579"/>
        <w:rPr>
          <w:rFonts w:ascii="Calibri"/>
        </w:rPr>
      </w:pPr>
      <w:bookmarkStart w:name="_TOC_250007" w:id="45"/>
      <w:r>
        <w:rPr>
          <w:rFonts w:ascii="Calibri"/>
          <w:color w:val="393838"/>
        </w:rPr>
        <w:t>Corporate</w:t>
      </w:r>
      <w:r>
        <w:rPr>
          <w:rFonts w:ascii="Calibri"/>
          <w:color w:val="393838"/>
          <w:spacing w:val="5"/>
        </w:rPr>
        <w:t> </w:t>
      </w:r>
      <w:r>
        <w:rPr>
          <w:rFonts w:ascii="Calibri"/>
          <w:color w:val="393838"/>
        </w:rPr>
        <w:t>Governance</w:t>
      </w:r>
      <w:r>
        <w:rPr>
          <w:rFonts w:ascii="Calibri"/>
          <w:color w:val="393838"/>
          <w:spacing w:val="8"/>
        </w:rPr>
        <w:t> </w:t>
      </w:r>
      <w:bookmarkEnd w:id="45"/>
      <w:r>
        <w:rPr>
          <w:rFonts w:ascii="Calibri"/>
          <w:color w:val="393838"/>
        </w:rPr>
        <w:t>(6.1)</w:t>
      </w:r>
    </w:p>
    <w:p>
      <w:pPr>
        <w:spacing w:line="266" w:lineRule="auto" w:before="129"/>
        <w:ind w:left="1579" w:right="2184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A comprehensive assessment of ANZSOG’s corporate governance is beyond the scope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of this review, which concerns itself with the extent to which ANZSOG is meeting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requirements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of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HESF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 its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delivery</w:t>
      </w:r>
      <w:r>
        <w:rPr>
          <w:rFonts w:ascii="Calibri" w:hAnsi="Calibri"/>
          <w:color w:val="393838"/>
          <w:spacing w:val="-5"/>
          <w:sz w:val="22"/>
        </w:rPr>
        <w:t> </w:t>
      </w:r>
      <w:r>
        <w:rPr>
          <w:rFonts w:ascii="Calibri" w:hAnsi="Calibri"/>
          <w:color w:val="393838"/>
          <w:sz w:val="22"/>
        </w:rPr>
        <w:t>of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EMPA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program.</w:t>
      </w:r>
    </w:p>
    <w:p>
      <w:pPr>
        <w:spacing w:line="268" w:lineRule="auto" w:before="106"/>
        <w:ind w:left="1579" w:right="217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Nonetheless we can note for the purposes of context, that ANZSOG is a company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limited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by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guarantee,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that it is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constituted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by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way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a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Members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Agreement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which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has a Constitution attached to the Agreement as Schedule A, which together establish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 Board. The powers and duties of the Board do not appear to have been formulated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but it is presumably the governing body of the company, with the power to set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directions, monitor progress towards ANZSOG’s strategic objectives, and exercise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usual responsibilities of a Board such as those listed in HESF 6.2. This could be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formulated in</w:t>
      </w:r>
      <w:r>
        <w:rPr>
          <w:rFonts w:ascii="Calibri" w:hAnsi="Calibri"/>
          <w:color w:val="393838"/>
          <w:spacing w:val="-5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form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of a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Board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Charter.</w:t>
      </w:r>
    </w:p>
    <w:p>
      <w:pPr>
        <w:spacing w:before="94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Board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has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following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Committees:</w:t>
      </w:r>
    </w:p>
    <w:p>
      <w:pPr>
        <w:pStyle w:val="ListParagraph"/>
        <w:numPr>
          <w:ilvl w:val="0"/>
          <w:numId w:val="36"/>
        </w:numPr>
        <w:tabs>
          <w:tab w:pos="1805" w:val="left" w:leader="none"/>
        </w:tabs>
        <w:spacing w:line="240" w:lineRule="auto" w:before="27" w:after="0"/>
        <w:ind w:left="1804" w:right="2791" w:hanging="225"/>
        <w:jc w:val="left"/>
        <w:rPr>
          <w:sz w:val="22"/>
        </w:rPr>
      </w:pPr>
      <w:r>
        <w:rPr>
          <w:b/>
          <w:color w:val="303C4F"/>
          <w:sz w:val="22"/>
        </w:rPr>
        <w:t>Foundation and Investment Committee – </w:t>
      </w:r>
      <w:r>
        <w:rPr>
          <w:color w:val="303C4F"/>
          <w:sz w:val="22"/>
        </w:rPr>
        <w:t>providing advice to the Board and</w:t>
      </w:r>
      <w:r>
        <w:rPr>
          <w:color w:val="303C4F"/>
          <w:spacing w:val="-47"/>
          <w:sz w:val="22"/>
        </w:rPr>
        <w:t> </w:t>
      </w:r>
      <w:r>
        <w:rPr>
          <w:color w:val="303C4F"/>
          <w:sz w:val="22"/>
        </w:rPr>
        <w:t>oversight of</w:t>
      </w:r>
      <w:r>
        <w:rPr>
          <w:color w:val="303C4F"/>
          <w:spacing w:val="-5"/>
          <w:sz w:val="22"/>
        </w:rPr>
        <w:t> </w:t>
      </w:r>
      <w:r>
        <w:rPr>
          <w:color w:val="303C4F"/>
          <w:sz w:val="22"/>
        </w:rPr>
        <w:t>the School’s</w:t>
      </w:r>
      <w:r>
        <w:rPr>
          <w:color w:val="303C4F"/>
          <w:spacing w:val="-2"/>
          <w:sz w:val="22"/>
        </w:rPr>
        <w:t> </w:t>
      </w:r>
      <w:r>
        <w:rPr>
          <w:color w:val="303C4F"/>
          <w:sz w:val="22"/>
        </w:rPr>
        <w:t>Foundation</w:t>
      </w:r>
      <w:r>
        <w:rPr>
          <w:color w:val="303C4F"/>
          <w:spacing w:val="-2"/>
          <w:sz w:val="22"/>
        </w:rPr>
        <w:t> </w:t>
      </w:r>
      <w:r>
        <w:rPr>
          <w:color w:val="303C4F"/>
          <w:sz w:val="22"/>
        </w:rPr>
        <w:t>Trust</w:t>
      </w:r>
      <w:r>
        <w:rPr>
          <w:color w:val="303C4F"/>
          <w:spacing w:val="-3"/>
          <w:sz w:val="22"/>
        </w:rPr>
        <w:t> </w:t>
      </w:r>
      <w:r>
        <w:rPr>
          <w:color w:val="303C4F"/>
          <w:sz w:val="22"/>
        </w:rPr>
        <w:t>and</w:t>
      </w:r>
      <w:r>
        <w:rPr>
          <w:color w:val="303C4F"/>
          <w:spacing w:val="-1"/>
          <w:sz w:val="22"/>
        </w:rPr>
        <w:t> </w:t>
      </w:r>
      <w:r>
        <w:rPr>
          <w:color w:val="303C4F"/>
          <w:sz w:val="22"/>
        </w:rPr>
        <w:t>investment portfolio.</w:t>
      </w:r>
    </w:p>
    <w:p>
      <w:pPr>
        <w:pStyle w:val="ListParagraph"/>
        <w:numPr>
          <w:ilvl w:val="0"/>
          <w:numId w:val="36"/>
        </w:numPr>
        <w:tabs>
          <w:tab w:pos="1805" w:val="left" w:leader="none"/>
        </w:tabs>
        <w:spacing w:line="237" w:lineRule="auto" w:before="0" w:after="0"/>
        <w:ind w:left="1804" w:right="2693" w:hanging="225"/>
        <w:jc w:val="left"/>
        <w:rPr>
          <w:sz w:val="22"/>
        </w:rPr>
      </w:pPr>
      <w:r>
        <w:rPr>
          <w:b/>
          <w:color w:val="303C4F"/>
          <w:sz w:val="22"/>
        </w:rPr>
        <w:t>Finance Audit and Risk Management Committee </w:t>
      </w:r>
      <w:r>
        <w:rPr>
          <w:color w:val="303C4F"/>
          <w:sz w:val="22"/>
        </w:rPr>
        <w:t>– providing oversight of the</w:t>
      </w:r>
      <w:r>
        <w:rPr>
          <w:color w:val="303C4F"/>
          <w:spacing w:val="-47"/>
          <w:sz w:val="22"/>
        </w:rPr>
        <w:t> </w:t>
      </w:r>
      <w:r>
        <w:rPr>
          <w:color w:val="303C4F"/>
          <w:sz w:val="22"/>
        </w:rPr>
        <w:t>School’s financial strategy and audit and risk functions and recommending</w:t>
      </w:r>
      <w:r>
        <w:rPr>
          <w:color w:val="303C4F"/>
          <w:spacing w:val="1"/>
          <w:sz w:val="22"/>
        </w:rPr>
        <w:t> </w:t>
      </w:r>
      <w:r>
        <w:rPr>
          <w:color w:val="303C4F"/>
          <w:sz w:val="22"/>
        </w:rPr>
        <w:t>appropriate</w:t>
      </w:r>
      <w:r>
        <w:rPr>
          <w:color w:val="303C4F"/>
          <w:spacing w:val="-4"/>
          <w:sz w:val="22"/>
        </w:rPr>
        <w:t> </w:t>
      </w:r>
      <w:r>
        <w:rPr>
          <w:color w:val="303C4F"/>
          <w:sz w:val="22"/>
        </w:rPr>
        <w:t>actions</w:t>
      </w:r>
      <w:r>
        <w:rPr>
          <w:color w:val="303C4F"/>
          <w:spacing w:val="1"/>
          <w:sz w:val="22"/>
        </w:rPr>
        <w:t> </w:t>
      </w:r>
      <w:r>
        <w:rPr>
          <w:color w:val="303C4F"/>
          <w:sz w:val="22"/>
        </w:rPr>
        <w:t>to</w:t>
      </w:r>
      <w:r>
        <w:rPr>
          <w:color w:val="303C4F"/>
          <w:spacing w:val="-1"/>
          <w:sz w:val="22"/>
        </w:rPr>
        <w:t> </w:t>
      </w:r>
      <w:r>
        <w:rPr>
          <w:color w:val="303C4F"/>
          <w:sz w:val="22"/>
        </w:rPr>
        <w:t>the</w:t>
      </w:r>
      <w:r>
        <w:rPr>
          <w:color w:val="303C4F"/>
          <w:spacing w:val="-3"/>
          <w:sz w:val="22"/>
        </w:rPr>
        <w:t> </w:t>
      </w:r>
      <w:r>
        <w:rPr>
          <w:color w:val="303C4F"/>
          <w:sz w:val="22"/>
        </w:rPr>
        <w:t>Board.</w:t>
      </w:r>
    </w:p>
    <w:p>
      <w:pPr>
        <w:pStyle w:val="ListParagraph"/>
        <w:numPr>
          <w:ilvl w:val="0"/>
          <w:numId w:val="36"/>
        </w:numPr>
        <w:tabs>
          <w:tab w:pos="1805" w:val="left" w:leader="none"/>
        </w:tabs>
        <w:spacing w:line="235" w:lineRule="auto" w:before="1" w:after="0"/>
        <w:ind w:left="1804" w:right="2346" w:hanging="225"/>
        <w:jc w:val="left"/>
        <w:rPr>
          <w:sz w:val="22"/>
        </w:rPr>
      </w:pPr>
      <w:r>
        <w:rPr>
          <w:b/>
          <w:color w:val="303C4F"/>
          <w:sz w:val="22"/>
        </w:rPr>
        <w:t>Remuneration Committee </w:t>
      </w:r>
      <w:r>
        <w:rPr>
          <w:color w:val="303C4F"/>
          <w:sz w:val="22"/>
        </w:rPr>
        <w:t>– comprises a small group of Directors only to oversee</w:t>
      </w:r>
      <w:r>
        <w:rPr>
          <w:color w:val="303C4F"/>
          <w:spacing w:val="-47"/>
          <w:sz w:val="22"/>
        </w:rPr>
        <w:t> </w:t>
      </w:r>
      <w:r>
        <w:rPr>
          <w:color w:val="303C4F"/>
          <w:sz w:val="22"/>
        </w:rPr>
        <w:t>the performance</w:t>
      </w:r>
      <w:r>
        <w:rPr>
          <w:color w:val="303C4F"/>
          <w:spacing w:val="-2"/>
          <w:sz w:val="22"/>
        </w:rPr>
        <w:t> </w:t>
      </w:r>
      <w:r>
        <w:rPr>
          <w:color w:val="303C4F"/>
          <w:sz w:val="22"/>
        </w:rPr>
        <w:t>of the</w:t>
      </w:r>
      <w:r>
        <w:rPr>
          <w:color w:val="303C4F"/>
          <w:spacing w:val="1"/>
          <w:sz w:val="22"/>
        </w:rPr>
        <w:t> </w:t>
      </w:r>
      <w:r>
        <w:rPr>
          <w:color w:val="303C4F"/>
          <w:sz w:val="22"/>
        </w:rPr>
        <w:t>School’s</w:t>
      </w:r>
      <w:r>
        <w:rPr>
          <w:color w:val="303C4F"/>
          <w:spacing w:val="1"/>
          <w:sz w:val="22"/>
        </w:rPr>
        <w:t> </w:t>
      </w:r>
      <w:r>
        <w:rPr>
          <w:color w:val="303C4F"/>
          <w:sz w:val="22"/>
        </w:rPr>
        <w:t>CEO</w:t>
      </w:r>
      <w:r>
        <w:rPr>
          <w:color w:val="303C4F"/>
          <w:spacing w:val="-1"/>
          <w:sz w:val="22"/>
        </w:rPr>
        <w:t> </w:t>
      </w:r>
      <w:r>
        <w:rPr>
          <w:color w:val="303C4F"/>
          <w:sz w:val="22"/>
        </w:rPr>
        <w:t>and</w:t>
      </w:r>
      <w:r>
        <w:rPr>
          <w:color w:val="303C4F"/>
          <w:spacing w:val="-1"/>
          <w:sz w:val="22"/>
        </w:rPr>
        <w:t> </w:t>
      </w:r>
      <w:r>
        <w:rPr>
          <w:color w:val="303C4F"/>
          <w:sz w:val="22"/>
        </w:rPr>
        <w:t>Dean.</w:t>
      </w:r>
    </w:p>
    <w:p>
      <w:pPr>
        <w:pStyle w:val="ListParagraph"/>
        <w:numPr>
          <w:ilvl w:val="0"/>
          <w:numId w:val="36"/>
        </w:numPr>
        <w:tabs>
          <w:tab w:pos="1805" w:val="left" w:leader="none"/>
        </w:tabs>
        <w:spacing w:line="235" w:lineRule="auto" w:before="5" w:after="0"/>
        <w:ind w:left="1804" w:right="2823" w:hanging="225"/>
        <w:jc w:val="left"/>
        <w:rPr>
          <w:sz w:val="22"/>
        </w:rPr>
      </w:pPr>
      <w:r>
        <w:rPr>
          <w:b/>
          <w:color w:val="303C4F"/>
          <w:sz w:val="22"/>
        </w:rPr>
        <w:t>Academic Board </w:t>
      </w:r>
      <w:r>
        <w:rPr>
          <w:color w:val="303C4F"/>
          <w:sz w:val="22"/>
        </w:rPr>
        <w:t>– providing advice to the Board on ANZSOG programs with</w:t>
      </w:r>
      <w:r>
        <w:rPr>
          <w:color w:val="303C4F"/>
          <w:spacing w:val="1"/>
          <w:sz w:val="22"/>
        </w:rPr>
        <w:t> </w:t>
      </w:r>
      <w:r>
        <w:rPr>
          <w:color w:val="303C4F"/>
          <w:sz w:val="22"/>
        </w:rPr>
        <w:t>particular</w:t>
      </w:r>
      <w:r>
        <w:rPr>
          <w:color w:val="303C4F"/>
          <w:spacing w:val="-3"/>
          <w:sz w:val="22"/>
        </w:rPr>
        <w:t> </w:t>
      </w:r>
      <w:r>
        <w:rPr>
          <w:color w:val="303C4F"/>
          <w:sz w:val="22"/>
        </w:rPr>
        <w:t>regard</w:t>
      </w:r>
      <w:r>
        <w:rPr>
          <w:color w:val="303C4F"/>
          <w:spacing w:val="-3"/>
          <w:sz w:val="22"/>
        </w:rPr>
        <w:t> </w:t>
      </w:r>
      <w:r>
        <w:rPr>
          <w:color w:val="303C4F"/>
          <w:sz w:val="22"/>
        </w:rPr>
        <w:t>to</w:t>
      </w:r>
      <w:r>
        <w:rPr>
          <w:color w:val="303C4F"/>
          <w:spacing w:val="-2"/>
          <w:sz w:val="22"/>
        </w:rPr>
        <w:t> </w:t>
      </w:r>
      <w:r>
        <w:rPr>
          <w:color w:val="303C4F"/>
          <w:sz w:val="22"/>
        </w:rPr>
        <w:t>issues</w:t>
      </w:r>
      <w:r>
        <w:rPr>
          <w:color w:val="303C4F"/>
          <w:spacing w:val="-1"/>
          <w:sz w:val="22"/>
        </w:rPr>
        <w:t> </w:t>
      </w:r>
      <w:r>
        <w:rPr>
          <w:color w:val="303C4F"/>
          <w:sz w:val="22"/>
        </w:rPr>
        <w:t>of</w:t>
      </w:r>
      <w:r>
        <w:rPr>
          <w:color w:val="303C4F"/>
          <w:spacing w:val="-6"/>
          <w:sz w:val="22"/>
        </w:rPr>
        <w:t> </w:t>
      </w:r>
      <w:r>
        <w:rPr>
          <w:color w:val="303C4F"/>
          <w:sz w:val="22"/>
        </w:rPr>
        <w:t>academic accountability</w:t>
      </w:r>
      <w:r>
        <w:rPr>
          <w:color w:val="303C4F"/>
          <w:spacing w:val="-2"/>
          <w:sz w:val="22"/>
        </w:rPr>
        <w:t> </w:t>
      </w:r>
      <w:r>
        <w:rPr>
          <w:color w:val="303C4F"/>
          <w:sz w:val="22"/>
        </w:rPr>
        <w:t>and</w:t>
      </w:r>
      <w:r>
        <w:rPr>
          <w:color w:val="303C4F"/>
          <w:spacing w:val="-3"/>
          <w:sz w:val="22"/>
        </w:rPr>
        <w:t> </w:t>
      </w:r>
      <w:r>
        <w:rPr>
          <w:color w:val="303C4F"/>
          <w:sz w:val="22"/>
        </w:rPr>
        <w:t>quality</w:t>
      </w:r>
      <w:r>
        <w:rPr>
          <w:color w:val="303C4F"/>
          <w:spacing w:val="-2"/>
          <w:sz w:val="22"/>
        </w:rPr>
        <w:t> </w:t>
      </w:r>
      <w:r>
        <w:rPr>
          <w:color w:val="303C4F"/>
          <w:sz w:val="22"/>
        </w:rPr>
        <w:t>assurance.</w:t>
      </w:r>
    </w:p>
    <w:p>
      <w:pPr>
        <w:spacing w:before="1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Below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Board,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i/>
          <w:color w:val="393838"/>
          <w:sz w:val="22"/>
        </w:rPr>
        <w:t>2020</w:t>
      </w:r>
      <w:r>
        <w:rPr>
          <w:rFonts w:ascii="Calibri"/>
          <w:i/>
          <w:color w:val="393838"/>
          <w:spacing w:val="-3"/>
          <w:sz w:val="22"/>
        </w:rPr>
        <w:t> </w:t>
      </w:r>
      <w:r>
        <w:rPr>
          <w:rFonts w:ascii="Calibri"/>
          <w:i/>
          <w:color w:val="393838"/>
          <w:sz w:val="22"/>
        </w:rPr>
        <w:t>EMPA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Annual</w:t>
      </w:r>
      <w:r>
        <w:rPr>
          <w:rFonts w:ascii="Calibri"/>
          <w:i/>
          <w:color w:val="393838"/>
          <w:spacing w:val="-1"/>
          <w:sz w:val="22"/>
        </w:rPr>
        <w:t> </w:t>
      </w:r>
      <w:r>
        <w:rPr>
          <w:rFonts w:ascii="Calibri"/>
          <w:i/>
          <w:color w:val="393838"/>
          <w:sz w:val="22"/>
        </w:rPr>
        <w:t>Academic</w:t>
      </w:r>
      <w:r>
        <w:rPr>
          <w:rFonts w:ascii="Calibri"/>
          <w:i/>
          <w:color w:val="393838"/>
          <w:spacing w:val="-2"/>
          <w:sz w:val="22"/>
        </w:rPr>
        <w:t> </w:t>
      </w:r>
      <w:r>
        <w:rPr>
          <w:rFonts w:ascii="Calibri"/>
          <w:i/>
          <w:color w:val="393838"/>
          <w:sz w:val="22"/>
        </w:rPr>
        <w:t>Governance</w:t>
      </w:r>
      <w:r>
        <w:rPr>
          <w:rFonts w:ascii="Calibri"/>
          <w:i/>
          <w:color w:val="393838"/>
          <w:spacing w:val="-4"/>
          <w:sz w:val="22"/>
        </w:rPr>
        <w:t> </w:t>
      </w:r>
      <w:r>
        <w:rPr>
          <w:rFonts w:ascii="Calibri"/>
          <w:i/>
          <w:color w:val="393838"/>
          <w:sz w:val="22"/>
        </w:rPr>
        <w:t>Report</w:t>
      </w:r>
      <w:r>
        <w:rPr>
          <w:rFonts w:ascii="Calibri"/>
          <w:i/>
          <w:color w:val="393838"/>
          <w:spacing w:val="6"/>
          <w:sz w:val="22"/>
        </w:rPr>
        <w:t> </w:t>
      </w:r>
      <w:r>
        <w:rPr>
          <w:rFonts w:ascii="Calibri"/>
          <w:color w:val="393838"/>
          <w:sz w:val="22"/>
        </w:rPr>
        <w:t>explains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that:</w:t>
      </w:r>
    </w:p>
    <w:p>
      <w:pPr>
        <w:spacing w:before="141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ANZSOG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currently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has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three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management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and/or advisory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teams:</w:t>
      </w:r>
    </w:p>
    <w:p>
      <w:pPr>
        <w:spacing w:line="266" w:lineRule="auto" w:before="43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The Executive Management Team (EMT) </w:t>
      </w:r>
      <w:r>
        <w:rPr>
          <w:rFonts w:ascii="Calibri"/>
          <w:color w:val="393838"/>
          <w:sz w:val="22"/>
        </w:rPr>
        <w:t>is a decision-making forum for strategy and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project implementation, marketing and communications, technology, programs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program delivery,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human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resources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finances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other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organisational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matters.</w:t>
      </w:r>
    </w:p>
    <w:p>
      <w:pPr>
        <w:spacing w:before="3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This group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meets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once a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month.</w:t>
      </w:r>
    </w:p>
    <w:p>
      <w:pPr>
        <w:spacing w:line="261" w:lineRule="auto" w:before="137"/>
        <w:ind w:left="1579" w:right="1997" w:firstLine="43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The Academic Management Team (AMT) </w:t>
      </w:r>
      <w:r>
        <w:rPr>
          <w:rFonts w:ascii="Calibri"/>
          <w:color w:val="393838"/>
          <w:sz w:val="22"/>
        </w:rPr>
        <w:t>is a forum to advise and make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recommendations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 Dean/CEO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EMT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teaching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learning, research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106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6032" id="docshapegroup295" coordorigin="1131,2438" coordsize="9643,12506">
            <v:shape style="position:absolute;left:8364;top:2765;width:1500;height:435" type="#_x0000_t75" id="docshape296" stroked="false">
              <v:imagedata r:id="rId75" o:title=""/>
            </v:shape>
            <v:shape style="position:absolute;left:2041;top:14214;width:1745;height:170" id="docshape297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298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56" w:lineRule="auto" w:before="182"/>
        <w:ind w:left="1579" w:right="2166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related matters. The AMT is chaired by the Deputy Dean (Teaching and Learning). This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group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meets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once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month.</w:t>
      </w:r>
    </w:p>
    <w:p>
      <w:pPr>
        <w:pStyle w:val="BodyText"/>
        <w:spacing w:before="1"/>
        <w:rPr>
          <w:rFonts w:ascii="Calibri"/>
          <w:sz w:val="29"/>
        </w:rPr>
      </w:pPr>
    </w:p>
    <w:p>
      <w:pPr>
        <w:spacing w:line="268" w:lineRule="auto" w:before="0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The Faculty Appointment Panel (FAP) </w:t>
      </w:r>
      <w:r>
        <w:rPr>
          <w:rFonts w:ascii="Calibri"/>
          <w:color w:val="393838"/>
          <w:sz w:val="22"/>
        </w:rPr>
        <w:t>provides advice to the Academic Management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Team (AMT) on decisions regarding faculty appointments, faculty performance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changes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faculty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across ANZSOG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programs.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This group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meets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once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 quarter.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line="285" w:lineRule="auto" w:before="1"/>
        <w:ind w:left="1579" w:right="2167" w:hanging="1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members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Board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have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high-level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experience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z w:val="22"/>
        </w:rPr>
        <w:t>governance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academic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management that is required to govern the organisation and the corporate structure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establishes the appropriate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framework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support 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Board.</w:t>
      </w:r>
    </w:p>
    <w:p>
      <w:pPr>
        <w:pStyle w:val="Heading3"/>
        <w:spacing w:before="145"/>
        <w:ind w:left="1579"/>
        <w:jc w:val="both"/>
        <w:rPr>
          <w:rFonts w:ascii="Calibri"/>
        </w:rPr>
      </w:pPr>
      <w:bookmarkStart w:name="_TOC_250006" w:id="46"/>
      <w:r>
        <w:rPr>
          <w:rFonts w:ascii="Calibri"/>
          <w:color w:val="393838"/>
        </w:rPr>
        <w:t>Academic</w:t>
      </w:r>
      <w:r>
        <w:rPr>
          <w:rFonts w:ascii="Calibri"/>
          <w:color w:val="393838"/>
          <w:spacing w:val="4"/>
        </w:rPr>
        <w:t> </w:t>
      </w:r>
      <w:r>
        <w:rPr>
          <w:rFonts w:ascii="Calibri"/>
          <w:color w:val="393838"/>
        </w:rPr>
        <w:t>Governance</w:t>
      </w:r>
      <w:r>
        <w:rPr>
          <w:rFonts w:ascii="Calibri"/>
          <w:color w:val="393838"/>
          <w:spacing w:val="9"/>
        </w:rPr>
        <w:t> </w:t>
      </w:r>
      <w:bookmarkEnd w:id="46"/>
      <w:r>
        <w:rPr>
          <w:rFonts w:ascii="Calibri"/>
          <w:color w:val="393838"/>
        </w:rPr>
        <w:t>(6.2)</w:t>
      </w:r>
    </w:p>
    <w:p>
      <w:pPr>
        <w:spacing w:line="266" w:lineRule="auto" w:before="133"/>
        <w:ind w:left="1579" w:right="222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Academic Boards of the conferring universities have the responsibility to accredit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the program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oversee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maintenance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its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quality.</w:t>
      </w:r>
    </w:p>
    <w:p>
      <w:pPr>
        <w:spacing w:line="266" w:lineRule="auto" w:before="105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annual </w:t>
      </w:r>
      <w:r>
        <w:rPr>
          <w:rFonts w:ascii="Calibri"/>
          <w:i/>
          <w:color w:val="393838"/>
          <w:sz w:val="22"/>
        </w:rPr>
        <w:t>EMPA Academic Governance Report </w:t>
      </w:r>
      <w:r>
        <w:rPr>
          <w:rFonts w:ascii="Calibri"/>
          <w:color w:val="393838"/>
          <w:sz w:val="22"/>
        </w:rPr>
        <w:t>will provide information to them that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will enable them to exercise closer oversight of delivery. The </w:t>
      </w:r>
      <w:r>
        <w:rPr>
          <w:rFonts w:ascii="Calibri"/>
          <w:i/>
          <w:color w:val="393838"/>
          <w:sz w:val="22"/>
        </w:rPr>
        <w:t>EMPA 2020 Academic</w:t>
      </w:r>
      <w:r>
        <w:rPr>
          <w:rFonts w:ascii="Calibri"/>
          <w:i/>
          <w:color w:val="393838"/>
          <w:spacing w:val="1"/>
          <w:sz w:val="22"/>
        </w:rPr>
        <w:t> </w:t>
      </w:r>
      <w:r>
        <w:rPr>
          <w:rFonts w:ascii="Calibri"/>
          <w:i/>
          <w:color w:val="393838"/>
          <w:sz w:val="22"/>
        </w:rPr>
        <w:t>Governance</w:t>
      </w:r>
      <w:r>
        <w:rPr>
          <w:rFonts w:ascii="Calibri"/>
          <w:i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Report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contains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pertinent information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about: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40" w:lineRule="auto" w:before="106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Representation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Information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Provision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Admission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Facilities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Infrastructure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Student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Support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The EMPA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program</w:t>
      </w:r>
      <w:r>
        <w:rPr>
          <w:color w:val="393838"/>
          <w:spacing w:val="4"/>
          <w:sz w:val="22"/>
        </w:rPr>
        <w:t> </w:t>
      </w:r>
      <w:r>
        <w:rPr>
          <w:color w:val="393838"/>
          <w:sz w:val="22"/>
        </w:rPr>
        <w:t>–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structure, delivery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assessment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Students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Staff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40" w:lineRule="auto" w:before="138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Governance.</w:t>
      </w:r>
    </w:p>
    <w:p>
      <w:pPr>
        <w:spacing w:line="266" w:lineRule="auto" w:before="109"/>
        <w:ind w:left="1579" w:right="214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Much of the material covered is standard and would not change from year to year.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More specific information is provided about the following activities and developments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during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particular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year: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66" w:lineRule="auto" w:before="106" w:after="0"/>
        <w:ind w:left="2390" w:right="2416" w:firstLine="0"/>
        <w:jc w:val="left"/>
        <w:rPr>
          <w:sz w:val="22"/>
        </w:rPr>
      </w:pPr>
      <w:r>
        <w:rPr>
          <w:color w:val="393838"/>
          <w:sz w:val="22"/>
        </w:rPr>
        <w:t>Student complaints and grievances and breaches of academic integrity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(none in 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2020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report)</w:t>
      </w:r>
    </w:p>
    <w:p>
      <w:pPr>
        <w:pStyle w:val="ListParagraph"/>
        <w:numPr>
          <w:ilvl w:val="0"/>
          <w:numId w:val="37"/>
        </w:numPr>
        <w:tabs>
          <w:tab w:pos="2713" w:val="left" w:leader="none"/>
          <w:tab w:pos="2714" w:val="left" w:leader="none"/>
        </w:tabs>
        <w:spacing w:line="240" w:lineRule="auto" w:before="105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First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Peoples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engagement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activities</w:t>
      </w:r>
    </w:p>
    <w:p>
      <w:pPr>
        <w:spacing w:before="98"/>
        <w:ind w:left="5325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107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5520" id="docshapegroup299" coordorigin="1131,2438" coordsize="9643,12506">
            <v:shape style="position:absolute;left:8364;top:2765;width:1500;height:435" type="#_x0000_t75" id="docshape300" stroked="false">
              <v:imagedata r:id="rId75" o:title=""/>
            </v:shape>
            <v:shape style="position:absolute;left:2041;top:14214;width:1745;height:170" id="docshape301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302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7"/>
        </w:rPr>
      </w:pPr>
    </w:p>
    <w:p>
      <w:pPr>
        <w:pStyle w:val="ListParagraph"/>
        <w:numPr>
          <w:ilvl w:val="0"/>
          <w:numId w:val="38"/>
        </w:numPr>
        <w:tabs>
          <w:tab w:pos="2713" w:val="left" w:leader="none"/>
          <w:tab w:pos="2714" w:val="left" w:leader="none"/>
        </w:tabs>
        <w:spacing w:line="240" w:lineRule="auto" w:before="90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EMPA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student success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profile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improvement initiatives</w:t>
      </w:r>
    </w:p>
    <w:p>
      <w:pPr>
        <w:pStyle w:val="ListParagraph"/>
        <w:numPr>
          <w:ilvl w:val="0"/>
          <w:numId w:val="38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EMPA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student cohort</w:t>
      </w:r>
    </w:p>
    <w:p>
      <w:pPr>
        <w:pStyle w:val="ListParagraph"/>
        <w:numPr>
          <w:ilvl w:val="0"/>
          <w:numId w:val="38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EMPA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student success profile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including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progression</w:t>
      </w:r>
      <w:r>
        <w:rPr>
          <w:color w:val="393838"/>
          <w:spacing w:val="-6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completion.</w:t>
      </w:r>
    </w:p>
    <w:p>
      <w:pPr>
        <w:spacing w:line="266" w:lineRule="auto" w:before="110"/>
        <w:ind w:left="1579" w:right="199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Constitution of the ANZSOG company provides for an Academic Board to be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established. The Academic Board’s Charter includes the following section on its roles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responsibilities:</w:t>
      </w:r>
    </w:p>
    <w:p>
      <w:pPr>
        <w:pStyle w:val="ListParagraph"/>
        <w:numPr>
          <w:ilvl w:val="2"/>
          <w:numId w:val="35"/>
        </w:numPr>
        <w:tabs>
          <w:tab w:pos="3281" w:val="left" w:leader="none"/>
          <w:tab w:pos="3282" w:val="left" w:leader="none"/>
        </w:tabs>
        <w:spacing w:line="266" w:lineRule="auto" w:before="106" w:after="0"/>
        <w:ind w:left="2678" w:right="2357" w:hanging="1"/>
        <w:jc w:val="left"/>
        <w:rPr>
          <w:sz w:val="22"/>
        </w:rPr>
      </w:pPr>
      <w:r>
        <w:rPr>
          <w:color w:val="393838"/>
          <w:sz w:val="22"/>
        </w:rPr>
        <w:t>Advise the ANZSOG Board on all matters related to the quality of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the academic activities undertaken by ANZSOG, including 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maintenance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high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standards in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teaching, learning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research.</w:t>
      </w:r>
    </w:p>
    <w:p>
      <w:pPr>
        <w:pStyle w:val="ListParagraph"/>
        <w:numPr>
          <w:ilvl w:val="2"/>
          <w:numId w:val="35"/>
        </w:numPr>
        <w:tabs>
          <w:tab w:pos="3281" w:val="left" w:leader="none"/>
          <w:tab w:pos="3282" w:val="left" w:leader="none"/>
        </w:tabs>
        <w:spacing w:line="268" w:lineRule="auto" w:before="109" w:after="0"/>
        <w:ind w:left="2678" w:right="2802" w:firstLine="0"/>
        <w:jc w:val="left"/>
        <w:rPr>
          <w:sz w:val="22"/>
        </w:rPr>
      </w:pPr>
      <w:r>
        <w:rPr>
          <w:color w:val="393838"/>
          <w:sz w:val="22"/>
        </w:rPr>
        <w:t>Advise the Board on quality assurance policy for all ANZSOG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educational programs.</w:t>
      </w:r>
    </w:p>
    <w:p>
      <w:pPr>
        <w:pStyle w:val="ListParagraph"/>
        <w:numPr>
          <w:ilvl w:val="2"/>
          <w:numId w:val="35"/>
        </w:numPr>
        <w:tabs>
          <w:tab w:pos="3281" w:val="left" w:leader="none"/>
          <w:tab w:pos="3282" w:val="left" w:leader="none"/>
        </w:tabs>
        <w:spacing w:line="266" w:lineRule="auto" w:before="100" w:after="0"/>
        <w:ind w:left="2678" w:right="2292" w:firstLine="0"/>
        <w:jc w:val="left"/>
        <w:rPr>
          <w:sz w:val="22"/>
        </w:rPr>
      </w:pPr>
      <w:r>
        <w:rPr>
          <w:color w:val="393838"/>
          <w:sz w:val="22"/>
        </w:rPr>
        <w:t>In collaboration with the Dean and Deputy Dean (Teaching and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Learning), advise the Board on the schedule of cyclical quality reviews of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ANZSOG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educational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programs.</w:t>
      </w:r>
    </w:p>
    <w:p>
      <w:pPr>
        <w:pStyle w:val="ListParagraph"/>
        <w:numPr>
          <w:ilvl w:val="2"/>
          <w:numId w:val="35"/>
        </w:numPr>
        <w:tabs>
          <w:tab w:pos="3280" w:val="left" w:leader="none"/>
          <w:tab w:pos="3281" w:val="left" w:leader="none"/>
        </w:tabs>
        <w:spacing w:line="266" w:lineRule="auto" w:before="106" w:after="0"/>
        <w:ind w:left="2678" w:right="2316" w:firstLine="0"/>
        <w:jc w:val="left"/>
        <w:rPr>
          <w:sz w:val="22"/>
        </w:rPr>
      </w:pPr>
      <w:r>
        <w:rPr>
          <w:color w:val="393838"/>
          <w:sz w:val="22"/>
        </w:rPr>
        <w:t>Curriculum approval including approval of new award programs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and new subjects and changes to existing subjects within existing award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programs.</w:t>
      </w:r>
    </w:p>
    <w:p>
      <w:pPr>
        <w:spacing w:line="268" w:lineRule="auto" w:before="74"/>
        <w:ind w:left="1579" w:right="215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EMPA Academic Advisory Council performs a role similar to a university teaching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learning committee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and its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main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function is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to advise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EMPA Academic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Director</w:t>
      </w:r>
      <w:r>
        <w:rPr>
          <w:rFonts w:ascii="Calibri" w:hAnsi="Calibri"/>
          <w:color w:val="393838"/>
          <w:spacing w:val="4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ANZSOG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executive</w:t>
      </w:r>
      <w:r>
        <w:rPr>
          <w:rFonts w:ascii="Calibri" w:hAnsi="Calibri"/>
          <w:color w:val="393838"/>
          <w:spacing w:val="4"/>
          <w:sz w:val="22"/>
        </w:rPr>
        <w:t> </w:t>
      </w:r>
      <w:r>
        <w:rPr>
          <w:rFonts w:ascii="Calibri" w:hAnsi="Calibri"/>
          <w:color w:val="393838"/>
          <w:sz w:val="22"/>
        </w:rPr>
        <w:t>on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EMPA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quality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assurance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compliance matters.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It includes senior academic and quality assurance representatives from university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partners, a senior public sector representative, and EMPA alumnus. The Council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convened for its first meeting on 17 December 2020. The EMPA Academic Advisory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Council’s core function is to provide EMPA quality assurance advice, including, but not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limited to reviewing the EMPA academic policies and the subject guides and advice on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the scope and implementation of the compliance and Academic Program Reviews. It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will meet twice yearly with the next meeting scheduled for late April 2021. There is a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large degree of overlap between the roles and responsibilities of the Academic Board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and the EMPA Academic Advisory Council. The Academic Board has high-level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membership including members of the ANZSOG Board, to which it reports. The EMPA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Academic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Advisory Council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advises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academic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leadership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team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and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Director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and consists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senior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academic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and independent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members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from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outside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ANZSOG.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 main distinction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between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two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bodies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then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is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that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EMPA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Academic</w:t>
      </w:r>
    </w:p>
    <w:p>
      <w:pPr>
        <w:pStyle w:val="BodyText"/>
        <w:rPr>
          <w:rFonts w:ascii="Calibri"/>
          <w:sz w:val="10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108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5008" id="docshapegroup303" coordorigin="1131,2438" coordsize="9643,12506">
            <v:shape style="position:absolute;left:8364;top:2765;width:1500;height:435" type="#_x0000_t75" id="docshape304" stroked="false">
              <v:imagedata r:id="rId75" o:title=""/>
            </v:shape>
            <v:shape style="position:absolute;left:2040;top:10240;width:7871;height:4145" id="docshape305" coordorigin="2041,10240" coordsize="7871,4145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m9912,11121l2041,11121,2041,11133,9912,11133,9912,11121xm9912,10240l2041,10240,2041,10251,9912,10251,9912,10240xe" filled="true" fillcolor="#231f20" stroked="false">
              <v:path arrowok="t"/>
              <v:fill type="solid"/>
            </v:shape>
            <v:rect style="position:absolute;left:1133;top:2440;width:9638;height:12501" id="docshape306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20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Advisory Council functions as a kind of external Course Advisory Committee for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EMPA, which is well placed to give feedback on course quality and design from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experts in the relevant fields, whereas the Academic Board has power to recommend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approval of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course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proposals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changes to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courses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more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generally.</w:t>
      </w:r>
    </w:p>
    <w:p>
      <w:pPr>
        <w:spacing w:line="266" w:lineRule="auto" w:before="107"/>
        <w:ind w:left="1579" w:right="216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There is some danger of duplication in this structure, or two bodies with overlapping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responsibilities being unaware of each other’s work. For this reason, although it is not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 sub-committee of the Academic Board, the minutes of the EMPA Academic Advisory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Council should be included in the papers for each meeting of the Academic Board, for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information.</w:t>
      </w:r>
    </w:p>
    <w:p>
      <w:pPr>
        <w:spacing w:line="266" w:lineRule="auto" w:before="108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According to the </w:t>
      </w:r>
      <w:r>
        <w:rPr>
          <w:rFonts w:ascii="Calibri"/>
          <w:i/>
          <w:color w:val="393838"/>
          <w:sz w:val="22"/>
        </w:rPr>
        <w:t>EMPA 2020 Annual Academic Governance Report, </w:t>
      </w:r>
      <w:r>
        <w:rPr>
          <w:rFonts w:ascii="Calibri"/>
          <w:color w:val="393838"/>
          <w:sz w:val="22"/>
        </w:rPr>
        <w:t>there are two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important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management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committees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that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deliberate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academic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matters:</w:t>
      </w:r>
    </w:p>
    <w:p>
      <w:pPr>
        <w:spacing w:before="105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-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the Academic</w:t>
      </w:r>
      <w:r>
        <w:rPr>
          <w:rFonts w:ascii="Calibri"/>
          <w:b/>
          <w:color w:val="393838"/>
          <w:spacing w:val="-2"/>
          <w:sz w:val="22"/>
        </w:rPr>
        <w:t> </w:t>
      </w:r>
      <w:r>
        <w:rPr>
          <w:rFonts w:ascii="Calibri"/>
          <w:b/>
          <w:color w:val="393838"/>
          <w:sz w:val="22"/>
        </w:rPr>
        <w:t>Management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Team</w:t>
      </w:r>
      <w:r>
        <w:rPr>
          <w:rFonts w:ascii="Calibri"/>
          <w:b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referred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above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and:</w:t>
      </w:r>
    </w:p>
    <w:p>
      <w:pPr>
        <w:spacing w:line="268" w:lineRule="auto" w:before="133"/>
        <w:ind w:left="1579" w:right="2451" w:hanging="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color w:val="393838"/>
          <w:sz w:val="22"/>
        </w:rPr>
        <w:t>- the Examiners’ Committee Meeting </w:t>
      </w:r>
      <w:r>
        <w:rPr>
          <w:rFonts w:ascii="Calibri" w:hAnsi="Calibri"/>
          <w:color w:val="393838"/>
          <w:sz w:val="22"/>
        </w:rPr>
        <w:t>is convened to discuss and confirm the final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marks for the nine core EMPA subjects. Discussion items include, distribution of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grades, academic integrity issues and student progression and outliers. 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committee members include the Subject Leader, EMPA Academic Director, Team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Leader and EMPA Coordinator(s). Marks may be moderated if necessary, to ensure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consistency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results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across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cohort.</w:t>
      </w:r>
    </w:p>
    <w:p>
      <w:pPr>
        <w:spacing w:line="266" w:lineRule="auto" w:before="97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Minutes of the EMT show members to be exercising the normal responsibilities of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executive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management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group.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8"/>
        <w:rPr>
          <w:rFonts w:ascii="Calibri"/>
          <w:sz w:val="24"/>
        </w:rPr>
      </w:pPr>
    </w:p>
    <w:p>
      <w:pPr>
        <w:spacing w:line="268" w:lineRule="auto" w:before="0"/>
        <w:ind w:left="1579" w:right="2358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14: </w:t>
      </w:r>
      <w:r>
        <w:rPr>
          <w:rFonts w:ascii="Calibri"/>
          <w:color w:val="393838"/>
          <w:sz w:val="22"/>
        </w:rPr>
        <w:t>The Minutes of the EMPA Academic Advisory Council should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included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papers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each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meeting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Academic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Board,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for information.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Heading2"/>
      </w:pPr>
      <w:bookmarkStart w:name="_TOC_250005" w:id="47"/>
      <w:bookmarkEnd w:id="47"/>
      <w:r>
        <w:rPr>
          <w:color w:val="303C4F"/>
        </w:rPr>
        <w:t>Representation</w:t>
      </w:r>
    </w:p>
    <w:p>
      <w:pPr>
        <w:spacing w:line="266" w:lineRule="auto" w:before="34"/>
        <w:ind w:left="1579" w:right="216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</w:t>
      </w:r>
      <w:r>
        <w:rPr>
          <w:rFonts w:ascii="Calibri"/>
          <w:i/>
          <w:color w:val="393838"/>
          <w:sz w:val="22"/>
        </w:rPr>
        <w:t>Information for Prospective and Current Students Policy </w:t>
      </w:r>
      <w:r>
        <w:rPr>
          <w:rFonts w:ascii="Calibri"/>
          <w:color w:val="393838"/>
          <w:sz w:val="22"/>
        </w:rPr>
        <w:t>specifies information that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should be provided to students, and generally covers the items in HESF 7.2.1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7.3.1.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109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4496" id="docshapegroup307" coordorigin="1131,2438" coordsize="9643,12506">
            <v:shape style="position:absolute;left:8364;top:2765;width:1500;height:435" type="#_x0000_t75" id="docshape308" stroked="false">
              <v:imagedata r:id="rId75" o:title=""/>
            </v:shape>
            <v:shape style="position:absolute;left:2041;top:14214;width:1745;height:170" id="docshape309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310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85" w:lineRule="auto" w:before="179"/>
        <w:ind w:left="1579" w:right="2632" w:firstLine="0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According</w:t>
      </w:r>
      <w:r>
        <w:rPr>
          <w:rFonts w:ascii="Calibri"/>
          <w:color w:val="393838"/>
          <w:spacing w:val="9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3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5"/>
          <w:sz w:val="22"/>
        </w:rPr>
        <w:t> </w:t>
      </w:r>
      <w:r>
        <w:rPr>
          <w:rFonts w:ascii="Calibri"/>
          <w:i/>
          <w:color w:val="393838"/>
          <w:sz w:val="22"/>
        </w:rPr>
        <w:t>EMPA</w:t>
      </w:r>
      <w:r>
        <w:rPr>
          <w:rFonts w:ascii="Calibri"/>
          <w:i/>
          <w:color w:val="393838"/>
          <w:spacing w:val="10"/>
          <w:sz w:val="22"/>
        </w:rPr>
        <w:t> </w:t>
      </w:r>
      <w:r>
        <w:rPr>
          <w:rFonts w:ascii="Calibri"/>
          <w:i/>
          <w:color w:val="393838"/>
          <w:sz w:val="22"/>
        </w:rPr>
        <w:t>2020</w:t>
      </w:r>
      <w:r>
        <w:rPr>
          <w:rFonts w:ascii="Calibri"/>
          <w:i/>
          <w:color w:val="393838"/>
          <w:spacing w:val="14"/>
          <w:sz w:val="22"/>
        </w:rPr>
        <w:t> </w:t>
      </w:r>
      <w:r>
        <w:rPr>
          <w:rFonts w:ascii="Calibri"/>
          <w:i/>
          <w:color w:val="393838"/>
          <w:sz w:val="22"/>
        </w:rPr>
        <w:t>Annual</w:t>
      </w:r>
      <w:r>
        <w:rPr>
          <w:rFonts w:ascii="Calibri"/>
          <w:i/>
          <w:color w:val="393838"/>
          <w:spacing w:val="12"/>
          <w:sz w:val="22"/>
        </w:rPr>
        <w:t> </w:t>
      </w:r>
      <w:r>
        <w:rPr>
          <w:rFonts w:ascii="Calibri"/>
          <w:i/>
          <w:color w:val="393838"/>
          <w:sz w:val="22"/>
        </w:rPr>
        <w:t>Academic</w:t>
      </w:r>
      <w:r>
        <w:rPr>
          <w:rFonts w:ascii="Calibri"/>
          <w:i/>
          <w:color w:val="393838"/>
          <w:spacing w:val="11"/>
          <w:sz w:val="22"/>
        </w:rPr>
        <w:t> </w:t>
      </w:r>
      <w:r>
        <w:rPr>
          <w:rFonts w:ascii="Calibri"/>
          <w:i/>
          <w:color w:val="393838"/>
          <w:sz w:val="22"/>
        </w:rPr>
        <w:t>Governance</w:t>
      </w:r>
      <w:r>
        <w:rPr>
          <w:rFonts w:ascii="Calibri"/>
          <w:i/>
          <w:color w:val="393838"/>
          <w:spacing w:val="12"/>
          <w:sz w:val="22"/>
        </w:rPr>
        <w:t> </w:t>
      </w:r>
      <w:r>
        <w:rPr>
          <w:rFonts w:ascii="Calibri"/>
          <w:i/>
          <w:color w:val="393838"/>
          <w:sz w:val="22"/>
        </w:rPr>
        <w:t>Report</w:t>
      </w:r>
      <w:r>
        <w:rPr>
          <w:rFonts w:ascii="Calibri"/>
          <w:color w:val="393838"/>
          <w:sz w:val="22"/>
        </w:rPr>
        <w:t>,</w:t>
      </w:r>
      <w:r>
        <w:rPr>
          <w:rFonts w:ascii="Calibri"/>
          <w:color w:val="393838"/>
          <w:spacing w:val="12"/>
          <w:sz w:val="22"/>
        </w:rPr>
        <w:t> </w:t>
      </w:r>
      <w:r>
        <w:rPr>
          <w:rFonts w:ascii="Calibri"/>
          <w:color w:val="393838"/>
          <w:sz w:val="22"/>
        </w:rPr>
        <w:t>information</w:t>
      </w:r>
      <w:r>
        <w:rPr>
          <w:rFonts w:ascii="Calibri"/>
          <w:color w:val="393838"/>
          <w:spacing w:val="-48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provided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prospective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students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through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number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channels,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8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number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examples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are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given of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marketing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activities.</w:t>
      </w:r>
    </w:p>
    <w:p>
      <w:pPr>
        <w:spacing w:line="285" w:lineRule="auto" w:before="84"/>
        <w:ind w:left="1579" w:right="2385" w:firstLine="0"/>
        <w:jc w:val="both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information provided to prospective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students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will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presumably be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 mix of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information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provided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on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website</w:t>
      </w:r>
      <w:r>
        <w:rPr>
          <w:rFonts w:ascii="Calibri"/>
          <w:color w:val="393838"/>
          <w:spacing w:val="-7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information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included</w:t>
      </w:r>
      <w:r>
        <w:rPr>
          <w:rFonts w:ascii="Calibri"/>
          <w:color w:val="393838"/>
          <w:spacing w:val="-9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letters</w:t>
      </w:r>
      <w:r>
        <w:rPr>
          <w:rFonts w:ascii="Calibri"/>
          <w:color w:val="393838"/>
          <w:spacing w:val="-1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2"/>
          <w:sz w:val="22"/>
        </w:rPr>
        <w:t> </w:t>
      </w:r>
      <w:r>
        <w:rPr>
          <w:rFonts w:ascii="Calibri"/>
          <w:color w:val="393838"/>
          <w:sz w:val="22"/>
        </w:rPr>
        <w:t>offer</w:t>
      </w:r>
      <w:r>
        <w:rPr>
          <w:rFonts w:ascii="Calibri"/>
          <w:color w:val="393838"/>
          <w:spacing w:val="-10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other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information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sent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out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prospective students by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ANZSOG.</w:t>
      </w:r>
    </w:p>
    <w:p>
      <w:pPr>
        <w:spacing w:line="268" w:lineRule="auto" w:before="85"/>
        <w:ind w:left="1579" w:right="2736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Information for current students will be supplemented by information provided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through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4"/>
          <w:sz w:val="22"/>
        </w:rPr>
        <w:t> </w:t>
      </w:r>
      <w:r>
        <w:rPr>
          <w:rFonts w:ascii="Calibri"/>
          <w:color w:val="393838"/>
          <w:sz w:val="22"/>
        </w:rPr>
        <w:t>LMS,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which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we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did not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have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access to.</w:t>
      </w:r>
    </w:p>
    <w:p>
      <w:pPr>
        <w:spacing w:line="266" w:lineRule="auto" w:before="103"/>
        <w:ind w:left="1579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Some of this information may be provided by each individual partner university, but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some topics that pertain to the program as a whole need to be made available by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ANZSOG, particularly as the ANZSOG website will very likely be the first port of call for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prospective students looking for information. The website needs to direct students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where to find all the information required by HESF 7.2.1-2, except for information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more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appropriate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letter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of offer.</w:t>
      </w:r>
    </w:p>
    <w:p>
      <w:pPr>
        <w:spacing w:line="266" w:lineRule="auto" w:before="110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course brochure (downloadable from the ANZSOG website) provides much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information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about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course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including: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04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Structure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Core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subjects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4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Learning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outcomes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Graduate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attributes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Faculty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Entry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requirements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Application process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Credit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RPL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Enrolment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Cost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3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Deferral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withdrawing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4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Progress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requirements</w:t>
      </w:r>
    </w:p>
    <w:p>
      <w:pPr>
        <w:pStyle w:val="ListParagraph"/>
        <w:numPr>
          <w:ilvl w:val="0"/>
          <w:numId w:val="39"/>
        </w:numPr>
        <w:tabs>
          <w:tab w:pos="2713" w:val="left" w:leader="none"/>
          <w:tab w:pos="2714" w:val="left" w:leader="none"/>
        </w:tabs>
        <w:spacing w:line="240" w:lineRule="auto" w:before="137" w:after="0"/>
        <w:ind w:left="2713" w:right="0" w:hanging="324"/>
        <w:jc w:val="left"/>
        <w:rPr>
          <w:sz w:val="22"/>
        </w:rPr>
      </w:pPr>
      <w:r>
        <w:rPr>
          <w:color w:val="393838"/>
          <w:sz w:val="22"/>
        </w:rPr>
        <w:t>Duration</w:t>
      </w:r>
    </w:p>
    <w:p>
      <w:pPr>
        <w:pStyle w:val="BodyText"/>
        <w:spacing w:before="1"/>
        <w:rPr>
          <w:rFonts w:ascii="Calibri"/>
          <w:sz w:val="25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110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3984" id="docshapegroup311" coordorigin="1131,2438" coordsize="9643,12506">
            <v:shape style="position:absolute;left:8364;top:2765;width:1500;height:435" type="#_x0000_t75" id="docshape312" stroked="false">
              <v:imagedata r:id="rId75" o:title=""/>
            </v:shape>
            <v:shape style="position:absolute;left:2041;top:14214;width:1745;height:170" id="docshape313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2039;top:13414;width:2269;height:20" id="docshape314" filled="true" fillcolor="#072a75" stroked="false">
              <v:fill type="solid"/>
            </v:rect>
            <v:shape style="position:absolute;left:2040;top:8520;width:7871;height:1193" id="docshape315" coordorigin="2041,8521" coordsize="7871,1193" path="m9912,9702l2041,9702,2041,9713,9912,9713,9912,9702xm9912,8521l2041,8521,2041,8532,9912,8532,9912,8521xe" filled="true" fillcolor="#231f20" stroked="false">
              <v:path arrowok="t"/>
              <v:fill type="solid"/>
            </v:shape>
            <v:rect style="position:absolute;left:1133;top:2440;width:9638;height:12501" id="docshape316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7"/>
        </w:rPr>
      </w:pPr>
    </w:p>
    <w:p>
      <w:pPr>
        <w:pStyle w:val="ListParagraph"/>
        <w:numPr>
          <w:ilvl w:val="0"/>
          <w:numId w:val="40"/>
        </w:numPr>
        <w:tabs>
          <w:tab w:pos="2713" w:val="left" w:leader="none"/>
          <w:tab w:pos="2714" w:val="left" w:leader="none"/>
        </w:tabs>
        <w:spacing w:line="240" w:lineRule="auto" w:before="90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Length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program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pStyle w:val="ListParagraph"/>
        <w:numPr>
          <w:ilvl w:val="0"/>
          <w:numId w:val="40"/>
        </w:numPr>
        <w:tabs>
          <w:tab w:pos="2713" w:val="left" w:leader="none"/>
          <w:tab w:pos="2714" w:val="left" w:leader="none"/>
        </w:tabs>
        <w:spacing w:line="240" w:lineRule="auto" w:before="0" w:after="0"/>
        <w:ind w:left="2713" w:right="0" w:hanging="323"/>
        <w:jc w:val="left"/>
        <w:rPr>
          <w:sz w:val="22"/>
        </w:rPr>
      </w:pPr>
      <w:r>
        <w:rPr>
          <w:color w:val="393838"/>
          <w:sz w:val="22"/>
        </w:rPr>
        <w:t>Cohort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size.</w:t>
      </w:r>
    </w:p>
    <w:p>
      <w:pPr>
        <w:spacing w:line="268" w:lineRule="auto" w:before="106"/>
        <w:ind w:left="1579" w:right="2196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Some other topics, such as timetable, access to learning resources, academic policies,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services, complaints and grievances, are not covered in the brochure or on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website but may be covered in other material sent to prospective students,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particularly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by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partner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universities.</w:t>
      </w:r>
    </w:p>
    <w:p>
      <w:pPr>
        <w:spacing w:line="266" w:lineRule="auto" w:before="100"/>
        <w:ind w:left="1580" w:right="1997" w:hanging="1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HESF 7.3 requires that a specific range of topics (1 a-m) be ‘publicly-available’, but this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information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pertains to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each</w:t>
      </w:r>
      <w:r>
        <w:rPr>
          <w:rFonts w:ascii="Calibri" w:hAnsi="Calibri"/>
          <w:color w:val="393838"/>
          <w:spacing w:val="-6"/>
          <w:sz w:val="22"/>
        </w:rPr>
        <w:t> </w:t>
      </w:r>
      <w:r>
        <w:rPr>
          <w:rFonts w:ascii="Calibri" w:hAnsi="Calibri"/>
          <w:color w:val="393838"/>
          <w:sz w:val="22"/>
        </w:rPr>
        <w:t>registered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provider</w:t>
      </w:r>
      <w:r>
        <w:rPr>
          <w:rFonts w:ascii="Calibri" w:hAnsi="Calibri"/>
          <w:color w:val="393838"/>
          <w:spacing w:val="3"/>
          <w:sz w:val="22"/>
        </w:rPr>
        <w:t> </w:t>
      </w:r>
      <w:r>
        <w:rPr>
          <w:rFonts w:ascii="Calibri" w:hAnsi="Calibri"/>
          <w:color w:val="393838"/>
          <w:sz w:val="22"/>
        </w:rPr>
        <w:t>overall, and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not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to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ANZSOG.</w:t>
      </w:r>
    </w:p>
    <w:p>
      <w:pPr>
        <w:spacing w:line="266" w:lineRule="auto" w:before="105"/>
        <w:ind w:left="1580" w:right="234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From the information provided, it is difficult to determine whether the ANZSOG and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university partner combination is providing all the information to prospective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current students,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that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it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needs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provide.</w:t>
      </w:r>
    </w:p>
    <w:p>
      <w:pPr>
        <w:spacing w:line="266" w:lineRule="auto" w:before="106"/>
        <w:ind w:left="1580" w:right="217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It would be advantageous to undertake a mapping of all the information that should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be provided to prospective and current students, and ascertain whether ANZSOG is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providing the information to the best of their ability and allotting each topic between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ANZSOG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partner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universities.</w:t>
      </w:r>
    </w:p>
    <w:p>
      <w:pPr>
        <w:pStyle w:val="BodyText"/>
        <w:spacing w:before="7"/>
        <w:rPr>
          <w:rFonts w:ascii="Calibri"/>
          <w:sz w:val="23"/>
        </w:rPr>
      </w:pPr>
    </w:p>
    <w:p>
      <w:pPr>
        <w:spacing w:line="266" w:lineRule="auto" w:before="0"/>
        <w:ind w:left="1580" w:right="2696" w:firstLine="0"/>
        <w:jc w:val="left"/>
        <w:rPr>
          <w:rFonts w:ascii="Calibri"/>
          <w:sz w:val="22"/>
        </w:rPr>
      </w:pPr>
      <w:r>
        <w:rPr>
          <w:rFonts w:ascii="Calibri"/>
          <w:b/>
          <w:color w:val="393838"/>
          <w:sz w:val="22"/>
        </w:rPr>
        <w:t>Recommendation 15</w:t>
      </w:r>
      <w:r>
        <w:rPr>
          <w:rFonts w:ascii="Calibri"/>
          <w:color w:val="393838"/>
          <w:sz w:val="22"/>
        </w:rPr>
        <w:t>: Map the information being made available to prospective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and current students by ANZSOG and the university partners, to ensure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comprehensive coverage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between the parties.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Heading2"/>
      </w:pPr>
      <w:bookmarkStart w:name="_TOC_250004" w:id="48"/>
      <w:r>
        <w:rPr>
          <w:color w:val="303C4F"/>
        </w:rPr>
        <w:t>Towards</w:t>
      </w:r>
      <w:r>
        <w:rPr>
          <w:color w:val="303C4F"/>
          <w:spacing w:val="-9"/>
        </w:rPr>
        <w:t> </w:t>
      </w:r>
      <w:r>
        <w:rPr>
          <w:color w:val="303C4F"/>
        </w:rPr>
        <w:t>the</w:t>
      </w:r>
      <w:r>
        <w:rPr>
          <w:color w:val="303C4F"/>
          <w:spacing w:val="-8"/>
        </w:rPr>
        <w:t> </w:t>
      </w:r>
      <w:r>
        <w:rPr>
          <w:color w:val="303C4F"/>
        </w:rPr>
        <w:t>Academic</w:t>
      </w:r>
      <w:r>
        <w:rPr>
          <w:color w:val="303C4F"/>
          <w:spacing w:val="-4"/>
        </w:rPr>
        <w:t> </w:t>
      </w:r>
      <w:r>
        <w:rPr>
          <w:color w:val="303C4F"/>
        </w:rPr>
        <w:t>Program</w:t>
      </w:r>
      <w:r>
        <w:rPr>
          <w:color w:val="303C4F"/>
          <w:spacing w:val="-2"/>
        </w:rPr>
        <w:t> </w:t>
      </w:r>
      <w:bookmarkEnd w:id="48"/>
      <w:r>
        <w:rPr>
          <w:color w:val="303C4F"/>
        </w:rPr>
        <w:t>Review</w:t>
      </w:r>
    </w:p>
    <w:p>
      <w:pPr>
        <w:spacing w:line="266" w:lineRule="auto" w:before="326"/>
        <w:ind w:left="1579" w:right="2159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This review of the academic content and academic teaching and assessment materials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course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draws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three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types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4"/>
          <w:sz w:val="22"/>
        </w:rPr>
        <w:t> </w:t>
      </w:r>
      <w:r>
        <w:rPr>
          <w:rFonts w:ascii="Calibri"/>
          <w:color w:val="393838"/>
          <w:sz w:val="22"/>
        </w:rPr>
        <w:t>evidence:</w:t>
      </w:r>
    </w:p>
    <w:p>
      <w:pPr>
        <w:pStyle w:val="ListParagraph"/>
        <w:numPr>
          <w:ilvl w:val="0"/>
          <w:numId w:val="41"/>
        </w:numPr>
        <w:tabs>
          <w:tab w:pos="2024" w:val="left" w:leader="none"/>
          <w:tab w:pos="2025" w:val="left" w:leader="none"/>
        </w:tabs>
        <w:spacing w:line="268" w:lineRule="auto" w:before="171" w:after="0"/>
        <w:ind w:left="2024" w:right="2453" w:hanging="445"/>
        <w:jc w:val="left"/>
        <w:rPr>
          <w:sz w:val="22"/>
        </w:rPr>
      </w:pPr>
      <w:r>
        <w:rPr>
          <w:color w:val="393838"/>
          <w:sz w:val="22"/>
        </w:rPr>
        <w:t>Comparison of subject matter with global well regarded Public Administration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Programs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at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Master’s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level.</w:t>
      </w:r>
      <w:r>
        <w:rPr>
          <w:color w:val="393838"/>
          <w:sz w:val="22"/>
          <w:vertAlign w:val="superscript"/>
        </w:rPr>
        <w:t>1</w:t>
      </w:r>
      <w:r>
        <w:rPr>
          <w:color w:val="393838"/>
          <w:spacing w:val="-1"/>
          <w:sz w:val="22"/>
          <w:vertAlign w:val="baseline"/>
        </w:rPr>
        <w:t> </w:t>
      </w:r>
      <w:r>
        <w:rPr>
          <w:color w:val="393838"/>
          <w:sz w:val="22"/>
          <w:vertAlign w:val="baseline"/>
        </w:rPr>
        <w:t>Specifically,</w:t>
      </w:r>
      <w:r>
        <w:rPr>
          <w:color w:val="393838"/>
          <w:spacing w:val="-4"/>
          <w:sz w:val="22"/>
          <w:vertAlign w:val="baseline"/>
        </w:rPr>
        <w:t> </w:t>
      </w:r>
      <w:r>
        <w:rPr>
          <w:color w:val="393838"/>
          <w:sz w:val="22"/>
          <w:vertAlign w:val="baseline"/>
        </w:rPr>
        <w:t>the</w:t>
      </w:r>
      <w:r>
        <w:rPr>
          <w:color w:val="393838"/>
          <w:spacing w:val="-4"/>
          <w:sz w:val="22"/>
          <w:vertAlign w:val="baseline"/>
        </w:rPr>
        <w:t> </w:t>
      </w:r>
      <w:r>
        <w:rPr>
          <w:color w:val="393838"/>
          <w:sz w:val="22"/>
          <w:vertAlign w:val="baseline"/>
        </w:rPr>
        <w:t>Executive Public</w:t>
      </w:r>
      <w:r>
        <w:rPr>
          <w:color w:val="393838"/>
          <w:spacing w:val="1"/>
          <w:sz w:val="22"/>
          <w:vertAlign w:val="baseline"/>
        </w:rPr>
        <w:t> </w:t>
      </w:r>
      <w:r>
        <w:rPr>
          <w:color w:val="393838"/>
          <w:sz w:val="22"/>
          <w:vertAlign w:val="baseline"/>
        </w:rPr>
        <w:t>Policy</w:t>
      </w:r>
      <w:r>
        <w:rPr>
          <w:color w:val="393838"/>
          <w:spacing w:val="-2"/>
          <w:sz w:val="22"/>
          <w:vertAlign w:val="baseline"/>
        </w:rPr>
        <w:t> </w:t>
      </w:r>
      <w:r>
        <w:rPr>
          <w:color w:val="393838"/>
          <w:sz w:val="22"/>
          <w:vertAlign w:val="baseline"/>
        </w:rPr>
        <w:t>Program,</w:t>
      </w:r>
    </w:p>
    <w:p>
      <w:pPr>
        <w:pStyle w:val="BodyText"/>
        <w:spacing w:before="2"/>
        <w:rPr>
          <w:rFonts w:ascii="Calibri"/>
          <w:sz w:val="28"/>
        </w:rPr>
      </w:pPr>
    </w:p>
    <w:p>
      <w:pPr>
        <w:spacing w:before="0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London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School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Economics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Political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Science; the Public Administration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79"/>
        <w:ind w:left="1579" w:right="0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position w:val="5"/>
          <w:sz w:val="10"/>
          <w:u w:val="single" w:color="0561C1"/>
        </w:rPr>
        <w:t>1</w:t>
      </w:r>
      <w:r>
        <w:rPr>
          <w:rFonts w:ascii="Calibri"/>
          <w:color w:val="231F20"/>
          <w:spacing w:val="17"/>
          <w:position w:val="5"/>
          <w:sz w:val="10"/>
          <w:u w:val="single" w:color="0561C1"/>
        </w:rPr>
        <w:t> </w:t>
      </w:r>
      <w:r>
        <w:rPr>
          <w:rFonts w:ascii="Calibri"/>
          <w:color w:val="0561C1"/>
          <w:sz w:val="14"/>
          <w:u w:val="single" w:color="0561C1"/>
        </w:rPr>
        <w:t>https://</w:t>
      </w:r>
      <w:hyperlink r:id="rId80">
        <w:r>
          <w:rPr>
            <w:rFonts w:ascii="Calibri"/>
            <w:color w:val="0561C1"/>
            <w:sz w:val="14"/>
            <w:u w:val="single" w:color="0561C1"/>
          </w:rPr>
          <w:t>www.timeshighereducation.com/student/best-universities/best-universities-business-degrees</w:t>
        </w:r>
      </w:hyperlink>
    </w:p>
    <w:p>
      <w:pPr>
        <w:spacing w:before="25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111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3472" id="docshapegroup317" coordorigin="1131,2438" coordsize="9643,12506">
            <v:shape style="position:absolute;left:8364;top:2765;width:1500;height:435" type="#_x0000_t75" id="docshape318" stroked="false">
              <v:imagedata r:id="rId75" o:title=""/>
            </v:shape>
            <v:shape style="position:absolute;left:2041;top:14214;width:1745;height:170" id="docshape319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2039;top:12788;width:2269;height:20" id="docshape320" filled="true" fillcolor="#072a75" stroked="false">
              <v:fill type="solid"/>
            </v:rect>
            <v:rect style="position:absolute;left:1133;top:2440;width:9638;height:12501" id="docshape321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306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Program, Lee Kuan Yew School of Public Policy, National University of Singapore;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Public Administration Program, University College London; and the Executive Public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Administration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Program, Fels Institute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Government,</w:t>
      </w:r>
      <w:r>
        <w:rPr>
          <w:rFonts w:ascii="Calibri"/>
          <w:color w:val="393838"/>
          <w:spacing w:val="6"/>
          <w:sz w:val="22"/>
        </w:rPr>
        <w:t> </w:t>
      </w:r>
      <w:r>
        <w:rPr>
          <w:rFonts w:ascii="Calibri"/>
          <w:color w:val="393838"/>
          <w:sz w:val="22"/>
        </w:rPr>
        <w:t>University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Pennsylvania.</w:t>
      </w:r>
      <w:r>
        <w:rPr>
          <w:rFonts w:ascii="Calibri"/>
          <w:color w:val="393838"/>
          <w:sz w:val="22"/>
          <w:vertAlign w:val="superscript"/>
        </w:rPr>
        <w:t>2</w:t>
      </w:r>
    </w:p>
    <w:p>
      <w:pPr>
        <w:pStyle w:val="ListParagraph"/>
        <w:numPr>
          <w:ilvl w:val="0"/>
          <w:numId w:val="41"/>
        </w:numPr>
        <w:tabs>
          <w:tab w:pos="2025" w:val="left" w:leader="none"/>
        </w:tabs>
        <w:spacing w:line="285" w:lineRule="auto" w:before="196" w:after="0"/>
        <w:ind w:left="2024" w:right="2327" w:hanging="446"/>
        <w:jc w:val="left"/>
        <w:rPr>
          <w:sz w:val="22"/>
        </w:rPr>
      </w:pPr>
      <w:r>
        <w:rPr>
          <w:color w:val="393838"/>
          <w:sz w:val="22"/>
        </w:rPr>
        <w:t>Desk audit of materials and information available on-line to students – course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outcomes, teaching resources (books, videos), discussions and group work, and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assessment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tasks.</w:t>
      </w:r>
    </w:p>
    <w:p>
      <w:pPr>
        <w:pStyle w:val="ListParagraph"/>
        <w:numPr>
          <w:ilvl w:val="0"/>
          <w:numId w:val="41"/>
        </w:numPr>
        <w:tabs>
          <w:tab w:pos="2024" w:val="left" w:leader="none"/>
          <w:tab w:pos="2025" w:val="left" w:leader="none"/>
        </w:tabs>
        <w:spacing w:line="240" w:lineRule="auto" w:before="148" w:after="0"/>
        <w:ind w:left="2024" w:right="0" w:hanging="446"/>
        <w:jc w:val="left"/>
        <w:rPr>
          <w:sz w:val="22"/>
        </w:rPr>
      </w:pPr>
      <w:r>
        <w:rPr>
          <w:color w:val="393838"/>
          <w:sz w:val="22"/>
        </w:rPr>
        <w:t>Student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feedback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ANZSOG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planning,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feedback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and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review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documents.</w:t>
      </w:r>
    </w:p>
    <w:p>
      <w:pPr>
        <w:pStyle w:val="BodyText"/>
        <w:rPr>
          <w:rFonts w:ascii="Calibri"/>
          <w:sz w:val="22"/>
        </w:rPr>
      </w:pPr>
    </w:p>
    <w:p>
      <w:pPr>
        <w:spacing w:before="154"/>
        <w:ind w:left="1579" w:right="0" w:firstLine="0"/>
        <w:jc w:val="left"/>
        <w:rPr>
          <w:rFonts w:ascii="Calibri"/>
          <w:sz w:val="28"/>
        </w:rPr>
      </w:pPr>
      <w:r>
        <w:rPr>
          <w:rFonts w:ascii="Calibri"/>
          <w:color w:val="44526A"/>
          <w:sz w:val="28"/>
        </w:rPr>
        <w:t>Overall</w:t>
      </w:r>
      <w:r>
        <w:rPr>
          <w:rFonts w:ascii="Calibri"/>
          <w:color w:val="44526A"/>
          <w:spacing w:val="8"/>
          <w:sz w:val="28"/>
        </w:rPr>
        <w:t> </w:t>
      </w:r>
      <w:r>
        <w:rPr>
          <w:rFonts w:ascii="Calibri"/>
          <w:color w:val="44526A"/>
          <w:sz w:val="28"/>
        </w:rPr>
        <w:t>content,</w:t>
      </w:r>
      <w:r>
        <w:rPr>
          <w:rFonts w:ascii="Calibri"/>
          <w:color w:val="44526A"/>
          <w:spacing w:val="6"/>
          <w:sz w:val="28"/>
        </w:rPr>
        <w:t> </w:t>
      </w:r>
      <w:r>
        <w:rPr>
          <w:rFonts w:ascii="Calibri"/>
          <w:color w:val="44526A"/>
          <w:sz w:val="28"/>
        </w:rPr>
        <w:t>coherence</w:t>
      </w:r>
      <w:r>
        <w:rPr>
          <w:rFonts w:ascii="Calibri"/>
          <w:color w:val="44526A"/>
          <w:spacing w:val="9"/>
          <w:sz w:val="28"/>
        </w:rPr>
        <w:t> </w:t>
      </w:r>
      <w:r>
        <w:rPr>
          <w:rFonts w:ascii="Calibri"/>
          <w:color w:val="44526A"/>
          <w:sz w:val="28"/>
        </w:rPr>
        <w:t>and</w:t>
      </w:r>
      <w:r>
        <w:rPr>
          <w:rFonts w:ascii="Calibri"/>
          <w:color w:val="44526A"/>
          <w:spacing w:val="7"/>
          <w:sz w:val="28"/>
        </w:rPr>
        <w:t> </w:t>
      </w:r>
      <w:r>
        <w:rPr>
          <w:rFonts w:ascii="Calibri"/>
          <w:color w:val="44526A"/>
          <w:sz w:val="28"/>
        </w:rPr>
        <w:t>progression</w:t>
      </w:r>
    </w:p>
    <w:p>
      <w:pPr>
        <w:spacing w:line="268" w:lineRule="auto" w:before="129"/>
        <w:ind w:left="1579" w:right="215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ANZSOG course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comprises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nine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units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delivered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sequence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that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progresses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from the general to the particular, from setting the scene for public administration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specialised capacity building among students. The scene-setting units are (1)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Delivering Public Value and (2) Government in a Market Economy. Together these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units locate public administration within the hybridity of private-public-networked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governance that characterises the 21</w:t>
      </w:r>
      <w:r>
        <w:rPr>
          <w:rFonts w:ascii="Calibri"/>
          <w:color w:val="393838"/>
          <w:sz w:val="22"/>
          <w:vertAlign w:val="superscript"/>
        </w:rPr>
        <w:t>st</w:t>
      </w:r>
      <w:r>
        <w:rPr>
          <w:rFonts w:ascii="Calibri"/>
          <w:color w:val="393838"/>
          <w:sz w:val="22"/>
          <w:vertAlign w:val="baseline"/>
        </w:rPr>
        <w:t> century. The remaining units for Year 1 address</w:t>
      </w:r>
      <w:r>
        <w:rPr>
          <w:rFonts w:ascii="Calibri"/>
          <w:color w:val="393838"/>
          <w:spacing w:val="-47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new challenges arising from the complexities of this new form of governance: (3)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Designing Public Policies; (4) Decision Making under Uncertainty; and (5) Managing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Public Sector Organisations. Year 2 units are more focused on the specific knowledge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and understanding needed to navigate disruption and change in traditional public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administration: (6) Leading Public Service Change; (7) Governing by the Rules; (8)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Public Finance Management; and (9) a Work-Based Project which is a standard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capstone unit</w:t>
      </w:r>
      <w:r>
        <w:rPr>
          <w:rFonts w:ascii="Calibri"/>
          <w:color w:val="393838"/>
          <w:spacing w:val="2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undertaken by</w:t>
      </w:r>
      <w:r>
        <w:rPr>
          <w:rFonts w:ascii="Calibri"/>
          <w:color w:val="393838"/>
          <w:spacing w:val="-2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small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groups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of</w:t>
      </w:r>
      <w:r>
        <w:rPr>
          <w:rFonts w:ascii="Calibri"/>
          <w:color w:val="393838"/>
          <w:spacing w:val="-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students.</w:t>
      </w:r>
    </w:p>
    <w:p>
      <w:pPr>
        <w:spacing w:line="268" w:lineRule="auto" w:before="150"/>
        <w:ind w:left="1579" w:right="2291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content of the course is comparable to that of other public administration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programs at a Masters level. The common areas covered by such courses are: (a)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values underpinning public administration (ethics, responsibility and accountability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connected to academic disciplines of politics and philosophy); legal frameworks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regulatory procedures (connected to public law - administrative and constitutional);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management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leadership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(connected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organisational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studies, management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79"/>
        <w:ind w:left="1579" w:right="0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position w:val="5"/>
          <w:sz w:val="10"/>
          <w:u w:val="single" w:color="0561C1"/>
        </w:rPr>
        <w:t>2</w:t>
      </w:r>
      <w:r>
        <w:rPr>
          <w:rFonts w:ascii="Calibri"/>
          <w:color w:val="231F20"/>
          <w:spacing w:val="31"/>
          <w:position w:val="5"/>
          <w:sz w:val="10"/>
          <w:u w:val="single" w:color="0561C1"/>
        </w:rPr>
        <w:t> </w:t>
      </w:r>
      <w:r>
        <w:rPr>
          <w:rFonts w:ascii="Calibri"/>
          <w:color w:val="0561C1"/>
          <w:sz w:val="14"/>
          <w:u w:val="single" w:color="0561C1"/>
        </w:rPr>
        <w:t>https://</w:t>
      </w:r>
      <w:hyperlink r:id="rId81">
        <w:r>
          <w:rPr>
            <w:rFonts w:ascii="Calibri"/>
            <w:color w:val="0561C1"/>
            <w:sz w:val="14"/>
            <w:u w:val="single" w:color="0561C1"/>
          </w:rPr>
          <w:t>www.lse.ac.uk/study-at-lse/Graduate/degree-programmes-2021/Executive-Master-of-Public-Administration-EMPA</w:t>
        </w:r>
      </w:hyperlink>
    </w:p>
    <w:p>
      <w:pPr>
        <w:spacing w:line="292" w:lineRule="auto" w:before="46"/>
        <w:ind w:left="1579" w:right="2262" w:firstLine="0"/>
        <w:jc w:val="left"/>
        <w:rPr>
          <w:rFonts w:ascii="Calibri"/>
          <w:sz w:val="14"/>
        </w:rPr>
      </w:pPr>
      <w:r>
        <w:rPr>
          <w:rFonts w:ascii="Calibri"/>
          <w:color w:val="0561C1"/>
          <w:sz w:val="14"/>
          <w:u w:val="single" w:color="0561C1"/>
        </w:rPr>
        <w:t>https://www.fels.upenn.edu/academics/executive-mpa/courses</w:t>
      </w:r>
      <w:r>
        <w:rPr>
          <w:rFonts w:ascii="Calibri"/>
          <w:color w:val="0561C1"/>
          <w:spacing w:val="3"/>
          <w:sz w:val="14"/>
          <w:u w:val="single" w:color="0561C1"/>
        </w:rPr>
        <w:t> </w:t>
      </w:r>
      <w:r>
        <w:rPr>
          <w:rFonts w:ascii="Calibri"/>
          <w:color w:val="0561C1"/>
          <w:sz w:val="14"/>
          <w:u w:val="single" w:color="0561C1"/>
        </w:rPr>
        <w:t>https://lkyspp.nus.edu.sg/graduate-programmes/master-in-public-</w:t>
      </w:r>
      <w:r>
        <w:rPr>
          <w:rFonts w:ascii="Calibri"/>
          <w:color w:val="0561C1"/>
          <w:spacing w:val="1"/>
          <w:sz w:val="14"/>
        </w:rPr>
        <w:t> </w:t>
      </w:r>
      <w:r>
        <w:rPr>
          <w:rFonts w:ascii="Calibri"/>
          <w:color w:val="0561C1"/>
          <w:sz w:val="14"/>
          <w:u w:val="single" w:color="0561C1"/>
        </w:rPr>
        <w:t>administration-mpa/overview;</w:t>
      </w:r>
    </w:p>
    <w:p>
      <w:pPr>
        <w:spacing w:before="0"/>
        <w:ind w:left="1579" w:right="0" w:firstLine="0"/>
        <w:jc w:val="left"/>
        <w:rPr>
          <w:rFonts w:ascii="Calibri"/>
          <w:sz w:val="14"/>
        </w:rPr>
      </w:pPr>
      <w:r>
        <w:rPr>
          <w:rFonts w:ascii="Calibri"/>
          <w:color w:val="0561C1"/>
          <w:sz w:val="14"/>
          <w:u w:val="single" w:color="0561C1"/>
        </w:rPr>
        <w:t>https://</w:t>
      </w:r>
      <w:hyperlink r:id="rId82">
        <w:r>
          <w:rPr>
            <w:rFonts w:ascii="Calibri"/>
            <w:color w:val="0561C1"/>
            <w:sz w:val="14"/>
            <w:u w:val="single" w:color="0561C1"/>
          </w:rPr>
          <w:t>www.ucl.ac.uk/bartlett/public-purpose/master-public-administration-mpa-innovation-public-policy-and-public-value-2021-22</w:t>
        </w:r>
      </w:hyperlink>
    </w:p>
    <w:p>
      <w:pPr>
        <w:spacing w:before="17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112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2960" id="docshapegroup322" coordorigin="1131,2438" coordsize="9643,12506">
            <v:shape style="position:absolute;left:8364;top:2765;width:1500;height:435" type="#_x0000_t75" id="docshape323" stroked="false">
              <v:imagedata r:id="rId75" o:title=""/>
            </v:shape>
            <v:shape style="position:absolute;left:2041;top:14214;width:1745;height:170" id="docshape324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2039;top:12973;width:2269;height:20" id="docshape325" filled="true" fillcolor="#072a75" stroked="false">
              <v:fill type="solid"/>
            </v:rect>
            <v:shape style="position:absolute;left:2039;top:13548;width:83;height:508" id="docshape326" coordorigin="2040,13549" coordsize="83,508" path="m2091,13549l2040,13549,2040,13556,2091,13556,2091,13549xm2122,14045l2040,14045,2040,14056,2122,14056,2122,14045xe" filled="true" fillcolor="#0561c1" stroked="false">
              <v:path arrowok="t"/>
              <v:fill type="solid"/>
            </v:shape>
            <v:rect style="position:absolute;left:2122;top:14044;width:2367;height:12" id="docshape327" filled="true" fillcolor="#0461c1" stroked="false">
              <v:fill type="solid"/>
            </v:rect>
            <v:rect style="position:absolute;left:1133;top:2440;width:9638;height:12501" id="docshape328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245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(including social change) studies); financial management (decision making around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obtaining, allocating and spending resources, connected to economics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accountancy); economics for public policy (connected to micro and macro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economics); and quantitative methods and statistics for public policy (connected to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social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science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research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methods).</w:t>
      </w:r>
    </w:p>
    <w:p>
      <w:pPr>
        <w:spacing w:line="266" w:lineRule="auto" w:before="171"/>
        <w:ind w:left="1579" w:right="2793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Assuming that global course content is a useful yardstick, the EMPA covers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appropriate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content.</w:t>
      </w:r>
    </w:p>
    <w:p>
      <w:pPr>
        <w:spacing w:line="268" w:lineRule="auto" w:before="172"/>
        <w:ind w:left="1579" w:right="2074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393838"/>
          <w:sz w:val="22"/>
        </w:rPr>
        <w:t>The weakest areas at first glance may be quantitative methods, although the work-</w:t>
      </w:r>
      <w:r>
        <w:rPr>
          <w:rFonts w:ascii="Calibri"/>
          <w:b/>
          <w:color w:val="393838"/>
          <w:spacing w:val="1"/>
          <w:sz w:val="22"/>
        </w:rPr>
        <w:t> </w:t>
      </w:r>
      <w:r>
        <w:rPr>
          <w:rFonts w:ascii="Calibri"/>
          <w:b/>
          <w:color w:val="393838"/>
          <w:sz w:val="22"/>
        </w:rPr>
        <w:t>based project may cover this satisfactorily. It is recommended that the planned</w:t>
      </w:r>
      <w:r>
        <w:rPr>
          <w:rFonts w:ascii="Calibri"/>
          <w:b/>
          <w:color w:val="393838"/>
          <w:spacing w:val="1"/>
          <w:sz w:val="22"/>
        </w:rPr>
        <w:t> </w:t>
      </w:r>
      <w:r>
        <w:rPr>
          <w:rFonts w:ascii="Calibri"/>
          <w:b/>
          <w:color w:val="393838"/>
          <w:sz w:val="22"/>
        </w:rPr>
        <w:t>Academic Program Review look at this issue in more detail in consultation with those</w:t>
      </w:r>
      <w:r>
        <w:rPr>
          <w:rFonts w:ascii="Calibri"/>
          <w:b/>
          <w:color w:val="393838"/>
          <w:spacing w:val="-47"/>
          <w:sz w:val="22"/>
        </w:rPr>
        <w:t> </w:t>
      </w:r>
      <w:r>
        <w:rPr>
          <w:rFonts w:ascii="Calibri"/>
          <w:b/>
          <w:color w:val="393838"/>
          <w:sz w:val="22"/>
        </w:rPr>
        <w:t>responsible for</w:t>
      </w:r>
      <w:r>
        <w:rPr>
          <w:rFonts w:ascii="Calibri"/>
          <w:b/>
          <w:color w:val="393838"/>
          <w:spacing w:val="1"/>
          <w:sz w:val="22"/>
        </w:rPr>
        <w:t> </w:t>
      </w:r>
      <w:r>
        <w:rPr>
          <w:rFonts w:ascii="Calibri"/>
          <w:b/>
          <w:color w:val="393838"/>
          <w:sz w:val="22"/>
        </w:rPr>
        <w:t>overall</w:t>
      </w:r>
      <w:r>
        <w:rPr>
          <w:rFonts w:ascii="Calibri"/>
          <w:b/>
          <w:color w:val="393838"/>
          <w:spacing w:val="-2"/>
          <w:sz w:val="22"/>
        </w:rPr>
        <w:t> </w:t>
      </w:r>
      <w:r>
        <w:rPr>
          <w:rFonts w:ascii="Calibri"/>
          <w:b/>
          <w:color w:val="393838"/>
          <w:sz w:val="22"/>
        </w:rPr>
        <w:t>course design.</w:t>
      </w:r>
    </w:p>
    <w:p>
      <w:pPr>
        <w:spacing w:line="268" w:lineRule="auto" w:before="159"/>
        <w:ind w:left="1579" w:right="229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It should not be assumed that the ANZSOG EMPA course necessarily mirror overseas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public administration courses. The ANZSOG course is unique in relation to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closeness of its partnership with the Australian and Aotearoa-New Zealand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Governments. The course is an example of university-government co-design with 10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universities involved.</w:t>
      </w:r>
      <w:r>
        <w:rPr>
          <w:rFonts w:ascii="Calibri"/>
          <w:color w:val="393838"/>
          <w:sz w:val="22"/>
          <w:vertAlign w:val="superscript"/>
        </w:rPr>
        <w:t>3</w:t>
      </w:r>
      <w:r>
        <w:rPr>
          <w:rFonts w:ascii="Calibri"/>
          <w:color w:val="393838"/>
          <w:sz w:val="22"/>
          <w:vertAlign w:val="baseline"/>
        </w:rPr>
        <w:t> The interconnection between the academic component of the</w:t>
      </w:r>
      <w:r>
        <w:rPr>
          <w:rFonts w:ascii="Calibri"/>
          <w:color w:val="393838"/>
          <w:spacing w:val="-47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course and work practice is much stronger than for standard public administration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courses. This is possible because the students are recruited as experienced and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talented officials from government departments. They enter the course with more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homogenous experiences and needs from the course than more general public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administration programs. A degree of tailoring and responsiveness to what are seen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as gaps in public servant knowledge and capacity is accommodated in the course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through</w:t>
      </w:r>
      <w:r>
        <w:rPr>
          <w:rFonts w:ascii="Calibri"/>
          <w:color w:val="393838"/>
          <w:spacing w:val="-2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a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regular</w:t>
      </w:r>
      <w:r>
        <w:rPr>
          <w:rFonts w:ascii="Calibri"/>
          <w:color w:val="393838"/>
          <w:spacing w:val="-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review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process.</w:t>
      </w:r>
    </w:p>
    <w:p>
      <w:pPr>
        <w:spacing w:line="266" w:lineRule="auto" w:before="144"/>
        <w:ind w:left="1579" w:right="2502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393838"/>
          <w:sz w:val="22"/>
        </w:rPr>
        <w:t>How this process avoids sacrificing academic integrity in course offerings may be</w:t>
      </w:r>
      <w:r>
        <w:rPr>
          <w:rFonts w:ascii="Calibri"/>
          <w:b/>
          <w:color w:val="393838"/>
          <w:spacing w:val="-47"/>
          <w:sz w:val="22"/>
        </w:rPr>
        <w:t> </w:t>
      </w:r>
      <w:r>
        <w:rPr>
          <w:rFonts w:ascii="Calibri"/>
          <w:b/>
          <w:color w:val="393838"/>
          <w:sz w:val="22"/>
        </w:rPr>
        <w:t>worth following</w:t>
      </w:r>
      <w:r>
        <w:rPr>
          <w:rFonts w:ascii="Calibri"/>
          <w:b/>
          <w:color w:val="393838"/>
          <w:spacing w:val="2"/>
          <w:sz w:val="22"/>
        </w:rPr>
        <w:t> </w:t>
      </w:r>
      <w:r>
        <w:rPr>
          <w:rFonts w:ascii="Calibri"/>
          <w:b/>
          <w:color w:val="393838"/>
          <w:sz w:val="22"/>
        </w:rPr>
        <w:t>up in</w:t>
      </w:r>
      <w:r>
        <w:rPr>
          <w:rFonts w:ascii="Calibri"/>
          <w:b/>
          <w:color w:val="393838"/>
          <w:spacing w:val="-3"/>
          <w:sz w:val="22"/>
        </w:rPr>
        <w:t> </w:t>
      </w:r>
      <w:r>
        <w:rPr>
          <w:rFonts w:ascii="Calibri"/>
          <w:b/>
          <w:color w:val="393838"/>
          <w:sz w:val="22"/>
        </w:rPr>
        <w:t>the Academic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Program</w:t>
      </w:r>
      <w:r>
        <w:rPr>
          <w:rFonts w:ascii="Calibri"/>
          <w:b/>
          <w:color w:val="393838"/>
          <w:spacing w:val="2"/>
          <w:sz w:val="22"/>
        </w:rPr>
        <w:t> </w:t>
      </w:r>
      <w:r>
        <w:rPr>
          <w:rFonts w:ascii="Calibri"/>
          <w:b/>
          <w:color w:val="393838"/>
          <w:sz w:val="22"/>
        </w:rPr>
        <w:t>Review.</w:t>
      </w:r>
    </w:p>
    <w:p>
      <w:pPr>
        <w:spacing w:line="278" w:lineRule="auto" w:before="167"/>
        <w:ind w:left="1579" w:right="1997" w:hanging="1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10 stated outcomes for the course</w:t>
      </w:r>
      <w:r>
        <w:rPr>
          <w:rFonts w:ascii="Calibri"/>
          <w:color w:val="393838"/>
          <w:sz w:val="22"/>
          <w:vertAlign w:val="superscript"/>
        </w:rPr>
        <w:t>4</w:t>
      </w:r>
      <w:r>
        <w:rPr>
          <w:rFonts w:ascii="Calibri"/>
          <w:color w:val="393838"/>
          <w:sz w:val="22"/>
          <w:vertAlign w:val="baseline"/>
        </w:rPr>
        <w:t> integrate academic knowledge with practice.</w:t>
      </w:r>
      <w:r>
        <w:rPr>
          <w:rFonts w:ascii="Calibri"/>
          <w:color w:val="393838"/>
          <w:spacing w:val="-47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Outcomes are strongly linked to leadership performance expected in the workplace: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being able to lead change, analyse complex problems, evaluate evidence, derive</w:t>
      </w:r>
      <w:r>
        <w:rPr>
          <w:rFonts w:ascii="Calibri"/>
          <w:color w:val="393838"/>
          <w:spacing w:val="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solutions</w:t>
      </w:r>
      <w:r>
        <w:rPr>
          <w:rFonts w:ascii="Calibri"/>
          <w:color w:val="393838"/>
          <w:spacing w:val="-2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that</w:t>
      </w:r>
      <w:r>
        <w:rPr>
          <w:rFonts w:ascii="Calibri"/>
          <w:color w:val="393838"/>
          <w:spacing w:val="-4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are</w:t>
      </w:r>
      <w:r>
        <w:rPr>
          <w:rFonts w:ascii="Calibri"/>
          <w:color w:val="393838"/>
          <w:spacing w:val="-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strategic,</w:t>
      </w:r>
      <w:r>
        <w:rPr>
          <w:rFonts w:ascii="Calibri"/>
          <w:color w:val="393838"/>
          <w:spacing w:val="-4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invest</w:t>
      </w:r>
      <w:r>
        <w:rPr>
          <w:rFonts w:ascii="Calibri"/>
          <w:color w:val="393838"/>
          <w:spacing w:val="-2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in</w:t>
      </w:r>
      <w:r>
        <w:rPr>
          <w:rFonts w:ascii="Calibri"/>
          <w:color w:val="393838"/>
          <w:spacing w:val="-2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the</w:t>
      </w:r>
      <w:r>
        <w:rPr>
          <w:rFonts w:ascii="Calibri"/>
          <w:color w:val="393838"/>
          <w:spacing w:val="-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future,</w:t>
      </w:r>
      <w:r>
        <w:rPr>
          <w:rFonts w:ascii="Calibri"/>
          <w:color w:val="393838"/>
          <w:spacing w:val="-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are</w:t>
      </w:r>
      <w:r>
        <w:rPr>
          <w:rFonts w:ascii="Calibri"/>
          <w:color w:val="393838"/>
          <w:spacing w:val="-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economically</w:t>
      </w:r>
      <w:r>
        <w:rPr>
          <w:rFonts w:ascii="Calibri"/>
          <w:color w:val="393838"/>
          <w:spacing w:val="-3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sound,</w:t>
      </w:r>
      <w:r>
        <w:rPr>
          <w:rFonts w:ascii="Calibri"/>
          <w:color w:val="393838"/>
          <w:spacing w:val="-1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add</w:t>
      </w:r>
      <w:r>
        <w:rPr>
          <w:rFonts w:ascii="Calibri"/>
          <w:color w:val="393838"/>
          <w:spacing w:val="-3"/>
          <w:sz w:val="22"/>
          <w:vertAlign w:val="baseline"/>
        </w:rPr>
        <w:t> </w:t>
      </w:r>
      <w:r>
        <w:rPr>
          <w:rFonts w:ascii="Calibri"/>
          <w:color w:val="393838"/>
          <w:sz w:val="22"/>
          <w:vertAlign w:val="baseline"/>
        </w:rPr>
        <w:t>public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6"/>
        </w:rPr>
      </w:pPr>
    </w:p>
    <w:p>
      <w:pPr>
        <w:spacing w:line="288" w:lineRule="auto" w:before="79"/>
        <w:ind w:left="1579" w:right="2049" w:firstLine="0"/>
        <w:jc w:val="left"/>
        <w:rPr>
          <w:rFonts w:ascii="Calibri"/>
          <w:sz w:val="15"/>
        </w:rPr>
      </w:pPr>
      <w:r>
        <w:rPr>
          <w:rFonts w:ascii="Calibri"/>
          <w:color w:val="231F20"/>
          <w:w w:val="105"/>
          <w:position w:val="5"/>
          <w:sz w:val="10"/>
        </w:rPr>
        <w:t>3 </w:t>
      </w:r>
      <w:r>
        <w:rPr>
          <w:rFonts w:ascii="Calibri"/>
          <w:color w:val="231F20"/>
          <w:w w:val="105"/>
          <w:sz w:val="15"/>
        </w:rPr>
        <w:t>Australian National University, Charles Darwin University, Flinders University, Griffith University, Monash University,</w:t>
      </w:r>
      <w:r>
        <w:rPr>
          <w:rFonts w:ascii="Calibri"/>
          <w:color w:val="231F20"/>
          <w:spacing w:val="1"/>
          <w:w w:val="105"/>
          <w:sz w:val="15"/>
        </w:rPr>
        <w:t> </w:t>
      </w:r>
      <w:r>
        <w:rPr>
          <w:rFonts w:ascii="Calibri"/>
          <w:color w:val="231F20"/>
          <w:w w:val="105"/>
          <w:sz w:val="15"/>
        </w:rPr>
        <w:t>University of Canberra, University of Melbourne, University of Sydney, Curtin University, Victoria University of Wellington.</w:t>
      </w:r>
      <w:r>
        <w:rPr>
          <w:rFonts w:ascii="Calibri"/>
          <w:color w:val="231F20"/>
          <w:spacing w:val="-34"/>
          <w:w w:val="105"/>
          <w:sz w:val="15"/>
        </w:rPr>
        <w:t> </w:t>
      </w:r>
      <w:r>
        <w:rPr>
          <w:rFonts w:ascii="Calibri"/>
          <w:color w:val="231F20"/>
          <w:w w:val="105"/>
          <w:position w:val="5"/>
          <w:sz w:val="10"/>
        </w:rPr>
        <w:t>4</w:t>
      </w:r>
      <w:r>
        <w:rPr>
          <w:rFonts w:ascii="Calibri"/>
          <w:color w:val="231F20"/>
          <w:spacing w:val="6"/>
          <w:w w:val="105"/>
          <w:position w:val="5"/>
          <w:sz w:val="10"/>
        </w:rPr>
        <w:t> </w:t>
      </w:r>
      <w:r>
        <w:rPr>
          <w:rFonts w:ascii="Calibri"/>
          <w:color w:val="0461C1"/>
          <w:w w:val="105"/>
          <w:sz w:val="15"/>
        </w:rPr>
        <w:t>https://</w:t>
      </w:r>
      <w:hyperlink r:id="rId78">
        <w:r>
          <w:rPr>
            <w:rFonts w:ascii="Calibri"/>
            <w:color w:val="0461C1"/>
            <w:w w:val="105"/>
            <w:sz w:val="15"/>
          </w:rPr>
          <w:t>www.anzsog.edu.au/masters</w:t>
        </w:r>
      </w:hyperlink>
    </w:p>
    <w:p>
      <w:pPr>
        <w:spacing w:line="253" w:lineRule="exact" w:before="0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113</w:t>
      </w:r>
    </w:p>
    <w:p>
      <w:pPr>
        <w:spacing w:after="0" w:line="253" w:lineRule="exact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2448" id="docshapegroup329" coordorigin="1131,2438" coordsize="9643,12506">
            <v:shape style="position:absolute;left:8364;top:2765;width:1500;height:435" type="#_x0000_t75" id="docshape330" stroked="false">
              <v:imagedata r:id="rId75" o:title=""/>
            </v:shape>
            <v:shape style="position:absolute;left:2041;top:14214;width:1745;height:170" id="docshape331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332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6" w:lineRule="auto" w:before="179"/>
        <w:ind w:left="1579" w:right="2174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value,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engage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with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new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technologies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an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ethical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fashion,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design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 deliver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excellent services and undertake quality research. The nine units address these issues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through their teaching outcomes and the assessment. The course design iterates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between theory and practice to deliver these outcomes. The form of delivery is varied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within each unit, with notable attention given to engaging students in the learning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process. Short videos of popular interest ease students into inquiry, senior public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figures discuss their experiences and learnings, discussion groups encourage students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 use their experience and new knowledge in a before and after reflective process,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and then there are an abundance of quality academic references, some classic, some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more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recent.</w:t>
      </w:r>
    </w:p>
    <w:p>
      <w:pPr>
        <w:spacing w:line="266" w:lineRule="auto" w:before="181"/>
        <w:ind w:left="1579" w:right="2245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There is a tendency for the distinguished faculty to use their own books for teaching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purposes. </w:t>
      </w:r>
      <w:r>
        <w:rPr>
          <w:rFonts w:ascii="Calibri"/>
          <w:b/>
          <w:color w:val="393838"/>
          <w:sz w:val="22"/>
        </w:rPr>
        <w:t>Whether or not this delivers better outcomes than deliberately choosing</w:t>
      </w:r>
      <w:r>
        <w:rPr>
          <w:rFonts w:ascii="Calibri"/>
          <w:b/>
          <w:color w:val="393838"/>
          <w:spacing w:val="-47"/>
          <w:sz w:val="22"/>
        </w:rPr>
        <w:t> </w:t>
      </w:r>
      <w:r>
        <w:rPr>
          <w:rFonts w:ascii="Calibri"/>
          <w:b/>
          <w:color w:val="393838"/>
          <w:sz w:val="22"/>
        </w:rPr>
        <w:t>books/readings with a different perspective is a question worthy of addressing in</w:t>
      </w:r>
      <w:r>
        <w:rPr>
          <w:rFonts w:ascii="Calibri"/>
          <w:b/>
          <w:color w:val="393838"/>
          <w:spacing w:val="1"/>
          <w:sz w:val="22"/>
        </w:rPr>
        <w:t> </w:t>
      </w:r>
      <w:r>
        <w:rPr>
          <w:rFonts w:ascii="Calibri"/>
          <w:b/>
          <w:color w:val="393838"/>
          <w:sz w:val="22"/>
        </w:rPr>
        <w:t>the Academic Program Review</w:t>
      </w:r>
      <w:r>
        <w:rPr>
          <w:rFonts w:ascii="Calibri"/>
          <w:color w:val="393838"/>
          <w:sz w:val="22"/>
        </w:rPr>
        <w:t>. Given the quality of the faculty, it is quite possible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that the readings chosen are the very best available and that they are superior 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readings that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present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different perspective.</w:t>
      </w:r>
    </w:p>
    <w:p>
      <w:pPr>
        <w:spacing w:line="268" w:lineRule="auto" w:before="180"/>
        <w:ind w:left="1579" w:right="2134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This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is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5"/>
          <w:sz w:val="22"/>
        </w:rPr>
        <w:t> </w:t>
      </w:r>
      <w:r>
        <w:rPr>
          <w:rFonts w:ascii="Calibri"/>
          <w:color w:val="393838"/>
          <w:sz w:val="22"/>
        </w:rPr>
        <w:t>question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6"/>
          <w:sz w:val="22"/>
        </w:rPr>
        <w:t> </w:t>
      </w:r>
      <w:r>
        <w:rPr>
          <w:rFonts w:ascii="Calibri"/>
          <w:color w:val="393838"/>
          <w:sz w:val="22"/>
        </w:rPr>
        <w:t>discussion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with</w:t>
      </w:r>
      <w:r>
        <w:rPr>
          <w:rFonts w:ascii="Calibri"/>
          <w:color w:val="393838"/>
          <w:spacing w:val="4"/>
          <w:sz w:val="22"/>
        </w:rPr>
        <w:t> </w:t>
      </w:r>
      <w:r>
        <w:rPr>
          <w:rFonts w:ascii="Calibri"/>
          <w:color w:val="393838"/>
          <w:sz w:val="22"/>
        </w:rPr>
        <w:t>faculty first</w:t>
      </w:r>
      <w:r>
        <w:rPr>
          <w:rFonts w:ascii="Calibri"/>
          <w:color w:val="393838"/>
          <w:spacing w:val="6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foremost</w:t>
      </w:r>
      <w:r>
        <w:rPr>
          <w:rFonts w:ascii="Calibri"/>
          <w:color w:val="393838"/>
          <w:spacing w:val="6"/>
          <w:sz w:val="22"/>
        </w:rPr>
        <w:t> </w:t>
      </w:r>
      <w:r>
        <w:rPr>
          <w:rFonts w:ascii="Calibri"/>
          <w:color w:val="393838"/>
          <w:sz w:val="22"/>
        </w:rPr>
        <w:t>according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to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overall mission: Do these readings provide adequate academic foundations for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meeting the challenges of the public service in the next two decades? This question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needs to be answered in the context of the need for flexible, imaginative thinking, and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rich and broad knowledge networks to address problems that we do not even know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about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at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this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point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time.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events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2020 have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shown the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challenges</w:t>
      </w:r>
      <w:r>
        <w:rPr>
          <w:rFonts w:ascii="Calibri"/>
          <w:color w:val="393838"/>
          <w:spacing w:val="3"/>
          <w:sz w:val="22"/>
        </w:rPr>
        <w:t> </w:t>
      </w:r>
      <w:r>
        <w:rPr>
          <w:rFonts w:ascii="Calibri"/>
          <w:color w:val="393838"/>
          <w:sz w:val="22"/>
        </w:rPr>
        <w:t>facing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public sector leaders with natural disasters, national security threats, pandemics,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economic uncertainties and educational turmoil from primary through to tertiary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levels. Risk management should always have been about scenario planning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catastrophising, not selecting a number on a rating scale for a foreseeable risk. An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executive public administration program needs to be bold and broad, encouraging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comfort in uncertainty and ignorance and confidence in leading to find answers. An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Academic Program Review needs to seek answers to where universities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governments sit in relation to preparing for the future. Units need to be brought into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line with these aspirations, wherever they sit on the immediate concern to future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concern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continuum.</w:t>
      </w:r>
    </w:p>
    <w:p>
      <w:pPr>
        <w:spacing w:line="266" w:lineRule="auto" w:before="146"/>
        <w:ind w:left="1579" w:right="1997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An analysis of the course design in terms of delivery of new material, readings,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discussion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groups,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guest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lectures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assessment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tasks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reveal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another distinctive</w:t>
      </w:r>
    </w:p>
    <w:p>
      <w:pPr>
        <w:pStyle w:val="BodyText"/>
        <w:spacing w:before="6"/>
        <w:rPr>
          <w:rFonts w:ascii="Calibri"/>
          <w:sz w:val="8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114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1936" id="docshapegroup333" coordorigin="1131,2438" coordsize="9643,12506">
            <v:shape style="position:absolute;left:8364;top:2765;width:1500;height:435" type="#_x0000_t75" id="docshape334" stroked="false">
              <v:imagedata r:id="rId75" o:title=""/>
            </v:shape>
            <v:shape style="position:absolute;left:2041;top:14214;width:1745;height:170" id="docshape335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336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68" w:lineRule="auto" w:before="179"/>
        <w:ind w:left="1579" w:right="2156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feature of the EMPA. There is not a linear progression in acquiring new and deeper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knowledge that can be assessed and then applied in a workplace. The teaching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learning process is more of an upward spiral. Steps in knowledge acquisition are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connected to workplace experiences which then feed back into the next steps of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teaching and learning. This underlines the importance of progressive assessment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assessment tasks that require increasing levels of integration of theory and practice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through each unit and then through the nine units that make up the course. For these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reasons, an evaluation of the degree to which course material and assessment deliver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course outcomes must rely on two sources of data: a desk audit of how these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elements are, in theory, connected and integrated for each unit, an overview of how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well connected and integrated the units are for the course as a whole, and a review of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what students and their work supervisors say about workplace performance and how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it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has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changed as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result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 study.</w:t>
      </w:r>
    </w:p>
    <w:p>
      <w:pPr>
        <w:spacing w:line="266" w:lineRule="auto" w:before="153"/>
        <w:ind w:left="1579" w:right="2181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All units are structured with three or four pieces of assessment. The initial task tends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to be experiential engaging practical experience and curiosity from the beginning.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assessment requirements start with the application of academic material to a work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experience, but then escalate to more nuanced integrated problem analysis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problem-solving.</w:t>
      </w:r>
    </w:p>
    <w:p>
      <w:pPr>
        <w:spacing w:line="268" w:lineRule="auto" w:before="171"/>
        <w:ind w:left="1580" w:right="2074" w:firstLine="0"/>
        <w:jc w:val="left"/>
        <w:rPr>
          <w:rFonts w:ascii="Calibri"/>
          <w:b/>
          <w:sz w:val="22"/>
        </w:rPr>
      </w:pPr>
      <w:r>
        <w:rPr>
          <w:rFonts w:ascii="Calibri"/>
          <w:color w:val="393838"/>
          <w:sz w:val="22"/>
        </w:rPr>
        <w:t>There is some evidence of unit cross-over in expectations and discussions of how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complex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problems are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solved, but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not as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much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might be expected.</w:t>
      </w:r>
      <w:r>
        <w:rPr>
          <w:rFonts w:ascii="Calibri"/>
          <w:color w:val="393838"/>
          <w:spacing w:val="8"/>
          <w:sz w:val="22"/>
        </w:rPr>
        <w:t> </w:t>
      </w:r>
      <w:r>
        <w:rPr>
          <w:rFonts w:ascii="Calibri"/>
          <w:b/>
          <w:color w:val="393838"/>
          <w:sz w:val="22"/>
        </w:rPr>
        <w:t>A</w:t>
      </w:r>
      <w:r>
        <w:rPr>
          <w:rFonts w:ascii="Calibri"/>
          <w:b/>
          <w:color w:val="393838"/>
          <w:spacing w:val="1"/>
          <w:sz w:val="22"/>
        </w:rPr>
        <w:t> </w:t>
      </w:r>
      <w:r>
        <w:rPr>
          <w:rFonts w:ascii="Calibri"/>
          <w:b/>
          <w:color w:val="393838"/>
          <w:sz w:val="22"/>
        </w:rPr>
        <w:t>recommendation for the Academic Program Review is to evaluate the need for and</w:t>
      </w:r>
      <w:r>
        <w:rPr>
          <w:rFonts w:ascii="Calibri"/>
          <w:b/>
          <w:color w:val="393838"/>
          <w:spacing w:val="1"/>
          <w:sz w:val="22"/>
        </w:rPr>
        <w:t> </w:t>
      </w:r>
      <w:r>
        <w:rPr>
          <w:rFonts w:ascii="Calibri"/>
          <w:b/>
          <w:color w:val="393838"/>
          <w:sz w:val="22"/>
        </w:rPr>
        <w:t>success with integrating academic material from different units in solving real-world</w:t>
      </w:r>
      <w:r>
        <w:rPr>
          <w:rFonts w:ascii="Calibri"/>
          <w:b/>
          <w:color w:val="393838"/>
          <w:spacing w:val="-47"/>
          <w:sz w:val="22"/>
        </w:rPr>
        <w:t> </w:t>
      </w:r>
      <w:r>
        <w:rPr>
          <w:rFonts w:ascii="Calibri"/>
          <w:b/>
          <w:color w:val="393838"/>
          <w:sz w:val="22"/>
        </w:rPr>
        <w:t>complex problems. </w:t>
      </w:r>
      <w:r>
        <w:rPr>
          <w:rFonts w:ascii="Calibri"/>
          <w:color w:val="393838"/>
          <w:sz w:val="22"/>
        </w:rPr>
        <w:t>The success should play into satisfaction at government levels in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the quality of ANZSOG graduates in terms of overall course outcomes. </w:t>
      </w:r>
      <w:r>
        <w:rPr>
          <w:rFonts w:ascii="Calibri"/>
          <w:b/>
          <w:color w:val="393838"/>
          <w:sz w:val="22"/>
        </w:rPr>
        <w:t>Interrogating</w:t>
      </w:r>
      <w:r>
        <w:rPr>
          <w:rFonts w:ascii="Calibri"/>
          <w:b/>
          <w:color w:val="393838"/>
          <w:spacing w:val="1"/>
          <w:sz w:val="22"/>
        </w:rPr>
        <w:t> </w:t>
      </w:r>
      <w:r>
        <w:rPr>
          <w:rFonts w:ascii="Calibri"/>
          <w:b/>
          <w:color w:val="393838"/>
          <w:sz w:val="22"/>
        </w:rPr>
        <w:t>this issue with stakeholders should also give rise to changes that might be</w:t>
      </w:r>
      <w:r>
        <w:rPr>
          <w:rFonts w:ascii="Calibri"/>
          <w:b/>
          <w:color w:val="393838"/>
          <w:spacing w:val="1"/>
          <w:sz w:val="22"/>
        </w:rPr>
        <w:t> </w:t>
      </w:r>
      <w:r>
        <w:rPr>
          <w:rFonts w:ascii="Calibri"/>
          <w:b/>
          <w:color w:val="393838"/>
          <w:sz w:val="22"/>
        </w:rPr>
        <w:t>foreshadowed for the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course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in</w:t>
      </w:r>
      <w:r>
        <w:rPr>
          <w:rFonts w:ascii="Calibri"/>
          <w:b/>
          <w:color w:val="393838"/>
          <w:spacing w:val="2"/>
          <w:sz w:val="22"/>
        </w:rPr>
        <w:t> </w:t>
      </w:r>
      <w:r>
        <w:rPr>
          <w:rFonts w:ascii="Calibri"/>
          <w:b/>
          <w:color w:val="393838"/>
          <w:sz w:val="22"/>
        </w:rPr>
        <w:t>coming</w:t>
      </w:r>
      <w:r>
        <w:rPr>
          <w:rFonts w:ascii="Calibri"/>
          <w:b/>
          <w:color w:val="393838"/>
          <w:spacing w:val="-3"/>
          <w:sz w:val="22"/>
        </w:rPr>
        <w:t> </w:t>
      </w:r>
      <w:r>
        <w:rPr>
          <w:rFonts w:ascii="Calibri"/>
          <w:b/>
          <w:color w:val="393838"/>
          <w:sz w:val="22"/>
        </w:rPr>
        <w:t>years to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meet</w:t>
      </w:r>
      <w:r>
        <w:rPr>
          <w:rFonts w:ascii="Calibri"/>
          <w:b/>
          <w:color w:val="393838"/>
          <w:spacing w:val="-2"/>
          <w:sz w:val="22"/>
        </w:rPr>
        <w:t> </w:t>
      </w:r>
      <w:r>
        <w:rPr>
          <w:rFonts w:ascii="Calibri"/>
          <w:b/>
          <w:color w:val="393838"/>
          <w:sz w:val="22"/>
        </w:rPr>
        <w:t>anticipated future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needs.</w:t>
      </w:r>
    </w:p>
    <w:p>
      <w:pPr>
        <w:spacing w:line="271" w:lineRule="auto" w:before="0"/>
        <w:ind w:left="1580" w:right="2172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393838"/>
          <w:sz w:val="22"/>
        </w:rPr>
        <w:t>Some issues have been proposed in ANZSOG documents and should be evaluated</w:t>
      </w:r>
      <w:r>
        <w:rPr>
          <w:rFonts w:ascii="Calibri"/>
          <w:b/>
          <w:color w:val="393838"/>
          <w:spacing w:val="-47"/>
          <w:sz w:val="22"/>
        </w:rPr>
        <w:t> </w:t>
      </w:r>
      <w:r>
        <w:rPr>
          <w:rFonts w:ascii="Calibri"/>
          <w:b/>
          <w:color w:val="393838"/>
          <w:sz w:val="22"/>
        </w:rPr>
        <w:t>also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in</w:t>
      </w:r>
      <w:r>
        <w:rPr>
          <w:rFonts w:ascii="Calibri"/>
          <w:b/>
          <w:color w:val="393838"/>
          <w:spacing w:val="1"/>
          <w:sz w:val="22"/>
        </w:rPr>
        <w:t> </w:t>
      </w:r>
      <w:r>
        <w:rPr>
          <w:rFonts w:ascii="Calibri"/>
          <w:b/>
          <w:color w:val="393838"/>
          <w:sz w:val="22"/>
        </w:rPr>
        <w:t>the Academic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Program</w:t>
      </w:r>
      <w:r>
        <w:rPr>
          <w:rFonts w:ascii="Calibri"/>
          <w:b/>
          <w:color w:val="393838"/>
          <w:spacing w:val="2"/>
          <w:sz w:val="22"/>
        </w:rPr>
        <w:t> </w:t>
      </w:r>
      <w:r>
        <w:rPr>
          <w:rFonts w:ascii="Calibri"/>
          <w:b/>
          <w:color w:val="393838"/>
          <w:sz w:val="22"/>
        </w:rPr>
        <w:t>Review.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6"/>
        <w:rPr>
          <w:rFonts w:ascii="Calibri"/>
          <w:b/>
          <w:sz w:val="30"/>
        </w:rPr>
      </w:pPr>
    </w:p>
    <w:p>
      <w:pPr>
        <w:pStyle w:val="Heading2"/>
      </w:pPr>
      <w:bookmarkStart w:name="_TOC_250003" w:id="49"/>
      <w:bookmarkEnd w:id="49"/>
      <w:r>
        <w:rPr>
          <w:color w:val="303C4F"/>
        </w:rPr>
        <w:t>Disclaimer</w:t>
      </w:r>
    </w:p>
    <w:p>
      <w:pPr>
        <w:pStyle w:val="ListParagraph"/>
        <w:numPr>
          <w:ilvl w:val="0"/>
          <w:numId w:val="42"/>
        </w:numPr>
        <w:tabs>
          <w:tab w:pos="2713" w:val="left" w:leader="none"/>
          <w:tab w:pos="2714" w:val="left" w:leader="none"/>
        </w:tabs>
        <w:spacing w:line="266" w:lineRule="auto" w:before="35" w:after="0"/>
        <w:ind w:left="2391" w:right="2612" w:hanging="4"/>
        <w:jc w:val="left"/>
        <w:rPr>
          <w:sz w:val="22"/>
        </w:rPr>
      </w:pPr>
      <w:r>
        <w:rPr>
          <w:color w:val="393838"/>
          <w:sz w:val="22"/>
        </w:rPr>
        <w:t>This compliance report on the EMPA was written by Dr Michael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Tomlinson and Emeritus Professor Valerie Braithwaite, at the request of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ANZSOG.</w:t>
      </w:r>
    </w:p>
    <w:p>
      <w:pPr>
        <w:spacing w:before="6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115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1424" id="docshapegroup337" coordorigin="1131,2438" coordsize="9643,12506">
            <v:shape style="position:absolute;left:8364;top:2765;width:1500;height:435" type="#_x0000_t75" id="docshape338" stroked="false">
              <v:imagedata r:id="rId75" o:title=""/>
            </v:shape>
            <v:shape style="position:absolute;left:2041;top:14214;width:1745;height:170" id="docshape339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340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7"/>
        </w:rPr>
      </w:pPr>
    </w:p>
    <w:p>
      <w:pPr>
        <w:pStyle w:val="ListParagraph"/>
        <w:numPr>
          <w:ilvl w:val="0"/>
          <w:numId w:val="43"/>
        </w:numPr>
        <w:tabs>
          <w:tab w:pos="2713" w:val="left" w:leader="none"/>
          <w:tab w:pos="2714" w:val="left" w:leader="none"/>
        </w:tabs>
        <w:spacing w:line="240" w:lineRule="auto" w:before="90" w:after="0"/>
        <w:ind w:left="2713" w:right="0" w:hanging="327"/>
        <w:jc w:val="left"/>
        <w:rPr>
          <w:sz w:val="22"/>
        </w:rPr>
      </w:pPr>
      <w:r>
        <w:rPr>
          <w:color w:val="393838"/>
          <w:sz w:val="22"/>
        </w:rPr>
        <w:t>The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consultants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have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relied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on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materials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provided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by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ANZSOG.</w:t>
      </w:r>
    </w:p>
    <w:p>
      <w:pPr>
        <w:pStyle w:val="ListParagraph"/>
        <w:numPr>
          <w:ilvl w:val="0"/>
          <w:numId w:val="43"/>
        </w:numPr>
        <w:tabs>
          <w:tab w:pos="2713" w:val="left" w:leader="none"/>
          <w:tab w:pos="2714" w:val="left" w:leader="none"/>
        </w:tabs>
        <w:spacing w:line="266" w:lineRule="auto" w:before="133" w:after="0"/>
        <w:ind w:left="2391" w:right="2657" w:hanging="4"/>
        <w:jc w:val="left"/>
        <w:rPr>
          <w:sz w:val="22"/>
        </w:rPr>
      </w:pPr>
      <w:r>
        <w:rPr>
          <w:color w:val="393838"/>
          <w:sz w:val="22"/>
        </w:rPr>
        <w:t>This report was prepared with due care and diligence; however, the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consultants do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not warrant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the report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to</w:t>
      </w:r>
      <w:r>
        <w:rPr>
          <w:color w:val="393838"/>
          <w:spacing w:val="2"/>
          <w:sz w:val="22"/>
        </w:rPr>
        <w:t> </w:t>
      </w:r>
      <w:r>
        <w:rPr>
          <w:color w:val="393838"/>
          <w:sz w:val="22"/>
        </w:rPr>
        <w:t>be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free of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errors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or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omissions.</w:t>
      </w:r>
    </w:p>
    <w:p>
      <w:pPr>
        <w:pStyle w:val="ListParagraph"/>
        <w:numPr>
          <w:ilvl w:val="0"/>
          <w:numId w:val="43"/>
        </w:numPr>
        <w:tabs>
          <w:tab w:pos="2714" w:val="left" w:leader="none"/>
          <w:tab w:pos="2715" w:val="left" w:leader="none"/>
        </w:tabs>
        <w:spacing w:line="266" w:lineRule="auto" w:before="105" w:after="0"/>
        <w:ind w:left="2391" w:right="2511" w:hanging="4"/>
        <w:jc w:val="left"/>
        <w:rPr>
          <w:sz w:val="22"/>
        </w:rPr>
      </w:pPr>
      <w:r>
        <w:rPr>
          <w:color w:val="393838"/>
          <w:sz w:val="22"/>
        </w:rPr>
        <w:t>The consultants were primarily engaged to review ANZSOG processes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and their compliance with the HESF, not to undertake a comprehensive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review of</w:t>
      </w:r>
      <w:r>
        <w:rPr>
          <w:color w:val="393838"/>
          <w:spacing w:val="-4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curriculum</w:t>
      </w:r>
      <w:r>
        <w:rPr>
          <w:color w:val="393838"/>
          <w:spacing w:val="2"/>
          <w:sz w:val="22"/>
        </w:rPr>
        <w:t> </w:t>
      </w:r>
      <w:r>
        <w:rPr>
          <w:color w:val="393838"/>
          <w:sz w:val="22"/>
        </w:rPr>
        <w:t>itself.</w:t>
      </w:r>
    </w:p>
    <w:p>
      <w:pPr>
        <w:pStyle w:val="ListParagraph"/>
        <w:numPr>
          <w:ilvl w:val="0"/>
          <w:numId w:val="43"/>
        </w:numPr>
        <w:tabs>
          <w:tab w:pos="2714" w:val="left" w:leader="none"/>
          <w:tab w:pos="2715" w:val="left" w:leader="none"/>
        </w:tabs>
        <w:spacing w:line="266" w:lineRule="auto" w:before="105" w:after="0"/>
        <w:ind w:left="2391" w:right="2281" w:hanging="4"/>
        <w:jc w:val="left"/>
        <w:rPr>
          <w:sz w:val="22"/>
        </w:rPr>
      </w:pPr>
      <w:r>
        <w:rPr>
          <w:color w:val="393838"/>
          <w:sz w:val="22"/>
        </w:rPr>
        <w:t>The consultants offer no warranties and accept no liability, expressed or</w:t>
      </w:r>
      <w:r>
        <w:rPr>
          <w:color w:val="393838"/>
          <w:spacing w:val="-47"/>
          <w:sz w:val="22"/>
        </w:rPr>
        <w:t> </w:t>
      </w:r>
      <w:r>
        <w:rPr>
          <w:color w:val="393838"/>
          <w:sz w:val="22"/>
        </w:rPr>
        <w:t>implied, for any actions that ANZSOG may take in relation to this report, or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for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the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outcome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of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any</w:t>
      </w:r>
      <w:r>
        <w:rPr>
          <w:color w:val="393838"/>
          <w:spacing w:val="-1"/>
          <w:sz w:val="22"/>
        </w:rPr>
        <w:t> </w:t>
      </w:r>
      <w:r>
        <w:rPr>
          <w:color w:val="393838"/>
          <w:sz w:val="22"/>
        </w:rPr>
        <w:t>regulatory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processes</w:t>
      </w:r>
      <w:r>
        <w:rPr>
          <w:color w:val="393838"/>
          <w:spacing w:val="-3"/>
          <w:sz w:val="22"/>
        </w:rPr>
        <w:t> </w:t>
      </w:r>
      <w:r>
        <w:rPr>
          <w:color w:val="393838"/>
          <w:sz w:val="22"/>
        </w:rPr>
        <w:t>relating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to</w:t>
      </w:r>
      <w:r>
        <w:rPr>
          <w:color w:val="393838"/>
          <w:spacing w:val="1"/>
          <w:sz w:val="22"/>
        </w:rPr>
        <w:t> </w:t>
      </w:r>
      <w:r>
        <w:rPr>
          <w:color w:val="393838"/>
          <w:sz w:val="22"/>
        </w:rPr>
        <w:t>this</w:t>
      </w:r>
      <w:r>
        <w:rPr>
          <w:color w:val="393838"/>
          <w:spacing w:val="-2"/>
          <w:sz w:val="22"/>
        </w:rPr>
        <w:t> </w:t>
      </w:r>
      <w:r>
        <w:rPr>
          <w:color w:val="393838"/>
          <w:sz w:val="22"/>
        </w:rPr>
        <w:t>report.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116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56.568001pt;margin-top:121.886017pt;width:482.15pt;height:625.3pt;mso-position-horizontal-relative:page;mso-position-vertical-relative:page;z-index:-19430912" id="docshapegroup341" coordorigin="1131,2438" coordsize="9643,12506">
            <v:shape style="position:absolute;left:8364;top:2765;width:1500;height:435" type="#_x0000_t75" id="docshape342" stroked="false">
              <v:imagedata r:id="rId75" o:title=""/>
            </v:shape>
            <v:shape style="position:absolute;left:2041;top:14214;width:1745;height:170" id="docshape343" coordorigin="2041,14215" coordsize="1745,170" path="m2190,14372l2189,14368,2188,14365,2179,14341,2170,14317,2144,14250,2140,14242,2140,14317,2091,14317,2115,14250,2140,14317,2140,14242,2136,14230,2132,14220,2128,14216,2105,14216,2101,14220,2096,14230,2044,14365,2043,14368,2041,14372,2041,14379,2044,14382,2064,14382,2068,14379,2070,14373,2082,14341,2149,14341,2161,14373,2163,14379,2166,14382,2187,14382,2190,14379,2190,14372xm2348,14220l2344,14216,2325,14216,2321,14220,2321,14343,2251,14230,2247,14222,2241,14216,2215,14216,2209,14221,2209,14379,2213,14382,2231,14382,2235,14379,2235,14371,2235,14253,2308,14368,2313,14377,2320,14382,2342,14382,2348,14378,2348,14220xm2486,14361l2482,14357,2474,14357,2401,14357,2476,14247,2481,14241,2484,14236,2484,14221,2479,14218,2372,14218,2368,14221,2368,14238,2372,14242,2449,14242,2374,14352,2370,14358,2366,14363,2366,14378,2371,14381,2482,14381,2486,14377,2486,14361xm2605,14336l2593,14305,2565,14288,2537,14276,2524,14258,2524,14247,2534,14239,2562,14239,2571,14242,2579,14247,2585,14249,2587,14251,2596,14251,2602,14243,2602,14233,2599,14229,2593,14226,2583,14221,2572,14217,2562,14215,2552,14215,2529,14218,2511,14227,2500,14241,2496,14260,2509,14289,2537,14305,2564,14318,2577,14337,2577,14351,2564,14360,2534,14360,2526,14356,2517,14350,2512,14347,2509,14345,2499,14345,2493,14353,2493,14363,2497,14367,2503,14371,2511,14376,2522,14380,2534,14383,2546,14384,2570,14381,2588,14371,2601,14356,2605,14336xm2782,14299l2776,14264,2760,14238,2760,14238,2753,14233,2753,14299,2749,14325,2738,14344,2722,14356,2701,14360,2679,14356,2662,14344,2652,14325,2648,14299,2652,14274,2662,14255,2679,14243,2701,14238,2722,14243,2738,14255,2749,14274,2753,14299,2753,14233,2734,14221,2701,14215,2667,14221,2641,14238,2624,14264,2619,14299,2624,14334,2641,14361,2667,14378,2701,14384,2734,14378,2760,14361,2760,14360,2776,14334,2782,14299xm2937,14300l2933,14296,2877,14296,2873,14300,2873,14316,2877,14320,2884,14320,2909,14320,2909,14354,2902,14357,2892,14359,2882,14359,2859,14355,2842,14343,2830,14324,2826,14298,2830,14273,2841,14254,2858,14243,2880,14239,2892,14239,2902,14242,2910,14246,2916,14250,2919,14252,2929,14252,2935,14245,2935,14234,2931,14230,2923,14225,2914,14221,2903,14217,2892,14215,2880,14215,2847,14220,2821,14236,2803,14263,2797,14299,2803,14335,2821,14361,2847,14377,2881,14383,2893,14382,2905,14381,2915,14378,2924,14375,2934,14371,2937,14367,2937,14300xm2993,14356l2986,14349,2965,14349,2958,14356,2958,14376,2965,14383,2975,14383,2986,14383,2993,14376,2993,14356xm3119,14361l3115,14357,3043,14357,3043,14309,3103,14309,3107,14305,3107,14288,3103,14285,3095,14285,3043,14285,3043,14242,3113,14242,3117,14238,3117,14221,3113,14218,3020,14218,3016,14222,3016,14377,3020,14381,3115,14381,3119,14377,3119,14361xm3275,14299l3269,14264,3252,14240,3251,14238,3246,14235,3246,14300,3242,14325,3230,14343,3210,14355,3183,14359,3178,14359,3172,14359,3166,14358,3166,14241,3172,14240,3178,14240,3183,14240,3210,14244,3229,14255,3242,14274,3246,14300,3246,14235,3222,14221,3182,14216,3172,14216,3158,14217,3151,14219,3138,14222,3138,14377,3151,14380,3159,14382,3172,14383,3182,14383,3221,14377,3250,14361,3252,14359,3269,14335,3275,14299xm3428,14220l3424,14216,3405,14216,3401,14220,3401,14326,3400,14333,3398,14339,3392,14348,3385,14355,3375,14359,3363,14360,3352,14359,3342,14355,3334,14348,3329,14339,3326,14333,3325,14326,3325,14220,3321,14216,3302,14216,3297,14220,3297,14331,3299,14342,3303,14351,3313,14366,3326,14377,3343,14383,3362,14384,3382,14382,3399,14377,3412,14366,3422,14351,3426,14343,3428,14333,3428,14220xm3478,14356l3471,14349,3450,14349,3443,14356,3443,14376,3450,14383,3461,14383,3471,14383,3478,14376,3478,14356xm3642,14372l3641,14368,3639,14365,3630,14341,3621,14317,3595,14250,3592,14242,3592,14317,3542,14317,3567,14250,3592,14317,3592,14242,3587,14230,3583,14220,3579,14216,3556,14216,3552,14220,3547,14230,3495,14365,3494,14368,3492,14372,3492,14379,3495,14382,3515,14382,3519,14379,3521,14373,3533,14341,3600,14341,3612,14373,3614,14379,3617,14382,3639,14382,3642,14379,3642,14372xm3786,14220l3781,14216,3764,14216,3759,14220,3759,14326,3758,14333,3756,14339,3750,14348,3743,14355,3733,14359,3721,14360,3709,14359,3700,14355,3692,14348,3687,14339,3684,14333,3683,14326,3683,14220,3679,14216,3660,14216,3655,14220,3655,14331,3657,14342,3661,14351,3671,14366,3684,14377,3701,14383,3721,14384,3740,14382,3757,14377,3770,14366,3780,14351,3784,14343,3786,14333,3786,14220xe" filled="true" fillcolor="#231f20" stroked="false">
              <v:path arrowok="t"/>
              <v:fill type="solid"/>
            </v:shape>
            <v:rect style="position:absolute;left:1133;top:2440;width:9638;height:12501" id="docshape344" filled="false" stroked="true" strokeweight=".2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2"/>
        <w:spacing w:before="255"/>
      </w:pPr>
      <w:bookmarkStart w:name="_TOC_250002" w:id="50"/>
      <w:r>
        <w:rPr>
          <w:color w:val="303C4F"/>
        </w:rPr>
        <w:t>The</w:t>
      </w:r>
      <w:r>
        <w:rPr>
          <w:color w:val="303C4F"/>
          <w:spacing w:val="-4"/>
        </w:rPr>
        <w:t> </w:t>
      </w:r>
      <w:bookmarkEnd w:id="50"/>
      <w:r>
        <w:rPr>
          <w:color w:val="303C4F"/>
        </w:rPr>
        <w:t>Review</w:t>
      </w:r>
    </w:p>
    <w:p>
      <w:pPr>
        <w:pStyle w:val="Heading3"/>
        <w:spacing w:before="41"/>
        <w:ind w:left="1579"/>
        <w:rPr>
          <w:rFonts w:ascii="Calibri"/>
        </w:rPr>
      </w:pPr>
      <w:bookmarkStart w:name="_TOC_250001" w:id="51"/>
      <w:bookmarkEnd w:id="51"/>
      <w:r>
        <w:rPr>
          <w:rFonts w:ascii="Calibri"/>
          <w:color w:val="393838"/>
        </w:rPr>
        <w:t>Scope</w:t>
      </w:r>
    </w:p>
    <w:p>
      <w:pPr>
        <w:spacing w:line="266" w:lineRule="auto" w:before="129"/>
        <w:ind w:left="1579" w:right="220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 Scope for this compliance review was outlined in a Request for Quote (RFQ)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received on 17 November 2020. It constitutes Phase 1 of a wider review of the EMPA.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The compliance review itself was divided into two parts: a preliminary review and 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substantive review.</w:t>
      </w:r>
    </w:p>
    <w:p>
      <w:pPr>
        <w:spacing w:before="107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RFQ describes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substantive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review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as:</w:t>
      </w:r>
    </w:p>
    <w:p>
      <w:pPr>
        <w:spacing w:line="268" w:lineRule="auto" w:before="133"/>
        <w:ind w:left="1579" w:right="224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The Phase 1 review will be an assessment of the EMPA against the TEQSA Provider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Course Accreditation Standards…. Given ANZSOG is a third-party provider, various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course accreditation sub-standards will not be assessed because they are not within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ANZSOG’s responsibility. For the most part, these sub-standards are evident and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before the assessment is undertaken, ANZSOG will clarify which sub-standards will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not form</w:t>
      </w:r>
      <w:r>
        <w:rPr>
          <w:rFonts w:ascii="Calibri" w:hAnsi="Calibri"/>
          <w:color w:val="393838"/>
          <w:spacing w:val="2"/>
          <w:sz w:val="22"/>
        </w:rPr>
        <w:t> </w:t>
      </w:r>
      <w:r>
        <w:rPr>
          <w:rFonts w:ascii="Calibri" w:hAnsi="Calibri"/>
          <w:color w:val="393838"/>
          <w:sz w:val="22"/>
        </w:rPr>
        <w:t>part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review.</w:t>
      </w:r>
    </w:p>
    <w:p>
      <w:pPr>
        <w:spacing w:before="101"/>
        <w:ind w:left="1579" w:right="0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This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Report is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the report</w:t>
      </w:r>
      <w:r>
        <w:rPr>
          <w:rFonts w:ascii="Calibri"/>
          <w:color w:val="393838"/>
          <w:spacing w:val="-3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the substantive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review.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Heading3"/>
        <w:spacing w:before="0"/>
        <w:ind w:left="1579"/>
        <w:rPr>
          <w:rFonts w:ascii="Calibri"/>
        </w:rPr>
      </w:pPr>
      <w:bookmarkStart w:name="_TOC_250000" w:id="52"/>
      <w:r>
        <w:rPr>
          <w:rFonts w:ascii="Calibri"/>
          <w:color w:val="393838"/>
        </w:rPr>
        <w:t>The</w:t>
      </w:r>
      <w:r>
        <w:rPr>
          <w:rFonts w:ascii="Calibri"/>
          <w:color w:val="393838"/>
          <w:spacing w:val="6"/>
        </w:rPr>
        <w:t> </w:t>
      </w:r>
      <w:bookmarkEnd w:id="52"/>
      <w:r>
        <w:rPr>
          <w:rFonts w:ascii="Calibri"/>
          <w:color w:val="393838"/>
        </w:rPr>
        <w:t>Reviewers</w:t>
      </w:r>
    </w:p>
    <w:p>
      <w:pPr>
        <w:pStyle w:val="Heading4"/>
        <w:spacing w:before="133"/>
        <w:ind w:left="1579" w:right="0"/>
        <w:jc w:val="left"/>
      </w:pPr>
      <w:r>
        <w:rPr>
          <w:color w:val="393838"/>
        </w:rPr>
        <w:t>Dr</w:t>
      </w:r>
      <w:r>
        <w:rPr>
          <w:color w:val="393838"/>
          <w:spacing w:val="-1"/>
        </w:rPr>
        <w:t> </w:t>
      </w:r>
      <w:r>
        <w:rPr>
          <w:color w:val="393838"/>
        </w:rPr>
        <w:t>Michael</w:t>
      </w:r>
      <w:r>
        <w:rPr>
          <w:color w:val="393838"/>
          <w:spacing w:val="-1"/>
        </w:rPr>
        <w:t> </w:t>
      </w:r>
      <w:r>
        <w:rPr>
          <w:color w:val="393838"/>
        </w:rPr>
        <w:t>Tomlinson</w:t>
      </w:r>
      <w:r>
        <w:rPr>
          <w:color w:val="393838"/>
          <w:spacing w:val="-2"/>
        </w:rPr>
        <w:t> </w:t>
      </w:r>
      <w:r>
        <w:rPr>
          <w:color w:val="393838"/>
        </w:rPr>
        <w:t>FGIA,</w:t>
      </w:r>
      <w:r>
        <w:rPr>
          <w:color w:val="393838"/>
          <w:spacing w:val="-3"/>
        </w:rPr>
        <w:t> </w:t>
      </w:r>
      <w:r>
        <w:rPr>
          <w:color w:val="393838"/>
        </w:rPr>
        <w:t>FCIS</w:t>
      </w:r>
    </w:p>
    <w:p>
      <w:pPr>
        <w:spacing w:line="268" w:lineRule="auto" w:before="113"/>
        <w:ind w:left="1579" w:right="218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393838"/>
          <w:sz w:val="22"/>
        </w:rPr>
        <w:t>Michael Tomlinson is a Higher Education Governance and Quality Consultant. He was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formerly Director of the Assurance Group at TEQSA (the Tertiary Education Quality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and Standards Agency), where he led case teams to organise and conduct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assessments of all registered providers of higher education (including all of Australia’s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universities) against the </w:t>
      </w:r>
      <w:r>
        <w:rPr>
          <w:rFonts w:ascii="Calibri" w:hAnsi="Calibri"/>
          <w:i/>
          <w:color w:val="393838"/>
          <w:sz w:val="22"/>
        </w:rPr>
        <w:t>Higher Education Threshold Standards (2015). </w:t>
      </w:r>
      <w:r>
        <w:rPr>
          <w:rFonts w:ascii="Calibri" w:hAnsi="Calibri"/>
          <w:color w:val="393838"/>
          <w:sz w:val="22"/>
        </w:rPr>
        <w:t>He also led the</w:t>
      </w:r>
      <w:r>
        <w:rPr>
          <w:rFonts w:ascii="Calibri" w:hAnsi="Calibri"/>
          <w:color w:val="393838"/>
          <w:spacing w:val="-47"/>
          <w:sz w:val="22"/>
        </w:rPr>
        <w:t> </w:t>
      </w:r>
      <w:r>
        <w:rPr>
          <w:rFonts w:ascii="Calibri" w:hAnsi="Calibri"/>
          <w:color w:val="393838"/>
          <w:sz w:val="22"/>
        </w:rPr>
        <w:t>implementation of the 2015 HESF for TEQSA and later provided formative input into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the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revised</w:t>
      </w:r>
      <w:r>
        <w:rPr>
          <w:rFonts w:ascii="Calibri" w:hAnsi="Calibri"/>
          <w:color w:val="393838"/>
          <w:spacing w:val="-1"/>
          <w:sz w:val="22"/>
        </w:rPr>
        <w:t> </w:t>
      </w:r>
      <w:r>
        <w:rPr>
          <w:rFonts w:ascii="Calibri" w:hAnsi="Calibri"/>
          <w:color w:val="393838"/>
          <w:sz w:val="22"/>
        </w:rPr>
        <w:t>Provider</w:t>
      </w:r>
      <w:r>
        <w:rPr>
          <w:rFonts w:ascii="Calibri" w:hAnsi="Calibri"/>
          <w:color w:val="393838"/>
          <w:spacing w:val="1"/>
          <w:sz w:val="22"/>
        </w:rPr>
        <w:t> </w:t>
      </w:r>
      <w:r>
        <w:rPr>
          <w:rFonts w:ascii="Calibri" w:hAnsi="Calibri"/>
          <w:color w:val="393838"/>
          <w:sz w:val="22"/>
        </w:rPr>
        <w:t>Category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Standards arising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from the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review</w:t>
      </w:r>
      <w:r>
        <w:rPr>
          <w:rFonts w:ascii="Calibri" w:hAnsi="Calibri"/>
          <w:color w:val="393838"/>
          <w:spacing w:val="-4"/>
          <w:sz w:val="22"/>
        </w:rPr>
        <w:t> </w:t>
      </w:r>
      <w:r>
        <w:rPr>
          <w:rFonts w:ascii="Calibri" w:hAnsi="Calibri"/>
          <w:color w:val="393838"/>
          <w:sz w:val="22"/>
        </w:rPr>
        <w:t>of</w:t>
      </w:r>
      <w:r>
        <w:rPr>
          <w:rFonts w:ascii="Calibri" w:hAnsi="Calibri"/>
          <w:color w:val="393838"/>
          <w:spacing w:val="-2"/>
          <w:sz w:val="22"/>
        </w:rPr>
        <w:t> </w:t>
      </w:r>
      <w:r>
        <w:rPr>
          <w:rFonts w:ascii="Calibri" w:hAnsi="Calibri"/>
          <w:color w:val="393838"/>
          <w:sz w:val="22"/>
        </w:rPr>
        <w:t>those</w:t>
      </w:r>
      <w:r>
        <w:rPr>
          <w:rFonts w:ascii="Calibri" w:hAnsi="Calibri"/>
          <w:color w:val="393838"/>
          <w:spacing w:val="-3"/>
          <w:sz w:val="22"/>
        </w:rPr>
        <w:t> </w:t>
      </w:r>
      <w:r>
        <w:rPr>
          <w:rFonts w:ascii="Calibri" w:hAnsi="Calibri"/>
          <w:color w:val="393838"/>
          <w:sz w:val="22"/>
        </w:rPr>
        <w:t>standards.</w:t>
      </w:r>
    </w:p>
    <w:p>
      <w:pPr>
        <w:spacing w:line="266" w:lineRule="auto" w:before="97"/>
        <w:ind w:left="1579" w:right="2142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Before coming to TEQSA, Michael was an Audit Director at the Australian Universities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Quality Agency (AUQA), and for twenty years worked in Australian universities, for the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last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fifteen</w:t>
      </w:r>
      <w:r>
        <w:rPr>
          <w:rFonts w:ascii="Calibri"/>
          <w:color w:val="393838"/>
          <w:spacing w:val="-6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these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in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senior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positions at Swinburne University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Technology.</w:t>
      </w:r>
    </w:p>
    <w:p>
      <w:pPr>
        <w:pStyle w:val="BodyText"/>
        <w:rPr>
          <w:rFonts w:ascii="Calibri"/>
          <w:sz w:val="22"/>
        </w:rPr>
      </w:pPr>
    </w:p>
    <w:p>
      <w:pPr>
        <w:spacing w:line="266" w:lineRule="auto" w:before="176"/>
        <w:ind w:left="1579" w:right="2394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Michael is a Fellow of the Governance Institute of Australia and of the International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Institute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of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Chartered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Secretaries</w:t>
      </w:r>
      <w:r>
        <w:rPr>
          <w:rFonts w:ascii="Calibri"/>
          <w:color w:val="393838"/>
          <w:spacing w:val="-4"/>
          <w:sz w:val="22"/>
        </w:rPr>
        <w:t> </w:t>
      </w:r>
      <w:r>
        <w:rPr>
          <w:rFonts w:ascii="Calibri"/>
          <w:color w:val="393838"/>
          <w:sz w:val="22"/>
        </w:rPr>
        <w:t>and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Administrators.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He has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been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an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expert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panel</w:t>
      </w:r>
    </w:p>
    <w:p>
      <w:pPr>
        <w:pStyle w:val="BodyText"/>
        <w:spacing w:before="3"/>
        <w:rPr>
          <w:rFonts w:ascii="Calibri"/>
          <w:sz w:val="14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117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158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shape style="position:absolute;margin-left:595.276001pt;margin-top:.000015pt;width:.1pt;height:841.9pt;mso-position-horizontal-relative:page;mso-position-vertical-relative:page;z-index:15779840" id="docshape345" coordorigin="11906,0" coordsize="0,16838" path="m11906,0l11906,16838,11906,0xe" filled="true" fillcolor="#243b7d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</w:rPr>
      </w:pPr>
    </w:p>
    <w:p>
      <w:pPr>
        <w:spacing w:line="266" w:lineRule="auto" w:before="56"/>
        <w:ind w:left="1579" w:right="1997" w:firstLine="0"/>
        <w:jc w:val="left"/>
        <w:rPr>
          <w:rFonts w:ascii="Calibri"/>
          <w:sz w:val="22"/>
        </w:rPr>
      </w:pPr>
      <w:r>
        <w:rPr/>
        <w:pict>
          <v:group style="position:absolute;margin-left:56.568001pt;margin-top:-37.389179pt;width:482.15pt;height:625.3pt;mso-position-horizontal-relative:page;mso-position-vertical-relative:paragraph;z-index:-19429888" id="docshapegroup346" coordorigin="1131,-748" coordsize="9643,12506">
            <v:shape style="position:absolute;left:8364;top:-421;width:1500;height:435" type="#_x0000_t75" id="docshape347" stroked="false">
              <v:imagedata r:id="rId75" o:title=""/>
            </v:shape>
            <v:shape style="position:absolute;left:2041;top:11029;width:1745;height:170" id="docshape348" coordorigin="2041,11029" coordsize="1745,170" path="m2190,11186l2189,11182,2188,11180,2179,11156,2170,11132,2144,11065,2140,11056,2140,11132,2091,11132,2115,11065,2140,11132,2140,11056,2136,11045,2132,11034,2128,11031,2105,11031,2101,11034,2096,11045,2044,11180,2043,11182,2041,11186,2041,11193,2044,11197,2064,11197,2068,11193,2070,11187,2082,11156,2149,11156,2161,11187,2163,11193,2166,11197,2187,11197,2190,11193,2190,11186xm2348,11034l2344,11031,2325,11031,2321,11034,2321,11157,2251,11044,2247,11037,2241,11031,2215,11031,2209,11036,2209,11193,2213,11197,2231,11197,2235,11193,2235,11186,2235,11068,2308,11183,2313,11192,2320,11197,2342,11197,2348,11192,2348,11034xm2486,11175l2482,11171,2474,11171,2401,11171,2476,11062,2481,11055,2484,11050,2484,11036,2479,11032,2372,11032,2368,11036,2368,11053,2372,11056,2449,11056,2374,11166,2370,11172,2366,11178,2366,11192,2371,11196,2482,11196,2486,11192,2486,11175xm2605,11150l2593,11120,2565,11103,2537,11090,2524,11073,2524,11062,2534,11053,2562,11053,2571,11056,2579,11061,2585,11064,2587,11065,2596,11065,2602,11058,2602,11047,2599,11044,2593,11040,2583,11035,2572,11032,2562,11030,2552,11029,2529,11032,2511,11042,2500,11056,2496,11074,2509,11103,2537,11120,2564,11133,2577,11152,2577,11166,2564,11175,2534,11175,2526,11170,2517,11164,2512,11161,2509,11159,2499,11159,2493,11167,2493,11178,2497,11181,2503,11186,2511,11191,2522,11195,2534,11197,2546,11198,2570,11195,2588,11186,2601,11171,2605,11150xm2782,11114l2776,11079,2760,11053,2760,11052,2753,11047,2753,11114,2749,11139,2738,11158,2722,11170,2701,11175,2679,11170,2662,11158,2652,11139,2648,11114,2652,11088,2662,11069,2679,11057,2701,11053,2722,11057,2738,11069,2749,11088,2753,11114,2753,11047,2734,11035,2701,11029,2667,11035,2641,11052,2624,11079,2619,11114,2624,11149,2641,11176,2667,11193,2701,11199,2734,11193,2760,11176,2760,11175,2776,11149,2782,11114xm2937,11115l2933,11110,2877,11110,2873,11114,2873,11131,2877,11135,2884,11135,2909,11135,2909,11169,2902,11172,2892,11173,2882,11173,2859,11169,2842,11158,2830,11139,2826,11113,2830,11087,2841,11069,2858,11057,2880,11053,2892,11053,2902,11056,2910,11061,2916,11064,2919,11066,2929,11066,2935,11059,2935,11049,2931,11045,2923,11040,2914,11035,2903,11032,2892,11030,2880,11029,2847,11035,2821,11051,2803,11077,2797,11113,2803,11149,2821,11176,2847,11192,2881,11197,2893,11197,2905,11195,2915,11193,2924,11190,2934,11186,2937,11181,2937,11115xm2993,11171l2986,11163,2965,11163,2958,11171,2958,11190,2965,11198,2975,11198,2986,11198,2993,11190,2993,11171xm3119,11175l3115,11171,3043,11171,3043,11123,3103,11123,3107,11119,3107,11103,3103,11099,3095,11099,3043,11099,3043,11056,3113,11056,3117,11053,3117,11036,3113,11032,3020,11032,3016,11036,3016,11191,3020,11196,3115,11196,3119,11192,3119,11175xm3275,11113l3269,11078,3252,11054,3251,11052,3246,11049,3246,11114,3242,11139,3230,11158,3210,11170,3183,11173,3178,11173,3172,11173,3166,11172,3166,11055,3172,11054,3178,11054,3183,11054,3210,11058,3229,11070,3242,11088,3246,11114,3246,11049,3222,11036,3182,11030,3172,11030,3158,11031,3151,11033,3138,11037,3138,11191,3151,11194,3159,11197,3172,11197,3182,11197,3221,11192,3250,11175,3252,11173,3269,11149,3275,11113xm3428,11034l3424,11031,3405,11031,3401,11034,3401,11141,3400,11148,3398,11153,3392,11163,3385,11169,3375,11173,3363,11175,3352,11173,3342,11169,3334,11163,3329,11153,3326,11148,3325,11141,3325,11034,3321,11031,3302,11031,3297,11034,3297,11146,3299,11157,3303,11166,3313,11181,3326,11191,3343,11197,3362,11199,3382,11197,3399,11191,3412,11181,3422,11166,3426,11157,3428,11148,3428,11034xm3478,11171l3471,11163,3450,11163,3443,11171,3443,11190,3450,11198,3461,11198,3471,11198,3478,11190,3478,11171xm3642,11186l3641,11182,3639,11180,3630,11156,3621,11132,3595,11065,3592,11056,3592,11132,3542,11132,3567,11065,3592,11132,3592,11056,3587,11045,3583,11034,3579,11031,3556,11031,3552,11034,3547,11045,3495,11180,3494,11182,3492,11186,3492,11193,3495,11197,3515,11197,3519,11193,3521,11187,3533,11156,3600,11156,3612,11187,3614,11193,3617,11197,3639,11197,3642,11193,3642,11186xm3786,11034l3781,11031,3764,11031,3759,11034,3759,11141,3758,11148,3756,11153,3750,11163,3743,11169,3733,11173,3721,11175,3709,11173,3700,11169,3692,11163,3687,11153,3684,11148,3683,11141,3683,11034,3679,11031,3660,11031,3655,11034,3655,11146,3657,11157,3661,11166,3671,11181,3684,11191,3701,11197,3721,11199,3740,11197,3757,11191,3770,11181,3780,11166,3784,11157,3786,11148,3786,11034xe" filled="true" fillcolor="#231f20" stroked="false">
              <v:path arrowok="t"/>
              <v:fill type="solid"/>
            </v:shape>
            <v:rect style="position:absolute;left:1133;top:-746;width:9638;height:12501" id="docshape349" filled="false" stroked="true" strokeweight=".25pt" strokecolor="#231f20">
              <v:stroke dashstyle="solid"/>
            </v:rect>
            <w10:wrap type="none"/>
          </v:group>
        </w:pict>
      </w:r>
      <w:r>
        <w:rPr>
          <w:rFonts w:ascii="Calibri"/>
          <w:color w:val="393838"/>
          <w:sz w:val="22"/>
        </w:rPr>
        <w:t>member for a number of reviews for the national accreditation agency in Timor Leste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and (in 2020) of the University of the South Pacific (for the Fiji Higher Education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Commission), and for the Department of Higher Education, Research, Science and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Technology</w:t>
      </w:r>
      <w:r>
        <w:rPr>
          <w:rFonts w:ascii="Calibri"/>
          <w:color w:val="393838"/>
          <w:spacing w:val="-2"/>
          <w:sz w:val="22"/>
        </w:rPr>
        <w:t> </w:t>
      </w:r>
      <w:r>
        <w:rPr>
          <w:rFonts w:ascii="Calibri"/>
          <w:color w:val="393838"/>
          <w:sz w:val="22"/>
        </w:rPr>
        <w:t>of Papua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New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Guinea.</w:t>
      </w:r>
    </w:p>
    <w:p>
      <w:pPr>
        <w:spacing w:before="111"/>
        <w:ind w:left="1579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393838"/>
          <w:sz w:val="22"/>
        </w:rPr>
        <w:t>Emeritus</w:t>
      </w:r>
      <w:r>
        <w:rPr>
          <w:rFonts w:ascii="Calibri"/>
          <w:b/>
          <w:color w:val="393838"/>
          <w:spacing w:val="-4"/>
          <w:sz w:val="22"/>
        </w:rPr>
        <w:t> </w:t>
      </w:r>
      <w:r>
        <w:rPr>
          <w:rFonts w:ascii="Calibri"/>
          <w:b/>
          <w:color w:val="393838"/>
          <w:sz w:val="22"/>
        </w:rPr>
        <w:t>Professor</w:t>
      </w:r>
      <w:r>
        <w:rPr>
          <w:rFonts w:ascii="Calibri"/>
          <w:b/>
          <w:color w:val="393838"/>
          <w:spacing w:val="-1"/>
          <w:sz w:val="22"/>
        </w:rPr>
        <w:t> </w:t>
      </w:r>
      <w:r>
        <w:rPr>
          <w:rFonts w:ascii="Calibri"/>
          <w:b/>
          <w:color w:val="393838"/>
          <w:sz w:val="22"/>
        </w:rPr>
        <w:t>Valerie</w:t>
      </w:r>
      <w:r>
        <w:rPr>
          <w:rFonts w:ascii="Calibri"/>
          <w:b/>
          <w:color w:val="393838"/>
          <w:spacing w:val="-3"/>
          <w:sz w:val="22"/>
        </w:rPr>
        <w:t> </w:t>
      </w:r>
      <w:r>
        <w:rPr>
          <w:rFonts w:ascii="Calibri"/>
          <w:b/>
          <w:color w:val="393838"/>
          <w:sz w:val="22"/>
        </w:rPr>
        <w:t>Braithwaite</w:t>
      </w:r>
    </w:p>
    <w:p>
      <w:pPr>
        <w:spacing w:line="268" w:lineRule="auto" w:before="117"/>
        <w:ind w:left="1579" w:right="2185" w:firstLine="0"/>
        <w:jc w:val="left"/>
        <w:rPr>
          <w:rFonts w:ascii="Calibri"/>
          <w:sz w:val="22"/>
        </w:rPr>
      </w:pPr>
      <w:r>
        <w:rPr>
          <w:rFonts w:ascii="Calibri"/>
          <w:color w:val="393838"/>
          <w:sz w:val="22"/>
        </w:rPr>
        <w:t>Valerie Braithwaite is an Emeritus Professor at the Australian National University. She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has worked extensively on regulation in the Australian context, focusing on the gaps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that emerge between formal regulatory requirements and the practices that shape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outcomes in workplaces, schools and communities. With Kwong Lee Dow, Valerie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Braithwaite undertook a review of the Tertiary Education Quality and Standards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Agency (TEQSA) in 2013, and in 2018 reviewed the legislative framework for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Australian Skills Quality Authority, resulting in a report on the regulation of vocational</w:t>
      </w:r>
      <w:r>
        <w:rPr>
          <w:rFonts w:ascii="Calibri"/>
          <w:color w:val="393838"/>
          <w:spacing w:val="-47"/>
          <w:sz w:val="22"/>
        </w:rPr>
        <w:t> </w:t>
      </w:r>
      <w:r>
        <w:rPr>
          <w:rFonts w:ascii="Calibri"/>
          <w:color w:val="393838"/>
          <w:sz w:val="22"/>
        </w:rPr>
        <w:t>education and training, </w:t>
      </w:r>
      <w:r>
        <w:rPr>
          <w:rFonts w:ascii="Calibri"/>
          <w:i/>
          <w:color w:val="393838"/>
          <w:sz w:val="22"/>
        </w:rPr>
        <w:t>All Eyes on Quality</w:t>
      </w:r>
      <w:r>
        <w:rPr>
          <w:rFonts w:ascii="Calibri"/>
          <w:color w:val="393838"/>
          <w:sz w:val="22"/>
        </w:rPr>
        <w:t>. In 2020, she undertook the annual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stakeholder feedback report for TEQSA. Valerie Braithwaite is currently Chair of the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Higher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Education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Academic</w:t>
      </w:r>
      <w:r>
        <w:rPr>
          <w:rFonts w:ascii="Calibri"/>
          <w:color w:val="393838"/>
          <w:spacing w:val="-1"/>
          <w:sz w:val="22"/>
        </w:rPr>
        <w:t> </w:t>
      </w:r>
      <w:r>
        <w:rPr>
          <w:rFonts w:ascii="Calibri"/>
          <w:color w:val="393838"/>
          <w:sz w:val="22"/>
        </w:rPr>
        <w:t>Council</w:t>
      </w:r>
      <w:r>
        <w:rPr>
          <w:rFonts w:ascii="Calibri"/>
          <w:color w:val="393838"/>
          <w:spacing w:val="1"/>
          <w:sz w:val="22"/>
        </w:rPr>
        <w:t> </w:t>
      </w:r>
      <w:r>
        <w:rPr>
          <w:rFonts w:ascii="Calibri"/>
          <w:color w:val="393838"/>
          <w:sz w:val="22"/>
        </w:rPr>
        <w:t>for</w:t>
      </w:r>
      <w:r>
        <w:rPr>
          <w:rFonts w:ascii="Calibri"/>
          <w:color w:val="393838"/>
          <w:spacing w:val="2"/>
          <w:sz w:val="22"/>
        </w:rPr>
        <w:t> </w:t>
      </w:r>
      <w:r>
        <w:rPr>
          <w:rFonts w:ascii="Calibri"/>
          <w:color w:val="393838"/>
          <w:sz w:val="22"/>
        </w:rPr>
        <w:t>TAFE</w:t>
      </w:r>
      <w:r>
        <w:rPr>
          <w:rFonts w:ascii="Calibri"/>
          <w:color w:val="393838"/>
          <w:spacing w:val="-5"/>
          <w:sz w:val="22"/>
        </w:rPr>
        <w:t> </w:t>
      </w:r>
      <w:r>
        <w:rPr>
          <w:rFonts w:ascii="Calibri"/>
          <w:color w:val="393838"/>
          <w:sz w:val="22"/>
        </w:rPr>
        <w:t>NSW.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</w:rPr>
      </w:pPr>
    </w:p>
    <w:p>
      <w:pPr>
        <w:spacing w:before="1"/>
        <w:ind w:left="1579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31F20"/>
          <w:sz w:val="19"/>
        </w:rPr>
        <w:t>Version:</w:t>
      </w:r>
      <w:r>
        <w:rPr>
          <w:rFonts w:ascii="Arial"/>
          <w:b/>
          <w:color w:val="231F20"/>
          <w:spacing w:val="-9"/>
          <w:sz w:val="19"/>
        </w:rPr>
        <w:t> </w:t>
      </w:r>
      <w:r>
        <w:rPr>
          <w:rFonts w:ascii="Arial"/>
          <w:b/>
          <w:color w:val="231F20"/>
          <w:sz w:val="19"/>
        </w:rPr>
        <w:t>Final</w:t>
      </w:r>
      <w:r>
        <w:rPr>
          <w:rFonts w:ascii="Arial"/>
          <w:b/>
          <w:color w:val="231F20"/>
          <w:spacing w:val="-6"/>
          <w:sz w:val="19"/>
        </w:rPr>
        <w:t> </w:t>
      </w:r>
      <w:r>
        <w:rPr>
          <w:rFonts w:ascii="Arial"/>
          <w:b/>
          <w:color w:val="231F20"/>
          <w:sz w:val="19"/>
        </w:rPr>
        <w:t>Report</w:t>
      </w:r>
    </w:p>
    <w:p>
      <w:pPr>
        <w:spacing w:before="33"/>
        <w:ind w:left="1579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31F20"/>
          <w:sz w:val="19"/>
        </w:rPr>
        <w:t>Report</w:t>
      </w:r>
      <w:r>
        <w:rPr>
          <w:rFonts w:ascii="Arial"/>
          <w:b/>
          <w:color w:val="231F20"/>
          <w:spacing w:val="-7"/>
          <w:sz w:val="19"/>
        </w:rPr>
        <w:t> </w:t>
      </w:r>
      <w:r>
        <w:rPr>
          <w:rFonts w:ascii="Arial"/>
          <w:b/>
          <w:color w:val="231F20"/>
          <w:sz w:val="19"/>
        </w:rPr>
        <w:t>by</w:t>
      </w:r>
      <w:r>
        <w:rPr>
          <w:rFonts w:ascii="Arial"/>
          <w:b/>
          <w:color w:val="231F20"/>
          <w:spacing w:val="-9"/>
          <w:sz w:val="19"/>
        </w:rPr>
        <w:t> </w:t>
      </w:r>
      <w:r>
        <w:rPr>
          <w:rFonts w:ascii="Arial"/>
          <w:b/>
          <w:color w:val="231F20"/>
          <w:sz w:val="19"/>
        </w:rPr>
        <w:t>Dr</w:t>
      </w:r>
      <w:r>
        <w:rPr>
          <w:rFonts w:ascii="Arial"/>
          <w:b/>
          <w:color w:val="231F20"/>
          <w:spacing w:val="-5"/>
          <w:sz w:val="19"/>
        </w:rPr>
        <w:t> </w:t>
      </w:r>
      <w:r>
        <w:rPr>
          <w:rFonts w:ascii="Arial"/>
          <w:b/>
          <w:color w:val="231F20"/>
          <w:sz w:val="19"/>
        </w:rPr>
        <w:t>Michael</w:t>
      </w:r>
      <w:r>
        <w:rPr>
          <w:rFonts w:ascii="Arial"/>
          <w:b/>
          <w:color w:val="231F20"/>
          <w:spacing w:val="-7"/>
          <w:sz w:val="19"/>
        </w:rPr>
        <w:t> </w:t>
      </w:r>
      <w:r>
        <w:rPr>
          <w:rFonts w:ascii="Arial"/>
          <w:b/>
          <w:color w:val="231F20"/>
          <w:sz w:val="19"/>
        </w:rPr>
        <w:t>Tomlinson</w:t>
      </w:r>
      <w:r>
        <w:rPr>
          <w:rFonts w:ascii="Arial"/>
          <w:b/>
          <w:color w:val="231F20"/>
          <w:spacing w:val="-7"/>
          <w:sz w:val="19"/>
        </w:rPr>
        <w:t> </w:t>
      </w:r>
      <w:r>
        <w:rPr>
          <w:rFonts w:ascii="Arial"/>
          <w:b/>
          <w:color w:val="231F20"/>
          <w:sz w:val="19"/>
        </w:rPr>
        <w:t>and</w:t>
      </w:r>
      <w:r>
        <w:rPr>
          <w:rFonts w:ascii="Arial"/>
          <w:b/>
          <w:color w:val="231F20"/>
          <w:spacing w:val="-8"/>
          <w:sz w:val="19"/>
        </w:rPr>
        <w:t> </w:t>
      </w:r>
      <w:r>
        <w:rPr>
          <w:rFonts w:ascii="Arial"/>
          <w:b/>
          <w:color w:val="231F20"/>
          <w:sz w:val="19"/>
        </w:rPr>
        <w:t>Emeritus</w:t>
      </w:r>
      <w:r>
        <w:rPr>
          <w:rFonts w:ascii="Arial"/>
          <w:b/>
          <w:color w:val="231F20"/>
          <w:spacing w:val="-5"/>
          <w:sz w:val="19"/>
        </w:rPr>
        <w:t> </w:t>
      </w:r>
      <w:r>
        <w:rPr>
          <w:rFonts w:ascii="Arial"/>
          <w:b/>
          <w:color w:val="231F20"/>
          <w:sz w:val="19"/>
        </w:rPr>
        <w:t>Professor</w:t>
      </w:r>
      <w:r>
        <w:rPr>
          <w:rFonts w:ascii="Arial"/>
          <w:b/>
          <w:color w:val="231F20"/>
          <w:spacing w:val="-5"/>
          <w:sz w:val="19"/>
        </w:rPr>
        <w:t> </w:t>
      </w:r>
      <w:r>
        <w:rPr>
          <w:rFonts w:ascii="Arial"/>
          <w:b/>
          <w:color w:val="231F20"/>
          <w:sz w:val="19"/>
        </w:rPr>
        <w:t>Valerie</w:t>
      </w:r>
      <w:r>
        <w:rPr>
          <w:rFonts w:ascii="Arial"/>
          <w:b/>
          <w:color w:val="231F20"/>
          <w:spacing w:val="-6"/>
          <w:sz w:val="19"/>
        </w:rPr>
        <w:t> </w:t>
      </w:r>
      <w:r>
        <w:rPr>
          <w:rFonts w:ascii="Arial"/>
          <w:b/>
          <w:color w:val="231F20"/>
          <w:sz w:val="19"/>
        </w:rPr>
        <w:t>Braithwaite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spacing w:before="56"/>
        <w:ind w:left="4415" w:right="4876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72A75"/>
          <w:sz w:val="22"/>
        </w:rPr>
        <w:t>118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475" w:top="0" w:bottom="740" w:left="46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9427840" id="docshape350" filled="true" fillcolor="#243b7d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before="218"/>
        <w:ind w:left="338" w:right="0" w:firstLine="0"/>
        <w:jc w:val="left"/>
        <w:rPr>
          <w:rFonts w:ascii="Apercu Medium"/>
          <w:b w:val="0"/>
          <w:sz w:val="21"/>
        </w:rPr>
      </w:pPr>
      <w:r>
        <w:rPr>
          <w:rFonts w:ascii="Apercu Medium"/>
          <w:b w:val="0"/>
          <w:color w:val="FFFFFF"/>
          <w:sz w:val="21"/>
        </w:rPr>
        <w:t>Follow</w:t>
      </w:r>
      <w:r>
        <w:rPr>
          <w:rFonts w:ascii="Apercu Medium"/>
          <w:b w:val="0"/>
          <w:color w:val="FFFFFF"/>
          <w:spacing w:val="-9"/>
          <w:sz w:val="21"/>
        </w:rPr>
        <w:t> </w:t>
      </w:r>
      <w:r>
        <w:rPr>
          <w:rFonts w:ascii="Apercu Medium"/>
          <w:b w:val="0"/>
          <w:color w:val="FFFFFF"/>
          <w:sz w:val="21"/>
        </w:rPr>
        <w:t>us</w:t>
      </w:r>
    </w:p>
    <w:p>
      <w:pPr>
        <w:pStyle w:val="BodyText"/>
        <w:spacing w:before="6"/>
        <w:rPr>
          <w:rFonts w:ascii="Apercu Medium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504000</wp:posOffset>
            </wp:positionH>
            <wp:positionV relativeFrom="paragraph">
              <wp:posOffset>92946</wp:posOffset>
            </wp:positionV>
            <wp:extent cx="84827" cy="163353"/>
            <wp:effectExtent l="0" t="0" r="0" b="0"/>
            <wp:wrapTopAndBottom/>
            <wp:docPr id="5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2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705562</wp:posOffset>
            </wp:positionH>
            <wp:positionV relativeFrom="paragraph">
              <wp:posOffset>96649</wp:posOffset>
            </wp:positionV>
            <wp:extent cx="199266" cy="161925"/>
            <wp:effectExtent l="0" t="0" r="0" b="0"/>
            <wp:wrapTopAndBottom/>
            <wp:docPr id="5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1006307</wp:posOffset>
            </wp:positionH>
            <wp:positionV relativeFrom="paragraph">
              <wp:posOffset>92922</wp:posOffset>
            </wp:positionV>
            <wp:extent cx="163341" cy="163353"/>
            <wp:effectExtent l="0" t="0" r="0" b="0"/>
            <wp:wrapTopAndBottom/>
            <wp:docPr id="6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4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"/>
        <w:rPr>
          <w:rFonts w:ascii="Apercu Medium"/>
          <w:b w:val="0"/>
          <w:sz w:val="34"/>
        </w:rPr>
      </w:pPr>
    </w:p>
    <w:p>
      <w:pPr>
        <w:spacing w:line="175" w:lineRule="auto" w:before="0"/>
        <w:ind w:left="333" w:right="2596" w:firstLine="0"/>
        <w:jc w:val="left"/>
        <w:rPr>
          <w:rFonts w:ascii="Apercu Medium" w:hAnsi="Apercu Medium"/>
          <w:b w:val="0"/>
          <w:sz w:val="16"/>
        </w:rPr>
      </w:pPr>
      <w:r>
        <w:rPr>
          <w:rFonts w:ascii="Apercu Medium" w:hAnsi="Apercu Medium"/>
          <w:b w:val="0"/>
          <w:color w:val="FFFFFF"/>
          <w:sz w:val="16"/>
        </w:rPr>
        <w:t>Owned</w:t>
      </w:r>
      <w:r>
        <w:rPr>
          <w:rFonts w:ascii="Apercu Medium" w:hAnsi="Apercu Medium"/>
          <w:b w:val="0"/>
          <w:color w:val="FFFFFF"/>
          <w:spacing w:val="-8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by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and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working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for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Australian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and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New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Zealand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governments.</w:t>
      </w:r>
      <w:r>
        <w:rPr>
          <w:rFonts w:ascii="Apercu Medium" w:hAnsi="Apercu Medium"/>
          <w:b w:val="0"/>
          <w:color w:val="FFFFFF"/>
          <w:spacing w:val="-8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We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acknowledge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the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Traditional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Custodians</w:t>
      </w:r>
      <w:r>
        <w:rPr>
          <w:rFonts w:ascii="Apercu Medium" w:hAnsi="Apercu Medium"/>
          <w:b w:val="0"/>
          <w:color w:val="FFFFFF"/>
          <w:spacing w:val="-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and</w:t>
      </w:r>
      <w:r>
        <w:rPr>
          <w:rFonts w:ascii="Apercu Medium" w:hAnsi="Apercu Medium"/>
          <w:b w:val="0"/>
          <w:color w:val="FFFFFF"/>
          <w:spacing w:val="-37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First</w:t>
      </w:r>
      <w:r>
        <w:rPr>
          <w:rFonts w:ascii="Apercu Medium" w:hAnsi="Apercu Medium"/>
          <w:b w:val="0"/>
          <w:color w:val="FFFFFF"/>
          <w:spacing w:val="-5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Peoples</w:t>
      </w:r>
      <w:r>
        <w:rPr>
          <w:rFonts w:ascii="Apercu Medium" w:hAnsi="Apercu Medium"/>
          <w:b w:val="0"/>
          <w:color w:val="FFFFFF"/>
          <w:spacing w:val="-4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of</w:t>
      </w:r>
      <w:r>
        <w:rPr>
          <w:rFonts w:ascii="Apercu Medium" w:hAnsi="Apercu Medium"/>
          <w:b w:val="0"/>
          <w:color w:val="FFFFFF"/>
          <w:spacing w:val="-5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Australia</w:t>
      </w:r>
      <w:r>
        <w:rPr>
          <w:rFonts w:ascii="Apercu Medium" w:hAnsi="Apercu Medium"/>
          <w:b w:val="0"/>
          <w:color w:val="FFFFFF"/>
          <w:spacing w:val="-4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and</w:t>
      </w:r>
      <w:r>
        <w:rPr>
          <w:rFonts w:ascii="Apercu Medium" w:hAnsi="Apercu Medium"/>
          <w:b w:val="0"/>
          <w:color w:val="FFFFFF"/>
          <w:spacing w:val="-5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Māori,</w:t>
      </w:r>
      <w:r>
        <w:rPr>
          <w:rFonts w:ascii="Apercu Medium" w:hAnsi="Apercu Medium"/>
          <w:b w:val="0"/>
          <w:color w:val="FFFFFF"/>
          <w:spacing w:val="-4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as</w:t>
      </w:r>
      <w:r>
        <w:rPr>
          <w:rFonts w:ascii="Apercu Medium" w:hAnsi="Apercu Medium"/>
          <w:b w:val="0"/>
          <w:color w:val="FFFFFF"/>
          <w:spacing w:val="-5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tangata</w:t>
      </w:r>
      <w:r>
        <w:rPr>
          <w:rFonts w:ascii="Apercu Medium" w:hAnsi="Apercu Medium"/>
          <w:b w:val="0"/>
          <w:color w:val="FFFFFF"/>
          <w:spacing w:val="-4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whenua</w:t>
      </w:r>
      <w:r>
        <w:rPr>
          <w:rFonts w:ascii="Apercu Medium" w:hAnsi="Apercu Medium"/>
          <w:b w:val="0"/>
          <w:color w:val="FFFFFF"/>
          <w:spacing w:val="-5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and</w:t>
      </w:r>
      <w:r>
        <w:rPr>
          <w:rFonts w:ascii="Apercu Medium" w:hAnsi="Apercu Medium"/>
          <w:b w:val="0"/>
          <w:color w:val="FFFFFF"/>
          <w:spacing w:val="-4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Treaty</w:t>
      </w:r>
      <w:r>
        <w:rPr>
          <w:rFonts w:ascii="Apercu Medium" w:hAnsi="Apercu Medium"/>
          <w:b w:val="0"/>
          <w:color w:val="FFFFFF"/>
          <w:spacing w:val="-5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of</w:t>
      </w:r>
      <w:r>
        <w:rPr>
          <w:rFonts w:ascii="Apercu Medium" w:hAnsi="Apercu Medium"/>
          <w:b w:val="0"/>
          <w:color w:val="FFFFFF"/>
          <w:spacing w:val="-4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Waitangi</w:t>
      </w:r>
      <w:r>
        <w:rPr>
          <w:rFonts w:ascii="Apercu Medium" w:hAnsi="Apercu Medium"/>
          <w:b w:val="0"/>
          <w:color w:val="FFFFFF"/>
          <w:spacing w:val="-5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partners</w:t>
      </w:r>
      <w:r>
        <w:rPr>
          <w:rFonts w:ascii="Apercu Medium" w:hAnsi="Apercu Medium"/>
          <w:b w:val="0"/>
          <w:color w:val="FFFFFF"/>
          <w:spacing w:val="-4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in</w:t>
      </w:r>
      <w:r>
        <w:rPr>
          <w:rFonts w:ascii="Apercu Medium" w:hAnsi="Apercu Medium"/>
          <w:b w:val="0"/>
          <w:color w:val="FFFFFF"/>
          <w:spacing w:val="-5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Aotearoa-New</w:t>
      </w:r>
      <w:r>
        <w:rPr>
          <w:rFonts w:ascii="Apercu Medium" w:hAnsi="Apercu Medium"/>
          <w:b w:val="0"/>
          <w:color w:val="FFFFFF"/>
          <w:spacing w:val="-4"/>
          <w:sz w:val="16"/>
        </w:rPr>
        <w:t> </w:t>
      </w:r>
      <w:r>
        <w:rPr>
          <w:rFonts w:ascii="Apercu Medium" w:hAnsi="Apercu Medium"/>
          <w:b w:val="0"/>
          <w:color w:val="FFFFFF"/>
          <w:sz w:val="16"/>
        </w:rPr>
        <w:t>Zealand.</w:t>
      </w:r>
    </w:p>
    <w:sectPr>
      <w:footerReference w:type="default" r:id="rId83"/>
      <w:pgSz w:w="11910" w:h="16840"/>
      <w:pgMar w:footer="0" w:header="0" w:top="1580" w:bottom="280" w:left="4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Apercu Light">
    <w:altName w:val="Apercu Light"/>
    <w:charset w:val="0"/>
    <w:family w:val="swiss"/>
    <w:pitch w:val="variable"/>
  </w:font>
  <w:font w:name="Domus Semibold">
    <w:altName w:val="Domus Semibold"/>
    <w:charset w:val="0"/>
    <w:family w:val="moder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percu">
    <w:altName w:val="Apercu"/>
    <w:charset w:val="0"/>
    <w:family w:val="swiss"/>
    <w:pitch w:val="variable"/>
  </w:font>
  <w:font w:name="Apercu Medium">
    <w:altName w:val="Apercu Medium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egoe UI Symbol">
    <w:altName w:val="Segoe UI Symbo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46399pt;margin-top:803.12323pt;width:14.2pt;height:17.350pt;mso-position-horizontal-relative:page;mso-position-vertical-relative:page;z-index:-19481600" type="#_x0000_t202" id="docshape4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>
                    <w:rFonts w:ascii="Apercu"/>
                    <w:b/>
                    <w:color w:val="231F20"/>
                    <w:sz w:val="22"/>
                  </w:rPr>
                  <w:t>02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125999pt;margin-top:804.685242pt;width:78.55pt;height:13.85pt;mso-position-horizontal-relative:page;mso-position-vertical-relative:page;z-index:-19481088" type="#_x0000_t202" id="docshape5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Domus Semibold"/>
                    <w:b w:val="0"/>
                    <w:sz w:val="22"/>
                  </w:rPr>
                </w:pPr>
                <w:r>
                  <w:rPr>
                    <w:rFonts w:ascii="Domus Semibold"/>
                    <w:b w:val="0"/>
                    <w:color w:val="231F20"/>
                    <w:spacing w:val="-3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803.12323pt;width:24.5pt;height:17.350pt;mso-position-horizontal-relative:page;mso-position-vertical-relative:page;z-index:-19472384" type="#_x0000_t202" id="docshape176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percu"/>
                    <w:b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125999pt;margin-top:804.784302pt;width:77.5pt;height:13.85pt;mso-position-horizontal-relative:page;mso-position-vertical-relative:page;z-index:-19471872" type="#_x0000_t202" id="docshape177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rFonts w:ascii="Lucida Sans"/>
                    <w:sz w:val="22"/>
                  </w:rPr>
                </w:pPr>
                <w:r>
                  <w:rPr>
                    <w:rFonts w:ascii="Lucida Sans"/>
                    <w:color w:val="231F20"/>
                    <w:w w:val="85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465pt;margin-top:803.12323pt;width:14.45pt;height:17.350pt;mso-position-horizontal-relative:page;mso-position-vertical-relative:page;z-index:-19480576" type="#_x0000_t202" id="docshape6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>
                    <w:rFonts w:ascii="Apercu"/>
                    <w:b/>
                    <w:color w:val="231F20"/>
                    <w:sz w:val="22"/>
                  </w:rPr>
                  <w:t>03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125999pt;margin-top:804.685242pt;width:78.55pt;height:13.85pt;mso-position-horizontal-relative:page;mso-position-vertical-relative:page;z-index:-19480064" type="#_x0000_t202" id="docshape7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Domus Semibold"/>
                    <w:b w:val="0"/>
                    <w:sz w:val="22"/>
                  </w:rPr>
                </w:pPr>
                <w:r>
                  <w:rPr>
                    <w:rFonts w:ascii="Domus Semibold"/>
                    <w:b w:val="0"/>
                    <w:color w:val="231F20"/>
                    <w:spacing w:val="-3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465pt;margin-top:803.12323pt;width:14.85pt;height:17.350pt;mso-position-horizontal-relative:page;mso-position-vertical-relative:page;z-index:-19479552" type="#_x0000_t202" id="docshape8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>
                    <w:rFonts w:ascii="Apercu"/>
                    <w:b/>
                    <w:color w:val="231F20"/>
                    <w:sz w:val="22"/>
                  </w:rPr>
                  <w:t>04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126099pt;margin-top:804.784241pt;width:77.5pt;height:13.85pt;mso-position-horizontal-relative:page;mso-position-vertical-relative:page;z-index:-19479040" type="#_x0000_t202" id="docshape9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rFonts w:ascii="Lucida Sans"/>
                    <w:sz w:val="22"/>
                  </w:rPr>
                </w:pPr>
                <w:r>
                  <w:rPr>
                    <w:rFonts w:ascii="Lucida Sans"/>
                    <w:color w:val="231F20"/>
                    <w:w w:val="85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465pt;margin-top:803.12323pt;width:14.4pt;height:17.350pt;mso-position-horizontal-relative:page;mso-position-vertical-relative:page;z-index:-19478528" type="#_x0000_t202" id="docshape10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>
                    <w:rFonts w:ascii="Apercu"/>
                    <w:b/>
                    <w:color w:val="231F20"/>
                    <w:sz w:val="22"/>
                  </w:rPr>
                  <w:t>05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125999pt;margin-top:804.784241pt;width:77.5pt;height:13.85pt;mso-position-horizontal-relative:page;mso-position-vertical-relative:page;z-index:-19478016" type="#_x0000_t202" id="docshape11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rFonts w:ascii="Lucida Sans"/>
                    <w:sz w:val="22"/>
                  </w:rPr>
                </w:pPr>
                <w:r>
                  <w:rPr>
                    <w:rFonts w:ascii="Lucida Sans"/>
                    <w:color w:val="231F20"/>
                    <w:w w:val="85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465pt;margin-top:803.12323pt;width:14.65pt;height:17.350pt;mso-position-horizontal-relative:page;mso-position-vertical-relative:page;z-index:-19477504" type="#_x0000_t202" id="docshape1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>
                    <w:rFonts w:ascii="Apercu"/>
                    <w:b/>
                    <w:color w:val="231F20"/>
                    <w:sz w:val="22"/>
                  </w:rPr>
                  <w:t>06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126099pt;margin-top:804.784241pt;width:77.5pt;height:13.85pt;mso-position-horizontal-relative:page;mso-position-vertical-relative:page;z-index:-19476992" type="#_x0000_t202" id="docshape13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rFonts w:ascii="Lucida Sans"/>
                    <w:sz w:val="22"/>
                  </w:rPr>
                </w:pPr>
                <w:r>
                  <w:rPr>
                    <w:rFonts w:ascii="Lucida Sans"/>
                    <w:color w:val="231F20"/>
                    <w:w w:val="85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465pt;margin-top:803.12323pt;width:13.7pt;height:17.350pt;mso-position-horizontal-relative:page;mso-position-vertical-relative:page;z-index:-19476480" type="#_x0000_t202" id="docshape14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>
                    <w:rFonts w:ascii="Apercu"/>
                    <w:b/>
                    <w:color w:val="231F20"/>
                    <w:sz w:val="22"/>
                  </w:rPr>
                  <w:t>07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125999pt;margin-top:804.784241pt;width:77.5pt;height:13.85pt;mso-position-horizontal-relative:page;mso-position-vertical-relative:page;z-index:-19475968" type="#_x0000_t202" id="docshape15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rFonts w:ascii="Lucida Sans"/>
                    <w:sz w:val="22"/>
                  </w:rPr>
                </w:pPr>
                <w:r>
                  <w:rPr>
                    <w:rFonts w:ascii="Lucida Sans"/>
                    <w:color w:val="231F20"/>
                    <w:w w:val="85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46399pt;margin-top:803.12323pt;width:14.55pt;height:17.350pt;mso-position-horizontal-relative:page;mso-position-vertical-relative:page;z-index:-19475456" type="#_x0000_t202" id="docshape16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>
                    <w:rFonts w:ascii="Apercu"/>
                    <w:b/>
                    <w:color w:val="231F20"/>
                    <w:sz w:val="22"/>
                  </w:rPr>
                  <w:t>08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125999pt;margin-top:804.784302pt;width:77.5pt;height:13.85pt;mso-position-horizontal-relative:page;mso-position-vertical-relative:page;z-index:-19474944" type="#_x0000_t202" id="docshape17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rFonts w:ascii="Lucida Sans"/>
                    <w:sz w:val="22"/>
                  </w:rPr>
                </w:pPr>
                <w:r>
                  <w:rPr>
                    <w:rFonts w:ascii="Lucida Sans"/>
                    <w:color w:val="231F20"/>
                    <w:w w:val="85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465pt;margin-top:803.12323pt;width:14.55pt;height:17.350pt;mso-position-horizontal-relative:page;mso-position-vertical-relative:page;z-index:-19474432" type="#_x0000_t202" id="docshape18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>
                    <w:rFonts w:ascii="Apercu"/>
                    <w:b/>
                    <w:color w:val="231F20"/>
                    <w:sz w:val="22"/>
                  </w:rPr>
                  <w:t>09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125999pt;margin-top:804.784302pt;width:77.5pt;height:13.85pt;mso-position-horizontal-relative:page;mso-position-vertical-relative:page;z-index:-19473920" type="#_x0000_t202" id="docshape19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rFonts w:ascii="Lucida Sans"/>
                    <w:sz w:val="22"/>
                  </w:rPr>
                </w:pPr>
                <w:r>
                  <w:rPr>
                    <w:rFonts w:ascii="Lucida Sans"/>
                    <w:color w:val="231F20"/>
                    <w:w w:val="85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803.12323pt;width:19.7pt;height:17.350pt;mso-position-horizontal-relative:page;mso-position-vertical-relative:page;z-index:-19473408" type="#_x0000_t202" id="docshape20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rFonts w:ascii="Apercu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percu"/>
                    <w:b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125999pt;margin-top:804.784302pt;width:77.5pt;height:13.85pt;mso-position-horizontal-relative:page;mso-position-vertical-relative:page;z-index:-19472896" type="#_x0000_t202" id="docshape21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rFonts w:ascii="Lucida Sans"/>
                    <w:sz w:val="22"/>
                  </w:rPr>
                </w:pPr>
                <w:r>
                  <w:rPr>
                    <w:rFonts w:ascii="Lucida Sans"/>
                    <w:color w:val="231F20"/>
                    <w:w w:val="85"/>
                    <w:sz w:val="22"/>
                  </w:rPr>
                  <w:t>ANZSOG.EDU.AU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."/>
      <w:lvlJc w:val="left"/>
      <w:pPr>
        <w:ind w:left="2178" w:hanging="29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93838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2" w:hanging="575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8" w:hanging="5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6" w:hanging="5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5" w:hanging="5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53" w:hanging="5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1" w:hanging="5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0" w:hanging="5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8" w:hanging="575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2391" w:hanging="327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3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8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2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1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327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2391" w:hanging="327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3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8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2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1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327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(%1)"/>
      <w:lvlJc w:val="left"/>
      <w:pPr>
        <w:ind w:left="2024" w:hanging="44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93838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62" w:hanging="4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5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7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0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2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5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7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445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2713" w:hanging="323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2" w:hanging="3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5" w:hanging="3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7" w:hanging="3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0" w:hanging="3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2" w:hanging="3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5" w:hanging="3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7" w:hanging="3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323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2713" w:hanging="323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2" w:hanging="3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5" w:hanging="3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7" w:hanging="3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0" w:hanging="3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2" w:hanging="3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5" w:hanging="3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7" w:hanging="3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323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2713" w:hanging="323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2" w:hanging="3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5" w:hanging="3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7" w:hanging="3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0" w:hanging="3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2" w:hanging="3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5" w:hanging="3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7" w:hanging="3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323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2390" w:hanging="323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3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3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3" w:hanging="3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8" w:hanging="3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2" w:hanging="3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3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1" w:hanging="3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323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804" w:hanging="225"/>
      </w:pPr>
      <w:rPr>
        <w:rFonts w:hint="default" w:ascii="Arial" w:hAnsi="Arial" w:eastAsia="Arial" w:cs="Arial"/>
        <w:b w:val="0"/>
        <w:bCs w:val="0"/>
        <w:i w:val="0"/>
        <w:iCs w:val="0"/>
        <w:color w:val="303C4F"/>
        <w:w w:val="104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4" w:hanging="2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9" w:hanging="2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3" w:hanging="2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8" w:hanging="2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2" w:hanging="2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7" w:hanging="2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1" w:hanging="2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6" w:hanging="225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1579" w:hanging="3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79" w:hanging="33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93838"/>
        <w:spacing w:val="-2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678" w:hanging="60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7" w:hanging="6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1" w:hanging="6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5" w:hanging="6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9" w:hanging="6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3" w:hanging="6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7" w:hanging="603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7"/>
      <w:numFmt w:val="decimal"/>
      <w:lvlText w:val="%1"/>
      <w:lvlJc w:val="left"/>
      <w:pPr>
        <w:ind w:left="3273" w:hanging="87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3273" w:hanging="87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93838"/>
        <w:spacing w:val="-2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3246" w:hanging="84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93838"/>
        <w:spacing w:val="-3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4" w:hanging="8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01" w:hanging="8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09" w:hanging="8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8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3" w:hanging="8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0" w:hanging="84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7"/>
      <w:numFmt w:val="decimal"/>
      <w:lvlText w:val="%1"/>
      <w:lvlJc w:val="left"/>
      <w:pPr>
        <w:ind w:left="3226" w:hanging="8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226" w:hanging="83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93838"/>
        <w:spacing w:val="-2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3246" w:hanging="85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93838"/>
        <w:spacing w:val="-3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3" w:hanging="8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5" w:hanging="8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6" w:hanging="8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8" w:hanging="8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0" w:hanging="8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2" w:hanging="852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2395" w:hanging="319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3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8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2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1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319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2712" w:hanging="319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2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5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7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0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2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5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7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31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2732" w:hanging="339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10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81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51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2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2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3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3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4" w:hanging="339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2390" w:hanging="323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3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3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3" w:hanging="3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8" w:hanging="3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2" w:hanging="3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3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1" w:hanging="3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32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2394" w:hanging="319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9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3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8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2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7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1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31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1579" w:hanging="17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7" w:hanging="324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2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5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8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1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4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7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9" w:hanging="32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962" w:hanging="320"/>
      </w:pPr>
      <w:rPr>
        <w:rFonts w:hint="default" w:ascii="Arial" w:hAnsi="Arial" w:eastAsia="Arial" w:cs="Arial"/>
        <w:b w:val="0"/>
        <w:bCs w:val="0"/>
        <w:i w:val="0"/>
        <w:iCs w:val="0"/>
        <w:color w:val="393838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08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57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05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54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2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1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9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8" w:hanging="3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300" w:hanging="2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0" w:hanging="221"/>
        <w:jc w:val="left"/>
      </w:pPr>
      <w:rPr>
        <w:rFonts w:hint="default" w:ascii="Apercu" w:hAnsi="Apercu" w:eastAsia="Apercu" w:cs="Apercu"/>
        <w:b/>
        <w:bCs/>
        <w:i w:val="0"/>
        <w:iCs w:val="0"/>
        <w:color w:val="231F20"/>
        <w:w w:val="100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9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6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2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99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15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32" w:hanging="22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55" w:hanging="182"/>
        <w:jc w:val="left"/>
      </w:pPr>
      <w:rPr>
        <w:rFonts w:hint="default" w:ascii="Apercu" w:hAnsi="Apercu" w:eastAsia="Apercu" w:cs="Apercu"/>
        <w:b/>
        <w:bCs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8" w:hanging="1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7" w:hanging="1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5" w:hanging="1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4" w:hanging="1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2" w:hanging="1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1" w:hanging="1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9" w:hanging="1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18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90" w:hanging="217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1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90" w:hanging="217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1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."/>
      <w:lvlJc w:val="left"/>
      <w:pPr>
        <w:ind w:left="1145" w:hanging="472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43B7D"/>
        <w:spacing w:val="-6"/>
        <w:w w:val="100"/>
        <w:sz w:val="56"/>
        <w:szCs w:val="5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470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43B7D"/>
        <w:spacing w:val="-23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1" w:hanging="4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1" w:hanging="4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4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2" w:hanging="4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3" w:hanging="4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3" w:hanging="4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4" w:hanging="47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–"/>
      <w:lvlJc w:val="left"/>
      <w:pPr>
        <w:ind w:left="1014" w:hanging="171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17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00" w:hanging="227"/>
        <w:jc w:val="left"/>
      </w:pPr>
      <w:rPr>
        <w:rFonts w:hint="default" w:ascii="Apercu Light" w:hAnsi="Apercu Light" w:eastAsia="Apercu Light" w:cs="Apercu Light"/>
        <w:b w:val="0"/>
        <w:bCs w:val="0"/>
        <w:i w:val="0"/>
        <w:iCs w:val="0"/>
        <w:color w:val="231F2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2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039" w:hanging="366"/>
        <w:jc w:val="left"/>
      </w:pPr>
      <w:rPr>
        <w:rFonts w:hint="default" w:ascii="Apercu" w:hAnsi="Apercu" w:eastAsia="Apercu" w:cs="Apercu"/>
        <w:b/>
        <w:bCs/>
        <w:i w:val="0"/>
        <w:iCs w:val="0"/>
        <w:color w:val="243B7D"/>
        <w:w w:val="100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3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1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1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2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2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3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3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4" w:hanging="36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662" w:hanging="88"/>
      </w:pPr>
      <w:rPr>
        <w:rFonts w:hint="default" w:ascii="Apercu Medium" w:hAnsi="Apercu Medium" w:eastAsia="Apercu Medium" w:cs="Apercu Medium"/>
        <w:b w:val="0"/>
        <w:bCs w:val="0"/>
        <w:i w:val="0"/>
        <w:iCs w:val="0"/>
        <w:color w:val="231F20"/>
        <w:w w:val="10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2" w:hanging="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4" w:hanging="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6" w:hanging="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8" w:hanging="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2" w:hanging="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5" w:hanging="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17" w:hanging="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754" w:hanging="88"/>
      </w:pPr>
      <w:rPr>
        <w:rFonts w:hint="default" w:ascii="Apercu Medium" w:hAnsi="Apercu Medium" w:eastAsia="Apercu Medium" w:cs="Apercu Medium"/>
        <w:b w:val="0"/>
        <w:bCs w:val="0"/>
        <w:i w:val="0"/>
        <w:iCs w:val="0"/>
        <w:color w:val="231F20"/>
        <w:w w:val="10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2" w:hanging="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4" w:hanging="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6" w:hanging="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2" w:hanging="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5" w:hanging="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7" w:hanging="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673" w:hanging="501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43B7D"/>
        <w:spacing w:val="-6"/>
        <w:w w:val="100"/>
        <w:sz w:val="56"/>
        <w:szCs w:val="5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3" w:hanging="480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43B7D"/>
        <w:spacing w:val="-23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2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5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1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4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7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9" w:hanging="4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90" w:hanging="217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1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90" w:hanging="217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4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3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7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1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21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89" w:hanging="417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43B7D"/>
        <w:spacing w:val="-6"/>
        <w:w w:val="100"/>
        <w:sz w:val="56"/>
        <w:szCs w:val="5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35" w:hanging="462"/>
        <w:jc w:val="left"/>
      </w:pPr>
      <w:rPr>
        <w:rFonts w:hint="default" w:ascii="Domus Semibold" w:hAnsi="Domus Semibold" w:eastAsia="Domus Semibold" w:cs="Domus Semibold"/>
        <w:b w:val="0"/>
        <w:bCs w:val="0"/>
        <w:i w:val="0"/>
        <w:iCs w:val="0"/>
        <w:color w:val="243B7D"/>
        <w:spacing w:val="-23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5" w:hanging="4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0" w:hanging="4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5" w:hanging="4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4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4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4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5" w:hanging="46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33" w:hanging="261"/>
        <w:jc w:val="left"/>
      </w:pPr>
      <w:rPr>
        <w:rFonts w:hint="default" w:ascii="Apercu Medium" w:hAnsi="Apercu Medium" w:eastAsia="Apercu Medium" w:cs="Apercu Medium"/>
        <w:b w:val="0"/>
        <w:bCs w:val="0"/>
        <w:i w:val="0"/>
        <w:iCs w:val="0"/>
        <w:color w:val="231F2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0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1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1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2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2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3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3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4" w:hanging="261"/>
      </w:pPr>
      <w:rPr>
        <w:rFonts w:hint="default"/>
        <w:lang w:val="en-us" w:eastAsia="en-US" w:bidi="ar-SA"/>
      </w:rPr>
    </w:lvl>
  </w:abstractNum>
  <w:num w:numId="25">
    <w:abstractNumId w:val="24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percu Light" w:hAnsi="Apercu Light" w:eastAsia="Apercu Light" w:cs="Apercu Ligh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1"/>
      <w:ind w:left="1591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1804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percu Light" w:hAnsi="Apercu Light" w:eastAsia="Apercu Light" w:cs="Apercu Light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"/>
      <w:ind w:left="673"/>
      <w:outlineLvl w:val="1"/>
    </w:pPr>
    <w:rPr>
      <w:rFonts w:ascii="Domus Semibold" w:hAnsi="Domus Semibold" w:eastAsia="Domus Semibold" w:cs="Domus Semibold"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79"/>
      <w:outlineLvl w:val="2"/>
    </w:pPr>
    <w:rPr>
      <w:rFonts w:ascii="Arial" w:hAnsi="Arial" w:eastAsia="Arial" w:cs="Arial"/>
      <w:b/>
      <w:bCs/>
      <w:sz w:val="41"/>
      <w:szCs w:val="41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61"/>
      <w:ind w:left="673"/>
      <w:outlineLvl w:val="3"/>
    </w:pPr>
    <w:rPr>
      <w:rFonts w:ascii="Domus Semibold" w:hAnsi="Domus Semibold" w:eastAsia="Domus Semibold" w:cs="Domus Semibold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6"/>
      <w:ind w:left="4415" w:right="4876"/>
      <w:jc w:val="center"/>
      <w:outlineLvl w:val="4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579"/>
      <w:outlineLvl w:val="5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232" w:lineRule="exact"/>
      <w:ind w:left="673"/>
      <w:outlineLvl w:val="6"/>
    </w:pPr>
    <w:rPr>
      <w:rFonts w:ascii="Apercu" w:hAnsi="Apercu" w:eastAsia="Apercu" w:cs="Apercu"/>
      <w:b/>
      <w:bCs/>
      <w:i/>
      <w:iCs/>
      <w:sz w:val="19"/>
      <w:szCs w:val="1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45"/>
      <w:ind w:left="260" w:right="5377"/>
    </w:pPr>
    <w:rPr>
      <w:rFonts w:ascii="Domus Semibold" w:hAnsi="Domus Semibold" w:eastAsia="Domus Semibold" w:cs="Domus Semibold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3"/>
      <w:ind w:left="900" w:hanging="227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</w:pPr>
    <w:rPr>
      <w:rFonts w:ascii="Apercu Light" w:hAnsi="Apercu Light" w:eastAsia="Apercu Light" w:cs="Apercu Ligh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footer" Target="footer3.xml"/><Relationship Id="rId11" Type="http://schemas.openxmlformats.org/officeDocument/2006/relationships/image" Target="media/image4.jpeg"/><Relationship Id="rId12" Type="http://schemas.openxmlformats.org/officeDocument/2006/relationships/footer" Target="footer4.xml"/><Relationship Id="rId13" Type="http://schemas.openxmlformats.org/officeDocument/2006/relationships/image" Target="media/image5.jpeg"/><Relationship Id="rId14" Type="http://schemas.openxmlformats.org/officeDocument/2006/relationships/footer" Target="footer5.xml"/><Relationship Id="rId15" Type="http://schemas.openxmlformats.org/officeDocument/2006/relationships/image" Target="media/image6.jpeg"/><Relationship Id="rId16" Type="http://schemas.openxmlformats.org/officeDocument/2006/relationships/footer" Target="footer6.xml"/><Relationship Id="rId17" Type="http://schemas.openxmlformats.org/officeDocument/2006/relationships/image" Target="media/image7.jpeg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footer" Target="footer9.xml"/><Relationship Id="rId21" Type="http://schemas.openxmlformats.org/officeDocument/2006/relationships/image" Target="media/image8.jpe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jpeg"/><Relationship Id="rId33" Type="http://schemas.openxmlformats.org/officeDocument/2006/relationships/hyperlink" Target="https://www.anzsog.edu.au/" TargetMode="External"/><Relationship Id="rId34" Type="http://schemas.openxmlformats.org/officeDocument/2006/relationships/image" Target="media/image20.jpeg"/><Relationship Id="rId35" Type="http://schemas.openxmlformats.org/officeDocument/2006/relationships/hyperlink" Target="https://women.govt.nz/" TargetMode="External"/><Relationship Id="rId36" Type="http://schemas.openxmlformats.org/officeDocument/2006/relationships/hyperlink" Target="https://www.beehive.govt.nz/release/green-paper-vulnerable-children" TargetMode="External"/><Relationship Id="rId37" Type="http://schemas.openxmlformats.org/officeDocument/2006/relationships/hyperlink" Target="https://www.vsa.org.nz/" TargetMode="External"/><Relationship Id="rId38" Type="http://schemas.openxmlformats.org/officeDocument/2006/relationships/hyperlink" Target="https://www.mediacouncil.org.nz/" TargetMode="External"/><Relationship Id="rId39" Type="http://schemas.openxmlformats.org/officeDocument/2006/relationships/hyperlink" Target="https://www.nzdf.mil.nz/navy/" TargetMode="External"/><Relationship Id="rId40" Type="http://schemas.openxmlformats.org/officeDocument/2006/relationships/hyperlink" Target="https://ipanz.org.nz/" TargetMode="External"/><Relationship Id="rId41" Type="http://schemas.openxmlformats.org/officeDocument/2006/relationships/image" Target="media/image21.jpeg"/><Relationship Id="rId42" Type="http://schemas.openxmlformats.org/officeDocument/2006/relationships/image" Target="media/image22.jpeg"/><Relationship Id="rId43" Type="http://schemas.openxmlformats.org/officeDocument/2006/relationships/image" Target="media/image23.jpeg"/><Relationship Id="rId44" Type="http://schemas.openxmlformats.org/officeDocument/2006/relationships/hyperlink" Target="https://www.journals.elsevier.com/international-review-of-economics-education" TargetMode="External"/><Relationship Id="rId45" Type="http://schemas.openxmlformats.org/officeDocument/2006/relationships/image" Target="media/image24.jpeg"/><Relationship Id="rId46" Type="http://schemas.openxmlformats.org/officeDocument/2006/relationships/image" Target="media/image25.jpeg"/><Relationship Id="rId47" Type="http://schemas.openxmlformats.org/officeDocument/2006/relationships/image" Target="media/image26.jpeg"/><Relationship Id="rId48" Type="http://schemas.openxmlformats.org/officeDocument/2006/relationships/hyperlink" Target="https://onlinelibrary.wiley.com/journal/14678500" TargetMode="External"/><Relationship Id="rId49" Type="http://schemas.openxmlformats.org/officeDocument/2006/relationships/hyperlink" Target="https://www.vic.ipaa.org.au/" TargetMode="External"/><Relationship Id="rId50" Type="http://schemas.openxmlformats.org/officeDocument/2006/relationships/hyperlink" Target="http://www.irspm.net/" TargetMode="External"/><Relationship Id="rId51" Type="http://schemas.openxmlformats.org/officeDocument/2006/relationships/hyperlink" Target="https://napawash.org/grand-challenges/the-12-grand-challenges" TargetMode="External"/><Relationship Id="rId52" Type="http://schemas.openxmlformats.org/officeDocument/2006/relationships/hyperlink" Target="https://napawash.org/" TargetMode="External"/><Relationship Id="rId53" Type="http://schemas.openxmlformats.org/officeDocument/2006/relationships/hyperlink" Target="http://www.businessofgovernment.org/" TargetMode="External"/><Relationship Id="rId54" Type="http://schemas.openxmlformats.org/officeDocument/2006/relationships/hyperlink" Target="https://www.apsreview.gov.au/" TargetMode="External"/><Relationship Id="rId55" Type="http://schemas.openxmlformats.org/officeDocument/2006/relationships/hyperlink" Target="https://www.apsreview.gov.au/resources" TargetMode="External"/><Relationship Id="rId56" Type="http://schemas.openxmlformats.org/officeDocument/2006/relationships/hyperlink" Target="https://theconversation.com/au" TargetMode="External"/><Relationship Id="rId57" Type="http://schemas.openxmlformats.org/officeDocument/2006/relationships/hyperlink" Target="https://www.themandarin.com.au/?s=o%27flynn" TargetMode="External"/><Relationship Id="rId58" Type="http://schemas.openxmlformats.org/officeDocument/2006/relationships/hyperlink" Target="https://www.aspanet.org/ASPA/Make-Connections/Awards/Louis-Brownlow-Award.aspx" TargetMode="External"/><Relationship Id="rId59" Type="http://schemas.openxmlformats.org/officeDocument/2006/relationships/hyperlink" Target="https://journals.sagepub.com/doi/abs/10.1177/0734371X17701544?journalCode=ropa" TargetMode="External"/><Relationship Id="rId60" Type="http://schemas.openxmlformats.org/officeDocument/2006/relationships/hyperlink" Target="https://news.government.unimelb.edu.au/2014/12/30/professor-janine-oflynn-wins-prestigious-award/" TargetMode="External"/><Relationship Id="rId61" Type="http://schemas.openxmlformats.org/officeDocument/2006/relationships/image" Target="media/image27.jpeg"/><Relationship Id="rId62" Type="http://schemas.openxmlformats.org/officeDocument/2006/relationships/image" Target="media/image28.jpeg"/><Relationship Id="rId63" Type="http://schemas.openxmlformats.org/officeDocument/2006/relationships/image" Target="media/image29.jpeg"/><Relationship Id="rId64" Type="http://schemas.openxmlformats.org/officeDocument/2006/relationships/image" Target="media/image30.jpeg"/><Relationship Id="rId65" Type="http://schemas.openxmlformats.org/officeDocument/2006/relationships/image" Target="media/image31.jpeg"/><Relationship Id="rId66" Type="http://schemas.openxmlformats.org/officeDocument/2006/relationships/image" Target="media/image32.jpeg"/><Relationship Id="rId67" Type="http://schemas.openxmlformats.org/officeDocument/2006/relationships/image" Target="media/image33.jpeg"/><Relationship Id="rId68" Type="http://schemas.openxmlformats.org/officeDocument/2006/relationships/image" Target="media/image34.jpeg"/><Relationship Id="rId69" Type="http://schemas.openxmlformats.org/officeDocument/2006/relationships/image" Target="media/image35.jpeg"/><Relationship Id="rId70" Type="http://schemas.openxmlformats.org/officeDocument/2006/relationships/image" Target="media/image36.jpeg"/><Relationship Id="rId71" Type="http://schemas.openxmlformats.org/officeDocument/2006/relationships/image" Target="media/image37.jpeg"/><Relationship Id="rId72" Type="http://schemas.openxmlformats.org/officeDocument/2006/relationships/footer" Target="footer10.xml"/><Relationship Id="rId73" Type="http://schemas.openxmlformats.org/officeDocument/2006/relationships/footer" Target="footer11.xml"/><Relationship Id="rId74" Type="http://schemas.openxmlformats.org/officeDocument/2006/relationships/image" Target="media/image38.png"/><Relationship Id="rId75" Type="http://schemas.openxmlformats.org/officeDocument/2006/relationships/image" Target="media/image39.png"/><Relationship Id="rId76" Type="http://schemas.openxmlformats.org/officeDocument/2006/relationships/hyperlink" Target="http://www.anzsog.edu.au/education-events/masters/empa-faqs-prospective" TargetMode="External"/><Relationship Id="rId77" Type="http://schemas.openxmlformats.org/officeDocument/2006/relationships/hyperlink" Target="http://www.swinburne.edu.au/life-at-swinburne/locations/your-safety-at-" TargetMode="External"/><Relationship Id="rId78" Type="http://schemas.openxmlformats.org/officeDocument/2006/relationships/hyperlink" Target="http://www.anzsog.edu.au/masters" TargetMode="External"/><Relationship Id="rId79" Type="http://schemas.openxmlformats.org/officeDocument/2006/relationships/hyperlink" Target="http://www.anzsog.edu.au/preview-documents/publications-and-brochures/5513-" TargetMode="External"/><Relationship Id="rId80" Type="http://schemas.openxmlformats.org/officeDocument/2006/relationships/hyperlink" Target="http://www.timeshighereducation.com/student/best-universities/best-universities-business-degrees" TargetMode="External"/><Relationship Id="rId81" Type="http://schemas.openxmlformats.org/officeDocument/2006/relationships/hyperlink" Target="http://www.lse.ac.uk/study-at-lse/Graduate/degree-programmes-2021/Executive-Master-of-Public-Administration-EMPA" TargetMode="External"/><Relationship Id="rId82" Type="http://schemas.openxmlformats.org/officeDocument/2006/relationships/hyperlink" Target="http://www.ucl.ac.uk/bartlett/public-purpose/master-public-administration-mpa-innovation-public-policy-and-public-value-2021-22" TargetMode="External"/><Relationship Id="rId83" Type="http://schemas.openxmlformats.org/officeDocument/2006/relationships/footer" Target="footer12.xml"/><Relationship Id="rId84" Type="http://schemas.openxmlformats.org/officeDocument/2006/relationships/image" Target="media/image40.png"/><Relationship Id="rId85" Type="http://schemas.openxmlformats.org/officeDocument/2006/relationships/image" Target="media/image41.png"/><Relationship Id="rId86" Type="http://schemas.openxmlformats.org/officeDocument/2006/relationships/image" Target="media/image42.png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2021-06-03T01:28:12Z</dcterms:created>
  <dcterms:modified xsi:type="dcterms:W3CDTF">2021-06-03T01:28:12Z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2021-06-03T00:00:00Z</vt:filetime>
  </property>
</Properties>
</file>